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03477" w14:textId="77777777" w:rsidR="00F27730" w:rsidRPr="001D1A3C" w:rsidRDefault="00F27730" w:rsidP="00F27730">
      <w:pPr>
        <w:spacing w:before="120"/>
        <w:jc w:val="both"/>
        <w:rPr>
          <w:rFonts w:ascii="Times New Roman" w:hAnsi="Times New Roman" w:cs="Times New Roman"/>
          <w:b/>
          <w:color w:val="FFFFFF" w:themeColor="background1"/>
          <w:sz w:val="24"/>
          <w:szCs w:val="24"/>
        </w:rPr>
      </w:pPr>
      <w:r w:rsidRPr="001D1A3C">
        <w:rPr>
          <w:rFonts w:ascii="Times New Roman" w:hAnsi="Times New Roman" w:cs="Times New Roman"/>
          <w:b/>
          <w:color w:val="FFFFFF" w:themeColor="background1"/>
          <w:sz w:val="24"/>
          <w:szCs w:val="24"/>
        </w:rPr>
        <w:t>Утвърждавам:</w:t>
      </w:r>
    </w:p>
    <w:p w14:paraId="755965F6" w14:textId="77777777" w:rsidR="00F27730" w:rsidRPr="001D1A3C" w:rsidRDefault="00F27730" w:rsidP="00F27730">
      <w:pPr>
        <w:jc w:val="both"/>
        <w:rPr>
          <w:rFonts w:ascii="Times New Roman" w:hAnsi="Times New Roman" w:cs="Times New Roman"/>
          <w:b/>
          <w:color w:val="FFFFFF" w:themeColor="background1"/>
          <w:sz w:val="24"/>
          <w:szCs w:val="24"/>
        </w:rPr>
      </w:pPr>
    </w:p>
    <w:p w14:paraId="01A97912" w14:textId="77777777" w:rsidR="00F27730" w:rsidRPr="001D1A3C" w:rsidRDefault="00F27730" w:rsidP="00F27730">
      <w:pPr>
        <w:jc w:val="both"/>
        <w:rPr>
          <w:rFonts w:ascii="Times New Roman" w:hAnsi="Times New Roman" w:cs="Times New Roman"/>
          <w:b/>
          <w:color w:val="FFFFFF" w:themeColor="background1"/>
          <w:sz w:val="24"/>
          <w:szCs w:val="24"/>
        </w:rPr>
      </w:pPr>
    </w:p>
    <w:p w14:paraId="5D964DD3" w14:textId="77777777" w:rsidR="00F27730" w:rsidRPr="001D1A3C" w:rsidRDefault="00F27730" w:rsidP="00F27730">
      <w:pPr>
        <w:jc w:val="both"/>
        <w:rPr>
          <w:rFonts w:ascii="Times New Roman" w:hAnsi="Times New Roman" w:cs="Times New Roman"/>
          <w:b/>
          <w:color w:val="FFFFFF" w:themeColor="background1"/>
          <w:sz w:val="24"/>
          <w:szCs w:val="24"/>
          <w:lang w:val="en-US"/>
        </w:rPr>
      </w:pPr>
    </w:p>
    <w:p w14:paraId="6A3490E3" w14:textId="77777777" w:rsidR="00F27730" w:rsidRPr="001D1A3C" w:rsidRDefault="00F27730" w:rsidP="00F27730">
      <w:pPr>
        <w:spacing w:after="0" w:line="240" w:lineRule="auto"/>
        <w:jc w:val="both"/>
        <w:rPr>
          <w:rFonts w:ascii="Times New Roman" w:hAnsi="Times New Roman" w:cs="Times New Roman"/>
          <w:b/>
          <w:color w:val="FFFFFF" w:themeColor="background1"/>
          <w:sz w:val="24"/>
          <w:szCs w:val="24"/>
        </w:rPr>
      </w:pPr>
      <w:r w:rsidRPr="001D1A3C">
        <w:rPr>
          <w:rFonts w:ascii="Times New Roman" w:hAnsi="Times New Roman" w:cs="Times New Roman"/>
          <w:b/>
          <w:color w:val="FFFFFF" w:themeColor="background1"/>
          <w:sz w:val="24"/>
          <w:szCs w:val="24"/>
        </w:rPr>
        <w:t>Мартин Георгиев</w:t>
      </w:r>
    </w:p>
    <w:p w14:paraId="7DA735B8" w14:textId="77777777" w:rsidR="00F27730" w:rsidRPr="001D1A3C" w:rsidRDefault="00F27730" w:rsidP="00F27730">
      <w:pPr>
        <w:spacing w:after="0" w:line="240" w:lineRule="auto"/>
        <w:jc w:val="both"/>
        <w:rPr>
          <w:rFonts w:ascii="Times New Roman" w:hAnsi="Times New Roman" w:cs="Times New Roman"/>
          <w:i/>
          <w:color w:val="FFFFFF" w:themeColor="background1"/>
          <w:sz w:val="24"/>
          <w:szCs w:val="24"/>
        </w:rPr>
      </w:pPr>
      <w:r w:rsidRPr="001D1A3C">
        <w:rPr>
          <w:rFonts w:ascii="Times New Roman" w:hAnsi="Times New Roman" w:cs="Times New Roman"/>
          <w:i/>
          <w:color w:val="FFFFFF" w:themeColor="background1"/>
          <w:sz w:val="24"/>
          <w:szCs w:val="24"/>
        </w:rPr>
        <w:t xml:space="preserve">Ръководител на Управляващия орган на </w:t>
      </w:r>
    </w:p>
    <w:p w14:paraId="12C4CB35" w14:textId="77777777" w:rsidR="00F27730" w:rsidRPr="001D1A3C" w:rsidRDefault="00F27730" w:rsidP="00F27730">
      <w:pPr>
        <w:spacing w:after="0" w:line="240" w:lineRule="auto"/>
        <w:jc w:val="both"/>
        <w:rPr>
          <w:rFonts w:ascii="Times New Roman" w:hAnsi="Times New Roman" w:cs="Times New Roman"/>
          <w:i/>
          <w:color w:val="FFFFFF" w:themeColor="background1"/>
          <w:sz w:val="24"/>
          <w:szCs w:val="24"/>
        </w:rPr>
      </w:pPr>
      <w:r w:rsidRPr="001D1A3C">
        <w:rPr>
          <w:rFonts w:ascii="Times New Roman" w:hAnsi="Times New Roman" w:cs="Times New Roman"/>
          <w:i/>
          <w:color w:val="FFFFFF" w:themeColor="background1"/>
          <w:sz w:val="24"/>
          <w:szCs w:val="24"/>
        </w:rPr>
        <w:t xml:space="preserve">Програма „Транспортна свързаност” 2021-2027 г. и </w:t>
      </w:r>
    </w:p>
    <w:p w14:paraId="22B4715E" w14:textId="77777777" w:rsidR="00F27730" w:rsidRPr="001D1A3C" w:rsidRDefault="00F27730" w:rsidP="00F27730">
      <w:pPr>
        <w:spacing w:after="0" w:line="240" w:lineRule="auto"/>
        <w:jc w:val="both"/>
        <w:rPr>
          <w:rFonts w:ascii="Times New Roman" w:hAnsi="Times New Roman" w:cs="Times New Roman"/>
          <w:i/>
          <w:color w:val="FFFFFF" w:themeColor="background1"/>
          <w:sz w:val="24"/>
          <w:szCs w:val="24"/>
        </w:rPr>
      </w:pPr>
      <w:r w:rsidRPr="001D1A3C">
        <w:rPr>
          <w:rFonts w:ascii="Times New Roman" w:hAnsi="Times New Roman" w:cs="Times New Roman"/>
          <w:i/>
          <w:color w:val="FFFFFF" w:themeColor="background1"/>
          <w:sz w:val="24"/>
          <w:szCs w:val="24"/>
        </w:rPr>
        <w:t xml:space="preserve">директор на дирекция „Координация на програми и проекти“ в </w:t>
      </w:r>
    </w:p>
    <w:p w14:paraId="7F6DF711" w14:textId="77777777" w:rsidR="00F27730" w:rsidRPr="001D1A3C" w:rsidRDefault="00F27730" w:rsidP="00F27730">
      <w:pPr>
        <w:spacing w:after="0" w:line="240" w:lineRule="auto"/>
        <w:jc w:val="both"/>
        <w:rPr>
          <w:rFonts w:ascii="Times New Roman" w:hAnsi="Times New Roman" w:cs="Times New Roman"/>
          <w:i/>
          <w:color w:val="FFFFFF" w:themeColor="background1"/>
          <w:sz w:val="24"/>
          <w:szCs w:val="24"/>
        </w:rPr>
      </w:pPr>
      <w:r w:rsidRPr="001D1A3C">
        <w:rPr>
          <w:rFonts w:ascii="Times New Roman" w:hAnsi="Times New Roman" w:cs="Times New Roman"/>
          <w:i/>
          <w:color w:val="FFFFFF" w:themeColor="background1"/>
          <w:sz w:val="24"/>
          <w:szCs w:val="24"/>
        </w:rPr>
        <w:t>Министерството на транспорта и съобщенията</w:t>
      </w:r>
    </w:p>
    <w:p w14:paraId="601FE0B4" w14:textId="2FD4107B" w:rsidR="00F70FBC" w:rsidRPr="001D1A3C" w:rsidRDefault="00F70FBC" w:rsidP="0049597E">
      <w:pPr>
        <w:spacing w:after="60"/>
        <w:rPr>
          <w:rFonts w:ascii="Times New Roman" w:eastAsia="Times New Roman" w:hAnsi="Times New Roman" w:cs="Times New Roman"/>
          <w:b/>
          <w:snapToGrid w:val="0"/>
          <w:color w:val="FFFFFF" w:themeColor="background1"/>
          <w:sz w:val="24"/>
          <w:szCs w:val="24"/>
          <w:lang w:val="en-US"/>
        </w:rPr>
      </w:pPr>
    </w:p>
    <w:p w14:paraId="7588FFB8" w14:textId="77777777" w:rsidR="00F27730" w:rsidRPr="008D4AB4" w:rsidRDefault="00F27730" w:rsidP="0049597E">
      <w:pPr>
        <w:spacing w:after="60"/>
        <w:rPr>
          <w:rFonts w:ascii="Times New Roman" w:eastAsia="Times New Roman" w:hAnsi="Times New Roman" w:cs="Times New Roman"/>
          <w:b/>
          <w:snapToGrid w:val="0"/>
          <w:sz w:val="24"/>
          <w:szCs w:val="24"/>
          <w:lang w:val="en-US"/>
        </w:rPr>
      </w:pPr>
    </w:p>
    <w:p w14:paraId="03828D65" w14:textId="6841F6F3" w:rsidR="0049597E" w:rsidRPr="008D4AB4" w:rsidRDefault="0049597E" w:rsidP="0049597E">
      <w:pPr>
        <w:spacing w:after="120" w:line="240" w:lineRule="auto"/>
        <w:jc w:val="center"/>
        <w:rPr>
          <w:rFonts w:ascii="Times New Roman" w:eastAsia="Times New Roman" w:hAnsi="Times New Roman" w:cs="Times New Roman"/>
          <w:b/>
          <w:snapToGrid w:val="0"/>
          <w:sz w:val="24"/>
          <w:szCs w:val="24"/>
        </w:rPr>
      </w:pPr>
    </w:p>
    <w:p w14:paraId="45ABAAF5" w14:textId="182A3C8D" w:rsidR="00F27730" w:rsidRPr="008D4AB4" w:rsidRDefault="00F27730" w:rsidP="0049597E">
      <w:pPr>
        <w:spacing w:after="120" w:line="240" w:lineRule="auto"/>
        <w:jc w:val="center"/>
        <w:rPr>
          <w:rFonts w:ascii="Times New Roman" w:eastAsia="Times New Roman" w:hAnsi="Times New Roman" w:cs="Times New Roman"/>
          <w:b/>
          <w:snapToGrid w:val="0"/>
          <w:sz w:val="24"/>
          <w:szCs w:val="24"/>
        </w:rPr>
      </w:pPr>
    </w:p>
    <w:p w14:paraId="6B03E802" w14:textId="77777777" w:rsidR="0049597E" w:rsidRPr="008D4AB4" w:rsidRDefault="0049597E" w:rsidP="0049597E">
      <w:pPr>
        <w:spacing w:after="0" w:line="240" w:lineRule="auto"/>
        <w:jc w:val="center"/>
        <w:rPr>
          <w:rFonts w:ascii="Times New Roman" w:hAnsi="Times New Roman" w:cs="Times New Roman"/>
          <w:b/>
          <w:sz w:val="28"/>
          <w:szCs w:val="28"/>
        </w:rPr>
      </w:pPr>
    </w:p>
    <w:p w14:paraId="55B3533D" w14:textId="77777777" w:rsidR="00774B32" w:rsidRPr="008D4AB4" w:rsidRDefault="00774B32" w:rsidP="00774B32">
      <w:pPr>
        <w:spacing w:after="0" w:line="240" w:lineRule="auto"/>
        <w:jc w:val="center"/>
        <w:rPr>
          <w:rFonts w:ascii="Times New Roman" w:hAnsi="Times New Roman" w:cs="Times New Roman"/>
          <w:b/>
          <w:sz w:val="28"/>
          <w:szCs w:val="28"/>
        </w:rPr>
      </w:pPr>
    </w:p>
    <w:p w14:paraId="5B8D260D" w14:textId="77777777" w:rsidR="00774B32" w:rsidRPr="008D4AB4" w:rsidRDefault="00774B32" w:rsidP="00774B32">
      <w:pPr>
        <w:spacing w:after="0" w:line="240" w:lineRule="auto"/>
        <w:jc w:val="center"/>
        <w:rPr>
          <w:rFonts w:ascii="Times New Roman" w:eastAsia="Calibri" w:hAnsi="Times New Roman" w:cs="Times New Roman"/>
          <w:b/>
          <w:sz w:val="28"/>
          <w:szCs w:val="28"/>
        </w:rPr>
      </w:pPr>
      <w:r w:rsidRPr="008D4AB4">
        <w:rPr>
          <w:rFonts w:ascii="Times New Roman" w:eastAsia="Calibri" w:hAnsi="Times New Roman" w:cs="Times New Roman"/>
          <w:b/>
          <w:sz w:val="28"/>
          <w:szCs w:val="28"/>
        </w:rPr>
        <w:t>УСЛОВИЯ ЗА КАНДИДАТСТВАНЕ</w:t>
      </w:r>
    </w:p>
    <w:p w14:paraId="50F997DD" w14:textId="77777777" w:rsidR="00774B32" w:rsidRPr="00774B32" w:rsidRDefault="00774B32" w:rsidP="00774B32">
      <w:pPr>
        <w:spacing w:after="0"/>
        <w:jc w:val="center"/>
        <w:rPr>
          <w:rFonts w:ascii="Times New Roman" w:eastAsia="Calibri" w:hAnsi="Times New Roman" w:cs="Times New Roman"/>
          <w:sz w:val="28"/>
          <w:szCs w:val="28"/>
        </w:rPr>
      </w:pPr>
      <w:r w:rsidRPr="007415ED">
        <w:rPr>
          <w:rFonts w:ascii="Times New Roman" w:eastAsia="Calibri" w:hAnsi="Times New Roman" w:cs="Times New Roman"/>
          <w:sz w:val="28"/>
          <w:szCs w:val="28"/>
        </w:rPr>
        <w:t xml:space="preserve">за предоставяне на безвъзмездна финансова помощ </w:t>
      </w:r>
    </w:p>
    <w:p w14:paraId="032E51AC" w14:textId="77777777" w:rsidR="00913326" w:rsidRDefault="00774B32" w:rsidP="00774B32">
      <w:pPr>
        <w:spacing w:after="0"/>
        <w:jc w:val="center"/>
        <w:rPr>
          <w:rFonts w:ascii="Times New Roman" w:eastAsia="Calibri" w:hAnsi="Times New Roman" w:cs="Times New Roman"/>
          <w:sz w:val="28"/>
          <w:szCs w:val="28"/>
        </w:rPr>
      </w:pPr>
      <w:r w:rsidRPr="00774B32">
        <w:rPr>
          <w:rFonts w:ascii="Times New Roman" w:eastAsia="Calibri" w:hAnsi="Times New Roman" w:cs="Times New Roman"/>
          <w:sz w:val="28"/>
          <w:szCs w:val="28"/>
        </w:rPr>
        <w:t xml:space="preserve">по </w:t>
      </w:r>
      <w:r w:rsidRPr="00774B32">
        <w:rPr>
          <w:rFonts w:ascii="Times New Roman" w:eastAsia="Calibri" w:hAnsi="Times New Roman" w:cs="Times New Roman"/>
          <w:b/>
          <w:sz w:val="28"/>
          <w:szCs w:val="28"/>
        </w:rPr>
        <w:t>Приоритет 4 „Интермодалност в градски условия“</w:t>
      </w:r>
      <w:r w:rsidRPr="00774B32">
        <w:rPr>
          <w:rFonts w:ascii="Times New Roman" w:eastAsia="Calibri" w:hAnsi="Times New Roman" w:cs="Times New Roman"/>
          <w:sz w:val="28"/>
          <w:szCs w:val="28"/>
        </w:rPr>
        <w:t xml:space="preserve"> </w:t>
      </w:r>
      <w:r w:rsidRPr="007415ED">
        <w:rPr>
          <w:rFonts w:ascii="Times New Roman" w:eastAsia="Calibri" w:hAnsi="Times New Roman" w:cs="Times New Roman"/>
          <w:sz w:val="28"/>
          <w:szCs w:val="28"/>
        </w:rPr>
        <w:t xml:space="preserve">на </w:t>
      </w:r>
      <w:r w:rsidRPr="00774B32">
        <w:rPr>
          <w:rFonts w:ascii="Times New Roman" w:eastAsia="Calibri" w:hAnsi="Times New Roman" w:cs="Times New Roman"/>
          <w:sz w:val="28"/>
          <w:szCs w:val="28"/>
        </w:rPr>
        <w:t>Програма „Транспортна свързаност” 2021-2027 г.</w:t>
      </w:r>
      <w:r w:rsidR="00913326">
        <w:rPr>
          <w:rFonts w:ascii="Times New Roman" w:eastAsia="Calibri" w:hAnsi="Times New Roman" w:cs="Times New Roman"/>
          <w:sz w:val="28"/>
          <w:szCs w:val="28"/>
        </w:rPr>
        <w:t xml:space="preserve"> по процедура </w:t>
      </w:r>
    </w:p>
    <w:p w14:paraId="1243DCA5" w14:textId="414EB2CE" w:rsidR="00774B32" w:rsidRPr="00774B32" w:rsidRDefault="00913326" w:rsidP="00774B32">
      <w:pPr>
        <w:spacing w:after="0"/>
        <w:jc w:val="center"/>
        <w:rPr>
          <w:rFonts w:ascii="Times New Roman" w:eastAsia="Calibri" w:hAnsi="Times New Roman" w:cs="Times New Roman"/>
          <w:sz w:val="28"/>
          <w:szCs w:val="28"/>
        </w:rPr>
      </w:pPr>
      <w:r w:rsidRPr="00913326">
        <w:rPr>
          <w:rFonts w:ascii="Times New Roman" w:eastAsia="Calibri" w:hAnsi="Times New Roman" w:cs="Times New Roman"/>
          <w:sz w:val="28"/>
          <w:szCs w:val="28"/>
        </w:rPr>
        <w:t>№ 2021BG16FFPR001-4.001 „</w:t>
      </w:r>
      <w:r w:rsidRPr="00913326">
        <w:rPr>
          <w:rFonts w:ascii="Times New Roman" w:eastAsia="Calibri" w:hAnsi="Times New Roman" w:cs="Times New Roman"/>
          <w:b/>
          <w:sz w:val="28"/>
          <w:szCs w:val="28"/>
        </w:rPr>
        <w:t>Интермодалност в градски условия</w:t>
      </w:r>
      <w:r w:rsidRPr="00913326">
        <w:rPr>
          <w:rFonts w:ascii="Times New Roman" w:eastAsia="Calibri" w:hAnsi="Times New Roman" w:cs="Times New Roman"/>
          <w:sz w:val="28"/>
          <w:szCs w:val="28"/>
        </w:rPr>
        <w:t>”</w:t>
      </w:r>
    </w:p>
    <w:p w14:paraId="507453DF" w14:textId="77777777" w:rsidR="00774B32" w:rsidRPr="007415ED" w:rsidRDefault="00774B32" w:rsidP="00774B32">
      <w:pPr>
        <w:spacing w:after="240"/>
        <w:jc w:val="center"/>
        <w:rPr>
          <w:rFonts w:ascii="Times New Roman" w:hAnsi="Times New Roman" w:cs="Times New Roman"/>
          <w:b/>
          <w:sz w:val="28"/>
          <w:szCs w:val="28"/>
        </w:rPr>
      </w:pPr>
    </w:p>
    <w:p w14:paraId="1412AEC9" w14:textId="5FCA029F" w:rsidR="00F45C8B" w:rsidRPr="008D4AB4" w:rsidRDefault="00F45C8B" w:rsidP="000D5298">
      <w:pPr>
        <w:spacing w:after="240"/>
        <w:jc w:val="center"/>
        <w:rPr>
          <w:rFonts w:ascii="Times New Roman" w:hAnsi="Times New Roman" w:cs="Times New Roman"/>
          <w:b/>
          <w:sz w:val="28"/>
          <w:szCs w:val="28"/>
          <w:lang w:val="en-US"/>
        </w:rPr>
      </w:pPr>
    </w:p>
    <w:p w14:paraId="0105FC59" w14:textId="2B5590ED" w:rsidR="00F45C8B" w:rsidRPr="008D4AB4" w:rsidRDefault="00F45C8B" w:rsidP="000D5298">
      <w:pPr>
        <w:spacing w:after="240"/>
        <w:jc w:val="center"/>
        <w:rPr>
          <w:rFonts w:ascii="Times New Roman" w:hAnsi="Times New Roman" w:cs="Times New Roman"/>
          <w:b/>
          <w:sz w:val="28"/>
          <w:szCs w:val="28"/>
          <w:lang w:val="en-US"/>
        </w:rPr>
      </w:pPr>
    </w:p>
    <w:p w14:paraId="0CA59B48" w14:textId="7C2328A3" w:rsidR="00F45C8B" w:rsidRPr="008D4AB4" w:rsidRDefault="00F45C8B" w:rsidP="000D5298">
      <w:pPr>
        <w:spacing w:after="240"/>
        <w:jc w:val="center"/>
        <w:rPr>
          <w:rFonts w:ascii="Times New Roman" w:hAnsi="Times New Roman" w:cs="Times New Roman"/>
          <w:b/>
          <w:sz w:val="28"/>
          <w:szCs w:val="28"/>
          <w:lang w:val="en-US"/>
        </w:rPr>
      </w:pPr>
    </w:p>
    <w:p w14:paraId="24456DDE" w14:textId="7FB8BEFC" w:rsidR="00F45C8B" w:rsidRPr="008D4AB4" w:rsidRDefault="00F45C8B" w:rsidP="000D5298">
      <w:pPr>
        <w:spacing w:after="240"/>
        <w:jc w:val="center"/>
        <w:rPr>
          <w:rFonts w:ascii="Times New Roman" w:hAnsi="Times New Roman" w:cs="Times New Roman"/>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EF07D4" w:rsidRPr="0047161F" w14:paraId="2DF87CA8" w14:textId="77777777" w:rsidTr="00F45C8B">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9AF209F" w14:textId="77777777" w:rsidR="00EF07D4" w:rsidRPr="0047161F" w:rsidRDefault="00EF07D4" w:rsidP="00F45C8B">
            <w:pPr>
              <w:rPr>
                <w:rFonts w:ascii="Times New Roman" w:hAnsi="Times New Roman" w:cs="Times New Roman"/>
                <w:i/>
                <w:sz w:val="10"/>
                <w:szCs w:val="10"/>
              </w:rPr>
            </w:pPr>
          </w:p>
          <w:p w14:paraId="1E8330FB" w14:textId="77777777" w:rsidR="00EF07D4" w:rsidRPr="0047161F" w:rsidRDefault="00EF07D4" w:rsidP="00F45C8B">
            <w:pPr>
              <w:ind w:left="204"/>
              <w:rPr>
                <w:rFonts w:ascii="Times New Roman" w:hAnsi="Times New Roman" w:cs="Times New Roman"/>
                <w:i/>
                <w:color w:val="0070C0"/>
                <w:sz w:val="10"/>
                <w:szCs w:val="10"/>
              </w:rPr>
            </w:pPr>
            <w:r w:rsidRPr="0047161F">
              <w:rPr>
                <w:rFonts w:ascii="Times New Roman" w:hAnsi="Times New Roman" w:cs="Times New Roman"/>
                <w:i/>
                <w:color w:val="0070C0"/>
                <w:sz w:val="10"/>
                <w:szCs w:val="10"/>
              </w:rPr>
              <w:t xml:space="preserve">   Инвестираме във Вашето бъдеще</w:t>
            </w:r>
          </w:p>
          <w:p w14:paraId="29FAD005" w14:textId="77777777" w:rsidR="00EF07D4" w:rsidRPr="0047161F" w:rsidRDefault="00EF07D4" w:rsidP="00F45C8B">
            <w:pPr>
              <w:spacing w:before="120"/>
              <w:ind w:left="346"/>
              <w:rPr>
                <w:rFonts w:ascii="Times New Roman" w:hAnsi="Times New Roman" w:cs="Times New Roman"/>
                <w:sz w:val="16"/>
                <w:szCs w:val="16"/>
              </w:rPr>
            </w:pPr>
            <w:r w:rsidRPr="0047161F">
              <w:rPr>
                <w:rFonts w:ascii="Times New Roman" w:hAnsi="Times New Roman" w:cs="Times New Roman"/>
                <w:noProof/>
                <w:color w:val="000000"/>
                <w:sz w:val="19"/>
                <w:szCs w:val="19"/>
                <w:lang w:eastAsia="bg-BG"/>
              </w:rPr>
              <w:drawing>
                <wp:inline distT="0" distB="0" distL="0" distR="0" wp14:anchorId="30D3016A" wp14:editId="29EA04D1">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rFonts w:ascii="Times New Roman" w:hAnsi="Times New Roman" w:cs="Times New Roman"/>
                <w:sz w:val="16"/>
                <w:szCs w:val="16"/>
              </w:rPr>
              <w:t xml:space="preserve"> </w:t>
            </w:r>
          </w:p>
          <w:p w14:paraId="160B2A8F" w14:textId="77777777" w:rsidR="00EF07D4" w:rsidRPr="0047161F" w:rsidRDefault="00EF07D4" w:rsidP="00F45C8B">
            <w:pPr>
              <w:spacing w:after="0"/>
              <w:rPr>
                <w:rFonts w:ascii="Times New Roman" w:hAnsi="Times New Roman" w:cs="Times New Roman"/>
                <w:b/>
                <w:sz w:val="16"/>
                <w:szCs w:val="16"/>
              </w:rPr>
            </w:pPr>
            <w:r w:rsidRPr="0047161F">
              <w:rPr>
                <w:rFonts w:ascii="Times New Roman" w:hAnsi="Times New Roman" w:cs="Times New Roman"/>
                <w:sz w:val="16"/>
                <w:szCs w:val="16"/>
              </w:rPr>
              <w:t xml:space="preserve">         </w:t>
            </w:r>
            <w:r w:rsidRPr="0047161F">
              <w:rPr>
                <w:rFonts w:ascii="Times New Roman" w:hAnsi="Times New Roman" w:cs="Times New Roman"/>
                <w:b/>
                <w:sz w:val="16"/>
                <w:szCs w:val="16"/>
              </w:rPr>
              <w:t>ЕВРОПЕЙСКИ СЪЮЗ</w:t>
            </w:r>
          </w:p>
          <w:p w14:paraId="456C6227" w14:textId="77777777" w:rsidR="00EF07D4" w:rsidRPr="0047161F" w:rsidRDefault="00EF07D4" w:rsidP="00F45C8B">
            <w:pPr>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ЕВРОПЕЙСКИ ФОНД</w:t>
            </w:r>
          </w:p>
          <w:p w14:paraId="69FE4077" w14:textId="77777777" w:rsidR="00EF07D4" w:rsidRPr="0047161F" w:rsidRDefault="00EF07D4" w:rsidP="00F45C8B">
            <w:pPr>
              <w:tabs>
                <w:tab w:val="left" w:pos="1725"/>
              </w:tabs>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ЗА РЕГИОНАЛНО РАЗВИТИЕ</w:t>
            </w:r>
          </w:p>
          <w:p w14:paraId="59FC0E50" w14:textId="77777777" w:rsidR="00EF07D4" w:rsidRPr="0047161F" w:rsidRDefault="00EF07D4" w:rsidP="00F45C8B">
            <w:pPr>
              <w:tabs>
                <w:tab w:val="left" w:pos="1725"/>
              </w:tabs>
              <w:spacing w:after="0"/>
              <w:rPr>
                <w:rFonts w:ascii="Times New Roman" w:hAnsi="Times New Roman" w:cs="Times New Roman"/>
                <w:sz w:val="12"/>
                <w:szCs w:val="12"/>
              </w:rPr>
            </w:pPr>
            <w:r w:rsidRPr="0047161F">
              <w:rPr>
                <w:rFonts w:ascii="Times New Roman" w:hAnsi="Times New Roman" w:cs="Times New Roman"/>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35BE0148"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Дирекция „Координация на програми и проекти”</w:t>
            </w:r>
          </w:p>
          <w:p w14:paraId="5544086A"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Управляващия орган на Програма „Транспортна свързаност” 2021-2027 г.</w:t>
            </w:r>
          </w:p>
          <w:p w14:paraId="2E039B82" w14:textId="7F83D8A2" w:rsidR="00EF07D4" w:rsidRPr="0047161F" w:rsidRDefault="00EF07D4" w:rsidP="0047161F">
            <w:pPr>
              <w:jc w:val="center"/>
              <w:rPr>
                <w:rFonts w:ascii="Times New Roman" w:hAnsi="Times New Roman" w:cs="Times New Roman"/>
                <w:sz w:val="24"/>
                <w:szCs w:val="24"/>
              </w:rPr>
            </w:pPr>
            <w:r w:rsidRPr="0047161F">
              <w:rPr>
                <w:rFonts w:ascii="Times New Roman" w:hAnsi="Times New Roman" w:cs="Times New Roman"/>
                <w:sz w:val="24"/>
                <w:szCs w:val="24"/>
              </w:rPr>
              <w:t xml:space="preserve">Версия </w:t>
            </w:r>
            <w:r w:rsidRPr="0047161F">
              <w:rPr>
                <w:rFonts w:ascii="Times New Roman" w:hAnsi="Times New Roman" w:cs="Times New Roman"/>
                <w:sz w:val="24"/>
                <w:szCs w:val="24"/>
                <w:lang w:val="en-US"/>
              </w:rPr>
              <w:t>1</w:t>
            </w:r>
            <w:r w:rsidR="005277F1" w:rsidRPr="0047161F">
              <w:rPr>
                <w:rFonts w:ascii="Times New Roman" w:hAnsi="Times New Roman" w:cs="Times New Roman"/>
                <w:sz w:val="24"/>
                <w:szCs w:val="24"/>
              </w:rPr>
              <w:t xml:space="preserve">.0 от </w:t>
            </w:r>
            <w:r w:rsidR="0047161F" w:rsidRPr="0047161F">
              <w:rPr>
                <w:rFonts w:ascii="Times New Roman" w:hAnsi="Times New Roman" w:cs="Times New Roman"/>
                <w:sz w:val="24"/>
                <w:szCs w:val="24"/>
              </w:rPr>
              <w:t>май</w:t>
            </w:r>
            <w:r w:rsidRPr="0047161F">
              <w:rPr>
                <w:rFonts w:ascii="Times New Roman" w:hAnsi="Times New Roman" w:cs="Times New Roman"/>
                <w:sz w:val="24"/>
                <w:szCs w:val="24"/>
              </w:rPr>
              <w:t xml:space="preserve"> 2023 г.</w:t>
            </w:r>
          </w:p>
        </w:tc>
        <w:tc>
          <w:tcPr>
            <w:tcW w:w="2835" w:type="dxa"/>
            <w:tcBorders>
              <w:top w:val="single" w:sz="4" w:space="0" w:color="auto"/>
              <w:left w:val="single" w:sz="4" w:space="0" w:color="auto"/>
              <w:bottom w:val="single" w:sz="4" w:space="0" w:color="auto"/>
              <w:right w:val="single" w:sz="4" w:space="0" w:color="auto"/>
            </w:tcBorders>
            <w:vAlign w:val="center"/>
          </w:tcPr>
          <w:p w14:paraId="5B718B43" w14:textId="2AF85C5E" w:rsidR="00EF07D4" w:rsidRPr="0047161F" w:rsidRDefault="00375286" w:rsidP="00F45C8B">
            <w:pPr>
              <w:jc w:val="center"/>
              <w:rPr>
                <w:rFonts w:ascii="Times New Roman" w:hAnsi="Times New Roman" w:cs="Times New Roman"/>
                <w:b/>
                <w:sz w:val="18"/>
                <w:szCs w:val="18"/>
              </w:rPr>
            </w:pPr>
            <w:hyperlink r:id="rId9" w:history="1">
              <w:r w:rsidR="00EF07D4" w:rsidRPr="0047161F">
                <w:rPr>
                  <w:rFonts w:ascii="Times New Roman" w:hAnsi="Times New Roman" w:cs="Times New Roman"/>
                  <w:color w:val="0000FF"/>
                  <w:sz w:val="24"/>
                  <w:szCs w:val="24"/>
                  <w:u w:val="single"/>
                </w:rPr>
                <w:t>www.eufunds.bg</w:t>
              </w:r>
            </w:hyperlink>
          </w:p>
        </w:tc>
      </w:tr>
    </w:tbl>
    <w:p w14:paraId="3CD19AAF" w14:textId="476EB9BE" w:rsidR="00F45C8B" w:rsidRPr="0047161F" w:rsidRDefault="00F45C8B" w:rsidP="00F45C8B">
      <w:pPr>
        <w:tabs>
          <w:tab w:val="center" w:pos="4678"/>
        </w:tabs>
        <w:rPr>
          <w:rFonts w:ascii="Times New Roman" w:hAnsi="Times New Roman" w:cs="Times New Roman"/>
          <w:b/>
          <w:sz w:val="28"/>
          <w:szCs w:val="28"/>
        </w:rPr>
      </w:pPr>
    </w:p>
    <w:tbl>
      <w:tblPr>
        <w:tblpPr w:leftFromText="141" w:rightFromText="141" w:horzAnchor="margin"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405"/>
        <w:gridCol w:w="4390"/>
        <w:gridCol w:w="1730"/>
      </w:tblGrid>
      <w:tr w:rsidR="00F45C8B" w:rsidRPr="0047161F" w14:paraId="2C69EDE7" w14:textId="77777777" w:rsidTr="00F45C8B">
        <w:trPr>
          <w:cantSplit/>
          <w:trHeight w:val="130"/>
        </w:trPr>
        <w:tc>
          <w:tcPr>
            <w:tcW w:w="9498" w:type="dxa"/>
            <w:gridSpan w:val="4"/>
            <w:shd w:val="clear" w:color="auto" w:fill="auto"/>
          </w:tcPr>
          <w:p w14:paraId="502812E6"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lastRenderedPageBreak/>
              <w:t>История на промените</w:t>
            </w:r>
          </w:p>
        </w:tc>
      </w:tr>
      <w:tr w:rsidR="00F45C8B" w:rsidRPr="0047161F" w14:paraId="56CDAB45" w14:textId="77777777" w:rsidTr="00F45C8B">
        <w:trPr>
          <w:trHeight w:val="361"/>
        </w:trPr>
        <w:tc>
          <w:tcPr>
            <w:tcW w:w="961" w:type="dxa"/>
            <w:shd w:val="clear" w:color="auto" w:fill="auto"/>
          </w:tcPr>
          <w:p w14:paraId="76D8836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версия</w:t>
            </w:r>
          </w:p>
        </w:tc>
        <w:tc>
          <w:tcPr>
            <w:tcW w:w="2408" w:type="dxa"/>
            <w:shd w:val="clear" w:color="auto" w:fill="auto"/>
          </w:tcPr>
          <w:p w14:paraId="6B368B2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Дата на одобрение</w:t>
            </w:r>
          </w:p>
        </w:tc>
        <w:tc>
          <w:tcPr>
            <w:tcW w:w="4396" w:type="dxa"/>
            <w:shd w:val="clear" w:color="auto" w:fill="auto"/>
          </w:tcPr>
          <w:p w14:paraId="2685CEA8"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Промяна</w:t>
            </w:r>
          </w:p>
        </w:tc>
        <w:tc>
          <w:tcPr>
            <w:tcW w:w="1733" w:type="dxa"/>
            <w:shd w:val="clear" w:color="auto" w:fill="auto"/>
          </w:tcPr>
          <w:p w14:paraId="7655DB5E"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стр.</w:t>
            </w:r>
          </w:p>
        </w:tc>
      </w:tr>
      <w:tr w:rsidR="00F45C8B" w:rsidRPr="0047161F" w14:paraId="612B558A" w14:textId="77777777" w:rsidTr="00F45C8B">
        <w:tc>
          <w:tcPr>
            <w:tcW w:w="961" w:type="dxa"/>
            <w:shd w:val="clear" w:color="auto" w:fill="auto"/>
          </w:tcPr>
          <w:p w14:paraId="2B30554D"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1.0</w:t>
            </w:r>
          </w:p>
        </w:tc>
        <w:tc>
          <w:tcPr>
            <w:tcW w:w="2408" w:type="dxa"/>
            <w:shd w:val="clear" w:color="auto" w:fill="auto"/>
          </w:tcPr>
          <w:p w14:paraId="78453FA3" w14:textId="640528BC" w:rsidR="00F45C8B" w:rsidRPr="0047161F" w:rsidRDefault="00F45C8B" w:rsidP="00762798">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202</w:t>
            </w:r>
            <w:r w:rsidR="00762798" w:rsidRPr="0047161F">
              <w:rPr>
                <w:rFonts w:ascii="Times New Roman" w:hAnsi="Times New Roman" w:cs="Times New Roman"/>
                <w:color w:val="244061"/>
                <w:sz w:val="24"/>
                <w:szCs w:val="24"/>
                <w:lang w:val="bg-BG"/>
              </w:rPr>
              <w:t>3</w:t>
            </w:r>
            <w:r w:rsidRPr="0047161F">
              <w:rPr>
                <w:rFonts w:ascii="Times New Roman" w:hAnsi="Times New Roman" w:cs="Times New Roman"/>
                <w:color w:val="244061"/>
                <w:sz w:val="24"/>
                <w:szCs w:val="24"/>
                <w:lang w:val="bg-BG"/>
              </w:rPr>
              <w:t xml:space="preserve"> г.</w:t>
            </w:r>
          </w:p>
        </w:tc>
        <w:tc>
          <w:tcPr>
            <w:tcW w:w="4396" w:type="dxa"/>
            <w:shd w:val="clear" w:color="auto" w:fill="auto"/>
          </w:tcPr>
          <w:p w14:paraId="13A75A29" w14:textId="77777777" w:rsidR="00F45C8B" w:rsidRPr="0047161F" w:rsidRDefault="00F45C8B" w:rsidP="00F45C8B">
            <w:pPr>
              <w:pStyle w:val="TOCHeading"/>
              <w:spacing w:before="0"/>
              <w:jc w:val="center"/>
              <w:rPr>
                <w:rFonts w:ascii="Times New Roman" w:hAnsi="Times New Roman" w:cs="Times New Roman"/>
                <w:color w:val="244061"/>
                <w:sz w:val="24"/>
                <w:szCs w:val="24"/>
              </w:rPr>
            </w:pPr>
            <w:r w:rsidRPr="0047161F">
              <w:rPr>
                <w:rFonts w:ascii="Times New Roman" w:hAnsi="Times New Roman" w:cs="Times New Roman"/>
                <w:color w:val="244061"/>
                <w:sz w:val="24"/>
                <w:szCs w:val="24"/>
                <w:lang w:val="bg-BG"/>
              </w:rPr>
              <w:t>Първоначален документ</w:t>
            </w:r>
          </w:p>
        </w:tc>
        <w:tc>
          <w:tcPr>
            <w:tcW w:w="1733" w:type="dxa"/>
            <w:shd w:val="clear" w:color="auto" w:fill="auto"/>
          </w:tcPr>
          <w:p w14:paraId="163A99CF"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p>
        </w:tc>
      </w:tr>
    </w:tbl>
    <w:p w14:paraId="6B285A7A" w14:textId="5DDED2EA" w:rsidR="00762798" w:rsidRPr="0047161F" w:rsidRDefault="00762798" w:rsidP="00F45C8B">
      <w:pPr>
        <w:tabs>
          <w:tab w:val="center" w:pos="4678"/>
        </w:tabs>
        <w:rPr>
          <w:rFonts w:ascii="Times New Roman" w:hAnsi="Times New Roman" w:cs="Times New Roman"/>
          <w:b/>
          <w:sz w:val="28"/>
          <w:szCs w:val="28"/>
        </w:rPr>
      </w:pPr>
    </w:p>
    <w:p w14:paraId="484E403C" w14:textId="77777777" w:rsidR="00762798" w:rsidRPr="0047161F" w:rsidRDefault="00762798">
      <w:pPr>
        <w:rPr>
          <w:rFonts w:ascii="Times New Roman" w:hAnsi="Times New Roman" w:cs="Times New Roman"/>
          <w:b/>
          <w:sz w:val="28"/>
          <w:szCs w:val="28"/>
        </w:rPr>
      </w:pPr>
      <w:r w:rsidRPr="0047161F">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6F54A18" w:rsidR="007551DA" w:rsidRPr="0047161F" w:rsidRDefault="007551DA" w:rsidP="00F45C8B">
          <w:pPr>
            <w:pStyle w:val="TOCHeading"/>
            <w:rPr>
              <w:rFonts w:ascii="Times New Roman" w:hAnsi="Times New Roman" w:cs="Times New Roman"/>
            </w:rPr>
          </w:pPr>
        </w:p>
        <w:p w14:paraId="50B6809E" w14:textId="73C1E462" w:rsidR="00634F61" w:rsidRDefault="007551DA">
          <w:pPr>
            <w:pStyle w:val="TOC2"/>
            <w:tabs>
              <w:tab w:val="right" w:leader="dot" w:pos="9486"/>
            </w:tabs>
            <w:rPr>
              <w:rFonts w:eastAsiaTheme="minorEastAsia"/>
              <w:noProof/>
              <w:lang w:eastAsia="bg-BG"/>
            </w:rPr>
          </w:pPr>
          <w:r w:rsidRPr="0047161F">
            <w:rPr>
              <w:rFonts w:ascii="Times New Roman" w:hAnsi="Times New Roman" w:cs="Times New Roman"/>
            </w:rPr>
            <w:fldChar w:fldCharType="begin"/>
          </w:r>
          <w:r w:rsidRPr="0047161F">
            <w:rPr>
              <w:rFonts w:ascii="Times New Roman" w:hAnsi="Times New Roman" w:cs="Times New Roman"/>
            </w:rPr>
            <w:instrText xml:space="preserve"> TOC \o "1-3" \h \z \u </w:instrText>
          </w:r>
          <w:r w:rsidRPr="0047161F">
            <w:rPr>
              <w:rFonts w:ascii="Times New Roman" w:hAnsi="Times New Roman" w:cs="Times New Roman"/>
            </w:rPr>
            <w:fldChar w:fldCharType="separate"/>
          </w:r>
          <w:hyperlink w:anchor="_Toc136270259" w:history="1">
            <w:r w:rsidR="00634F61" w:rsidRPr="00C16F8B">
              <w:rPr>
                <w:rStyle w:val="Hyperlink"/>
                <w:rFonts w:ascii="Times New Roman" w:hAnsi="Times New Roman" w:cs="Times New Roman"/>
                <w:noProof/>
              </w:rPr>
              <w:t>1. Наименование на програмата:</w:t>
            </w:r>
            <w:r w:rsidR="00634F61">
              <w:rPr>
                <w:noProof/>
                <w:webHidden/>
              </w:rPr>
              <w:tab/>
            </w:r>
            <w:r w:rsidR="00634F61">
              <w:rPr>
                <w:noProof/>
                <w:webHidden/>
              </w:rPr>
              <w:fldChar w:fldCharType="begin"/>
            </w:r>
            <w:r w:rsidR="00634F61">
              <w:rPr>
                <w:noProof/>
                <w:webHidden/>
              </w:rPr>
              <w:instrText xml:space="preserve"> PAGEREF _Toc136270259 \h </w:instrText>
            </w:r>
            <w:r w:rsidR="00634F61">
              <w:rPr>
                <w:noProof/>
                <w:webHidden/>
              </w:rPr>
            </w:r>
            <w:r w:rsidR="00634F61">
              <w:rPr>
                <w:noProof/>
                <w:webHidden/>
              </w:rPr>
              <w:fldChar w:fldCharType="separate"/>
            </w:r>
            <w:r w:rsidR="00634F61">
              <w:rPr>
                <w:noProof/>
                <w:webHidden/>
              </w:rPr>
              <w:t>4</w:t>
            </w:r>
            <w:r w:rsidR="00634F61">
              <w:rPr>
                <w:noProof/>
                <w:webHidden/>
              </w:rPr>
              <w:fldChar w:fldCharType="end"/>
            </w:r>
          </w:hyperlink>
        </w:p>
        <w:p w14:paraId="047100CC" w14:textId="2D01B6D4" w:rsidR="00634F61" w:rsidRDefault="00375286">
          <w:pPr>
            <w:pStyle w:val="TOC2"/>
            <w:tabs>
              <w:tab w:val="right" w:leader="dot" w:pos="9486"/>
            </w:tabs>
            <w:rPr>
              <w:rFonts w:eastAsiaTheme="minorEastAsia"/>
              <w:noProof/>
              <w:lang w:eastAsia="bg-BG"/>
            </w:rPr>
          </w:pPr>
          <w:hyperlink w:anchor="_Toc136270260" w:history="1">
            <w:r w:rsidR="00634F61" w:rsidRPr="00C16F8B">
              <w:rPr>
                <w:rStyle w:val="Hyperlink"/>
                <w:rFonts w:ascii="Times New Roman" w:hAnsi="Times New Roman" w:cs="Times New Roman"/>
                <w:noProof/>
              </w:rPr>
              <w:t>2. Наименование на приоритета:</w:t>
            </w:r>
            <w:r w:rsidR="00634F61">
              <w:rPr>
                <w:noProof/>
                <w:webHidden/>
              </w:rPr>
              <w:tab/>
            </w:r>
            <w:r w:rsidR="00634F61">
              <w:rPr>
                <w:noProof/>
                <w:webHidden/>
              </w:rPr>
              <w:fldChar w:fldCharType="begin"/>
            </w:r>
            <w:r w:rsidR="00634F61">
              <w:rPr>
                <w:noProof/>
                <w:webHidden/>
              </w:rPr>
              <w:instrText xml:space="preserve"> PAGEREF _Toc136270260 \h </w:instrText>
            </w:r>
            <w:r w:rsidR="00634F61">
              <w:rPr>
                <w:noProof/>
                <w:webHidden/>
              </w:rPr>
            </w:r>
            <w:r w:rsidR="00634F61">
              <w:rPr>
                <w:noProof/>
                <w:webHidden/>
              </w:rPr>
              <w:fldChar w:fldCharType="separate"/>
            </w:r>
            <w:r w:rsidR="00634F61">
              <w:rPr>
                <w:noProof/>
                <w:webHidden/>
              </w:rPr>
              <w:t>4</w:t>
            </w:r>
            <w:r w:rsidR="00634F61">
              <w:rPr>
                <w:noProof/>
                <w:webHidden/>
              </w:rPr>
              <w:fldChar w:fldCharType="end"/>
            </w:r>
          </w:hyperlink>
        </w:p>
        <w:p w14:paraId="7E384BF3" w14:textId="475F7E35" w:rsidR="00634F61" w:rsidRDefault="00375286">
          <w:pPr>
            <w:pStyle w:val="TOC2"/>
            <w:tabs>
              <w:tab w:val="right" w:leader="dot" w:pos="9486"/>
            </w:tabs>
            <w:rPr>
              <w:rFonts w:eastAsiaTheme="minorEastAsia"/>
              <w:noProof/>
              <w:lang w:eastAsia="bg-BG"/>
            </w:rPr>
          </w:pPr>
          <w:hyperlink w:anchor="_Toc136270261" w:history="1">
            <w:r w:rsidR="00634F61" w:rsidRPr="00C16F8B">
              <w:rPr>
                <w:rStyle w:val="Hyperlink"/>
                <w:rFonts w:ascii="Times New Roman" w:hAnsi="Times New Roman" w:cs="Times New Roman"/>
                <w:noProof/>
              </w:rPr>
              <w:t>3. Наименование на процедурите:</w:t>
            </w:r>
            <w:r w:rsidR="00634F61">
              <w:rPr>
                <w:noProof/>
                <w:webHidden/>
              </w:rPr>
              <w:tab/>
            </w:r>
            <w:r w:rsidR="00634F61">
              <w:rPr>
                <w:noProof/>
                <w:webHidden/>
              </w:rPr>
              <w:fldChar w:fldCharType="begin"/>
            </w:r>
            <w:r w:rsidR="00634F61">
              <w:rPr>
                <w:noProof/>
                <w:webHidden/>
              </w:rPr>
              <w:instrText xml:space="preserve"> PAGEREF _Toc136270261 \h </w:instrText>
            </w:r>
            <w:r w:rsidR="00634F61">
              <w:rPr>
                <w:noProof/>
                <w:webHidden/>
              </w:rPr>
            </w:r>
            <w:r w:rsidR="00634F61">
              <w:rPr>
                <w:noProof/>
                <w:webHidden/>
              </w:rPr>
              <w:fldChar w:fldCharType="separate"/>
            </w:r>
            <w:r w:rsidR="00634F61">
              <w:rPr>
                <w:noProof/>
                <w:webHidden/>
              </w:rPr>
              <w:t>4</w:t>
            </w:r>
            <w:r w:rsidR="00634F61">
              <w:rPr>
                <w:noProof/>
                <w:webHidden/>
              </w:rPr>
              <w:fldChar w:fldCharType="end"/>
            </w:r>
          </w:hyperlink>
        </w:p>
        <w:p w14:paraId="50C6B22C" w14:textId="1C16C188" w:rsidR="00634F61" w:rsidRDefault="00375286">
          <w:pPr>
            <w:pStyle w:val="TOC2"/>
            <w:tabs>
              <w:tab w:val="right" w:leader="dot" w:pos="9486"/>
            </w:tabs>
            <w:rPr>
              <w:rFonts w:eastAsiaTheme="minorEastAsia"/>
              <w:noProof/>
              <w:lang w:eastAsia="bg-BG"/>
            </w:rPr>
          </w:pPr>
          <w:hyperlink w:anchor="_Toc136270262" w:history="1">
            <w:r w:rsidR="00634F61" w:rsidRPr="00C16F8B">
              <w:rPr>
                <w:rStyle w:val="Hyperlink"/>
                <w:rFonts w:ascii="Times New Roman" w:hAnsi="Times New Roman" w:cs="Times New Roman"/>
                <w:noProof/>
              </w:rPr>
              <w:t>4. Измерения по кодове:</w:t>
            </w:r>
            <w:r w:rsidR="00634F61">
              <w:rPr>
                <w:noProof/>
                <w:webHidden/>
              </w:rPr>
              <w:tab/>
            </w:r>
            <w:r w:rsidR="00634F61">
              <w:rPr>
                <w:noProof/>
                <w:webHidden/>
              </w:rPr>
              <w:fldChar w:fldCharType="begin"/>
            </w:r>
            <w:r w:rsidR="00634F61">
              <w:rPr>
                <w:noProof/>
                <w:webHidden/>
              </w:rPr>
              <w:instrText xml:space="preserve"> PAGEREF _Toc136270262 \h </w:instrText>
            </w:r>
            <w:r w:rsidR="00634F61">
              <w:rPr>
                <w:noProof/>
                <w:webHidden/>
              </w:rPr>
            </w:r>
            <w:r w:rsidR="00634F61">
              <w:rPr>
                <w:noProof/>
                <w:webHidden/>
              </w:rPr>
              <w:fldChar w:fldCharType="separate"/>
            </w:r>
            <w:r w:rsidR="00634F61">
              <w:rPr>
                <w:noProof/>
                <w:webHidden/>
              </w:rPr>
              <w:t>4</w:t>
            </w:r>
            <w:r w:rsidR="00634F61">
              <w:rPr>
                <w:noProof/>
                <w:webHidden/>
              </w:rPr>
              <w:fldChar w:fldCharType="end"/>
            </w:r>
          </w:hyperlink>
        </w:p>
        <w:p w14:paraId="71AE166D" w14:textId="39FDEF37" w:rsidR="00634F61" w:rsidRDefault="00375286">
          <w:pPr>
            <w:pStyle w:val="TOC2"/>
            <w:tabs>
              <w:tab w:val="right" w:leader="dot" w:pos="9486"/>
            </w:tabs>
            <w:rPr>
              <w:rFonts w:eastAsiaTheme="minorEastAsia"/>
              <w:noProof/>
              <w:lang w:eastAsia="bg-BG"/>
            </w:rPr>
          </w:pPr>
          <w:hyperlink w:anchor="_Toc136270263" w:history="1">
            <w:r w:rsidR="00634F61" w:rsidRPr="00C16F8B">
              <w:rPr>
                <w:rStyle w:val="Hyperlink"/>
                <w:rFonts w:ascii="Times New Roman" w:hAnsi="Times New Roman" w:cs="Times New Roman"/>
                <w:noProof/>
              </w:rPr>
              <w:t>5. Териториален обхват:</w:t>
            </w:r>
            <w:r w:rsidR="00634F61">
              <w:rPr>
                <w:noProof/>
                <w:webHidden/>
              </w:rPr>
              <w:tab/>
            </w:r>
            <w:r w:rsidR="00634F61">
              <w:rPr>
                <w:noProof/>
                <w:webHidden/>
              </w:rPr>
              <w:fldChar w:fldCharType="begin"/>
            </w:r>
            <w:r w:rsidR="00634F61">
              <w:rPr>
                <w:noProof/>
                <w:webHidden/>
              </w:rPr>
              <w:instrText xml:space="preserve"> PAGEREF _Toc136270263 \h </w:instrText>
            </w:r>
            <w:r w:rsidR="00634F61">
              <w:rPr>
                <w:noProof/>
                <w:webHidden/>
              </w:rPr>
            </w:r>
            <w:r w:rsidR="00634F61">
              <w:rPr>
                <w:noProof/>
                <w:webHidden/>
              </w:rPr>
              <w:fldChar w:fldCharType="separate"/>
            </w:r>
            <w:r w:rsidR="00634F61">
              <w:rPr>
                <w:noProof/>
                <w:webHidden/>
              </w:rPr>
              <w:t>5</w:t>
            </w:r>
            <w:r w:rsidR="00634F61">
              <w:rPr>
                <w:noProof/>
                <w:webHidden/>
              </w:rPr>
              <w:fldChar w:fldCharType="end"/>
            </w:r>
          </w:hyperlink>
        </w:p>
        <w:p w14:paraId="3E9F48A3" w14:textId="4F085944" w:rsidR="00634F61" w:rsidRDefault="00375286">
          <w:pPr>
            <w:pStyle w:val="TOC2"/>
            <w:tabs>
              <w:tab w:val="right" w:leader="dot" w:pos="9486"/>
            </w:tabs>
            <w:rPr>
              <w:rFonts w:eastAsiaTheme="minorEastAsia"/>
              <w:noProof/>
              <w:lang w:eastAsia="bg-BG"/>
            </w:rPr>
          </w:pPr>
          <w:hyperlink w:anchor="_Toc136270264" w:history="1">
            <w:r w:rsidR="00634F61" w:rsidRPr="00C16F8B">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634F61">
              <w:rPr>
                <w:noProof/>
                <w:webHidden/>
              </w:rPr>
              <w:tab/>
            </w:r>
            <w:r w:rsidR="00634F61">
              <w:rPr>
                <w:noProof/>
                <w:webHidden/>
              </w:rPr>
              <w:fldChar w:fldCharType="begin"/>
            </w:r>
            <w:r w:rsidR="00634F61">
              <w:rPr>
                <w:noProof/>
                <w:webHidden/>
              </w:rPr>
              <w:instrText xml:space="preserve"> PAGEREF _Toc136270264 \h </w:instrText>
            </w:r>
            <w:r w:rsidR="00634F61">
              <w:rPr>
                <w:noProof/>
                <w:webHidden/>
              </w:rPr>
            </w:r>
            <w:r w:rsidR="00634F61">
              <w:rPr>
                <w:noProof/>
                <w:webHidden/>
              </w:rPr>
              <w:fldChar w:fldCharType="separate"/>
            </w:r>
            <w:r w:rsidR="00634F61">
              <w:rPr>
                <w:noProof/>
                <w:webHidden/>
              </w:rPr>
              <w:t>5</w:t>
            </w:r>
            <w:r w:rsidR="00634F61">
              <w:rPr>
                <w:noProof/>
                <w:webHidden/>
              </w:rPr>
              <w:fldChar w:fldCharType="end"/>
            </w:r>
          </w:hyperlink>
        </w:p>
        <w:p w14:paraId="7FB2648F" w14:textId="1EE3E77C" w:rsidR="00634F61" w:rsidRDefault="00375286">
          <w:pPr>
            <w:pStyle w:val="TOC2"/>
            <w:tabs>
              <w:tab w:val="right" w:leader="dot" w:pos="9486"/>
            </w:tabs>
            <w:rPr>
              <w:rFonts w:eastAsiaTheme="minorEastAsia"/>
              <w:noProof/>
              <w:lang w:eastAsia="bg-BG"/>
            </w:rPr>
          </w:pPr>
          <w:hyperlink w:anchor="_Toc136270265" w:history="1">
            <w:r w:rsidR="00634F61" w:rsidRPr="00C16F8B">
              <w:rPr>
                <w:rStyle w:val="Hyperlink"/>
                <w:rFonts w:ascii="Times New Roman" w:hAnsi="Times New Roman" w:cs="Times New Roman"/>
                <w:noProof/>
              </w:rPr>
              <w:t>7. Индикатори:</w:t>
            </w:r>
            <w:r w:rsidR="00634F61">
              <w:rPr>
                <w:noProof/>
                <w:webHidden/>
              </w:rPr>
              <w:tab/>
            </w:r>
            <w:r w:rsidR="00634F61">
              <w:rPr>
                <w:noProof/>
                <w:webHidden/>
              </w:rPr>
              <w:fldChar w:fldCharType="begin"/>
            </w:r>
            <w:r w:rsidR="00634F61">
              <w:rPr>
                <w:noProof/>
                <w:webHidden/>
              </w:rPr>
              <w:instrText xml:space="preserve"> PAGEREF _Toc136270265 \h </w:instrText>
            </w:r>
            <w:r w:rsidR="00634F61">
              <w:rPr>
                <w:noProof/>
                <w:webHidden/>
              </w:rPr>
            </w:r>
            <w:r w:rsidR="00634F61">
              <w:rPr>
                <w:noProof/>
                <w:webHidden/>
              </w:rPr>
              <w:fldChar w:fldCharType="separate"/>
            </w:r>
            <w:r w:rsidR="00634F61">
              <w:rPr>
                <w:noProof/>
                <w:webHidden/>
              </w:rPr>
              <w:t>7</w:t>
            </w:r>
            <w:r w:rsidR="00634F61">
              <w:rPr>
                <w:noProof/>
                <w:webHidden/>
              </w:rPr>
              <w:fldChar w:fldCharType="end"/>
            </w:r>
          </w:hyperlink>
        </w:p>
        <w:p w14:paraId="79C8CFDC" w14:textId="335020FD" w:rsidR="00634F61" w:rsidRDefault="00375286">
          <w:pPr>
            <w:pStyle w:val="TOC2"/>
            <w:tabs>
              <w:tab w:val="right" w:leader="dot" w:pos="9486"/>
            </w:tabs>
            <w:rPr>
              <w:rFonts w:eastAsiaTheme="minorEastAsia"/>
              <w:noProof/>
              <w:lang w:eastAsia="bg-BG"/>
            </w:rPr>
          </w:pPr>
          <w:hyperlink w:anchor="_Toc136270266" w:history="1">
            <w:r w:rsidR="00634F61" w:rsidRPr="00C16F8B">
              <w:rPr>
                <w:rStyle w:val="Hyperlink"/>
                <w:rFonts w:ascii="Times New Roman" w:hAnsi="Times New Roman" w:cs="Times New Roman"/>
                <w:noProof/>
              </w:rPr>
              <w:t>8. Общ размер на безвъзмездната финансова помощ по процедурите и разпределение по региони:</w:t>
            </w:r>
            <w:r w:rsidR="00634F61">
              <w:rPr>
                <w:noProof/>
                <w:webHidden/>
              </w:rPr>
              <w:tab/>
            </w:r>
            <w:r w:rsidR="00634F61">
              <w:rPr>
                <w:noProof/>
                <w:webHidden/>
              </w:rPr>
              <w:fldChar w:fldCharType="begin"/>
            </w:r>
            <w:r w:rsidR="00634F61">
              <w:rPr>
                <w:noProof/>
                <w:webHidden/>
              </w:rPr>
              <w:instrText xml:space="preserve"> PAGEREF _Toc136270266 \h </w:instrText>
            </w:r>
            <w:r w:rsidR="00634F61">
              <w:rPr>
                <w:noProof/>
                <w:webHidden/>
              </w:rPr>
            </w:r>
            <w:r w:rsidR="00634F61">
              <w:rPr>
                <w:noProof/>
                <w:webHidden/>
              </w:rPr>
              <w:fldChar w:fldCharType="separate"/>
            </w:r>
            <w:r w:rsidR="00634F61">
              <w:rPr>
                <w:noProof/>
                <w:webHidden/>
              </w:rPr>
              <w:t>7</w:t>
            </w:r>
            <w:r w:rsidR="00634F61">
              <w:rPr>
                <w:noProof/>
                <w:webHidden/>
              </w:rPr>
              <w:fldChar w:fldCharType="end"/>
            </w:r>
          </w:hyperlink>
        </w:p>
        <w:p w14:paraId="27DB2C53" w14:textId="4D2A2753" w:rsidR="00634F61" w:rsidRDefault="00375286">
          <w:pPr>
            <w:pStyle w:val="TOC2"/>
            <w:tabs>
              <w:tab w:val="left" w:pos="660"/>
              <w:tab w:val="right" w:leader="dot" w:pos="9486"/>
            </w:tabs>
            <w:rPr>
              <w:rFonts w:eastAsiaTheme="minorEastAsia"/>
              <w:noProof/>
              <w:lang w:eastAsia="bg-BG"/>
            </w:rPr>
          </w:pPr>
          <w:hyperlink w:anchor="_Toc136270267" w:history="1">
            <w:r w:rsidR="00634F61" w:rsidRPr="00C16F8B">
              <w:rPr>
                <w:rStyle w:val="Hyperlink"/>
                <w:rFonts w:ascii="Times New Roman" w:hAnsi="Times New Roman" w:cs="Times New Roman"/>
                <w:noProof/>
              </w:rPr>
              <w:t>9.</w:t>
            </w:r>
            <w:r w:rsidR="00634F61">
              <w:rPr>
                <w:rFonts w:eastAsiaTheme="minorEastAsia"/>
                <w:noProof/>
                <w:lang w:eastAsia="bg-BG"/>
              </w:rPr>
              <w:tab/>
            </w:r>
            <w:r w:rsidR="00634F61" w:rsidRPr="00C16F8B">
              <w:rPr>
                <w:rStyle w:val="Hyperlink"/>
                <w:rFonts w:ascii="Times New Roman" w:hAnsi="Times New Roman" w:cs="Times New Roman"/>
                <w:noProof/>
              </w:rPr>
              <w:t>Минимален (ако е приложимо) и максимален размер на безвъзмездната финансова помощ за конкретен проект:</w:t>
            </w:r>
            <w:r w:rsidR="00634F61">
              <w:rPr>
                <w:noProof/>
                <w:webHidden/>
              </w:rPr>
              <w:tab/>
            </w:r>
            <w:r w:rsidR="00634F61">
              <w:rPr>
                <w:noProof/>
                <w:webHidden/>
              </w:rPr>
              <w:fldChar w:fldCharType="begin"/>
            </w:r>
            <w:r w:rsidR="00634F61">
              <w:rPr>
                <w:noProof/>
                <w:webHidden/>
              </w:rPr>
              <w:instrText xml:space="preserve"> PAGEREF _Toc136270267 \h </w:instrText>
            </w:r>
            <w:r w:rsidR="00634F61">
              <w:rPr>
                <w:noProof/>
                <w:webHidden/>
              </w:rPr>
            </w:r>
            <w:r w:rsidR="00634F61">
              <w:rPr>
                <w:noProof/>
                <w:webHidden/>
              </w:rPr>
              <w:fldChar w:fldCharType="separate"/>
            </w:r>
            <w:r w:rsidR="00634F61">
              <w:rPr>
                <w:noProof/>
                <w:webHidden/>
              </w:rPr>
              <w:t>8</w:t>
            </w:r>
            <w:r w:rsidR="00634F61">
              <w:rPr>
                <w:noProof/>
                <w:webHidden/>
              </w:rPr>
              <w:fldChar w:fldCharType="end"/>
            </w:r>
          </w:hyperlink>
        </w:p>
        <w:p w14:paraId="1E403A4E" w14:textId="5CDA8EE6" w:rsidR="00634F61" w:rsidRDefault="00375286">
          <w:pPr>
            <w:pStyle w:val="TOC2"/>
            <w:tabs>
              <w:tab w:val="left" w:pos="880"/>
              <w:tab w:val="right" w:leader="dot" w:pos="9486"/>
            </w:tabs>
            <w:rPr>
              <w:rFonts w:eastAsiaTheme="minorEastAsia"/>
              <w:noProof/>
              <w:lang w:eastAsia="bg-BG"/>
            </w:rPr>
          </w:pPr>
          <w:hyperlink w:anchor="_Toc136270268" w:history="1">
            <w:r w:rsidR="00634F61" w:rsidRPr="00C16F8B">
              <w:rPr>
                <w:rStyle w:val="Hyperlink"/>
                <w:rFonts w:ascii="Times New Roman" w:hAnsi="Times New Roman" w:cs="Times New Roman"/>
                <w:noProof/>
              </w:rPr>
              <w:t>10.</w:t>
            </w:r>
            <w:r w:rsidR="00634F61">
              <w:rPr>
                <w:rFonts w:eastAsiaTheme="minorEastAsia"/>
                <w:noProof/>
                <w:lang w:eastAsia="bg-BG"/>
              </w:rPr>
              <w:tab/>
            </w:r>
            <w:r w:rsidR="00634F61" w:rsidRPr="00C16F8B">
              <w:rPr>
                <w:rStyle w:val="Hyperlink"/>
                <w:rFonts w:ascii="Times New Roman" w:hAnsi="Times New Roman" w:cs="Times New Roman"/>
                <w:noProof/>
              </w:rPr>
              <w:t>Процент на съфинансиране:</w:t>
            </w:r>
            <w:r w:rsidR="00634F61">
              <w:rPr>
                <w:noProof/>
                <w:webHidden/>
              </w:rPr>
              <w:tab/>
            </w:r>
            <w:r w:rsidR="00634F61">
              <w:rPr>
                <w:noProof/>
                <w:webHidden/>
              </w:rPr>
              <w:fldChar w:fldCharType="begin"/>
            </w:r>
            <w:r w:rsidR="00634F61">
              <w:rPr>
                <w:noProof/>
                <w:webHidden/>
              </w:rPr>
              <w:instrText xml:space="preserve"> PAGEREF _Toc136270268 \h </w:instrText>
            </w:r>
            <w:r w:rsidR="00634F61">
              <w:rPr>
                <w:noProof/>
                <w:webHidden/>
              </w:rPr>
            </w:r>
            <w:r w:rsidR="00634F61">
              <w:rPr>
                <w:noProof/>
                <w:webHidden/>
              </w:rPr>
              <w:fldChar w:fldCharType="separate"/>
            </w:r>
            <w:r w:rsidR="00634F61">
              <w:rPr>
                <w:noProof/>
                <w:webHidden/>
              </w:rPr>
              <w:t>8</w:t>
            </w:r>
            <w:r w:rsidR="00634F61">
              <w:rPr>
                <w:noProof/>
                <w:webHidden/>
              </w:rPr>
              <w:fldChar w:fldCharType="end"/>
            </w:r>
          </w:hyperlink>
        </w:p>
        <w:p w14:paraId="2109871F" w14:textId="34A872F2" w:rsidR="00634F61" w:rsidRDefault="00375286">
          <w:pPr>
            <w:pStyle w:val="TOC2"/>
            <w:tabs>
              <w:tab w:val="left" w:pos="880"/>
              <w:tab w:val="right" w:leader="dot" w:pos="9486"/>
            </w:tabs>
            <w:rPr>
              <w:rFonts w:eastAsiaTheme="minorEastAsia"/>
              <w:noProof/>
              <w:lang w:eastAsia="bg-BG"/>
            </w:rPr>
          </w:pPr>
          <w:hyperlink w:anchor="_Toc136270269" w:history="1">
            <w:r w:rsidR="00634F61" w:rsidRPr="00C16F8B">
              <w:rPr>
                <w:rStyle w:val="Hyperlink"/>
                <w:rFonts w:ascii="Times New Roman" w:hAnsi="Times New Roman" w:cs="Times New Roman"/>
                <w:noProof/>
              </w:rPr>
              <w:t>11.</w:t>
            </w:r>
            <w:r w:rsidR="00634F61">
              <w:rPr>
                <w:rFonts w:eastAsiaTheme="minorEastAsia"/>
                <w:noProof/>
                <w:lang w:eastAsia="bg-BG"/>
              </w:rPr>
              <w:tab/>
            </w:r>
            <w:r w:rsidR="00634F61" w:rsidRPr="00C16F8B">
              <w:rPr>
                <w:rStyle w:val="Hyperlink"/>
                <w:rFonts w:ascii="Times New Roman" w:hAnsi="Times New Roman" w:cs="Times New Roman"/>
                <w:noProof/>
              </w:rPr>
              <w:t>Допустими кандидати:</w:t>
            </w:r>
            <w:r w:rsidR="00634F61">
              <w:rPr>
                <w:noProof/>
                <w:webHidden/>
              </w:rPr>
              <w:tab/>
            </w:r>
            <w:r w:rsidR="00634F61">
              <w:rPr>
                <w:noProof/>
                <w:webHidden/>
              </w:rPr>
              <w:fldChar w:fldCharType="begin"/>
            </w:r>
            <w:r w:rsidR="00634F61">
              <w:rPr>
                <w:noProof/>
                <w:webHidden/>
              </w:rPr>
              <w:instrText xml:space="preserve"> PAGEREF _Toc136270269 \h </w:instrText>
            </w:r>
            <w:r w:rsidR="00634F61">
              <w:rPr>
                <w:noProof/>
                <w:webHidden/>
              </w:rPr>
            </w:r>
            <w:r w:rsidR="00634F61">
              <w:rPr>
                <w:noProof/>
                <w:webHidden/>
              </w:rPr>
              <w:fldChar w:fldCharType="separate"/>
            </w:r>
            <w:r w:rsidR="00634F61">
              <w:rPr>
                <w:noProof/>
                <w:webHidden/>
              </w:rPr>
              <w:t>8</w:t>
            </w:r>
            <w:r w:rsidR="00634F61">
              <w:rPr>
                <w:noProof/>
                <w:webHidden/>
              </w:rPr>
              <w:fldChar w:fldCharType="end"/>
            </w:r>
          </w:hyperlink>
        </w:p>
        <w:p w14:paraId="0591805D" w14:textId="7B0837F1" w:rsidR="00634F61" w:rsidRDefault="00375286">
          <w:pPr>
            <w:pStyle w:val="TOC2"/>
            <w:tabs>
              <w:tab w:val="left" w:pos="880"/>
              <w:tab w:val="right" w:leader="dot" w:pos="9486"/>
            </w:tabs>
            <w:rPr>
              <w:rFonts w:eastAsiaTheme="minorEastAsia"/>
              <w:noProof/>
              <w:lang w:eastAsia="bg-BG"/>
            </w:rPr>
          </w:pPr>
          <w:hyperlink w:anchor="_Toc136270270" w:history="1">
            <w:r w:rsidR="00634F61" w:rsidRPr="00C16F8B">
              <w:rPr>
                <w:rStyle w:val="Hyperlink"/>
                <w:rFonts w:ascii="Times New Roman" w:hAnsi="Times New Roman" w:cs="Times New Roman"/>
                <w:noProof/>
              </w:rPr>
              <w:t>12.</w:t>
            </w:r>
            <w:r w:rsidR="00634F61">
              <w:rPr>
                <w:rFonts w:eastAsiaTheme="minorEastAsia"/>
                <w:noProof/>
                <w:lang w:eastAsia="bg-BG"/>
              </w:rPr>
              <w:tab/>
            </w:r>
            <w:r w:rsidR="00634F61" w:rsidRPr="00C16F8B">
              <w:rPr>
                <w:rStyle w:val="Hyperlink"/>
                <w:rFonts w:ascii="Times New Roman" w:hAnsi="Times New Roman" w:cs="Times New Roman"/>
                <w:noProof/>
              </w:rPr>
              <w:t>Допустими партньори (ако е приложимо):</w:t>
            </w:r>
            <w:r w:rsidR="00634F61">
              <w:rPr>
                <w:noProof/>
                <w:webHidden/>
              </w:rPr>
              <w:tab/>
            </w:r>
            <w:r w:rsidR="00634F61">
              <w:rPr>
                <w:noProof/>
                <w:webHidden/>
              </w:rPr>
              <w:fldChar w:fldCharType="begin"/>
            </w:r>
            <w:r w:rsidR="00634F61">
              <w:rPr>
                <w:noProof/>
                <w:webHidden/>
              </w:rPr>
              <w:instrText xml:space="preserve"> PAGEREF _Toc136270270 \h </w:instrText>
            </w:r>
            <w:r w:rsidR="00634F61">
              <w:rPr>
                <w:noProof/>
                <w:webHidden/>
              </w:rPr>
            </w:r>
            <w:r w:rsidR="00634F61">
              <w:rPr>
                <w:noProof/>
                <w:webHidden/>
              </w:rPr>
              <w:fldChar w:fldCharType="separate"/>
            </w:r>
            <w:r w:rsidR="00634F61">
              <w:rPr>
                <w:noProof/>
                <w:webHidden/>
              </w:rPr>
              <w:t>8</w:t>
            </w:r>
            <w:r w:rsidR="00634F61">
              <w:rPr>
                <w:noProof/>
                <w:webHidden/>
              </w:rPr>
              <w:fldChar w:fldCharType="end"/>
            </w:r>
          </w:hyperlink>
        </w:p>
        <w:p w14:paraId="39F629EE" w14:textId="1DAE55D7" w:rsidR="00634F61" w:rsidRDefault="00375286">
          <w:pPr>
            <w:pStyle w:val="TOC2"/>
            <w:tabs>
              <w:tab w:val="left" w:pos="880"/>
              <w:tab w:val="right" w:leader="dot" w:pos="9486"/>
            </w:tabs>
            <w:rPr>
              <w:rFonts w:eastAsiaTheme="minorEastAsia"/>
              <w:noProof/>
              <w:lang w:eastAsia="bg-BG"/>
            </w:rPr>
          </w:pPr>
          <w:hyperlink w:anchor="_Toc136270271" w:history="1">
            <w:r w:rsidR="00634F61" w:rsidRPr="00C16F8B">
              <w:rPr>
                <w:rStyle w:val="Hyperlink"/>
                <w:rFonts w:ascii="Times New Roman" w:hAnsi="Times New Roman" w:cs="Times New Roman"/>
                <w:noProof/>
              </w:rPr>
              <w:t>13.</w:t>
            </w:r>
            <w:r w:rsidR="00634F61">
              <w:rPr>
                <w:rFonts w:eastAsiaTheme="minorEastAsia"/>
                <w:noProof/>
                <w:lang w:eastAsia="bg-BG"/>
              </w:rPr>
              <w:tab/>
            </w:r>
            <w:r w:rsidR="00634F61" w:rsidRPr="00C16F8B">
              <w:rPr>
                <w:rStyle w:val="Hyperlink"/>
                <w:rFonts w:ascii="Times New Roman" w:hAnsi="Times New Roman" w:cs="Times New Roman"/>
                <w:noProof/>
              </w:rPr>
              <w:t>Дейности, допустими за финансиране:</w:t>
            </w:r>
            <w:r w:rsidR="00634F61">
              <w:rPr>
                <w:noProof/>
                <w:webHidden/>
              </w:rPr>
              <w:tab/>
            </w:r>
            <w:r w:rsidR="00634F61">
              <w:rPr>
                <w:noProof/>
                <w:webHidden/>
              </w:rPr>
              <w:fldChar w:fldCharType="begin"/>
            </w:r>
            <w:r w:rsidR="00634F61">
              <w:rPr>
                <w:noProof/>
                <w:webHidden/>
              </w:rPr>
              <w:instrText xml:space="preserve"> PAGEREF _Toc136270271 \h </w:instrText>
            </w:r>
            <w:r w:rsidR="00634F61">
              <w:rPr>
                <w:noProof/>
                <w:webHidden/>
              </w:rPr>
            </w:r>
            <w:r w:rsidR="00634F61">
              <w:rPr>
                <w:noProof/>
                <w:webHidden/>
              </w:rPr>
              <w:fldChar w:fldCharType="separate"/>
            </w:r>
            <w:r w:rsidR="00634F61">
              <w:rPr>
                <w:noProof/>
                <w:webHidden/>
              </w:rPr>
              <w:t>8</w:t>
            </w:r>
            <w:r w:rsidR="00634F61">
              <w:rPr>
                <w:noProof/>
                <w:webHidden/>
              </w:rPr>
              <w:fldChar w:fldCharType="end"/>
            </w:r>
          </w:hyperlink>
        </w:p>
        <w:p w14:paraId="33B36781" w14:textId="60EE4059" w:rsidR="00634F61" w:rsidRDefault="00375286">
          <w:pPr>
            <w:pStyle w:val="TOC2"/>
            <w:tabs>
              <w:tab w:val="left" w:pos="880"/>
              <w:tab w:val="right" w:leader="dot" w:pos="9486"/>
            </w:tabs>
            <w:rPr>
              <w:rFonts w:eastAsiaTheme="minorEastAsia"/>
              <w:noProof/>
              <w:lang w:eastAsia="bg-BG"/>
            </w:rPr>
          </w:pPr>
          <w:hyperlink w:anchor="_Toc136270272" w:history="1">
            <w:r w:rsidR="00634F61" w:rsidRPr="00C16F8B">
              <w:rPr>
                <w:rStyle w:val="Hyperlink"/>
                <w:rFonts w:ascii="Times New Roman" w:hAnsi="Times New Roman" w:cs="Times New Roman"/>
                <w:noProof/>
              </w:rPr>
              <w:t>14.</w:t>
            </w:r>
            <w:r w:rsidR="00634F61">
              <w:rPr>
                <w:rFonts w:eastAsiaTheme="minorEastAsia"/>
                <w:noProof/>
                <w:lang w:eastAsia="bg-BG"/>
              </w:rPr>
              <w:tab/>
            </w:r>
            <w:r w:rsidR="00634F61" w:rsidRPr="00C16F8B">
              <w:rPr>
                <w:rStyle w:val="Hyperlink"/>
                <w:rFonts w:ascii="Times New Roman" w:hAnsi="Times New Roman" w:cs="Times New Roman"/>
                <w:noProof/>
              </w:rPr>
              <w:t>Категории разходи, допустими за финансиране:</w:t>
            </w:r>
            <w:r w:rsidR="00634F61">
              <w:rPr>
                <w:noProof/>
                <w:webHidden/>
              </w:rPr>
              <w:tab/>
            </w:r>
            <w:r w:rsidR="00634F61">
              <w:rPr>
                <w:noProof/>
                <w:webHidden/>
              </w:rPr>
              <w:fldChar w:fldCharType="begin"/>
            </w:r>
            <w:r w:rsidR="00634F61">
              <w:rPr>
                <w:noProof/>
                <w:webHidden/>
              </w:rPr>
              <w:instrText xml:space="preserve"> PAGEREF _Toc136270272 \h </w:instrText>
            </w:r>
            <w:r w:rsidR="00634F61">
              <w:rPr>
                <w:noProof/>
                <w:webHidden/>
              </w:rPr>
            </w:r>
            <w:r w:rsidR="00634F61">
              <w:rPr>
                <w:noProof/>
                <w:webHidden/>
              </w:rPr>
              <w:fldChar w:fldCharType="separate"/>
            </w:r>
            <w:r w:rsidR="00634F61">
              <w:rPr>
                <w:noProof/>
                <w:webHidden/>
              </w:rPr>
              <w:t>12</w:t>
            </w:r>
            <w:r w:rsidR="00634F61">
              <w:rPr>
                <w:noProof/>
                <w:webHidden/>
              </w:rPr>
              <w:fldChar w:fldCharType="end"/>
            </w:r>
          </w:hyperlink>
        </w:p>
        <w:p w14:paraId="049683C1" w14:textId="5942535F" w:rsidR="00634F61" w:rsidRDefault="00375286">
          <w:pPr>
            <w:pStyle w:val="TOC2"/>
            <w:tabs>
              <w:tab w:val="right" w:leader="dot" w:pos="9486"/>
            </w:tabs>
            <w:rPr>
              <w:rFonts w:eastAsiaTheme="minorEastAsia"/>
              <w:noProof/>
              <w:lang w:eastAsia="bg-BG"/>
            </w:rPr>
          </w:pPr>
          <w:hyperlink w:anchor="_Toc136270273" w:history="1">
            <w:r w:rsidR="00634F61" w:rsidRPr="00C16F8B">
              <w:rPr>
                <w:rStyle w:val="Hyperlink"/>
                <w:rFonts w:ascii="Times New Roman" w:hAnsi="Times New Roman" w:cs="Times New Roman"/>
                <w:noProof/>
              </w:rPr>
              <w:t>14.1. Условия за допустимост на разходите</w:t>
            </w:r>
            <w:r w:rsidR="00634F61">
              <w:rPr>
                <w:noProof/>
                <w:webHidden/>
              </w:rPr>
              <w:tab/>
            </w:r>
            <w:r w:rsidR="00634F61">
              <w:rPr>
                <w:noProof/>
                <w:webHidden/>
              </w:rPr>
              <w:fldChar w:fldCharType="begin"/>
            </w:r>
            <w:r w:rsidR="00634F61">
              <w:rPr>
                <w:noProof/>
                <w:webHidden/>
              </w:rPr>
              <w:instrText xml:space="preserve"> PAGEREF _Toc136270273 \h </w:instrText>
            </w:r>
            <w:r w:rsidR="00634F61">
              <w:rPr>
                <w:noProof/>
                <w:webHidden/>
              </w:rPr>
            </w:r>
            <w:r w:rsidR="00634F61">
              <w:rPr>
                <w:noProof/>
                <w:webHidden/>
              </w:rPr>
              <w:fldChar w:fldCharType="separate"/>
            </w:r>
            <w:r w:rsidR="00634F61">
              <w:rPr>
                <w:noProof/>
                <w:webHidden/>
              </w:rPr>
              <w:t>12</w:t>
            </w:r>
            <w:r w:rsidR="00634F61">
              <w:rPr>
                <w:noProof/>
                <w:webHidden/>
              </w:rPr>
              <w:fldChar w:fldCharType="end"/>
            </w:r>
          </w:hyperlink>
        </w:p>
        <w:p w14:paraId="1D4925F5" w14:textId="0ACBDE45" w:rsidR="00634F61" w:rsidRDefault="00375286">
          <w:pPr>
            <w:pStyle w:val="TOC2"/>
            <w:tabs>
              <w:tab w:val="right" w:leader="dot" w:pos="9486"/>
            </w:tabs>
            <w:rPr>
              <w:rFonts w:eastAsiaTheme="minorEastAsia"/>
              <w:noProof/>
              <w:lang w:eastAsia="bg-BG"/>
            </w:rPr>
          </w:pPr>
          <w:hyperlink w:anchor="_Toc136270274" w:history="1">
            <w:r w:rsidR="00634F61" w:rsidRPr="00C16F8B">
              <w:rPr>
                <w:rStyle w:val="Hyperlink"/>
                <w:rFonts w:ascii="Times New Roman" w:hAnsi="Times New Roman" w:cs="Times New Roman"/>
                <w:noProof/>
              </w:rPr>
              <w:t>14.2. Допустими разходи</w:t>
            </w:r>
            <w:r w:rsidR="00634F61">
              <w:rPr>
                <w:noProof/>
                <w:webHidden/>
              </w:rPr>
              <w:tab/>
            </w:r>
            <w:r w:rsidR="00634F61">
              <w:rPr>
                <w:noProof/>
                <w:webHidden/>
              </w:rPr>
              <w:fldChar w:fldCharType="begin"/>
            </w:r>
            <w:r w:rsidR="00634F61">
              <w:rPr>
                <w:noProof/>
                <w:webHidden/>
              </w:rPr>
              <w:instrText xml:space="preserve"> PAGEREF _Toc136270274 \h </w:instrText>
            </w:r>
            <w:r w:rsidR="00634F61">
              <w:rPr>
                <w:noProof/>
                <w:webHidden/>
              </w:rPr>
            </w:r>
            <w:r w:rsidR="00634F61">
              <w:rPr>
                <w:noProof/>
                <w:webHidden/>
              </w:rPr>
              <w:fldChar w:fldCharType="separate"/>
            </w:r>
            <w:r w:rsidR="00634F61">
              <w:rPr>
                <w:noProof/>
                <w:webHidden/>
              </w:rPr>
              <w:t>14</w:t>
            </w:r>
            <w:r w:rsidR="00634F61">
              <w:rPr>
                <w:noProof/>
                <w:webHidden/>
              </w:rPr>
              <w:fldChar w:fldCharType="end"/>
            </w:r>
          </w:hyperlink>
        </w:p>
        <w:p w14:paraId="1A41ED3E" w14:textId="53BEF4C0" w:rsidR="00634F61" w:rsidRDefault="00375286">
          <w:pPr>
            <w:pStyle w:val="TOC2"/>
            <w:tabs>
              <w:tab w:val="right" w:leader="dot" w:pos="9486"/>
            </w:tabs>
            <w:rPr>
              <w:rFonts w:eastAsiaTheme="minorEastAsia"/>
              <w:noProof/>
              <w:lang w:eastAsia="bg-BG"/>
            </w:rPr>
          </w:pPr>
          <w:hyperlink w:anchor="_Toc136270275" w:history="1">
            <w:r w:rsidR="00634F61" w:rsidRPr="00C16F8B">
              <w:rPr>
                <w:rStyle w:val="Hyperlink"/>
                <w:rFonts w:ascii="Times New Roman" w:hAnsi="Times New Roman" w:cs="Times New Roman"/>
                <w:noProof/>
              </w:rPr>
              <w:t>14.3. Недопустими разходи</w:t>
            </w:r>
            <w:r w:rsidR="00634F61">
              <w:rPr>
                <w:noProof/>
                <w:webHidden/>
              </w:rPr>
              <w:tab/>
            </w:r>
            <w:r w:rsidR="00634F61">
              <w:rPr>
                <w:noProof/>
                <w:webHidden/>
              </w:rPr>
              <w:fldChar w:fldCharType="begin"/>
            </w:r>
            <w:r w:rsidR="00634F61">
              <w:rPr>
                <w:noProof/>
                <w:webHidden/>
              </w:rPr>
              <w:instrText xml:space="preserve"> PAGEREF _Toc136270275 \h </w:instrText>
            </w:r>
            <w:r w:rsidR="00634F61">
              <w:rPr>
                <w:noProof/>
                <w:webHidden/>
              </w:rPr>
            </w:r>
            <w:r w:rsidR="00634F61">
              <w:rPr>
                <w:noProof/>
                <w:webHidden/>
              </w:rPr>
              <w:fldChar w:fldCharType="separate"/>
            </w:r>
            <w:r w:rsidR="00634F61">
              <w:rPr>
                <w:noProof/>
                <w:webHidden/>
              </w:rPr>
              <w:t>19</w:t>
            </w:r>
            <w:r w:rsidR="00634F61">
              <w:rPr>
                <w:noProof/>
                <w:webHidden/>
              </w:rPr>
              <w:fldChar w:fldCharType="end"/>
            </w:r>
          </w:hyperlink>
        </w:p>
        <w:p w14:paraId="6E3710B4" w14:textId="63BE3742" w:rsidR="00634F61" w:rsidRDefault="00375286">
          <w:pPr>
            <w:pStyle w:val="TOC2"/>
            <w:tabs>
              <w:tab w:val="left" w:pos="880"/>
              <w:tab w:val="right" w:leader="dot" w:pos="9486"/>
            </w:tabs>
            <w:rPr>
              <w:rFonts w:eastAsiaTheme="minorEastAsia"/>
              <w:noProof/>
              <w:lang w:eastAsia="bg-BG"/>
            </w:rPr>
          </w:pPr>
          <w:hyperlink w:anchor="_Toc136270276" w:history="1">
            <w:r w:rsidR="00634F61" w:rsidRPr="00C16F8B">
              <w:rPr>
                <w:rStyle w:val="Hyperlink"/>
                <w:rFonts w:ascii="Times New Roman" w:hAnsi="Times New Roman" w:cs="Times New Roman"/>
                <w:noProof/>
              </w:rPr>
              <w:t>15.</w:t>
            </w:r>
            <w:r w:rsidR="00634F61">
              <w:rPr>
                <w:rFonts w:eastAsiaTheme="minorEastAsia"/>
                <w:noProof/>
                <w:lang w:eastAsia="bg-BG"/>
              </w:rPr>
              <w:tab/>
            </w:r>
            <w:r w:rsidR="00634F61" w:rsidRPr="00C16F8B">
              <w:rPr>
                <w:rStyle w:val="Hyperlink"/>
                <w:rFonts w:ascii="Times New Roman" w:hAnsi="Times New Roman" w:cs="Times New Roman"/>
                <w:noProof/>
              </w:rPr>
              <w:t>Допустими целеви групи (ако е приложимо):</w:t>
            </w:r>
            <w:r w:rsidR="00634F61">
              <w:rPr>
                <w:noProof/>
                <w:webHidden/>
              </w:rPr>
              <w:tab/>
            </w:r>
            <w:r w:rsidR="00634F61">
              <w:rPr>
                <w:noProof/>
                <w:webHidden/>
              </w:rPr>
              <w:fldChar w:fldCharType="begin"/>
            </w:r>
            <w:r w:rsidR="00634F61">
              <w:rPr>
                <w:noProof/>
                <w:webHidden/>
              </w:rPr>
              <w:instrText xml:space="preserve"> PAGEREF _Toc136270276 \h </w:instrText>
            </w:r>
            <w:r w:rsidR="00634F61">
              <w:rPr>
                <w:noProof/>
                <w:webHidden/>
              </w:rPr>
            </w:r>
            <w:r w:rsidR="00634F61">
              <w:rPr>
                <w:noProof/>
                <w:webHidden/>
              </w:rPr>
              <w:fldChar w:fldCharType="separate"/>
            </w:r>
            <w:r w:rsidR="00634F61">
              <w:rPr>
                <w:noProof/>
                <w:webHidden/>
              </w:rPr>
              <w:t>22</w:t>
            </w:r>
            <w:r w:rsidR="00634F61">
              <w:rPr>
                <w:noProof/>
                <w:webHidden/>
              </w:rPr>
              <w:fldChar w:fldCharType="end"/>
            </w:r>
          </w:hyperlink>
        </w:p>
        <w:p w14:paraId="5188B789" w14:textId="449D9B12" w:rsidR="00634F61" w:rsidRDefault="00375286">
          <w:pPr>
            <w:pStyle w:val="TOC2"/>
            <w:tabs>
              <w:tab w:val="left" w:pos="880"/>
              <w:tab w:val="right" w:leader="dot" w:pos="9486"/>
            </w:tabs>
            <w:rPr>
              <w:rFonts w:eastAsiaTheme="minorEastAsia"/>
              <w:noProof/>
              <w:lang w:eastAsia="bg-BG"/>
            </w:rPr>
          </w:pPr>
          <w:hyperlink w:anchor="_Toc136270277" w:history="1">
            <w:r w:rsidR="00634F61" w:rsidRPr="00C16F8B">
              <w:rPr>
                <w:rStyle w:val="Hyperlink"/>
                <w:rFonts w:ascii="Times New Roman" w:hAnsi="Times New Roman" w:cs="Times New Roman"/>
                <w:noProof/>
              </w:rPr>
              <w:t>16.</w:t>
            </w:r>
            <w:r w:rsidR="00634F61">
              <w:rPr>
                <w:rFonts w:eastAsiaTheme="minorEastAsia"/>
                <w:noProof/>
                <w:lang w:eastAsia="bg-BG"/>
              </w:rPr>
              <w:tab/>
            </w:r>
            <w:r w:rsidR="00634F61" w:rsidRPr="00C16F8B">
              <w:rPr>
                <w:rStyle w:val="Hyperlink"/>
                <w:rFonts w:ascii="Times New Roman" w:hAnsi="Times New Roman" w:cs="Times New Roman"/>
                <w:noProof/>
              </w:rPr>
              <w:t>Приложим режим на минимални/държавни помощи (ако е приложимо):</w:t>
            </w:r>
            <w:r w:rsidR="00634F61">
              <w:rPr>
                <w:noProof/>
                <w:webHidden/>
              </w:rPr>
              <w:tab/>
            </w:r>
            <w:r w:rsidR="00634F61">
              <w:rPr>
                <w:noProof/>
                <w:webHidden/>
              </w:rPr>
              <w:fldChar w:fldCharType="begin"/>
            </w:r>
            <w:r w:rsidR="00634F61">
              <w:rPr>
                <w:noProof/>
                <w:webHidden/>
              </w:rPr>
              <w:instrText xml:space="preserve"> PAGEREF _Toc136270277 \h </w:instrText>
            </w:r>
            <w:r w:rsidR="00634F61">
              <w:rPr>
                <w:noProof/>
                <w:webHidden/>
              </w:rPr>
            </w:r>
            <w:r w:rsidR="00634F61">
              <w:rPr>
                <w:noProof/>
                <w:webHidden/>
              </w:rPr>
              <w:fldChar w:fldCharType="separate"/>
            </w:r>
            <w:r w:rsidR="00634F61">
              <w:rPr>
                <w:noProof/>
                <w:webHidden/>
              </w:rPr>
              <w:t>22</w:t>
            </w:r>
            <w:r w:rsidR="00634F61">
              <w:rPr>
                <w:noProof/>
                <w:webHidden/>
              </w:rPr>
              <w:fldChar w:fldCharType="end"/>
            </w:r>
          </w:hyperlink>
        </w:p>
        <w:p w14:paraId="04F5DD36" w14:textId="2EFC675F" w:rsidR="00634F61" w:rsidRDefault="00375286">
          <w:pPr>
            <w:pStyle w:val="TOC2"/>
            <w:tabs>
              <w:tab w:val="left" w:pos="880"/>
              <w:tab w:val="right" w:leader="dot" w:pos="9486"/>
            </w:tabs>
            <w:rPr>
              <w:rFonts w:eastAsiaTheme="minorEastAsia"/>
              <w:noProof/>
              <w:lang w:eastAsia="bg-BG"/>
            </w:rPr>
          </w:pPr>
          <w:hyperlink w:anchor="_Toc136270278" w:history="1">
            <w:r w:rsidR="00634F61" w:rsidRPr="00C16F8B">
              <w:rPr>
                <w:rStyle w:val="Hyperlink"/>
                <w:rFonts w:ascii="Times New Roman" w:hAnsi="Times New Roman" w:cs="Times New Roman"/>
                <w:noProof/>
              </w:rPr>
              <w:t>17.</w:t>
            </w:r>
            <w:r w:rsidR="00634F61">
              <w:rPr>
                <w:rFonts w:eastAsiaTheme="minorEastAsia"/>
                <w:noProof/>
                <w:lang w:eastAsia="bg-BG"/>
              </w:rPr>
              <w:tab/>
            </w:r>
            <w:r w:rsidR="00634F61" w:rsidRPr="00C16F8B">
              <w:rPr>
                <w:rStyle w:val="Hyperlink"/>
                <w:rFonts w:ascii="Times New Roman" w:hAnsi="Times New Roman" w:cs="Times New Roman"/>
                <w:noProof/>
              </w:rPr>
              <w:t>Хоризонтални политики:</w:t>
            </w:r>
            <w:r w:rsidR="00634F61">
              <w:rPr>
                <w:noProof/>
                <w:webHidden/>
              </w:rPr>
              <w:tab/>
            </w:r>
            <w:r w:rsidR="00634F61">
              <w:rPr>
                <w:noProof/>
                <w:webHidden/>
              </w:rPr>
              <w:fldChar w:fldCharType="begin"/>
            </w:r>
            <w:r w:rsidR="00634F61">
              <w:rPr>
                <w:noProof/>
                <w:webHidden/>
              </w:rPr>
              <w:instrText xml:space="preserve"> PAGEREF _Toc136270278 \h </w:instrText>
            </w:r>
            <w:r w:rsidR="00634F61">
              <w:rPr>
                <w:noProof/>
                <w:webHidden/>
              </w:rPr>
            </w:r>
            <w:r w:rsidR="00634F61">
              <w:rPr>
                <w:noProof/>
                <w:webHidden/>
              </w:rPr>
              <w:fldChar w:fldCharType="separate"/>
            </w:r>
            <w:r w:rsidR="00634F61">
              <w:rPr>
                <w:noProof/>
                <w:webHidden/>
              </w:rPr>
              <w:t>25</w:t>
            </w:r>
            <w:r w:rsidR="00634F61">
              <w:rPr>
                <w:noProof/>
                <w:webHidden/>
              </w:rPr>
              <w:fldChar w:fldCharType="end"/>
            </w:r>
          </w:hyperlink>
        </w:p>
        <w:p w14:paraId="67341D4F" w14:textId="1534F6CB" w:rsidR="00634F61" w:rsidRDefault="00375286">
          <w:pPr>
            <w:pStyle w:val="TOC2"/>
            <w:tabs>
              <w:tab w:val="left" w:pos="880"/>
              <w:tab w:val="right" w:leader="dot" w:pos="9486"/>
            </w:tabs>
            <w:rPr>
              <w:rFonts w:eastAsiaTheme="minorEastAsia"/>
              <w:noProof/>
              <w:lang w:eastAsia="bg-BG"/>
            </w:rPr>
          </w:pPr>
          <w:hyperlink w:anchor="_Toc136270279" w:history="1">
            <w:r w:rsidR="00634F61" w:rsidRPr="00C16F8B">
              <w:rPr>
                <w:rStyle w:val="Hyperlink"/>
                <w:rFonts w:ascii="Times New Roman" w:hAnsi="Times New Roman" w:cs="Times New Roman"/>
                <w:noProof/>
              </w:rPr>
              <w:t>18.</w:t>
            </w:r>
            <w:r w:rsidR="00634F61">
              <w:rPr>
                <w:rFonts w:eastAsiaTheme="minorEastAsia"/>
                <w:noProof/>
                <w:lang w:eastAsia="bg-BG"/>
              </w:rPr>
              <w:tab/>
            </w:r>
            <w:r w:rsidR="00634F61" w:rsidRPr="00C16F8B">
              <w:rPr>
                <w:rStyle w:val="Hyperlink"/>
                <w:rFonts w:ascii="Times New Roman" w:hAnsi="Times New Roman" w:cs="Times New Roman"/>
                <w:noProof/>
              </w:rPr>
              <w:t>Продължителност на процедурите:</w:t>
            </w:r>
            <w:r w:rsidR="00634F61">
              <w:rPr>
                <w:noProof/>
                <w:webHidden/>
              </w:rPr>
              <w:tab/>
            </w:r>
            <w:r w:rsidR="00634F61">
              <w:rPr>
                <w:noProof/>
                <w:webHidden/>
              </w:rPr>
              <w:fldChar w:fldCharType="begin"/>
            </w:r>
            <w:r w:rsidR="00634F61">
              <w:rPr>
                <w:noProof/>
                <w:webHidden/>
              </w:rPr>
              <w:instrText xml:space="preserve"> PAGEREF _Toc136270279 \h </w:instrText>
            </w:r>
            <w:r w:rsidR="00634F61">
              <w:rPr>
                <w:noProof/>
                <w:webHidden/>
              </w:rPr>
            </w:r>
            <w:r w:rsidR="00634F61">
              <w:rPr>
                <w:noProof/>
                <w:webHidden/>
              </w:rPr>
              <w:fldChar w:fldCharType="separate"/>
            </w:r>
            <w:r w:rsidR="00634F61">
              <w:rPr>
                <w:noProof/>
                <w:webHidden/>
              </w:rPr>
              <w:t>26</w:t>
            </w:r>
            <w:r w:rsidR="00634F61">
              <w:rPr>
                <w:noProof/>
                <w:webHidden/>
              </w:rPr>
              <w:fldChar w:fldCharType="end"/>
            </w:r>
          </w:hyperlink>
        </w:p>
        <w:p w14:paraId="55553E7C" w14:textId="3D3A0C0C" w:rsidR="00634F61" w:rsidRDefault="00375286">
          <w:pPr>
            <w:pStyle w:val="TOC2"/>
            <w:tabs>
              <w:tab w:val="left" w:pos="880"/>
              <w:tab w:val="right" w:leader="dot" w:pos="9486"/>
            </w:tabs>
            <w:rPr>
              <w:rFonts w:eastAsiaTheme="minorEastAsia"/>
              <w:noProof/>
              <w:lang w:eastAsia="bg-BG"/>
            </w:rPr>
          </w:pPr>
          <w:hyperlink w:anchor="_Toc136270280" w:history="1">
            <w:r w:rsidR="00634F61" w:rsidRPr="00C16F8B">
              <w:rPr>
                <w:rStyle w:val="Hyperlink"/>
                <w:rFonts w:ascii="Times New Roman" w:hAnsi="Times New Roman" w:cs="Times New Roman"/>
                <w:noProof/>
              </w:rPr>
              <w:t>19.</w:t>
            </w:r>
            <w:r w:rsidR="00634F61">
              <w:rPr>
                <w:rFonts w:eastAsiaTheme="minorEastAsia"/>
                <w:noProof/>
                <w:lang w:eastAsia="bg-BG"/>
              </w:rPr>
              <w:tab/>
            </w:r>
            <w:r w:rsidR="00634F61" w:rsidRPr="00C16F8B">
              <w:rPr>
                <w:rStyle w:val="Hyperlink"/>
                <w:rFonts w:ascii="Times New Roman" w:hAnsi="Times New Roman" w:cs="Times New Roman"/>
                <w:noProof/>
              </w:rPr>
              <w:t>Начин на подаване на проектните предложения</w:t>
            </w:r>
            <w:r w:rsidR="00634F61">
              <w:rPr>
                <w:noProof/>
                <w:webHidden/>
              </w:rPr>
              <w:tab/>
            </w:r>
            <w:r w:rsidR="00634F61">
              <w:rPr>
                <w:noProof/>
                <w:webHidden/>
              </w:rPr>
              <w:fldChar w:fldCharType="begin"/>
            </w:r>
            <w:r w:rsidR="00634F61">
              <w:rPr>
                <w:noProof/>
                <w:webHidden/>
              </w:rPr>
              <w:instrText xml:space="preserve"> PAGEREF _Toc136270280 \h </w:instrText>
            </w:r>
            <w:r w:rsidR="00634F61">
              <w:rPr>
                <w:noProof/>
                <w:webHidden/>
              </w:rPr>
            </w:r>
            <w:r w:rsidR="00634F61">
              <w:rPr>
                <w:noProof/>
                <w:webHidden/>
              </w:rPr>
              <w:fldChar w:fldCharType="separate"/>
            </w:r>
            <w:r w:rsidR="00634F61">
              <w:rPr>
                <w:noProof/>
                <w:webHidden/>
              </w:rPr>
              <w:t>26</w:t>
            </w:r>
            <w:r w:rsidR="00634F61">
              <w:rPr>
                <w:noProof/>
                <w:webHidden/>
              </w:rPr>
              <w:fldChar w:fldCharType="end"/>
            </w:r>
          </w:hyperlink>
        </w:p>
        <w:p w14:paraId="424AEC45" w14:textId="7110058E" w:rsidR="00634F61" w:rsidRDefault="00375286">
          <w:pPr>
            <w:pStyle w:val="TOC2"/>
            <w:tabs>
              <w:tab w:val="left" w:pos="880"/>
              <w:tab w:val="right" w:leader="dot" w:pos="9486"/>
            </w:tabs>
            <w:rPr>
              <w:rFonts w:eastAsiaTheme="minorEastAsia"/>
              <w:noProof/>
              <w:lang w:eastAsia="bg-BG"/>
            </w:rPr>
          </w:pPr>
          <w:hyperlink w:anchor="_Toc136270281" w:history="1">
            <w:r w:rsidR="00634F61" w:rsidRPr="00C16F8B">
              <w:rPr>
                <w:rStyle w:val="Hyperlink"/>
                <w:rFonts w:ascii="Times New Roman" w:hAnsi="Times New Roman"/>
                <w:noProof/>
              </w:rPr>
              <w:t>19.1</w:t>
            </w:r>
            <w:r w:rsidR="00634F61">
              <w:rPr>
                <w:rFonts w:eastAsiaTheme="minorEastAsia"/>
                <w:noProof/>
                <w:lang w:eastAsia="bg-BG"/>
              </w:rPr>
              <w:tab/>
            </w:r>
            <w:r w:rsidR="00634F61" w:rsidRPr="00C16F8B">
              <w:rPr>
                <w:rStyle w:val="Hyperlink"/>
                <w:rFonts w:ascii="Times New Roman" w:hAnsi="Times New Roman"/>
                <w:noProof/>
              </w:rPr>
              <w:t>Подготовка на формуляр за кандидатстване</w:t>
            </w:r>
            <w:r w:rsidR="00634F61">
              <w:rPr>
                <w:noProof/>
                <w:webHidden/>
              </w:rPr>
              <w:tab/>
            </w:r>
            <w:r w:rsidR="00634F61">
              <w:rPr>
                <w:noProof/>
                <w:webHidden/>
              </w:rPr>
              <w:fldChar w:fldCharType="begin"/>
            </w:r>
            <w:r w:rsidR="00634F61">
              <w:rPr>
                <w:noProof/>
                <w:webHidden/>
              </w:rPr>
              <w:instrText xml:space="preserve"> PAGEREF _Toc136270281 \h </w:instrText>
            </w:r>
            <w:r w:rsidR="00634F61">
              <w:rPr>
                <w:noProof/>
                <w:webHidden/>
              </w:rPr>
            </w:r>
            <w:r w:rsidR="00634F61">
              <w:rPr>
                <w:noProof/>
                <w:webHidden/>
              </w:rPr>
              <w:fldChar w:fldCharType="separate"/>
            </w:r>
            <w:r w:rsidR="00634F61">
              <w:rPr>
                <w:noProof/>
                <w:webHidden/>
              </w:rPr>
              <w:t>26</w:t>
            </w:r>
            <w:r w:rsidR="00634F61">
              <w:rPr>
                <w:noProof/>
                <w:webHidden/>
              </w:rPr>
              <w:fldChar w:fldCharType="end"/>
            </w:r>
          </w:hyperlink>
        </w:p>
        <w:p w14:paraId="4F56E902" w14:textId="4FA37750" w:rsidR="00634F61" w:rsidRDefault="00375286">
          <w:pPr>
            <w:pStyle w:val="TOC2"/>
            <w:tabs>
              <w:tab w:val="left" w:pos="880"/>
              <w:tab w:val="right" w:leader="dot" w:pos="9486"/>
            </w:tabs>
            <w:rPr>
              <w:rFonts w:eastAsiaTheme="minorEastAsia"/>
              <w:noProof/>
              <w:lang w:eastAsia="bg-BG"/>
            </w:rPr>
          </w:pPr>
          <w:hyperlink w:anchor="_Toc136270282" w:history="1">
            <w:r w:rsidR="00634F61" w:rsidRPr="00C16F8B">
              <w:rPr>
                <w:rStyle w:val="Hyperlink"/>
                <w:rFonts w:ascii="Times New Roman" w:hAnsi="Times New Roman" w:cs="Times New Roman"/>
                <w:noProof/>
              </w:rPr>
              <w:t>19.2</w:t>
            </w:r>
            <w:r w:rsidR="00634F61">
              <w:rPr>
                <w:rFonts w:eastAsiaTheme="minorEastAsia"/>
                <w:noProof/>
                <w:lang w:eastAsia="bg-BG"/>
              </w:rPr>
              <w:tab/>
            </w:r>
            <w:r w:rsidR="00634F61" w:rsidRPr="00C16F8B">
              <w:rPr>
                <w:rStyle w:val="Hyperlink"/>
                <w:rFonts w:ascii="Times New Roman" w:hAnsi="Times New Roman" w:cs="Times New Roman"/>
                <w:noProof/>
              </w:rPr>
              <w:t>Изисквания за попълване на ФК на проектните предложения:</w:t>
            </w:r>
            <w:r w:rsidR="00634F61">
              <w:rPr>
                <w:noProof/>
                <w:webHidden/>
              </w:rPr>
              <w:tab/>
            </w:r>
            <w:r w:rsidR="00634F61">
              <w:rPr>
                <w:noProof/>
                <w:webHidden/>
              </w:rPr>
              <w:fldChar w:fldCharType="begin"/>
            </w:r>
            <w:r w:rsidR="00634F61">
              <w:rPr>
                <w:noProof/>
                <w:webHidden/>
              </w:rPr>
              <w:instrText xml:space="preserve"> PAGEREF _Toc136270282 \h </w:instrText>
            </w:r>
            <w:r w:rsidR="00634F61">
              <w:rPr>
                <w:noProof/>
                <w:webHidden/>
              </w:rPr>
            </w:r>
            <w:r w:rsidR="00634F61">
              <w:rPr>
                <w:noProof/>
                <w:webHidden/>
              </w:rPr>
              <w:fldChar w:fldCharType="separate"/>
            </w:r>
            <w:r w:rsidR="00634F61">
              <w:rPr>
                <w:noProof/>
                <w:webHidden/>
              </w:rPr>
              <w:t>26</w:t>
            </w:r>
            <w:r w:rsidR="00634F61">
              <w:rPr>
                <w:noProof/>
                <w:webHidden/>
              </w:rPr>
              <w:fldChar w:fldCharType="end"/>
            </w:r>
          </w:hyperlink>
        </w:p>
        <w:p w14:paraId="5435D8AD" w14:textId="3666D113" w:rsidR="00634F61" w:rsidRDefault="00375286">
          <w:pPr>
            <w:pStyle w:val="TOC2"/>
            <w:tabs>
              <w:tab w:val="left" w:pos="880"/>
              <w:tab w:val="right" w:leader="dot" w:pos="9486"/>
            </w:tabs>
            <w:rPr>
              <w:rFonts w:eastAsiaTheme="minorEastAsia"/>
              <w:noProof/>
              <w:lang w:eastAsia="bg-BG"/>
            </w:rPr>
          </w:pPr>
          <w:hyperlink w:anchor="_Toc136270283" w:history="1">
            <w:r w:rsidR="00634F61" w:rsidRPr="00C16F8B">
              <w:rPr>
                <w:rStyle w:val="Hyperlink"/>
                <w:rFonts w:ascii="Times New Roman" w:hAnsi="Times New Roman" w:cs="Times New Roman"/>
                <w:noProof/>
              </w:rPr>
              <w:t>19.3</w:t>
            </w:r>
            <w:r w:rsidR="00634F61">
              <w:rPr>
                <w:rFonts w:eastAsiaTheme="minorEastAsia"/>
                <w:noProof/>
                <w:lang w:eastAsia="bg-BG"/>
              </w:rPr>
              <w:tab/>
            </w:r>
            <w:r w:rsidR="00634F61" w:rsidRPr="00C16F8B">
              <w:rPr>
                <w:rStyle w:val="Hyperlink"/>
                <w:rFonts w:ascii="Times New Roman" w:hAnsi="Times New Roman" w:cs="Times New Roman"/>
                <w:noProof/>
              </w:rPr>
              <w:t>Изисквания за фазирани проекти</w:t>
            </w:r>
            <w:r w:rsidR="00634F61">
              <w:rPr>
                <w:noProof/>
                <w:webHidden/>
              </w:rPr>
              <w:tab/>
            </w:r>
            <w:r w:rsidR="00634F61">
              <w:rPr>
                <w:noProof/>
                <w:webHidden/>
              </w:rPr>
              <w:fldChar w:fldCharType="begin"/>
            </w:r>
            <w:r w:rsidR="00634F61">
              <w:rPr>
                <w:noProof/>
                <w:webHidden/>
              </w:rPr>
              <w:instrText xml:space="preserve"> PAGEREF _Toc136270283 \h </w:instrText>
            </w:r>
            <w:r w:rsidR="00634F61">
              <w:rPr>
                <w:noProof/>
                <w:webHidden/>
              </w:rPr>
            </w:r>
            <w:r w:rsidR="00634F61">
              <w:rPr>
                <w:noProof/>
                <w:webHidden/>
              </w:rPr>
              <w:fldChar w:fldCharType="separate"/>
            </w:r>
            <w:r w:rsidR="00634F61">
              <w:rPr>
                <w:noProof/>
                <w:webHidden/>
              </w:rPr>
              <w:t>40</w:t>
            </w:r>
            <w:r w:rsidR="00634F61">
              <w:rPr>
                <w:noProof/>
                <w:webHidden/>
              </w:rPr>
              <w:fldChar w:fldCharType="end"/>
            </w:r>
          </w:hyperlink>
        </w:p>
        <w:p w14:paraId="30C654B8" w14:textId="25DF6F9E" w:rsidR="00634F61" w:rsidRDefault="00375286">
          <w:pPr>
            <w:pStyle w:val="TOC2"/>
            <w:tabs>
              <w:tab w:val="left" w:pos="880"/>
              <w:tab w:val="right" w:leader="dot" w:pos="9486"/>
            </w:tabs>
            <w:rPr>
              <w:rFonts w:eastAsiaTheme="minorEastAsia"/>
              <w:noProof/>
              <w:lang w:eastAsia="bg-BG"/>
            </w:rPr>
          </w:pPr>
          <w:hyperlink w:anchor="_Toc136270284" w:history="1">
            <w:r w:rsidR="00634F61" w:rsidRPr="00C16F8B">
              <w:rPr>
                <w:rStyle w:val="Hyperlink"/>
                <w:rFonts w:ascii="Times New Roman" w:hAnsi="Times New Roman" w:cs="Times New Roman"/>
                <w:noProof/>
              </w:rPr>
              <w:t>19.4</w:t>
            </w:r>
            <w:r w:rsidR="00634F61">
              <w:rPr>
                <w:rFonts w:eastAsiaTheme="minorEastAsia"/>
                <w:noProof/>
                <w:lang w:eastAsia="bg-BG"/>
              </w:rPr>
              <w:tab/>
            </w:r>
            <w:r w:rsidR="00634F61" w:rsidRPr="00C16F8B">
              <w:rPr>
                <w:rStyle w:val="Hyperlink"/>
                <w:rFonts w:ascii="Times New Roman" w:hAnsi="Times New Roman"/>
                <w:noProof/>
              </w:rPr>
              <w:t>Минимални</w:t>
            </w:r>
            <w:r w:rsidR="00634F61" w:rsidRPr="00C16F8B">
              <w:rPr>
                <w:rStyle w:val="Hyperlink"/>
                <w:rFonts w:ascii="Times New Roman" w:hAnsi="Times New Roman" w:cs="Times New Roman"/>
                <w:noProof/>
              </w:rPr>
              <w:t xml:space="preserve"> изисквания за видимост, прозрачност и комуникация</w:t>
            </w:r>
            <w:r w:rsidR="00634F61">
              <w:rPr>
                <w:noProof/>
                <w:webHidden/>
              </w:rPr>
              <w:tab/>
            </w:r>
            <w:r w:rsidR="00634F61">
              <w:rPr>
                <w:noProof/>
                <w:webHidden/>
              </w:rPr>
              <w:fldChar w:fldCharType="begin"/>
            </w:r>
            <w:r w:rsidR="00634F61">
              <w:rPr>
                <w:noProof/>
                <w:webHidden/>
              </w:rPr>
              <w:instrText xml:space="preserve"> PAGEREF _Toc136270284 \h </w:instrText>
            </w:r>
            <w:r w:rsidR="00634F61">
              <w:rPr>
                <w:noProof/>
                <w:webHidden/>
              </w:rPr>
            </w:r>
            <w:r w:rsidR="00634F61">
              <w:rPr>
                <w:noProof/>
                <w:webHidden/>
              </w:rPr>
              <w:fldChar w:fldCharType="separate"/>
            </w:r>
            <w:r w:rsidR="00634F61">
              <w:rPr>
                <w:noProof/>
                <w:webHidden/>
              </w:rPr>
              <w:t>41</w:t>
            </w:r>
            <w:r w:rsidR="00634F61">
              <w:rPr>
                <w:noProof/>
                <w:webHidden/>
              </w:rPr>
              <w:fldChar w:fldCharType="end"/>
            </w:r>
          </w:hyperlink>
        </w:p>
        <w:p w14:paraId="43ACD196" w14:textId="502C6EB2" w:rsidR="00634F61" w:rsidRDefault="00375286">
          <w:pPr>
            <w:pStyle w:val="TOC2"/>
            <w:tabs>
              <w:tab w:val="left" w:pos="880"/>
              <w:tab w:val="right" w:leader="dot" w:pos="9486"/>
            </w:tabs>
            <w:rPr>
              <w:rFonts w:eastAsiaTheme="minorEastAsia"/>
              <w:noProof/>
              <w:lang w:eastAsia="bg-BG"/>
            </w:rPr>
          </w:pPr>
          <w:hyperlink w:anchor="_Toc136270285" w:history="1">
            <w:r w:rsidR="00634F61" w:rsidRPr="00C16F8B">
              <w:rPr>
                <w:rStyle w:val="Hyperlink"/>
                <w:rFonts w:ascii="Times New Roman" w:hAnsi="Times New Roman"/>
                <w:noProof/>
              </w:rPr>
              <w:t>19.5</w:t>
            </w:r>
            <w:r w:rsidR="00634F61">
              <w:rPr>
                <w:rFonts w:eastAsiaTheme="minorEastAsia"/>
                <w:noProof/>
                <w:lang w:eastAsia="bg-BG"/>
              </w:rPr>
              <w:tab/>
            </w:r>
            <w:r w:rsidR="00634F61" w:rsidRPr="00C16F8B">
              <w:rPr>
                <w:rStyle w:val="Hyperlink"/>
                <w:rFonts w:ascii="Times New Roman" w:hAnsi="Times New Roman"/>
                <w:noProof/>
              </w:rPr>
              <w:t>Съпътстващи документи към ФК</w:t>
            </w:r>
            <w:r w:rsidR="00634F61">
              <w:rPr>
                <w:noProof/>
                <w:webHidden/>
              </w:rPr>
              <w:tab/>
            </w:r>
            <w:r w:rsidR="00634F61">
              <w:rPr>
                <w:noProof/>
                <w:webHidden/>
              </w:rPr>
              <w:fldChar w:fldCharType="begin"/>
            </w:r>
            <w:r w:rsidR="00634F61">
              <w:rPr>
                <w:noProof/>
                <w:webHidden/>
              </w:rPr>
              <w:instrText xml:space="preserve"> PAGEREF _Toc136270285 \h </w:instrText>
            </w:r>
            <w:r w:rsidR="00634F61">
              <w:rPr>
                <w:noProof/>
                <w:webHidden/>
              </w:rPr>
            </w:r>
            <w:r w:rsidR="00634F61">
              <w:rPr>
                <w:noProof/>
                <w:webHidden/>
              </w:rPr>
              <w:fldChar w:fldCharType="separate"/>
            </w:r>
            <w:r w:rsidR="00634F61">
              <w:rPr>
                <w:noProof/>
                <w:webHidden/>
              </w:rPr>
              <w:t>43</w:t>
            </w:r>
            <w:r w:rsidR="00634F61">
              <w:rPr>
                <w:noProof/>
                <w:webHidden/>
              </w:rPr>
              <w:fldChar w:fldCharType="end"/>
            </w:r>
          </w:hyperlink>
        </w:p>
        <w:p w14:paraId="57F150EA" w14:textId="3FA94CAF" w:rsidR="00634F61" w:rsidRDefault="00375286">
          <w:pPr>
            <w:pStyle w:val="TOC2"/>
            <w:tabs>
              <w:tab w:val="left" w:pos="880"/>
              <w:tab w:val="right" w:leader="dot" w:pos="9486"/>
            </w:tabs>
            <w:rPr>
              <w:rFonts w:eastAsiaTheme="minorEastAsia"/>
              <w:noProof/>
              <w:lang w:eastAsia="bg-BG"/>
            </w:rPr>
          </w:pPr>
          <w:hyperlink w:anchor="_Toc136270286" w:history="1">
            <w:r w:rsidR="00634F61" w:rsidRPr="00C16F8B">
              <w:rPr>
                <w:rStyle w:val="Hyperlink"/>
                <w:rFonts w:ascii="Times New Roman" w:hAnsi="Times New Roman" w:cs="Times New Roman"/>
                <w:noProof/>
              </w:rPr>
              <w:t>20.</w:t>
            </w:r>
            <w:r w:rsidR="00634F61">
              <w:rPr>
                <w:rFonts w:eastAsiaTheme="minorEastAsia"/>
                <w:noProof/>
                <w:lang w:eastAsia="bg-BG"/>
              </w:rPr>
              <w:tab/>
            </w:r>
            <w:r w:rsidR="00634F61" w:rsidRPr="00C16F8B">
              <w:rPr>
                <w:rStyle w:val="Hyperlink"/>
                <w:rFonts w:ascii="Times New Roman" w:hAnsi="Times New Roman" w:cs="Times New Roman"/>
                <w:noProof/>
              </w:rPr>
              <w:t>Критерии и методика за оценка на проектните предложения:</w:t>
            </w:r>
            <w:r w:rsidR="00634F61">
              <w:rPr>
                <w:noProof/>
                <w:webHidden/>
              </w:rPr>
              <w:tab/>
            </w:r>
            <w:r w:rsidR="00634F61">
              <w:rPr>
                <w:noProof/>
                <w:webHidden/>
              </w:rPr>
              <w:fldChar w:fldCharType="begin"/>
            </w:r>
            <w:r w:rsidR="00634F61">
              <w:rPr>
                <w:noProof/>
                <w:webHidden/>
              </w:rPr>
              <w:instrText xml:space="preserve"> PAGEREF _Toc136270286 \h </w:instrText>
            </w:r>
            <w:r w:rsidR="00634F61">
              <w:rPr>
                <w:noProof/>
                <w:webHidden/>
              </w:rPr>
            </w:r>
            <w:r w:rsidR="00634F61">
              <w:rPr>
                <w:noProof/>
                <w:webHidden/>
              </w:rPr>
              <w:fldChar w:fldCharType="separate"/>
            </w:r>
            <w:r w:rsidR="00634F61">
              <w:rPr>
                <w:noProof/>
                <w:webHidden/>
              </w:rPr>
              <w:t>44</w:t>
            </w:r>
            <w:r w:rsidR="00634F61">
              <w:rPr>
                <w:noProof/>
                <w:webHidden/>
              </w:rPr>
              <w:fldChar w:fldCharType="end"/>
            </w:r>
          </w:hyperlink>
        </w:p>
        <w:p w14:paraId="5FBA10A6" w14:textId="3C2B5A5A" w:rsidR="00634F61" w:rsidRDefault="00375286">
          <w:pPr>
            <w:pStyle w:val="TOC2"/>
            <w:tabs>
              <w:tab w:val="left" w:pos="880"/>
              <w:tab w:val="right" w:leader="dot" w:pos="9486"/>
            </w:tabs>
            <w:rPr>
              <w:rFonts w:eastAsiaTheme="minorEastAsia"/>
              <w:noProof/>
              <w:lang w:eastAsia="bg-BG"/>
            </w:rPr>
          </w:pPr>
          <w:hyperlink w:anchor="_Toc136270287" w:history="1">
            <w:r w:rsidR="00634F61" w:rsidRPr="00C16F8B">
              <w:rPr>
                <w:rStyle w:val="Hyperlink"/>
                <w:rFonts w:ascii="Times New Roman" w:hAnsi="Times New Roman" w:cs="Times New Roman"/>
                <w:noProof/>
              </w:rPr>
              <w:t>20.1</w:t>
            </w:r>
            <w:r w:rsidR="00634F61">
              <w:rPr>
                <w:rFonts w:eastAsiaTheme="minorEastAsia"/>
                <w:noProof/>
                <w:lang w:eastAsia="bg-BG"/>
              </w:rPr>
              <w:tab/>
            </w:r>
            <w:r w:rsidR="00634F61" w:rsidRPr="00C16F8B">
              <w:rPr>
                <w:rStyle w:val="Hyperlink"/>
                <w:rFonts w:ascii="Times New Roman" w:hAnsi="Times New Roman" w:cs="Times New Roman"/>
                <w:noProof/>
              </w:rPr>
              <w:t>Критерии за оценка на проектните предложения:</w:t>
            </w:r>
            <w:r w:rsidR="00634F61">
              <w:rPr>
                <w:noProof/>
                <w:webHidden/>
              </w:rPr>
              <w:tab/>
            </w:r>
            <w:r w:rsidR="00634F61">
              <w:rPr>
                <w:noProof/>
                <w:webHidden/>
              </w:rPr>
              <w:fldChar w:fldCharType="begin"/>
            </w:r>
            <w:r w:rsidR="00634F61">
              <w:rPr>
                <w:noProof/>
                <w:webHidden/>
              </w:rPr>
              <w:instrText xml:space="preserve"> PAGEREF _Toc136270287 \h </w:instrText>
            </w:r>
            <w:r w:rsidR="00634F61">
              <w:rPr>
                <w:noProof/>
                <w:webHidden/>
              </w:rPr>
            </w:r>
            <w:r w:rsidR="00634F61">
              <w:rPr>
                <w:noProof/>
                <w:webHidden/>
              </w:rPr>
              <w:fldChar w:fldCharType="separate"/>
            </w:r>
            <w:r w:rsidR="00634F61">
              <w:rPr>
                <w:noProof/>
                <w:webHidden/>
              </w:rPr>
              <w:t>44</w:t>
            </w:r>
            <w:r w:rsidR="00634F61">
              <w:rPr>
                <w:noProof/>
                <w:webHidden/>
              </w:rPr>
              <w:fldChar w:fldCharType="end"/>
            </w:r>
          </w:hyperlink>
        </w:p>
        <w:p w14:paraId="001DA2E0" w14:textId="75B120FD" w:rsidR="00634F61" w:rsidRDefault="00375286">
          <w:pPr>
            <w:pStyle w:val="TOC2"/>
            <w:tabs>
              <w:tab w:val="left" w:pos="880"/>
              <w:tab w:val="right" w:leader="dot" w:pos="9486"/>
            </w:tabs>
            <w:rPr>
              <w:rFonts w:eastAsiaTheme="minorEastAsia"/>
              <w:noProof/>
              <w:lang w:eastAsia="bg-BG"/>
            </w:rPr>
          </w:pPr>
          <w:hyperlink w:anchor="_Toc136270288" w:history="1">
            <w:r w:rsidR="00634F61" w:rsidRPr="00C16F8B">
              <w:rPr>
                <w:rStyle w:val="Hyperlink"/>
                <w:rFonts w:ascii="Times New Roman" w:hAnsi="Times New Roman" w:cs="Times New Roman"/>
                <w:noProof/>
              </w:rPr>
              <w:t>20.2</w:t>
            </w:r>
            <w:r w:rsidR="00634F61">
              <w:rPr>
                <w:rFonts w:eastAsiaTheme="minorEastAsia"/>
                <w:noProof/>
                <w:lang w:eastAsia="bg-BG"/>
              </w:rPr>
              <w:tab/>
            </w:r>
            <w:r w:rsidR="00634F61" w:rsidRPr="00C16F8B">
              <w:rPr>
                <w:rStyle w:val="Hyperlink"/>
                <w:rFonts w:ascii="Times New Roman" w:hAnsi="Times New Roman" w:cs="Times New Roman"/>
                <w:noProof/>
              </w:rPr>
              <w:t>Методика за оценяване на проектните предложения:</w:t>
            </w:r>
            <w:r w:rsidR="00634F61">
              <w:rPr>
                <w:noProof/>
                <w:webHidden/>
              </w:rPr>
              <w:tab/>
            </w:r>
            <w:r w:rsidR="00634F61">
              <w:rPr>
                <w:noProof/>
                <w:webHidden/>
              </w:rPr>
              <w:fldChar w:fldCharType="begin"/>
            </w:r>
            <w:r w:rsidR="00634F61">
              <w:rPr>
                <w:noProof/>
                <w:webHidden/>
              </w:rPr>
              <w:instrText xml:space="preserve"> PAGEREF _Toc136270288 \h </w:instrText>
            </w:r>
            <w:r w:rsidR="00634F61">
              <w:rPr>
                <w:noProof/>
                <w:webHidden/>
              </w:rPr>
            </w:r>
            <w:r w:rsidR="00634F61">
              <w:rPr>
                <w:noProof/>
                <w:webHidden/>
              </w:rPr>
              <w:fldChar w:fldCharType="separate"/>
            </w:r>
            <w:r w:rsidR="00634F61">
              <w:rPr>
                <w:noProof/>
                <w:webHidden/>
              </w:rPr>
              <w:t>45</w:t>
            </w:r>
            <w:r w:rsidR="00634F61">
              <w:rPr>
                <w:noProof/>
                <w:webHidden/>
              </w:rPr>
              <w:fldChar w:fldCharType="end"/>
            </w:r>
          </w:hyperlink>
        </w:p>
        <w:p w14:paraId="0BFE1470" w14:textId="3641DF47" w:rsidR="00634F61" w:rsidRDefault="00375286">
          <w:pPr>
            <w:pStyle w:val="TOC2"/>
            <w:tabs>
              <w:tab w:val="left" w:pos="880"/>
              <w:tab w:val="right" w:leader="dot" w:pos="9486"/>
            </w:tabs>
            <w:rPr>
              <w:rFonts w:eastAsiaTheme="minorEastAsia"/>
              <w:noProof/>
              <w:lang w:eastAsia="bg-BG"/>
            </w:rPr>
          </w:pPr>
          <w:hyperlink w:anchor="_Toc136270289" w:history="1">
            <w:r w:rsidR="00634F61" w:rsidRPr="00C16F8B">
              <w:rPr>
                <w:rStyle w:val="Hyperlink"/>
                <w:rFonts w:ascii="Times New Roman" w:hAnsi="Times New Roman" w:cs="Times New Roman"/>
                <w:noProof/>
              </w:rPr>
              <w:t>21.</w:t>
            </w:r>
            <w:r w:rsidR="00634F61">
              <w:rPr>
                <w:rFonts w:eastAsiaTheme="minorEastAsia"/>
                <w:noProof/>
                <w:lang w:eastAsia="bg-BG"/>
              </w:rPr>
              <w:tab/>
            </w:r>
            <w:r w:rsidR="00634F61" w:rsidRPr="00C16F8B">
              <w:rPr>
                <w:rStyle w:val="Hyperlink"/>
                <w:rFonts w:ascii="Times New Roman" w:hAnsi="Times New Roman" w:cs="Times New Roman"/>
                <w:noProof/>
              </w:rPr>
              <w:t>Списък на документите, които се подават на етап кандидатстване:</w:t>
            </w:r>
            <w:r w:rsidR="00634F61">
              <w:rPr>
                <w:noProof/>
                <w:webHidden/>
              </w:rPr>
              <w:tab/>
            </w:r>
            <w:r w:rsidR="00634F61">
              <w:rPr>
                <w:noProof/>
                <w:webHidden/>
              </w:rPr>
              <w:fldChar w:fldCharType="begin"/>
            </w:r>
            <w:r w:rsidR="00634F61">
              <w:rPr>
                <w:noProof/>
                <w:webHidden/>
              </w:rPr>
              <w:instrText xml:space="preserve"> PAGEREF _Toc136270289 \h </w:instrText>
            </w:r>
            <w:r w:rsidR="00634F61">
              <w:rPr>
                <w:noProof/>
                <w:webHidden/>
              </w:rPr>
            </w:r>
            <w:r w:rsidR="00634F61">
              <w:rPr>
                <w:noProof/>
                <w:webHidden/>
              </w:rPr>
              <w:fldChar w:fldCharType="separate"/>
            </w:r>
            <w:r w:rsidR="00634F61">
              <w:rPr>
                <w:noProof/>
                <w:webHidden/>
              </w:rPr>
              <w:t>47</w:t>
            </w:r>
            <w:r w:rsidR="00634F61">
              <w:rPr>
                <w:noProof/>
                <w:webHidden/>
              </w:rPr>
              <w:fldChar w:fldCharType="end"/>
            </w:r>
          </w:hyperlink>
        </w:p>
        <w:p w14:paraId="2D62D4D9" w14:textId="3E2F678B" w:rsidR="00634F61" w:rsidRDefault="00375286">
          <w:pPr>
            <w:pStyle w:val="TOC2"/>
            <w:tabs>
              <w:tab w:val="left" w:pos="880"/>
              <w:tab w:val="right" w:leader="dot" w:pos="9486"/>
            </w:tabs>
            <w:rPr>
              <w:rFonts w:eastAsiaTheme="minorEastAsia"/>
              <w:noProof/>
              <w:lang w:eastAsia="bg-BG"/>
            </w:rPr>
          </w:pPr>
          <w:hyperlink w:anchor="_Toc136270290" w:history="1">
            <w:r w:rsidR="00634F61" w:rsidRPr="00C16F8B">
              <w:rPr>
                <w:rStyle w:val="Hyperlink"/>
                <w:rFonts w:ascii="Times New Roman" w:hAnsi="Times New Roman" w:cs="Times New Roman"/>
                <w:noProof/>
              </w:rPr>
              <w:t>22.</w:t>
            </w:r>
            <w:r w:rsidR="00634F61">
              <w:rPr>
                <w:rFonts w:eastAsiaTheme="minorEastAsia"/>
                <w:noProof/>
                <w:lang w:eastAsia="bg-BG"/>
              </w:rPr>
              <w:tab/>
            </w:r>
            <w:r w:rsidR="00634F61" w:rsidRPr="00C16F8B">
              <w:rPr>
                <w:rStyle w:val="Hyperlink"/>
                <w:rFonts w:ascii="Times New Roman" w:hAnsi="Times New Roman" w:cs="Times New Roman"/>
                <w:noProof/>
              </w:rPr>
              <w:t>Краен срок за подаване на проектните предложения:</w:t>
            </w:r>
            <w:r w:rsidR="00634F61">
              <w:rPr>
                <w:noProof/>
                <w:webHidden/>
              </w:rPr>
              <w:tab/>
            </w:r>
            <w:r w:rsidR="00634F61">
              <w:rPr>
                <w:noProof/>
                <w:webHidden/>
              </w:rPr>
              <w:fldChar w:fldCharType="begin"/>
            </w:r>
            <w:r w:rsidR="00634F61">
              <w:rPr>
                <w:noProof/>
                <w:webHidden/>
              </w:rPr>
              <w:instrText xml:space="preserve"> PAGEREF _Toc136270290 \h </w:instrText>
            </w:r>
            <w:r w:rsidR="00634F61">
              <w:rPr>
                <w:noProof/>
                <w:webHidden/>
              </w:rPr>
            </w:r>
            <w:r w:rsidR="00634F61">
              <w:rPr>
                <w:noProof/>
                <w:webHidden/>
              </w:rPr>
              <w:fldChar w:fldCharType="separate"/>
            </w:r>
            <w:r w:rsidR="00634F61">
              <w:rPr>
                <w:noProof/>
                <w:webHidden/>
              </w:rPr>
              <w:t>48</w:t>
            </w:r>
            <w:r w:rsidR="00634F61">
              <w:rPr>
                <w:noProof/>
                <w:webHidden/>
              </w:rPr>
              <w:fldChar w:fldCharType="end"/>
            </w:r>
          </w:hyperlink>
        </w:p>
        <w:p w14:paraId="438C479D" w14:textId="41AB7645" w:rsidR="00634F61" w:rsidRDefault="00375286">
          <w:pPr>
            <w:pStyle w:val="TOC2"/>
            <w:tabs>
              <w:tab w:val="left" w:pos="880"/>
              <w:tab w:val="right" w:leader="dot" w:pos="9486"/>
            </w:tabs>
            <w:rPr>
              <w:rFonts w:eastAsiaTheme="minorEastAsia"/>
              <w:noProof/>
              <w:lang w:eastAsia="bg-BG"/>
            </w:rPr>
          </w:pPr>
          <w:hyperlink w:anchor="_Toc136270291" w:history="1">
            <w:r w:rsidR="00634F61" w:rsidRPr="00C16F8B">
              <w:rPr>
                <w:rStyle w:val="Hyperlink"/>
                <w:rFonts w:ascii="Times New Roman" w:hAnsi="Times New Roman" w:cs="Times New Roman"/>
                <w:noProof/>
              </w:rPr>
              <w:t>23.</w:t>
            </w:r>
            <w:r w:rsidR="00634F61">
              <w:rPr>
                <w:rFonts w:eastAsiaTheme="minorEastAsia"/>
                <w:noProof/>
                <w:lang w:eastAsia="bg-BG"/>
              </w:rPr>
              <w:tab/>
            </w:r>
            <w:r w:rsidR="00634F61" w:rsidRPr="00C16F8B">
              <w:rPr>
                <w:rStyle w:val="Hyperlink"/>
                <w:rFonts w:ascii="Times New Roman" w:hAnsi="Times New Roman" w:cs="Times New Roman"/>
                <w:noProof/>
              </w:rPr>
              <w:t>Адрес за подаване на проектните предложения/концепциите за проектни предложения:</w:t>
            </w:r>
            <w:r w:rsidR="00634F61">
              <w:rPr>
                <w:noProof/>
                <w:webHidden/>
              </w:rPr>
              <w:tab/>
            </w:r>
            <w:r w:rsidR="00634F61">
              <w:rPr>
                <w:noProof/>
                <w:webHidden/>
              </w:rPr>
              <w:fldChar w:fldCharType="begin"/>
            </w:r>
            <w:r w:rsidR="00634F61">
              <w:rPr>
                <w:noProof/>
                <w:webHidden/>
              </w:rPr>
              <w:instrText xml:space="preserve"> PAGEREF _Toc136270291 \h </w:instrText>
            </w:r>
            <w:r w:rsidR="00634F61">
              <w:rPr>
                <w:noProof/>
                <w:webHidden/>
              </w:rPr>
            </w:r>
            <w:r w:rsidR="00634F61">
              <w:rPr>
                <w:noProof/>
                <w:webHidden/>
              </w:rPr>
              <w:fldChar w:fldCharType="separate"/>
            </w:r>
            <w:r w:rsidR="00634F61">
              <w:rPr>
                <w:noProof/>
                <w:webHidden/>
              </w:rPr>
              <w:t>48</w:t>
            </w:r>
            <w:r w:rsidR="00634F61">
              <w:rPr>
                <w:noProof/>
                <w:webHidden/>
              </w:rPr>
              <w:fldChar w:fldCharType="end"/>
            </w:r>
          </w:hyperlink>
        </w:p>
        <w:p w14:paraId="77A424DE" w14:textId="7E59EE45" w:rsidR="00634F61" w:rsidRDefault="00375286">
          <w:pPr>
            <w:pStyle w:val="TOC2"/>
            <w:tabs>
              <w:tab w:val="left" w:pos="880"/>
              <w:tab w:val="right" w:leader="dot" w:pos="9486"/>
            </w:tabs>
            <w:rPr>
              <w:rFonts w:eastAsiaTheme="minorEastAsia"/>
              <w:noProof/>
              <w:lang w:eastAsia="bg-BG"/>
            </w:rPr>
          </w:pPr>
          <w:hyperlink w:anchor="_Toc136270292" w:history="1">
            <w:r w:rsidR="00634F61" w:rsidRPr="00C16F8B">
              <w:rPr>
                <w:rStyle w:val="Hyperlink"/>
                <w:rFonts w:ascii="Times New Roman" w:hAnsi="Times New Roman" w:cs="Times New Roman"/>
                <w:noProof/>
              </w:rPr>
              <w:t>24.</w:t>
            </w:r>
            <w:r w:rsidR="00634F61">
              <w:rPr>
                <w:rFonts w:eastAsiaTheme="minorEastAsia"/>
                <w:noProof/>
                <w:lang w:eastAsia="bg-BG"/>
              </w:rPr>
              <w:tab/>
            </w:r>
            <w:r w:rsidR="00634F61" w:rsidRPr="00C16F8B">
              <w:rPr>
                <w:rStyle w:val="Hyperlink"/>
                <w:rFonts w:ascii="Times New Roman" w:hAnsi="Times New Roman" w:cs="Times New Roman"/>
                <w:noProof/>
              </w:rPr>
              <w:t>Допълнителна информация</w:t>
            </w:r>
            <w:r w:rsidR="00634F61">
              <w:rPr>
                <w:noProof/>
                <w:webHidden/>
              </w:rPr>
              <w:tab/>
            </w:r>
            <w:r w:rsidR="00634F61">
              <w:rPr>
                <w:noProof/>
                <w:webHidden/>
              </w:rPr>
              <w:fldChar w:fldCharType="begin"/>
            </w:r>
            <w:r w:rsidR="00634F61">
              <w:rPr>
                <w:noProof/>
                <w:webHidden/>
              </w:rPr>
              <w:instrText xml:space="preserve"> PAGEREF _Toc136270292 \h </w:instrText>
            </w:r>
            <w:r w:rsidR="00634F61">
              <w:rPr>
                <w:noProof/>
                <w:webHidden/>
              </w:rPr>
            </w:r>
            <w:r w:rsidR="00634F61">
              <w:rPr>
                <w:noProof/>
                <w:webHidden/>
              </w:rPr>
              <w:fldChar w:fldCharType="separate"/>
            </w:r>
            <w:r w:rsidR="00634F61">
              <w:rPr>
                <w:noProof/>
                <w:webHidden/>
              </w:rPr>
              <w:t>48</w:t>
            </w:r>
            <w:r w:rsidR="00634F61">
              <w:rPr>
                <w:noProof/>
                <w:webHidden/>
              </w:rPr>
              <w:fldChar w:fldCharType="end"/>
            </w:r>
          </w:hyperlink>
        </w:p>
        <w:p w14:paraId="6F273E19" w14:textId="0FAE72AE" w:rsidR="00634F61" w:rsidRDefault="00375286">
          <w:pPr>
            <w:pStyle w:val="TOC2"/>
            <w:tabs>
              <w:tab w:val="left" w:pos="880"/>
              <w:tab w:val="right" w:leader="dot" w:pos="9486"/>
            </w:tabs>
            <w:rPr>
              <w:rFonts w:eastAsiaTheme="minorEastAsia"/>
              <w:noProof/>
              <w:lang w:eastAsia="bg-BG"/>
            </w:rPr>
          </w:pPr>
          <w:hyperlink w:anchor="_Toc136270293" w:history="1">
            <w:r w:rsidR="00634F61" w:rsidRPr="00C16F8B">
              <w:rPr>
                <w:rStyle w:val="Hyperlink"/>
                <w:rFonts w:ascii="Times New Roman" w:hAnsi="Times New Roman" w:cs="Times New Roman"/>
                <w:noProof/>
              </w:rPr>
              <w:t>25.</w:t>
            </w:r>
            <w:r w:rsidR="00634F61">
              <w:rPr>
                <w:rFonts w:eastAsiaTheme="minorEastAsia"/>
                <w:noProof/>
                <w:lang w:eastAsia="bg-BG"/>
              </w:rPr>
              <w:tab/>
            </w:r>
            <w:r w:rsidR="00634F61" w:rsidRPr="00C16F8B">
              <w:rPr>
                <w:rStyle w:val="Hyperlink"/>
                <w:rFonts w:ascii="Times New Roman" w:hAnsi="Times New Roman" w:cs="Times New Roman"/>
                <w:noProof/>
              </w:rPr>
              <w:t>Приложения към Условията за кандидатстване</w:t>
            </w:r>
            <w:r w:rsidR="00634F61">
              <w:rPr>
                <w:noProof/>
                <w:webHidden/>
              </w:rPr>
              <w:tab/>
            </w:r>
            <w:r w:rsidR="00634F61">
              <w:rPr>
                <w:noProof/>
                <w:webHidden/>
              </w:rPr>
              <w:fldChar w:fldCharType="begin"/>
            </w:r>
            <w:r w:rsidR="00634F61">
              <w:rPr>
                <w:noProof/>
                <w:webHidden/>
              </w:rPr>
              <w:instrText xml:space="preserve"> PAGEREF _Toc136270293 \h </w:instrText>
            </w:r>
            <w:r w:rsidR="00634F61">
              <w:rPr>
                <w:noProof/>
                <w:webHidden/>
              </w:rPr>
            </w:r>
            <w:r w:rsidR="00634F61">
              <w:rPr>
                <w:noProof/>
                <w:webHidden/>
              </w:rPr>
              <w:fldChar w:fldCharType="separate"/>
            </w:r>
            <w:r w:rsidR="00634F61">
              <w:rPr>
                <w:noProof/>
                <w:webHidden/>
              </w:rPr>
              <w:t>48</w:t>
            </w:r>
            <w:r w:rsidR="00634F61">
              <w:rPr>
                <w:noProof/>
                <w:webHidden/>
              </w:rPr>
              <w:fldChar w:fldCharType="end"/>
            </w:r>
          </w:hyperlink>
        </w:p>
        <w:p w14:paraId="5D6BFF1B" w14:textId="13020CEC" w:rsidR="007551DA" w:rsidRPr="0047161F" w:rsidRDefault="007551DA">
          <w:pPr>
            <w:rPr>
              <w:rFonts w:ascii="Times New Roman" w:hAnsi="Times New Roman" w:cs="Times New Roman"/>
            </w:rPr>
          </w:pPr>
          <w:r w:rsidRPr="0047161F">
            <w:rPr>
              <w:rFonts w:ascii="Times New Roman" w:hAnsi="Times New Roman" w:cs="Times New Roman"/>
              <w:b/>
              <w:bCs/>
              <w:noProof/>
            </w:rPr>
            <w:fldChar w:fldCharType="end"/>
          </w:r>
        </w:p>
      </w:sdtContent>
    </w:sdt>
    <w:p w14:paraId="2545F006" w14:textId="743E882A" w:rsidR="007057A9" w:rsidRPr="0047161F" w:rsidRDefault="000B20F1"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0" w:name="_Toc136270259"/>
      <w:r w:rsidRPr="0047161F">
        <w:rPr>
          <w:rFonts w:ascii="Times New Roman" w:hAnsi="Times New Roman" w:cs="Times New Roman"/>
        </w:rPr>
        <w:t>1</w:t>
      </w:r>
      <w:r w:rsidR="002325A3" w:rsidRPr="0047161F">
        <w:rPr>
          <w:rFonts w:ascii="Times New Roman" w:hAnsi="Times New Roman" w:cs="Times New Roman"/>
        </w:rPr>
        <w:t xml:space="preserve">. </w:t>
      </w:r>
      <w:r w:rsidR="007057A9" w:rsidRPr="0047161F">
        <w:rPr>
          <w:rFonts w:ascii="Times New Roman" w:hAnsi="Times New Roman" w:cs="Times New Roman"/>
        </w:rPr>
        <w:t>Наименование на програмата:</w:t>
      </w:r>
      <w:bookmarkEnd w:id="0"/>
    </w:p>
    <w:p w14:paraId="18839AA4" w14:textId="77777777" w:rsidR="00762798" w:rsidRPr="0047161F" w:rsidRDefault="00762798" w:rsidP="00762798">
      <w:pPr>
        <w:pStyle w:val="ListParagraph"/>
        <w:spacing w:after="360" w:line="240" w:lineRule="auto"/>
        <w:ind w:left="0" w:firstLine="567"/>
        <w:jc w:val="both"/>
        <w:rPr>
          <w:rFonts w:ascii="Times New Roman" w:hAnsi="Times New Roman" w:cs="Times New Roman"/>
          <w:sz w:val="24"/>
          <w:szCs w:val="24"/>
        </w:rPr>
      </w:pPr>
    </w:p>
    <w:p w14:paraId="0715C996" w14:textId="5DEE42C0" w:rsidR="0010018A" w:rsidRPr="0047161F" w:rsidRDefault="00B20C73" w:rsidP="00762798">
      <w:pPr>
        <w:pStyle w:val="ListParagraph"/>
        <w:spacing w:after="360" w:line="240" w:lineRule="auto"/>
        <w:ind w:left="0" w:firstLine="567"/>
        <w:jc w:val="both"/>
        <w:rPr>
          <w:rFonts w:ascii="Times New Roman" w:hAnsi="Times New Roman" w:cs="Times New Roman"/>
          <w:sz w:val="24"/>
          <w:szCs w:val="24"/>
        </w:rPr>
      </w:pPr>
      <w:r w:rsidRPr="0047161F">
        <w:rPr>
          <w:rFonts w:ascii="Times New Roman" w:hAnsi="Times New Roman" w:cs="Times New Roman"/>
          <w:sz w:val="24"/>
          <w:szCs w:val="24"/>
        </w:rPr>
        <w:t xml:space="preserve">Програма </w:t>
      </w:r>
      <w:r w:rsidR="006F0F35" w:rsidRPr="0047161F">
        <w:rPr>
          <w:rFonts w:ascii="Times New Roman" w:hAnsi="Times New Roman" w:cs="Times New Roman"/>
          <w:sz w:val="24"/>
          <w:szCs w:val="24"/>
        </w:rPr>
        <w:t>„</w:t>
      </w:r>
      <w:r w:rsidR="00EF07D4" w:rsidRPr="0047161F">
        <w:rPr>
          <w:rFonts w:ascii="Times New Roman" w:hAnsi="Times New Roman" w:cs="Times New Roman"/>
          <w:sz w:val="24"/>
          <w:szCs w:val="24"/>
        </w:rPr>
        <w:t>Транспортна свързаност</w:t>
      </w:r>
      <w:r w:rsidR="006F0F35" w:rsidRPr="0047161F">
        <w:rPr>
          <w:rFonts w:ascii="Times New Roman" w:hAnsi="Times New Roman" w:cs="Times New Roman"/>
          <w:sz w:val="24"/>
          <w:szCs w:val="24"/>
        </w:rPr>
        <w:t>“ 20</w:t>
      </w:r>
      <w:r w:rsidRPr="0047161F">
        <w:rPr>
          <w:rFonts w:ascii="Times New Roman" w:hAnsi="Times New Roman" w:cs="Times New Roman"/>
          <w:sz w:val="24"/>
          <w:szCs w:val="24"/>
        </w:rPr>
        <w:t>2</w:t>
      </w:r>
      <w:r w:rsidR="006F0F35" w:rsidRPr="0047161F">
        <w:rPr>
          <w:rFonts w:ascii="Times New Roman" w:hAnsi="Times New Roman" w:cs="Times New Roman"/>
          <w:sz w:val="24"/>
          <w:szCs w:val="24"/>
        </w:rPr>
        <w:t>1-202</w:t>
      </w:r>
      <w:r w:rsidRPr="0047161F">
        <w:rPr>
          <w:rFonts w:ascii="Times New Roman" w:hAnsi="Times New Roman" w:cs="Times New Roman"/>
          <w:sz w:val="24"/>
          <w:szCs w:val="24"/>
        </w:rPr>
        <w:t>7</w:t>
      </w:r>
      <w:r w:rsidR="00925DF8" w:rsidRPr="0047161F">
        <w:rPr>
          <w:rFonts w:ascii="Times New Roman" w:hAnsi="Times New Roman" w:cs="Times New Roman"/>
          <w:sz w:val="24"/>
          <w:szCs w:val="24"/>
        </w:rPr>
        <w:t xml:space="preserve"> (</w:t>
      </w:r>
      <w:r w:rsidR="00EF07D4" w:rsidRPr="0047161F">
        <w:rPr>
          <w:rFonts w:ascii="Times New Roman" w:hAnsi="Times New Roman" w:cs="Times New Roman"/>
          <w:sz w:val="24"/>
          <w:szCs w:val="24"/>
        </w:rPr>
        <w:t>ПТС)</w:t>
      </w:r>
    </w:p>
    <w:p w14:paraId="0F60AE76" w14:textId="27FF895E" w:rsidR="00762798" w:rsidRPr="0047161F" w:rsidRDefault="00762798" w:rsidP="005F2802">
      <w:pPr>
        <w:spacing w:after="0" w:line="240" w:lineRule="auto"/>
        <w:ind w:right="-142" w:firstLine="567"/>
        <w:jc w:val="both"/>
        <w:rPr>
          <w:rFonts w:ascii="Times New Roman" w:eastAsia="Times New Roman" w:hAnsi="Times New Roman" w:cs="Times New Roman"/>
          <w:color w:val="000000"/>
          <w:sz w:val="24"/>
          <w:szCs w:val="24"/>
        </w:rPr>
      </w:pPr>
      <w:r w:rsidRPr="0047161F">
        <w:rPr>
          <w:rFonts w:ascii="Times New Roman" w:eastAsia="Times New Roman" w:hAnsi="Times New Roman" w:cs="Times New Roman"/>
          <w:color w:val="000000"/>
          <w:sz w:val="24"/>
          <w:szCs w:val="24"/>
        </w:rPr>
        <w:t xml:space="preserve">С Решение № 712 от 6 октомври 2020 година за </w:t>
      </w:r>
      <w:r w:rsidRPr="0047161F">
        <w:rPr>
          <w:rFonts w:ascii="Times New Roman" w:eastAsia="Times New Roman" w:hAnsi="Times New Roman" w:cs="Times New Roman"/>
          <w:i/>
          <w:color w:val="000000"/>
          <w:sz w:val="24"/>
          <w:szCs w:val="24"/>
        </w:rPr>
        <w:t>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47161F">
        <w:rPr>
          <w:rFonts w:ascii="Times New Roman" w:eastAsia="Times New Roman" w:hAnsi="Times New Roman" w:cs="Times New Roman"/>
          <w:color w:val="000000"/>
          <w:sz w:val="24"/>
          <w:szCs w:val="24"/>
        </w:rPr>
        <w:t xml:space="preserve"> Министерския съвет определи дирекция „Координация на програми и проекти” на Министерството на транспорта и съобщенията за </w:t>
      </w:r>
      <w:r w:rsidRPr="0047161F">
        <w:rPr>
          <w:rFonts w:ascii="Times New Roman" w:eastAsia="Times New Roman" w:hAnsi="Times New Roman" w:cs="Times New Roman"/>
          <w:b/>
          <w:color w:val="000000"/>
          <w:sz w:val="24"/>
          <w:szCs w:val="24"/>
        </w:rPr>
        <w:t>Управляващ орган на Програма „Транспортна свързаност” 2021-2027 г.</w:t>
      </w:r>
      <w:r w:rsidRPr="0047161F">
        <w:rPr>
          <w:rFonts w:ascii="Times New Roman" w:eastAsia="Times New Roman" w:hAnsi="Times New Roman" w:cs="Times New Roman"/>
          <w:color w:val="000000"/>
          <w:sz w:val="24"/>
          <w:szCs w:val="24"/>
        </w:rPr>
        <w:t xml:space="preserve">  </w:t>
      </w:r>
    </w:p>
    <w:p w14:paraId="0B118CE2" w14:textId="77777777" w:rsidR="00762798" w:rsidRPr="0047161F" w:rsidRDefault="00762798" w:rsidP="00762798">
      <w:pPr>
        <w:tabs>
          <w:tab w:val="left" w:pos="900"/>
        </w:tabs>
        <w:spacing w:after="0" w:line="240" w:lineRule="auto"/>
        <w:ind w:left="851" w:right="141" w:hanging="284"/>
        <w:jc w:val="both"/>
        <w:rPr>
          <w:rFonts w:ascii="Times New Roman" w:eastAsia="Times New Roman" w:hAnsi="Times New Roman" w:cs="Times New Roman"/>
          <w:color w:val="000000"/>
          <w:sz w:val="24"/>
          <w:szCs w:val="24"/>
        </w:rPr>
      </w:pPr>
    </w:p>
    <w:p w14:paraId="69E323D5" w14:textId="77777777" w:rsidR="007057A9" w:rsidRPr="0047161F" w:rsidRDefault="002325A3"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 w:name="_Toc136270260"/>
      <w:r w:rsidRPr="0047161F">
        <w:rPr>
          <w:rFonts w:ascii="Times New Roman" w:hAnsi="Times New Roman" w:cs="Times New Roman"/>
        </w:rPr>
        <w:t>2. Н</w:t>
      </w:r>
      <w:r w:rsidR="007057A9" w:rsidRPr="0047161F">
        <w:rPr>
          <w:rFonts w:ascii="Times New Roman" w:hAnsi="Times New Roman" w:cs="Times New Roman"/>
        </w:rPr>
        <w:t>аименование на приоритет</w:t>
      </w:r>
      <w:r w:rsidR="007F76E6" w:rsidRPr="0047161F">
        <w:rPr>
          <w:rFonts w:ascii="Times New Roman" w:hAnsi="Times New Roman" w:cs="Times New Roman"/>
        </w:rPr>
        <w:t>а</w:t>
      </w:r>
      <w:r w:rsidRPr="0047161F">
        <w:rPr>
          <w:rFonts w:ascii="Times New Roman" w:hAnsi="Times New Roman" w:cs="Times New Roman"/>
        </w:rPr>
        <w:t>:</w:t>
      </w:r>
      <w:bookmarkEnd w:id="1"/>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4252"/>
        <w:gridCol w:w="2693"/>
      </w:tblGrid>
      <w:tr w:rsidR="00FB0F3F" w:rsidRPr="0047161F" w14:paraId="7E653FC2" w14:textId="77777777" w:rsidTr="00FB0F3F">
        <w:trPr>
          <w:trHeight w:val="551"/>
        </w:trPr>
        <w:tc>
          <w:tcPr>
            <w:tcW w:w="2836" w:type="dxa"/>
            <w:shd w:val="clear" w:color="auto" w:fill="BDD6EE"/>
            <w:vAlign w:val="center"/>
          </w:tcPr>
          <w:p w14:paraId="5C47FF85" w14:textId="77777777"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Номер и наименование на приоритета по ПТС</w:t>
            </w:r>
          </w:p>
        </w:tc>
        <w:tc>
          <w:tcPr>
            <w:tcW w:w="4252" w:type="dxa"/>
            <w:shd w:val="clear" w:color="auto" w:fill="BDD6EE"/>
            <w:vAlign w:val="center"/>
          </w:tcPr>
          <w:p w14:paraId="5D7847DC" w14:textId="219F3F68"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Специфична цел</w:t>
            </w:r>
          </w:p>
        </w:tc>
        <w:tc>
          <w:tcPr>
            <w:tcW w:w="2693" w:type="dxa"/>
            <w:shd w:val="clear" w:color="auto" w:fill="BDD6EE"/>
            <w:vAlign w:val="center"/>
          </w:tcPr>
          <w:p w14:paraId="51227109" w14:textId="4781E699"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bCs/>
                <w:sz w:val="20"/>
                <w:szCs w:val="20"/>
                <w:lang w:eastAsia="bg-BG"/>
              </w:rPr>
              <w:t xml:space="preserve">Конкретни </w:t>
            </w:r>
            <w:r w:rsidRPr="0047161F">
              <w:rPr>
                <w:rFonts w:ascii="Times New Roman" w:eastAsia="Times New Roman" w:hAnsi="Times New Roman" w:cs="Times New Roman"/>
                <w:b/>
                <w:color w:val="000000"/>
                <w:sz w:val="20"/>
                <w:szCs w:val="20"/>
                <w:lang w:eastAsia="bg-BG"/>
              </w:rPr>
              <w:t>бенефициенти по ПТС</w:t>
            </w:r>
          </w:p>
        </w:tc>
      </w:tr>
      <w:tr w:rsidR="00FB0F3F" w:rsidRPr="0047161F" w14:paraId="2D1B0249" w14:textId="77777777" w:rsidTr="00FB0F3F">
        <w:trPr>
          <w:trHeight w:val="433"/>
        </w:trPr>
        <w:tc>
          <w:tcPr>
            <w:tcW w:w="2836" w:type="dxa"/>
          </w:tcPr>
          <w:p w14:paraId="69905DA3" w14:textId="6B6027AA" w:rsidR="00FB0F3F" w:rsidRPr="0047161F" w:rsidRDefault="00FB0F3F" w:rsidP="005F2802">
            <w:pPr>
              <w:spacing w:before="120" w:after="120" w:line="240" w:lineRule="auto"/>
              <w:ind w:right="14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b/>
                <w:color w:val="000000"/>
                <w:sz w:val="24"/>
                <w:szCs w:val="24"/>
                <w:lang w:eastAsia="bg-BG"/>
              </w:rPr>
              <w:t xml:space="preserve">Приоритет 4 </w:t>
            </w:r>
            <w:r w:rsidRPr="0047161F">
              <w:rPr>
                <w:rFonts w:ascii="Times New Roman" w:eastAsia="Times New Roman" w:hAnsi="Times New Roman" w:cs="Times New Roman"/>
                <w:color w:val="000000"/>
                <w:sz w:val="24"/>
                <w:szCs w:val="24"/>
                <w:lang w:eastAsia="bg-BG" w:bidi="bg-BG"/>
              </w:rPr>
              <w:t>„Интермодалност в градски условия“</w:t>
            </w:r>
          </w:p>
        </w:tc>
        <w:tc>
          <w:tcPr>
            <w:tcW w:w="4252" w:type="dxa"/>
          </w:tcPr>
          <w:p w14:paraId="5249FB4F" w14:textId="0EDFAB78" w:rsidR="00FB0F3F" w:rsidRPr="0047161F" w:rsidRDefault="00FB0F3F" w:rsidP="003F1D1D">
            <w:pPr>
              <w:numPr>
                <w:ilvl w:val="0"/>
                <w:numId w:val="1"/>
              </w:numPr>
              <w:tabs>
                <w:tab w:val="left" w:pos="0"/>
              </w:tabs>
              <w:spacing w:after="0" w:line="240" w:lineRule="auto"/>
              <w:ind w:left="318" w:right="-108" w:hanging="318"/>
              <w:rPr>
                <w:rFonts w:ascii="Times New Roman" w:eastAsia="Times New Roman" w:hAnsi="Times New Roman" w:cs="Times New Roman"/>
                <w:color w:val="000000"/>
                <w:sz w:val="24"/>
                <w:szCs w:val="24"/>
                <w:lang w:eastAsia="bg-BG" w:bidi="bg-BG"/>
              </w:rPr>
            </w:pPr>
            <w:r w:rsidRPr="0047161F">
              <w:rPr>
                <w:rFonts w:ascii="Times New Roman" w:hAnsi="Times New Roman" w:cs="Times New Roman"/>
              </w:rPr>
              <w:t>RSO2.8</w:t>
            </w:r>
            <w:r w:rsidRPr="0047161F">
              <w:rPr>
                <w:rFonts w:ascii="Times New Roman" w:eastAsia="Times New Roman" w:hAnsi="Times New Roman" w:cs="Times New Roman"/>
                <w:iCs/>
                <w:noProof/>
                <w:sz w:val="24"/>
                <w:szCs w:val="24"/>
              </w:rPr>
              <w:t xml:space="preserve"> „Насърчаване на устойчива мултимодална градска мобилност като част от прехода към икономика с нулеви нетни въглеродни емисии“</w:t>
            </w:r>
          </w:p>
        </w:tc>
        <w:tc>
          <w:tcPr>
            <w:tcW w:w="2693" w:type="dxa"/>
          </w:tcPr>
          <w:p w14:paraId="5C6D5782" w14:textId="1A629064" w:rsidR="00FB0F3F" w:rsidRPr="0047161F" w:rsidRDefault="00FB0F3F" w:rsidP="003F1D1D">
            <w:pPr>
              <w:numPr>
                <w:ilvl w:val="0"/>
                <w:numId w:val="1"/>
              </w:numPr>
              <w:tabs>
                <w:tab w:val="left" w:pos="0"/>
              </w:tabs>
              <w:spacing w:after="0" w:line="240" w:lineRule="auto"/>
              <w:ind w:left="318" w:right="-108" w:hanging="318"/>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bidi="bg-BG"/>
              </w:rPr>
              <w:t>НКЖИ</w:t>
            </w:r>
          </w:p>
        </w:tc>
      </w:tr>
    </w:tbl>
    <w:p w14:paraId="11511BAF" w14:textId="7C926449" w:rsidR="006A2DB8" w:rsidRPr="0047161F" w:rsidRDefault="002325A3" w:rsidP="005F2802">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2" w:name="_Toc136270261"/>
      <w:r w:rsidRPr="0047161F">
        <w:rPr>
          <w:rFonts w:ascii="Times New Roman" w:hAnsi="Times New Roman" w:cs="Times New Roman"/>
        </w:rPr>
        <w:t xml:space="preserve">3. </w:t>
      </w:r>
      <w:r w:rsidR="007057A9" w:rsidRPr="0047161F">
        <w:rPr>
          <w:rFonts w:ascii="Times New Roman" w:hAnsi="Times New Roman" w:cs="Times New Roman"/>
        </w:rPr>
        <w:t>Наименование на процедур</w:t>
      </w:r>
      <w:r w:rsidR="00A91A02" w:rsidRPr="0047161F">
        <w:rPr>
          <w:rFonts w:ascii="Times New Roman" w:hAnsi="Times New Roman" w:cs="Times New Roman"/>
        </w:rPr>
        <w:t>ите</w:t>
      </w:r>
      <w:r w:rsidRPr="0047161F">
        <w:rPr>
          <w:rFonts w:ascii="Times New Roman" w:hAnsi="Times New Roman" w:cs="Times New Roman"/>
        </w:rPr>
        <w:t>:</w:t>
      </w:r>
      <w:bookmarkEnd w:id="2"/>
    </w:p>
    <w:p w14:paraId="171E4A45" w14:textId="16F6A781" w:rsidR="00300C94" w:rsidRPr="0047161F" w:rsidRDefault="00300C94" w:rsidP="00300C94">
      <w:pPr>
        <w:rPr>
          <w:rFonts w:ascii="Times New Roman" w:hAnsi="Times New Roman" w:cs="Times New Roman"/>
        </w:rPr>
      </w:pPr>
    </w:p>
    <w:p w14:paraId="246CB261" w14:textId="77777777" w:rsidR="00300C94" w:rsidRPr="0047161F" w:rsidRDefault="00300C94" w:rsidP="00774B32">
      <w:pPr>
        <w:pStyle w:val="ListParagraph"/>
        <w:ind w:left="360"/>
        <w:rPr>
          <w:rFonts w:ascii="Times New Roman" w:hAnsi="Times New Roman" w:cs="Times New Roman"/>
          <w:sz w:val="24"/>
          <w:szCs w:val="24"/>
        </w:rPr>
      </w:pPr>
      <w:r w:rsidRPr="0047161F">
        <w:rPr>
          <w:rFonts w:ascii="Times New Roman" w:hAnsi="Times New Roman" w:cs="Times New Roman"/>
          <w:sz w:val="24"/>
          <w:szCs w:val="24"/>
        </w:rPr>
        <w:t>Процедура № 2021BG16FFPR001-4.001 „Интермодалност в градски условия”</w:t>
      </w:r>
    </w:p>
    <w:p w14:paraId="0AF67928" w14:textId="77777777" w:rsidR="00300C94" w:rsidRPr="0047161F" w:rsidRDefault="00300C94" w:rsidP="00300C94">
      <w:pPr>
        <w:rPr>
          <w:rFonts w:ascii="Times New Roman" w:hAnsi="Times New Roman" w:cs="Times New Roman"/>
        </w:rPr>
      </w:pPr>
    </w:p>
    <w:p w14:paraId="5C68C2A1" w14:textId="2552B371" w:rsidR="00CB14EE" w:rsidRPr="0047161F" w:rsidRDefault="00CB14EE"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3" w:name="_Toc136270262"/>
      <w:r w:rsidRPr="0047161F">
        <w:rPr>
          <w:rFonts w:ascii="Times New Roman" w:hAnsi="Times New Roman" w:cs="Times New Roman"/>
        </w:rPr>
        <w:t>4. Измерения по кодове:</w:t>
      </w:r>
      <w:bookmarkEnd w:id="3"/>
    </w:p>
    <w:tbl>
      <w:tblPr>
        <w:tblStyle w:val="TableGrid1"/>
        <w:tblW w:w="9214" w:type="dxa"/>
        <w:tblInd w:w="-5" w:type="dxa"/>
        <w:tblLook w:val="04A0" w:firstRow="1" w:lastRow="0" w:firstColumn="1" w:lastColumn="0" w:noHBand="0" w:noVBand="1"/>
      </w:tblPr>
      <w:tblGrid>
        <w:gridCol w:w="4058"/>
        <w:gridCol w:w="1471"/>
        <w:gridCol w:w="1984"/>
        <w:gridCol w:w="1701"/>
      </w:tblGrid>
      <w:tr w:rsidR="00085E14" w:rsidRPr="008D4AB4" w14:paraId="4E6EFBAF" w14:textId="77777777" w:rsidTr="00860EF8">
        <w:tc>
          <w:tcPr>
            <w:tcW w:w="405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6FD14F" w14:textId="468B553F"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4 „Интермодалност в градски условия”</w:t>
            </w:r>
          </w:p>
        </w:tc>
        <w:tc>
          <w:tcPr>
            <w:tcW w:w="14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A958F20" w14:textId="77777777" w:rsidR="00085E14" w:rsidRPr="008D4AB4"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88FDF8E" w14:textId="77777777" w:rsidR="00085E14" w:rsidRPr="008D4AB4" w:rsidRDefault="00085E14" w:rsidP="00085E14">
            <w:pPr>
              <w:spacing w:before="120" w:after="120"/>
              <w:jc w:val="both"/>
              <w:rPr>
                <w:rFonts w:ascii="Times New Roman" w:eastAsia="Times New Roman" w:hAnsi="Times New Roman" w:cs="Times New Roman"/>
                <w:b/>
                <w:iCs/>
                <w:noProof/>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BDA807" w14:textId="42044839" w:rsidR="00085E14" w:rsidRPr="008D4AB4" w:rsidRDefault="00085E14" w:rsidP="00085E14">
            <w:pPr>
              <w:spacing w:before="120" w:after="120"/>
              <w:jc w:val="both"/>
              <w:rPr>
                <w:rFonts w:ascii="Times New Roman" w:eastAsia="Times New Roman" w:hAnsi="Times New Roman" w:cs="Times New Roman"/>
                <w:b/>
                <w:iCs/>
                <w:noProof/>
                <w:sz w:val="20"/>
                <w:szCs w:val="20"/>
              </w:rPr>
            </w:pPr>
          </w:p>
        </w:tc>
      </w:tr>
      <w:tr w:rsidR="00085E14" w:rsidRPr="008D4AB4" w14:paraId="019E502B" w14:textId="28EF812F" w:rsidTr="00860EF8">
        <w:trPr>
          <w:trHeight w:val="541"/>
        </w:trPr>
        <w:tc>
          <w:tcPr>
            <w:tcW w:w="4058" w:type="dxa"/>
            <w:tcBorders>
              <w:top w:val="single" w:sz="4" w:space="0" w:color="auto"/>
              <w:left w:val="single" w:sz="4" w:space="0" w:color="auto"/>
              <w:bottom w:val="single" w:sz="4" w:space="0" w:color="auto"/>
              <w:right w:val="single" w:sz="4" w:space="0" w:color="auto"/>
            </w:tcBorders>
          </w:tcPr>
          <w:p w14:paraId="085B1963" w14:textId="70AEB059" w:rsidR="00085E14" w:rsidRPr="008D4AB4" w:rsidRDefault="00085E14" w:rsidP="00085E14">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081</w:t>
            </w:r>
            <w:r w:rsidRPr="008D4AB4">
              <w:rPr>
                <w:rFonts w:ascii="Times New Roman" w:eastAsia="Times New Roman" w:hAnsi="Times New Roman" w:cs="Times New Roman"/>
                <w:b/>
                <w:iCs/>
                <w:noProof/>
                <w:sz w:val="20"/>
                <w:szCs w:val="20"/>
                <w:lang w:val="en-US"/>
              </w:rPr>
              <w:t xml:space="preserve"> </w:t>
            </w:r>
            <w:r w:rsidRPr="008D4AB4">
              <w:rPr>
                <w:rFonts w:ascii="Times New Roman" w:eastAsia="Times New Roman" w:hAnsi="Times New Roman" w:cs="Times New Roman"/>
                <w:iCs/>
                <w:noProof/>
                <w:sz w:val="20"/>
                <w:szCs w:val="20"/>
              </w:rPr>
              <w:t xml:space="preserve">Инфраструктура за чист градски транспорт </w:t>
            </w:r>
          </w:p>
        </w:tc>
        <w:tc>
          <w:tcPr>
            <w:tcW w:w="1471" w:type="dxa"/>
            <w:tcBorders>
              <w:top w:val="single" w:sz="4" w:space="0" w:color="auto"/>
              <w:left w:val="single" w:sz="4" w:space="0" w:color="auto"/>
              <w:bottom w:val="single" w:sz="4" w:space="0" w:color="auto"/>
              <w:right w:val="single" w:sz="4" w:space="0" w:color="auto"/>
            </w:tcBorders>
          </w:tcPr>
          <w:p w14:paraId="6F07E54C" w14:textId="4CA94429"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КФ</w:t>
            </w:r>
          </w:p>
        </w:tc>
        <w:tc>
          <w:tcPr>
            <w:tcW w:w="1984" w:type="dxa"/>
            <w:tcBorders>
              <w:top w:val="single" w:sz="4" w:space="0" w:color="auto"/>
              <w:left w:val="single" w:sz="4" w:space="0" w:color="auto"/>
              <w:bottom w:val="single" w:sz="4" w:space="0" w:color="auto"/>
              <w:right w:val="single" w:sz="4" w:space="0" w:color="auto"/>
            </w:tcBorders>
          </w:tcPr>
          <w:p w14:paraId="64704FE7" w14:textId="63106E15"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НП</w:t>
            </w:r>
          </w:p>
        </w:tc>
        <w:tc>
          <w:tcPr>
            <w:tcW w:w="1701" w:type="dxa"/>
            <w:tcBorders>
              <w:top w:val="single" w:sz="4" w:space="0" w:color="auto"/>
              <w:left w:val="single" w:sz="4" w:space="0" w:color="auto"/>
              <w:bottom w:val="single" w:sz="4" w:space="0" w:color="auto"/>
              <w:right w:val="single" w:sz="4" w:space="0" w:color="auto"/>
            </w:tcBorders>
          </w:tcPr>
          <w:p w14:paraId="29E998F9" w14:textId="55074B3F" w:rsidR="00085E14" w:rsidRPr="008D4AB4" w:rsidRDefault="00085E14" w:rsidP="00085E1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40 000 000,00</w:t>
            </w:r>
          </w:p>
        </w:tc>
      </w:tr>
    </w:tbl>
    <w:p w14:paraId="149C8215" w14:textId="77777777" w:rsidR="007833A6" w:rsidRPr="008D4AB4" w:rsidRDefault="007833A6" w:rsidP="00300C94">
      <w:pPr>
        <w:pStyle w:val="ListParagraph"/>
        <w:spacing w:after="360" w:line="240" w:lineRule="auto"/>
        <w:jc w:val="both"/>
        <w:rPr>
          <w:rFonts w:ascii="Times New Roman" w:hAnsi="Times New Roman" w:cs="Times New Roman"/>
          <w:sz w:val="24"/>
          <w:szCs w:val="24"/>
        </w:rPr>
      </w:pPr>
    </w:p>
    <w:p w14:paraId="756FD5E7" w14:textId="356B6FA2" w:rsidR="007833A6" w:rsidRPr="008D4AB4" w:rsidRDefault="00EF3828" w:rsidP="00300C94">
      <w:pPr>
        <w:pStyle w:val="ListParagraph"/>
        <w:spacing w:after="360" w:line="240" w:lineRule="auto"/>
        <w:jc w:val="both"/>
        <w:rPr>
          <w:rFonts w:ascii="Times New Roman" w:hAnsi="Times New Roman" w:cs="Times New Roman"/>
          <w:b/>
          <w:sz w:val="24"/>
          <w:szCs w:val="24"/>
        </w:rPr>
      </w:pPr>
      <w:r w:rsidRPr="008D4AB4">
        <w:rPr>
          <w:rFonts w:ascii="Times New Roman" w:hAnsi="Times New Roman" w:cs="Times New Roman"/>
          <w:b/>
          <w:sz w:val="24"/>
          <w:szCs w:val="24"/>
        </w:rPr>
        <w:lastRenderedPageBreak/>
        <w:t>Измерение 2- Форма на финансиране, Измерение 3 — Териториален механизъм за изпълнение и териториална насоченост, Измерение 7 — Равенство между половете във връзка с ЕСФ+*, ЕФРР, КФ и ФСП</w:t>
      </w:r>
    </w:p>
    <w:tbl>
      <w:tblPr>
        <w:tblStyle w:val="TableGrid1"/>
        <w:tblW w:w="9493" w:type="dxa"/>
        <w:tblLook w:val="04A0" w:firstRow="1" w:lastRow="0" w:firstColumn="1" w:lastColumn="0" w:noHBand="0" w:noVBand="1"/>
      </w:tblPr>
      <w:tblGrid>
        <w:gridCol w:w="1210"/>
        <w:gridCol w:w="1620"/>
        <w:gridCol w:w="2127"/>
        <w:gridCol w:w="2126"/>
        <w:gridCol w:w="850"/>
        <w:gridCol w:w="1560"/>
      </w:tblGrid>
      <w:tr w:rsidR="000F17B1" w:rsidRPr="008D4AB4" w14:paraId="76541AC1" w14:textId="6ACD127C" w:rsidTr="00EF3828">
        <w:trPr>
          <w:trHeight w:val="950"/>
        </w:trPr>
        <w:tc>
          <w:tcPr>
            <w:tcW w:w="1210" w:type="dxa"/>
            <w:tcBorders>
              <w:left w:val="single" w:sz="4" w:space="0" w:color="auto"/>
              <w:bottom w:val="single" w:sz="4" w:space="0" w:color="auto"/>
              <w:right w:val="single" w:sz="4" w:space="0" w:color="auto"/>
            </w:tcBorders>
            <w:shd w:val="clear" w:color="auto" w:fill="E2EFD9" w:themeFill="accent6" w:themeFillTint="33"/>
          </w:tcPr>
          <w:p w14:paraId="3CCC87D4" w14:textId="24D28F9D"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и СЦ</w:t>
            </w:r>
          </w:p>
        </w:tc>
        <w:tc>
          <w:tcPr>
            <w:tcW w:w="1620" w:type="dxa"/>
            <w:tcBorders>
              <w:left w:val="single" w:sz="4" w:space="0" w:color="auto"/>
              <w:bottom w:val="single" w:sz="4" w:space="0" w:color="auto"/>
              <w:right w:val="single" w:sz="4" w:space="0" w:color="auto"/>
            </w:tcBorders>
            <w:shd w:val="clear" w:color="auto" w:fill="E2EFD9" w:themeFill="accent6" w:themeFillTint="33"/>
          </w:tcPr>
          <w:p w14:paraId="5D5BF72A" w14:textId="0F7B9771"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lang w:val="en-US"/>
              </w:rPr>
              <w:t>Измерение 2-</w:t>
            </w:r>
            <w:r w:rsidRPr="008D4AB4">
              <w:rPr>
                <w:rFonts w:ascii="Times New Roman" w:hAnsi="Times New Roman" w:cs="Times New Roman"/>
              </w:rPr>
              <w:t xml:space="preserve"> </w:t>
            </w:r>
            <w:r w:rsidRPr="008D4AB4">
              <w:rPr>
                <w:rFonts w:ascii="Times New Roman" w:eastAsia="Times New Roman" w:hAnsi="Times New Roman" w:cs="Times New Roman"/>
                <w:b/>
                <w:iCs/>
                <w:noProof/>
                <w:sz w:val="20"/>
                <w:szCs w:val="20"/>
              </w:rPr>
              <w:t>Форма на финансиране</w:t>
            </w:r>
          </w:p>
        </w:tc>
        <w:tc>
          <w:tcPr>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5FD78" w14:textId="5EBD1854"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3 — Териториален механизъм за изпълнение и териториална насоченост</w:t>
            </w:r>
          </w:p>
        </w:tc>
        <w:tc>
          <w:tcPr>
            <w:tcW w:w="212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79BE0F" w14:textId="7F610980"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7 — Равенство между половете във връзка с ЕСФ+*, ЕФРР, КФ и ФСП</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7D1AA6" w14:textId="615E38A7"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56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3F393" w14:textId="7F23A9C0" w:rsidR="000F17B1" w:rsidRPr="008D4AB4" w:rsidRDefault="000F17B1" w:rsidP="000F17B1">
            <w:pPr>
              <w:spacing w:before="120" w:after="120"/>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Сума в евро</w:t>
            </w:r>
          </w:p>
        </w:tc>
      </w:tr>
      <w:tr w:rsidR="00774B32" w:rsidRPr="008D4AB4" w14:paraId="07C22B54" w14:textId="50B65D24" w:rsidTr="00EF3828">
        <w:tc>
          <w:tcPr>
            <w:tcW w:w="1210" w:type="dxa"/>
            <w:tcBorders>
              <w:left w:val="single" w:sz="4" w:space="0" w:color="auto"/>
              <w:bottom w:val="single" w:sz="4" w:space="0" w:color="auto"/>
              <w:right w:val="single" w:sz="4" w:space="0" w:color="auto"/>
            </w:tcBorders>
          </w:tcPr>
          <w:p w14:paraId="0C382957" w14:textId="228083B0" w:rsidR="00774B32" w:rsidRPr="008D4AB4" w:rsidRDefault="00774B32" w:rsidP="007833A6">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4 -</w:t>
            </w:r>
            <w:r w:rsidRPr="008D4AB4">
              <w:rPr>
                <w:rFonts w:ascii="Times New Roman" w:hAnsi="Times New Roman" w:cs="Times New Roman"/>
              </w:rPr>
              <w:t>RSO2.8</w:t>
            </w:r>
          </w:p>
        </w:tc>
        <w:tc>
          <w:tcPr>
            <w:tcW w:w="1620" w:type="dxa"/>
            <w:tcBorders>
              <w:left w:val="single" w:sz="4" w:space="0" w:color="auto"/>
              <w:bottom w:val="single" w:sz="4" w:space="0" w:color="auto"/>
              <w:right w:val="single" w:sz="4" w:space="0" w:color="auto"/>
            </w:tcBorders>
          </w:tcPr>
          <w:p w14:paraId="2CD05624" w14:textId="7A3CF07C" w:rsidR="00774B32" w:rsidRPr="008D4AB4" w:rsidRDefault="00774B32" w:rsidP="007833A6">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tc>
        <w:tc>
          <w:tcPr>
            <w:tcW w:w="2127" w:type="dxa"/>
            <w:tcBorders>
              <w:top w:val="single" w:sz="4" w:space="0" w:color="auto"/>
              <w:left w:val="single" w:sz="4" w:space="0" w:color="auto"/>
              <w:bottom w:val="single" w:sz="4" w:space="0" w:color="auto"/>
              <w:right w:val="single" w:sz="4" w:space="0" w:color="auto"/>
            </w:tcBorders>
          </w:tcPr>
          <w:p w14:paraId="4F855F05" w14:textId="2E3728AB" w:rsidR="00774B32" w:rsidRPr="008D4AB4" w:rsidRDefault="00774B32" w:rsidP="007833A6">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26. </w:t>
            </w:r>
            <w:r w:rsidRPr="008D4AB4">
              <w:rPr>
                <w:rFonts w:ascii="Times New Roman" w:eastAsia="Times New Roman" w:hAnsi="Times New Roman" w:cs="Times New Roman"/>
                <w:iCs/>
                <w:noProof/>
                <w:sz w:val="20"/>
                <w:szCs w:val="20"/>
              </w:rPr>
              <w:t>Други подходи-  Градове и предградия</w:t>
            </w:r>
          </w:p>
        </w:tc>
        <w:tc>
          <w:tcPr>
            <w:tcW w:w="2126" w:type="dxa"/>
            <w:tcBorders>
              <w:top w:val="single" w:sz="4" w:space="0" w:color="auto"/>
              <w:left w:val="single" w:sz="4" w:space="0" w:color="auto"/>
              <w:bottom w:val="single" w:sz="4" w:space="0" w:color="auto"/>
              <w:right w:val="single" w:sz="4" w:space="0" w:color="auto"/>
            </w:tcBorders>
          </w:tcPr>
          <w:p w14:paraId="4A9B28A5" w14:textId="06AD7AEA" w:rsidR="00774B32" w:rsidRPr="008D4AB4" w:rsidRDefault="00774B32" w:rsidP="007833A6">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3D731603" w14:textId="6BCF6E16" w:rsidR="00774B32" w:rsidRPr="008D4AB4" w:rsidRDefault="00774B32" w:rsidP="007833A6">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1560" w:type="dxa"/>
            <w:tcBorders>
              <w:top w:val="single" w:sz="4" w:space="0" w:color="auto"/>
              <w:left w:val="single" w:sz="4" w:space="0" w:color="auto"/>
              <w:bottom w:val="single" w:sz="4" w:space="0" w:color="auto"/>
              <w:right w:val="single" w:sz="4" w:space="0" w:color="auto"/>
            </w:tcBorders>
          </w:tcPr>
          <w:p w14:paraId="0320434A" w14:textId="32B25F82" w:rsidR="00774B32" w:rsidRPr="008D4AB4" w:rsidRDefault="00774B32"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40 000 000,00</w:t>
            </w:r>
          </w:p>
        </w:tc>
      </w:tr>
    </w:tbl>
    <w:p w14:paraId="2559FC2F" w14:textId="4C382581" w:rsidR="004A58E5" w:rsidRPr="008D4AB4" w:rsidRDefault="004A58E5"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4" w:name="_Toc136270263"/>
      <w:r w:rsidRPr="008D4AB4">
        <w:rPr>
          <w:rFonts w:ascii="Times New Roman" w:hAnsi="Times New Roman" w:cs="Times New Roman"/>
        </w:rPr>
        <w:t>5. Териториален обхват:</w:t>
      </w:r>
      <w:bookmarkEnd w:id="4"/>
    </w:p>
    <w:p w14:paraId="128AE276" w14:textId="77777777" w:rsidR="00243229" w:rsidRPr="008D4AB4" w:rsidRDefault="007125D8" w:rsidP="00243229">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Дейностите по настоящ</w:t>
      </w:r>
      <w:r w:rsidR="000546E4" w:rsidRPr="008D4AB4">
        <w:rPr>
          <w:rFonts w:ascii="Times New Roman" w:hAnsi="Times New Roman" w:cs="Times New Roman"/>
          <w:sz w:val="24"/>
          <w:szCs w:val="24"/>
        </w:rPr>
        <w:t>ите процедури</w:t>
      </w:r>
      <w:r w:rsidR="00243229" w:rsidRPr="008D4AB4">
        <w:rPr>
          <w:rFonts w:ascii="Times New Roman" w:hAnsi="Times New Roman" w:cs="Times New Roman"/>
          <w:sz w:val="24"/>
          <w:szCs w:val="24"/>
        </w:rPr>
        <w:t xml:space="preserve"> следва да бъдат изпълнени:</w:t>
      </w:r>
    </w:p>
    <w:p w14:paraId="082C5305" w14:textId="4AA5DD09" w:rsidR="007F76E6" w:rsidRPr="008D4AB4" w:rsidRDefault="00243229" w:rsidP="003F1D1D">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за финансиране от КФ - </w:t>
      </w:r>
      <w:r w:rsidR="007125D8" w:rsidRPr="008D4AB4">
        <w:rPr>
          <w:rFonts w:ascii="Times New Roman" w:hAnsi="Times New Roman" w:cs="Times New Roman"/>
          <w:sz w:val="24"/>
          <w:szCs w:val="24"/>
        </w:rPr>
        <w:t>на територи</w:t>
      </w:r>
      <w:r w:rsidR="000546E4" w:rsidRPr="008D4AB4">
        <w:rPr>
          <w:rFonts w:ascii="Times New Roman" w:hAnsi="Times New Roman" w:cs="Times New Roman"/>
          <w:sz w:val="24"/>
          <w:szCs w:val="24"/>
        </w:rPr>
        <w:t>ята на Република България</w:t>
      </w:r>
      <w:r w:rsidR="0065728F" w:rsidRPr="008D4AB4">
        <w:rPr>
          <w:rStyle w:val="FootnoteReference"/>
          <w:rFonts w:ascii="Times New Roman" w:hAnsi="Times New Roman" w:cs="Times New Roman"/>
          <w:sz w:val="24"/>
          <w:szCs w:val="24"/>
        </w:rPr>
        <w:footnoteReference w:id="1"/>
      </w:r>
      <w:r w:rsidRPr="008D4AB4">
        <w:rPr>
          <w:rFonts w:ascii="Times New Roman" w:hAnsi="Times New Roman" w:cs="Times New Roman"/>
          <w:sz w:val="24"/>
          <w:szCs w:val="24"/>
        </w:rPr>
        <w:t>;</w:t>
      </w:r>
    </w:p>
    <w:p w14:paraId="00ECEC3B" w14:textId="77777777" w:rsidR="00901F98" w:rsidRPr="008D4AB4" w:rsidRDefault="004A58E5" w:rsidP="0065728F">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5" w:name="_Toc136270264"/>
      <w:r w:rsidRPr="008D4AB4">
        <w:rPr>
          <w:rFonts w:ascii="Times New Roman" w:hAnsi="Times New Roman" w:cs="Times New Roman"/>
        </w:rPr>
        <w:t>6</w:t>
      </w:r>
      <w:r w:rsidR="002325A3" w:rsidRPr="008D4AB4">
        <w:rPr>
          <w:rFonts w:ascii="Times New Roman" w:hAnsi="Times New Roman" w:cs="Times New Roman"/>
        </w:rPr>
        <w:t>. Цели</w:t>
      </w:r>
      <w:r w:rsidR="00901F98" w:rsidRPr="008D4AB4">
        <w:rPr>
          <w:rFonts w:ascii="Times New Roman" w:hAnsi="Times New Roman" w:cs="Times New Roman"/>
        </w:rPr>
        <w:t xml:space="preserve"> </w:t>
      </w:r>
      <w:r w:rsidR="00FC0697" w:rsidRPr="008D4AB4">
        <w:rPr>
          <w:rFonts w:ascii="Times New Roman" w:hAnsi="Times New Roman" w:cs="Times New Roman"/>
        </w:rPr>
        <w:t xml:space="preserve">на предоставяната </w:t>
      </w:r>
      <w:r w:rsidR="00BA2E00" w:rsidRPr="008D4AB4">
        <w:rPr>
          <w:rFonts w:ascii="Times New Roman" w:hAnsi="Times New Roman" w:cs="Times New Roman"/>
        </w:rPr>
        <w:t>безвъзмездна финансова помощ</w:t>
      </w:r>
      <w:r w:rsidR="00FC0697" w:rsidRPr="008D4AB4">
        <w:rPr>
          <w:rFonts w:ascii="Times New Roman" w:hAnsi="Times New Roman" w:cs="Times New Roman"/>
        </w:rPr>
        <w:t xml:space="preserve"> по </w:t>
      </w:r>
      <w:r w:rsidR="00901F98" w:rsidRPr="008D4AB4">
        <w:rPr>
          <w:rFonts w:ascii="Times New Roman" w:hAnsi="Times New Roman" w:cs="Times New Roman"/>
        </w:rPr>
        <w:t>п</w:t>
      </w:r>
      <w:r w:rsidR="00FC0697" w:rsidRPr="008D4AB4">
        <w:rPr>
          <w:rFonts w:ascii="Times New Roman" w:hAnsi="Times New Roman" w:cs="Times New Roman"/>
        </w:rPr>
        <w:t>роцедура</w:t>
      </w:r>
      <w:r w:rsidR="00916B5A" w:rsidRPr="008D4AB4">
        <w:rPr>
          <w:rFonts w:ascii="Times New Roman" w:hAnsi="Times New Roman" w:cs="Times New Roman"/>
        </w:rPr>
        <w:t>та</w:t>
      </w:r>
      <w:r w:rsidR="00CB14EE" w:rsidRPr="008D4AB4">
        <w:rPr>
          <w:rFonts w:ascii="Times New Roman" w:hAnsi="Times New Roman" w:cs="Times New Roman"/>
        </w:rPr>
        <w:t xml:space="preserve"> и очаквани резултати</w:t>
      </w:r>
      <w:r w:rsidR="00916B5A" w:rsidRPr="008D4AB4">
        <w:rPr>
          <w:rFonts w:ascii="Times New Roman" w:hAnsi="Times New Roman" w:cs="Times New Roman"/>
        </w:rPr>
        <w:t>:</w:t>
      </w:r>
      <w:bookmarkEnd w:id="5"/>
    </w:p>
    <w:p w14:paraId="2CC8E889"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 xml:space="preserve">Идентифицирани са следните цели на политиката </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ЦП</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 за реализацията на които ПТС ще допринесе:</w:t>
      </w:r>
    </w:p>
    <w:p w14:paraId="328D8B44"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3</w:t>
      </w:r>
      <w:r w:rsidRPr="008D4AB4">
        <w:rPr>
          <w:rFonts w:ascii="Times New Roman" w:eastAsia="Times New Roman" w:hAnsi="Times New Roman" w:cs="Times New Roman"/>
          <w:b/>
          <w:noProof/>
          <w:sz w:val="24"/>
          <w:szCs w:val="20"/>
        </w:rPr>
        <w:t xml:space="preserve"> </w:t>
      </w:r>
      <w:r w:rsidRPr="008D4AB4">
        <w:rPr>
          <w:rFonts w:ascii="Times New Roman" w:eastAsia="Times New Roman" w:hAnsi="Times New Roman" w:cs="Times New Roman"/>
          <w:noProof/>
          <w:sz w:val="24"/>
          <w:szCs w:val="20"/>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7B246BB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мобилност“ със специфична цел: „ Насърчаване на устойчива мултимодална градска мобилност като част от прехода към икономика с нулеви нетни въглеродни емисии“.</w:t>
      </w:r>
    </w:p>
    <w:p w14:paraId="6BAF59EC" w14:textId="24975181" w:rsidR="0065728F" w:rsidRPr="00774B32" w:rsidRDefault="0065728F" w:rsidP="00774B32">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Приоритет 4 „Интермодалност в градска среда“ допринася за реализацията на ЦП 2.</w:t>
      </w:r>
    </w:p>
    <w:p w14:paraId="1082837E"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Приоритетите на ПТС допринасят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D4AB4">
        <w:rPr>
          <w:rFonts w:ascii="Times New Roman" w:eastAsia="Times New Roman" w:hAnsi="Times New Roman" w:cs="Times New Roman"/>
          <w:b/>
          <w:noProof/>
          <w:sz w:val="24"/>
          <w:szCs w:val="20"/>
        </w:rPr>
        <w:t xml:space="preserve">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w:t>
      </w:r>
      <w:r w:rsidRPr="008D4AB4">
        <w:rPr>
          <w:rFonts w:ascii="Times New Roman" w:eastAsia="Times New Roman" w:hAnsi="Times New Roman" w:cs="Times New Roman"/>
          <w:b/>
          <w:noProof/>
          <w:sz w:val="24"/>
          <w:szCs w:val="20"/>
        </w:rPr>
        <w:lastRenderedPageBreak/>
        <w:t>транспорта</w:t>
      </w:r>
      <w:r w:rsidRPr="008D4AB4">
        <w:rPr>
          <w:rFonts w:ascii="Times New Roman" w:eastAsia="Times New Roman" w:hAnsi="Times New Roman" w:cs="Times New Roman"/>
          <w:noProof/>
          <w:sz w:val="24"/>
          <w:szCs w:val="20"/>
        </w:rPr>
        <w:t>. Една от основните задачи, дефинирани в стратегията е навременното завършване на TEN-T мрежата и цифровата трансформация. За изпълнението ѝ ще допринесат предвидените инвестиции по ПТС за развитие на TEN-T мрежата на територията на страната и за внедряване и последващо развитие на интелигентни транспортни системи във видовете транспорт.</w:t>
      </w:r>
    </w:p>
    <w:p w14:paraId="79FB292D"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конкурентноспособността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4BB51AB6" w14:textId="56C1522D"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Изграждането на връзки между пътническите железопътни гари и летищата на Бургас и Пловдив по приоритет 4, както и развитието на железопътните възли в Горна Оряховица, Русе и Варна по приоритет 3 ще улесни пътниците при ползване на комбиниран транспорт, ще съкрати значително времето за придвижване между гарите и летищата и ще създаде условия за увеличаване на пътникопотока и за подобряване на условията  и комфорта при пътуване. </w:t>
      </w:r>
      <w:r w:rsidRPr="008D4AB4">
        <w:rPr>
          <w:rFonts w:ascii="Times New Roman" w:eastAsia="Times New Roman" w:hAnsi="Times New Roman" w:cs="Times New Roman"/>
          <w:b/>
          <w:noProof/>
          <w:sz w:val="24"/>
          <w:szCs w:val="20"/>
        </w:rPr>
        <w:t>Ще бъде повишена степента на използване на обществения транспорт. Това ще доведе до намаляване на задръстванията, нивата на шум и замърсяване, както и на пътно-транспортните произшествия. Реализацията ще има положителен ефект върху околната среда и климата, който се изразява основно в намаляване на вредните емисии при редуциране употребата на автомобилния транспорт в тези градове</w:t>
      </w:r>
      <w:r w:rsidRPr="008D4AB4">
        <w:rPr>
          <w:rFonts w:ascii="Times New Roman" w:eastAsia="Times New Roman" w:hAnsi="Times New Roman" w:cs="Times New Roman"/>
          <w:noProof/>
          <w:sz w:val="24"/>
          <w:szCs w:val="20"/>
        </w:rPr>
        <w:t xml:space="preserve">. Така ще бъдат създадени възможности за постигане и на устойчива мултимодална градска мобилност на базата на плановете за устойчива градска мобилност. </w:t>
      </w:r>
    </w:p>
    <w:p w14:paraId="7DCE854A" w14:textId="77777777" w:rsidR="0065728F" w:rsidRPr="008D4AB4" w:rsidRDefault="0065728F" w:rsidP="005C27D4">
      <w:pPr>
        <w:spacing w:before="120" w:after="120"/>
        <w:ind w:firstLine="567"/>
        <w:jc w:val="both"/>
        <w:rPr>
          <w:rFonts w:ascii="Times New Roman" w:eastAsia="Times New Roman" w:hAnsi="Times New Roman" w:cs="Times New Roman"/>
          <w:b/>
          <w:noProof/>
          <w:sz w:val="24"/>
          <w:szCs w:val="20"/>
          <w:u w:val="single"/>
        </w:rPr>
      </w:pPr>
      <w:r w:rsidRPr="008D4AB4">
        <w:rPr>
          <w:rFonts w:ascii="Times New Roman" w:eastAsia="Times New Roman" w:hAnsi="Times New Roman" w:cs="Times New Roman"/>
          <w:noProof/>
          <w:sz w:val="24"/>
          <w:szCs w:val="20"/>
        </w:rPr>
        <w:t xml:space="preserve">Изменението на климата би могло да има значителни икономически и социални последици и неблагоприятни въздействия, включително за транспорта. </w:t>
      </w:r>
      <w:r w:rsidRPr="008D4AB4">
        <w:rPr>
          <w:rFonts w:ascii="Times New Roman" w:eastAsia="Times New Roman" w:hAnsi="Times New Roman" w:cs="Times New Roman"/>
          <w:b/>
          <w:noProof/>
          <w:sz w:val="24"/>
          <w:szCs w:val="20"/>
        </w:rPr>
        <w:t>Подобрените технически и експлоатационни параметри на транспортната инфраструктура, водещи до оптимизиране на трафика и намаляване на задръстванията, както и насърчаването на употребата на екологосъобразни видове транспорт, включително чрез изграждането на зарядна инфраструктура за алтернативни горива, в съответствие с Интегрирания план в областта на енергетиката и климата, допринасят за намаляване на отделяните вредни емисии.</w:t>
      </w:r>
      <w:r w:rsidRPr="008D4AB4">
        <w:rPr>
          <w:rFonts w:ascii="Times New Roman" w:eastAsia="Times New Roman" w:hAnsi="Times New Roman" w:cs="Times New Roman"/>
          <w:b/>
          <w:noProof/>
          <w:sz w:val="24"/>
          <w:szCs w:val="20"/>
          <w:u w:val="single"/>
        </w:rPr>
        <w:t xml:space="preserve"> </w:t>
      </w:r>
    </w:p>
    <w:p w14:paraId="76DC6B87" w14:textId="77777777" w:rsidR="0065728F" w:rsidRPr="008D4AB4" w:rsidRDefault="0065728F" w:rsidP="005C27D4">
      <w:pPr>
        <w:spacing w:before="120" w:after="120"/>
        <w:ind w:firstLine="567"/>
        <w:jc w:val="both"/>
        <w:rPr>
          <w:rFonts w:ascii="Times New Roman" w:eastAsia="Times New Roman" w:hAnsi="Times New Roman" w:cs="Times New Roman"/>
          <w:i/>
          <w:noProof/>
          <w:sz w:val="24"/>
          <w:szCs w:val="20"/>
        </w:rPr>
      </w:pP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Изпълнението на ПТС ще има конкретен принос по политиката за изменение на климата основно чрез увеличаване дела на железопътния транспорт, модернизация на пътната инфраструктура за осигуряване оптимални скорости на движение при оптимален режим на автомобилните двигатели и създаването на необходимите предпоставки за употребата на алтернативни горива в транспорта.</w:t>
      </w: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 xml:space="preserve">Включени са мерки за адаптиране срещу значимите климатични рискове като наводнения, свлачища и др., в съответствие с Националната стратегия за адаптация към изменението на климата, осигуряващи устойчивост на обектите.        </w:t>
      </w:r>
    </w:p>
    <w:p w14:paraId="01161FCB"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Предвидените инвестиции допринасят за постигане на </w:t>
      </w:r>
      <w:r w:rsidRPr="008D4AB4">
        <w:rPr>
          <w:rFonts w:ascii="Times New Roman" w:eastAsia="Times New Roman" w:hAnsi="Times New Roman" w:cs="Times New Roman"/>
          <w:b/>
          <w:noProof/>
          <w:sz w:val="24"/>
          <w:szCs w:val="20"/>
        </w:rPr>
        <w:t>устойчиво развита транспортна система и създават необходимите предпоставки за подобряване на мобилността на хора и стоки</w:t>
      </w:r>
      <w:r w:rsidRPr="008D4AB4">
        <w:rPr>
          <w:rFonts w:ascii="Times New Roman" w:eastAsia="Times New Roman" w:hAnsi="Times New Roman" w:cs="Times New Roman"/>
          <w:noProof/>
          <w:sz w:val="24"/>
          <w:szCs w:val="20"/>
        </w:rPr>
        <w:t xml:space="preserve">, което ще насърчи развитието на вътрешния пазар и конкурентноспособността на Общността, териториалното, икономическо и социално сближаване и опазването на околната среда. </w:t>
      </w:r>
    </w:p>
    <w:p w14:paraId="48CE6B10"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lastRenderedPageBreak/>
        <w:t>Средствата от ЕФРР и КФ по ПТС и националното съ-финансиране, отпускани под формата на безвъзмездна финансова помощ, ще подпомогнат действията на ЕС за постигането на цел „Инвестиции за растеж и работни места в държавите членки и в регионите“.</w:t>
      </w:r>
      <w:r w:rsidRPr="008D4AB4">
        <w:rPr>
          <w:rFonts w:ascii="Times New Roman" w:eastAsia="Times New Roman" w:hAnsi="Times New Roman" w:cs="Times New Roman"/>
          <w:i/>
          <w:noProof/>
          <w:sz w:val="24"/>
          <w:szCs w:val="20"/>
        </w:rPr>
        <w:t xml:space="preserve"> </w:t>
      </w:r>
      <w:r w:rsidRPr="008D4AB4">
        <w:rPr>
          <w:rFonts w:ascii="Times New Roman" w:eastAsia="Times New Roman" w:hAnsi="Times New Roman" w:cs="Times New Roman"/>
          <w:noProof/>
          <w:sz w:val="24"/>
          <w:szCs w:val="20"/>
        </w:rPr>
        <w:t>Приблизително 40 % от средствата са заделени за инвестиции в северна България. Инвестициите за развитие на жп инфраструктурата са концентрирани основно по протежение на участъка на коридор ОИС, преминаващ хоризонтално през средата на страната. Мащабна инвестиция в южна България е проектът за завършване на АМ Струма.</w:t>
      </w:r>
    </w:p>
    <w:p w14:paraId="364A9C63" w14:textId="31F7F28D" w:rsidR="00CB14EE" w:rsidRPr="008D4AB4" w:rsidRDefault="004A58E5" w:rsidP="00915783">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6" w:name="_Toc136270265"/>
      <w:r w:rsidRPr="008D4AB4">
        <w:rPr>
          <w:rFonts w:ascii="Times New Roman" w:hAnsi="Times New Roman" w:cs="Times New Roman"/>
        </w:rPr>
        <w:t>7</w:t>
      </w:r>
      <w:r w:rsidR="00CB14EE" w:rsidRPr="008D4AB4">
        <w:rPr>
          <w:rFonts w:ascii="Times New Roman" w:hAnsi="Times New Roman" w:cs="Times New Roman"/>
        </w:rPr>
        <w:t>. Индикатори:</w:t>
      </w:r>
      <w:bookmarkEnd w:id="6"/>
    </w:p>
    <w:p w14:paraId="10F33FE7" w14:textId="4AE07ED1" w:rsidR="0021535E" w:rsidRPr="008D4AB4" w:rsidRDefault="0021535E" w:rsidP="0021535E">
      <w:pPr>
        <w:spacing w:before="120" w:after="120"/>
        <w:jc w:val="both"/>
        <w:rPr>
          <w:rFonts w:ascii="Times New Roman" w:eastAsia="Times New Roman" w:hAnsi="Times New Roman" w:cs="Times New Roman"/>
          <w:noProof/>
          <w:sz w:val="24"/>
          <w:szCs w:val="20"/>
        </w:rPr>
      </w:pPr>
    </w:p>
    <w:p w14:paraId="735947FF" w14:textId="77777777" w:rsidR="00F92386" w:rsidRPr="008D4AB4" w:rsidRDefault="00F92386" w:rsidP="00774B32">
      <w:pPr>
        <w:pStyle w:val="ListParagraph"/>
        <w:spacing w:before="120" w:after="120"/>
        <w:ind w:left="360"/>
        <w:jc w:val="both"/>
        <w:rPr>
          <w:rFonts w:ascii="Times New Roman" w:hAnsi="Times New Roman" w:cs="Times New Roman"/>
          <w:sz w:val="24"/>
          <w:szCs w:val="24"/>
        </w:rPr>
      </w:pPr>
      <w:r w:rsidRPr="008D4AB4">
        <w:rPr>
          <w:rFonts w:ascii="Times New Roman" w:hAnsi="Times New Roman" w:cs="Times New Roman"/>
          <w:b/>
          <w:sz w:val="24"/>
          <w:szCs w:val="24"/>
        </w:rPr>
        <w:t>Приоритет 4</w:t>
      </w:r>
      <w:r w:rsidRPr="008D4AB4">
        <w:rPr>
          <w:rFonts w:ascii="Times New Roman" w:hAnsi="Times New Roman" w:cs="Times New Roman"/>
          <w:sz w:val="24"/>
          <w:szCs w:val="24"/>
        </w:rPr>
        <w:t xml:space="preserve"> „Интермодалност в градски условия”</w:t>
      </w:r>
      <w:r w:rsidRPr="008D4AB4">
        <w:rPr>
          <w:rFonts w:ascii="Times New Roman" w:hAnsi="Times New Roman" w:cs="Times New Roman"/>
          <w:i/>
          <w:color w:val="000000"/>
          <w:sz w:val="24"/>
          <w:szCs w:val="24"/>
        </w:rPr>
        <w:t xml:space="preserve"> </w:t>
      </w:r>
    </w:p>
    <w:p w14:paraId="27FEB7CA" w14:textId="77777777" w:rsidR="00CD6708" w:rsidRPr="008D4AB4" w:rsidRDefault="00CD6708" w:rsidP="00CD6708">
      <w:pPr>
        <w:pStyle w:val="ListParagraph"/>
        <w:spacing w:before="120" w:after="120"/>
        <w:ind w:left="360"/>
        <w:jc w:val="both"/>
        <w:rPr>
          <w:rFonts w:ascii="Times New Roman" w:hAnsi="Times New Roman" w:cs="Times New Roman"/>
          <w:i/>
          <w:sz w:val="24"/>
          <w:szCs w:val="24"/>
        </w:rPr>
      </w:pPr>
      <w:r w:rsidRPr="008D4AB4">
        <w:rPr>
          <w:rFonts w:ascii="Times New Roman" w:hAnsi="Times New Roman" w:cs="Times New Roman"/>
          <w:i/>
          <w:color w:val="000000"/>
          <w:sz w:val="24"/>
          <w:szCs w:val="24"/>
        </w:rPr>
        <w:t xml:space="preserve">Процедура № </w:t>
      </w:r>
      <w:r w:rsidRPr="008D4AB4">
        <w:rPr>
          <w:rFonts w:ascii="Times New Roman" w:hAnsi="Times New Roman" w:cs="Times New Roman"/>
          <w:i/>
          <w:sz w:val="24"/>
          <w:szCs w:val="24"/>
        </w:rPr>
        <w:t>2021BG16FFPR001</w:t>
      </w:r>
      <w:r w:rsidRPr="008D4AB4">
        <w:rPr>
          <w:rFonts w:ascii="Times New Roman" w:hAnsi="Times New Roman" w:cs="Times New Roman"/>
          <w:i/>
          <w:sz w:val="24"/>
          <w:szCs w:val="24"/>
          <w:lang w:val="en-US"/>
        </w:rPr>
        <w:t>-</w:t>
      </w:r>
      <w:r w:rsidRPr="008D4AB4">
        <w:rPr>
          <w:rFonts w:ascii="Times New Roman" w:hAnsi="Times New Roman" w:cs="Times New Roman"/>
          <w:i/>
          <w:sz w:val="24"/>
          <w:szCs w:val="24"/>
        </w:rPr>
        <w:t>5</w:t>
      </w:r>
      <w:r w:rsidRPr="008D4AB4">
        <w:rPr>
          <w:rFonts w:ascii="Times New Roman" w:hAnsi="Times New Roman" w:cs="Times New Roman"/>
          <w:i/>
          <w:sz w:val="24"/>
          <w:szCs w:val="24"/>
          <w:lang w:val="en-US"/>
        </w:rPr>
        <w:t>.001</w:t>
      </w:r>
      <w:r w:rsidRPr="008D4AB4">
        <w:rPr>
          <w:rFonts w:ascii="Times New Roman" w:hAnsi="Times New Roman" w:cs="Times New Roman"/>
          <w:i/>
          <w:sz w:val="24"/>
          <w:szCs w:val="24"/>
        </w:rPr>
        <w:t xml:space="preserve"> „</w:t>
      </w:r>
      <w:r w:rsidRPr="008D4AB4">
        <w:rPr>
          <w:rFonts w:ascii="Times New Roman" w:hAnsi="Times New Roman" w:cs="Times New Roman"/>
          <w:i/>
          <w:iCs/>
          <w:sz w:val="24"/>
          <w:szCs w:val="24"/>
        </w:rPr>
        <w:t>Интермодалност в градски условия</w:t>
      </w:r>
      <w:r w:rsidRPr="008D4AB4">
        <w:rPr>
          <w:rFonts w:ascii="Times New Roman" w:hAnsi="Times New Roman" w:cs="Times New Roman"/>
          <w:i/>
          <w:sz w:val="24"/>
          <w:szCs w:val="24"/>
        </w:rPr>
        <w:t>”</w:t>
      </w:r>
    </w:p>
    <w:p w14:paraId="25444C12" w14:textId="77278EFF" w:rsidR="00CD6708" w:rsidRPr="008D4AB4" w:rsidRDefault="00CD6708" w:rsidP="00CD6708">
      <w:pPr>
        <w:pStyle w:val="ListParagraph"/>
        <w:spacing w:before="120" w:after="120"/>
        <w:ind w:left="360"/>
        <w:jc w:val="both"/>
        <w:rPr>
          <w:rFonts w:ascii="Times New Roman" w:hAnsi="Times New Roman" w:cs="Times New Roman"/>
          <w:b/>
          <w:color w:val="000000"/>
          <w:sz w:val="24"/>
          <w:szCs w:val="24"/>
        </w:rPr>
      </w:pPr>
    </w:p>
    <w:tbl>
      <w:tblPr>
        <w:tblW w:w="5077"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3113"/>
        <w:gridCol w:w="1135"/>
        <w:gridCol w:w="1135"/>
        <w:gridCol w:w="1133"/>
        <w:gridCol w:w="851"/>
        <w:gridCol w:w="1275"/>
      </w:tblGrid>
      <w:tr w:rsidR="00762389" w:rsidRPr="008D4AB4" w14:paraId="5E18ABEB" w14:textId="77777777" w:rsidTr="00800D3F">
        <w:trPr>
          <w:trHeight w:val="708"/>
        </w:trPr>
        <w:tc>
          <w:tcPr>
            <w:tcW w:w="514"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1A7266F"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w:t>
            </w:r>
          </w:p>
        </w:tc>
        <w:tc>
          <w:tcPr>
            <w:tcW w:w="1616"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47A260D"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Показател за крайния продукт</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D127D43"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5C6A8D" w14:textId="77777777" w:rsidR="00762389" w:rsidRPr="008D4AB4" w:rsidRDefault="00762389" w:rsidP="00344277">
            <w:pPr>
              <w:spacing w:before="120" w:after="120" w:line="276" w:lineRule="auto"/>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Междинна цел (2024 г.)</w:t>
            </w:r>
          </w:p>
        </w:tc>
        <w:tc>
          <w:tcPr>
            <w:tcW w:w="588"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707CC2"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Целева стойност (2029 г.)</w:t>
            </w:r>
          </w:p>
        </w:tc>
        <w:tc>
          <w:tcPr>
            <w:tcW w:w="44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6F2100"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Фонд</w:t>
            </w:r>
          </w:p>
        </w:tc>
        <w:tc>
          <w:tcPr>
            <w:tcW w:w="66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151E707" w14:textId="77777777" w:rsidR="00762389" w:rsidRPr="008D4AB4" w:rsidRDefault="00762389"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Категория региони</w:t>
            </w:r>
          </w:p>
        </w:tc>
      </w:tr>
      <w:tr w:rsidR="00762389" w:rsidRPr="008D4AB4" w14:paraId="685E52CA" w14:textId="77777777" w:rsidTr="00800D3F">
        <w:trPr>
          <w:trHeight w:val="340"/>
        </w:trPr>
        <w:tc>
          <w:tcPr>
            <w:tcW w:w="514" w:type="pct"/>
            <w:tcBorders>
              <w:top w:val="single" w:sz="4" w:space="0" w:color="auto"/>
              <w:left w:val="single" w:sz="4" w:space="0" w:color="auto"/>
              <w:bottom w:val="single" w:sz="4" w:space="0" w:color="auto"/>
              <w:right w:val="single" w:sz="4" w:space="0" w:color="auto"/>
            </w:tcBorders>
          </w:tcPr>
          <w:p w14:paraId="73882EEF" w14:textId="62143C70"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RCO54</w:t>
            </w:r>
          </w:p>
        </w:tc>
        <w:tc>
          <w:tcPr>
            <w:tcW w:w="1616" w:type="pct"/>
            <w:tcBorders>
              <w:top w:val="single" w:sz="4" w:space="0" w:color="auto"/>
              <w:left w:val="single" w:sz="4" w:space="0" w:color="auto"/>
              <w:bottom w:val="single" w:sz="4" w:space="0" w:color="auto"/>
              <w:right w:val="single" w:sz="4" w:space="0" w:color="auto"/>
            </w:tcBorders>
          </w:tcPr>
          <w:p w14:paraId="4A7D7B7D" w14:textId="3D5F8288" w:rsidR="00762389" w:rsidRPr="008D4AB4" w:rsidRDefault="00762389" w:rsidP="00762389">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Нови или модернизирани интермодални връзки</w:t>
            </w:r>
          </w:p>
        </w:tc>
        <w:tc>
          <w:tcPr>
            <w:tcW w:w="589" w:type="pct"/>
            <w:tcBorders>
              <w:top w:val="single" w:sz="4" w:space="0" w:color="auto"/>
              <w:left w:val="single" w:sz="4" w:space="0" w:color="auto"/>
              <w:bottom w:val="single" w:sz="4" w:space="0" w:color="auto"/>
              <w:right w:val="single" w:sz="4" w:space="0" w:color="auto"/>
            </w:tcBorders>
          </w:tcPr>
          <w:p w14:paraId="4AF73D35" w14:textId="141F8030"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интермодални връзки</w:t>
            </w:r>
          </w:p>
        </w:tc>
        <w:tc>
          <w:tcPr>
            <w:tcW w:w="589" w:type="pct"/>
            <w:tcBorders>
              <w:top w:val="single" w:sz="4" w:space="0" w:color="auto"/>
              <w:left w:val="single" w:sz="4" w:space="0" w:color="auto"/>
              <w:bottom w:val="single" w:sz="4" w:space="0" w:color="auto"/>
              <w:right w:val="single" w:sz="4" w:space="0" w:color="auto"/>
            </w:tcBorders>
          </w:tcPr>
          <w:p w14:paraId="09F3E915" w14:textId="178570AE"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0,00</w:t>
            </w:r>
          </w:p>
        </w:tc>
        <w:tc>
          <w:tcPr>
            <w:tcW w:w="588" w:type="pct"/>
            <w:tcBorders>
              <w:top w:val="single" w:sz="4" w:space="0" w:color="auto"/>
              <w:left w:val="single" w:sz="4" w:space="0" w:color="auto"/>
              <w:bottom w:val="single" w:sz="4" w:space="0" w:color="auto"/>
              <w:right w:val="single" w:sz="4" w:space="0" w:color="auto"/>
            </w:tcBorders>
          </w:tcPr>
          <w:p w14:paraId="6D418166" w14:textId="7540825F"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2,00</w:t>
            </w:r>
          </w:p>
        </w:tc>
        <w:tc>
          <w:tcPr>
            <w:tcW w:w="442" w:type="pct"/>
            <w:tcBorders>
              <w:top w:val="single" w:sz="4" w:space="0" w:color="auto"/>
              <w:left w:val="single" w:sz="4" w:space="0" w:color="auto"/>
              <w:bottom w:val="single" w:sz="4" w:space="0" w:color="auto"/>
              <w:right w:val="single" w:sz="4" w:space="0" w:color="auto"/>
            </w:tcBorders>
          </w:tcPr>
          <w:p w14:paraId="050E1DCB" w14:textId="187745FF"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0999B26A" w14:textId="32C512A4"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3CFEF12A" w14:textId="77777777" w:rsidTr="00800D3F">
        <w:trPr>
          <w:trHeight w:val="662"/>
        </w:trPr>
        <w:tc>
          <w:tcPr>
            <w:tcW w:w="514" w:type="pct"/>
            <w:tcBorders>
              <w:top w:val="single" w:sz="4" w:space="0" w:color="auto"/>
              <w:left w:val="single" w:sz="4" w:space="0" w:color="auto"/>
              <w:bottom w:val="single" w:sz="4" w:space="0" w:color="auto"/>
              <w:right w:val="single" w:sz="4" w:space="0" w:color="auto"/>
            </w:tcBorders>
          </w:tcPr>
          <w:p w14:paraId="059AF7C3" w14:textId="46D67B6F"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11</w:t>
            </w:r>
          </w:p>
        </w:tc>
        <w:tc>
          <w:tcPr>
            <w:tcW w:w="1616" w:type="pct"/>
            <w:tcBorders>
              <w:top w:val="single" w:sz="4" w:space="0" w:color="auto"/>
              <w:left w:val="single" w:sz="4" w:space="0" w:color="auto"/>
              <w:bottom w:val="single" w:sz="4" w:space="0" w:color="auto"/>
              <w:right w:val="single" w:sz="4" w:space="0" w:color="auto"/>
            </w:tcBorders>
          </w:tcPr>
          <w:p w14:paraId="251FA84B" w14:textId="2D4A3428"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tcPr>
          <w:p w14:paraId="4A87FE6B" w14:textId="12BFAC6A"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5E38190C" w14:textId="5E4615BA"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0,00</w:t>
            </w:r>
          </w:p>
        </w:tc>
        <w:tc>
          <w:tcPr>
            <w:tcW w:w="588" w:type="pct"/>
            <w:tcBorders>
              <w:top w:val="single" w:sz="4" w:space="0" w:color="auto"/>
              <w:left w:val="single" w:sz="4" w:space="0" w:color="auto"/>
              <w:bottom w:val="single" w:sz="4" w:space="0" w:color="auto"/>
              <w:right w:val="single" w:sz="4" w:space="0" w:color="auto"/>
            </w:tcBorders>
          </w:tcPr>
          <w:p w14:paraId="2925DAD2" w14:textId="41BC7BC1"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2,00</w:t>
            </w:r>
          </w:p>
        </w:tc>
        <w:tc>
          <w:tcPr>
            <w:tcW w:w="442" w:type="pct"/>
            <w:tcBorders>
              <w:top w:val="single" w:sz="4" w:space="0" w:color="auto"/>
              <w:left w:val="single" w:sz="4" w:space="0" w:color="auto"/>
              <w:bottom w:val="single" w:sz="4" w:space="0" w:color="auto"/>
              <w:right w:val="single" w:sz="4" w:space="0" w:color="auto"/>
            </w:tcBorders>
          </w:tcPr>
          <w:p w14:paraId="2C486EA0" w14:textId="4D68F099"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71C8BCC6" w14:textId="4DE30150"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762389" w:rsidRPr="008D4AB4" w14:paraId="69F93436" w14:textId="77777777" w:rsidTr="00800D3F">
        <w:trPr>
          <w:trHeight w:val="340"/>
        </w:trPr>
        <w:tc>
          <w:tcPr>
            <w:tcW w:w="514"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EAE57A" w14:textId="77777777"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w:t>
            </w:r>
          </w:p>
        </w:tc>
        <w:tc>
          <w:tcPr>
            <w:tcW w:w="161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727974" w14:textId="77777777" w:rsidR="00762389" w:rsidRPr="008D4AB4" w:rsidRDefault="00762389" w:rsidP="00762389">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b/>
                <w:color w:val="000000"/>
                <w:sz w:val="20"/>
                <w:szCs w:val="20"/>
              </w:rPr>
              <w:t>Показател за резултатите</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AA09DF" w14:textId="77777777"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49625D" w14:textId="77777777"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Базова стойност</w:t>
            </w:r>
          </w:p>
        </w:tc>
        <w:tc>
          <w:tcPr>
            <w:tcW w:w="58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E4F6605" w14:textId="77777777" w:rsidR="00762389" w:rsidRPr="008D4AB4" w:rsidRDefault="00762389" w:rsidP="00762389">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Целева стойност (2029 г.)</w:t>
            </w:r>
          </w:p>
        </w:tc>
        <w:tc>
          <w:tcPr>
            <w:tcW w:w="44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09BEA8" w14:textId="77777777"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Фонд</w:t>
            </w:r>
          </w:p>
        </w:tc>
        <w:tc>
          <w:tcPr>
            <w:tcW w:w="66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BE42200" w14:textId="77777777" w:rsidR="00762389" w:rsidRPr="008D4AB4" w:rsidRDefault="00762389" w:rsidP="00762389">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Категория регион</w:t>
            </w:r>
          </w:p>
        </w:tc>
      </w:tr>
      <w:tr w:rsidR="00960E67" w:rsidRPr="008D4AB4" w14:paraId="601143A0" w14:textId="77777777" w:rsidTr="00800D3F">
        <w:trPr>
          <w:trHeight w:val="340"/>
        </w:trPr>
        <w:tc>
          <w:tcPr>
            <w:tcW w:w="514" w:type="pct"/>
            <w:tcBorders>
              <w:top w:val="single" w:sz="4" w:space="0" w:color="auto"/>
              <w:left w:val="single" w:sz="4" w:space="0" w:color="auto"/>
              <w:bottom w:val="single" w:sz="4" w:space="0" w:color="auto"/>
              <w:right w:val="single" w:sz="4" w:space="0" w:color="auto"/>
            </w:tcBorders>
          </w:tcPr>
          <w:p w14:paraId="1854F022" w14:textId="42A6C510" w:rsidR="00960E67" w:rsidRPr="008D4AB4" w:rsidRDefault="00960E67" w:rsidP="00960E67">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13</w:t>
            </w:r>
          </w:p>
        </w:tc>
        <w:tc>
          <w:tcPr>
            <w:tcW w:w="1616" w:type="pct"/>
            <w:tcBorders>
              <w:top w:val="single" w:sz="4" w:space="0" w:color="auto"/>
              <w:left w:val="single" w:sz="4" w:space="0" w:color="auto"/>
              <w:bottom w:val="single" w:sz="4" w:space="0" w:color="auto"/>
              <w:right w:val="single" w:sz="4" w:space="0" w:color="auto"/>
            </w:tcBorders>
          </w:tcPr>
          <w:p w14:paraId="0D8D0D24" w14:textId="12E2CA36" w:rsidR="00960E67" w:rsidRPr="008D4AB4" w:rsidRDefault="00960E67" w:rsidP="00960E67">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"Дял на изградените интермодални ж.п. връзки с летища по коридор Ориент/ Източно средиземноморски  (слабо развити региони)"</w:t>
            </w:r>
          </w:p>
        </w:tc>
        <w:tc>
          <w:tcPr>
            <w:tcW w:w="589" w:type="pct"/>
            <w:tcBorders>
              <w:top w:val="single" w:sz="4" w:space="0" w:color="auto"/>
              <w:left w:val="single" w:sz="4" w:space="0" w:color="auto"/>
              <w:bottom w:val="single" w:sz="4" w:space="0" w:color="auto"/>
              <w:right w:val="single" w:sz="4" w:space="0" w:color="auto"/>
            </w:tcBorders>
          </w:tcPr>
          <w:p w14:paraId="773DC7CF" w14:textId="21743377" w:rsidR="00960E67" w:rsidRPr="008D4AB4" w:rsidRDefault="00960E67" w:rsidP="00960E67">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w:t>
            </w:r>
          </w:p>
        </w:tc>
        <w:tc>
          <w:tcPr>
            <w:tcW w:w="589" w:type="pct"/>
            <w:tcBorders>
              <w:top w:val="single" w:sz="4" w:space="0" w:color="auto"/>
              <w:left w:val="single" w:sz="4" w:space="0" w:color="auto"/>
              <w:bottom w:val="single" w:sz="4" w:space="0" w:color="auto"/>
              <w:right w:val="single" w:sz="4" w:space="0" w:color="auto"/>
            </w:tcBorders>
          </w:tcPr>
          <w:p w14:paraId="18275713" w14:textId="01E71867" w:rsidR="00960E67" w:rsidRPr="008D4AB4" w:rsidRDefault="00960E67" w:rsidP="00960E67">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33,33</w:t>
            </w:r>
          </w:p>
        </w:tc>
        <w:tc>
          <w:tcPr>
            <w:tcW w:w="588" w:type="pct"/>
            <w:tcBorders>
              <w:top w:val="single" w:sz="4" w:space="0" w:color="auto"/>
              <w:left w:val="single" w:sz="4" w:space="0" w:color="auto"/>
              <w:bottom w:val="single" w:sz="4" w:space="0" w:color="auto"/>
              <w:right w:val="single" w:sz="4" w:space="0" w:color="auto"/>
            </w:tcBorders>
          </w:tcPr>
          <w:p w14:paraId="38442595" w14:textId="27484FBE" w:rsidR="00960E67" w:rsidRPr="008D4AB4" w:rsidRDefault="00960E67" w:rsidP="00960E67">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100,00</w:t>
            </w:r>
          </w:p>
        </w:tc>
        <w:tc>
          <w:tcPr>
            <w:tcW w:w="442" w:type="pct"/>
            <w:tcBorders>
              <w:top w:val="single" w:sz="4" w:space="0" w:color="auto"/>
              <w:left w:val="single" w:sz="4" w:space="0" w:color="auto"/>
              <w:bottom w:val="single" w:sz="4" w:space="0" w:color="auto"/>
              <w:right w:val="single" w:sz="4" w:space="0" w:color="auto"/>
            </w:tcBorders>
          </w:tcPr>
          <w:p w14:paraId="29628904" w14:textId="7C1FEE16" w:rsidR="00960E67" w:rsidRPr="008D4AB4" w:rsidRDefault="00960E67" w:rsidP="00960E67">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442F27A8" w14:textId="6FFDB5D4" w:rsidR="00960E67" w:rsidRPr="008D4AB4" w:rsidRDefault="00960E67" w:rsidP="00960E67">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960E67" w:rsidRPr="008D4AB4" w14:paraId="407CC77F" w14:textId="77777777" w:rsidTr="00800D3F">
        <w:trPr>
          <w:trHeight w:val="340"/>
        </w:trPr>
        <w:tc>
          <w:tcPr>
            <w:tcW w:w="514" w:type="pct"/>
            <w:tcBorders>
              <w:top w:val="single" w:sz="4" w:space="0" w:color="auto"/>
              <w:left w:val="single" w:sz="4" w:space="0" w:color="auto"/>
              <w:bottom w:val="single" w:sz="4" w:space="0" w:color="auto"/>
              <w:right w:val="single" w:sz="4" w:space="0" w:color="auto"/>
            </w:tcBorders>
          </w:tcPr>
          <w:p w14:paraId="115C4B09" w14:textId="199FD56D" w:rsidR="00960E67" w:rsidRPr="008D4AB4" w:rsidRDefault="00960E67" w:rsidP="00960E67">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17</w:t>
            </w:r>
          </w:p>
        </w:tc>
        <w:tc>
          <w:tcPr>
            <w:tcW w:w="1616" w:type="pct"/>
            <w:tcBorders>
              <w:top w:val="single" w:sz="4" w:space="0" w:color="auto"/>
              <w:left w:val="single" w:sz="4" w:space="0" w:color="auto"/>
              <w:bottom w:val="single" w:sz="4" w:space="0" w:color="auto"/>
              <w:right w:val="single" w:sz="4" w:space="0" w:color="auto"/>
            </w:tcBorders>
          </w:tcPr>
          <w:p w14:paraId="1CB7600E" w14:textId="23CB7E4F" w:rsidR="00960E67" w:rsidRPr="008D4AB4" w:rsidRDefault="00960E67" w:rsidP="00960E67">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 жители, ползващи се от новоизградената инфраструктура</w:t>
            </w:r>
          </w:p>
        </w:tc>
        <w:tc>
          <w:tcPr>
            <w:tcW w:w="589" w:type="pct"/>
            <w:tcBorders>
              <w:top w:val="single" w:sz="4" w:space="0" w:color="auto"/>
              <w:left w:val="single" w:sz="4" w:space="0" w:color="auto"/>
              <w:bottom w:val="single" w:sz="4" w:space="0" w:color="auto"/>
              <w:right w:val="single" w:sz="4" w:space="0" w:color="auto"/>
            </w:tcBorders>
          </w:tcPr>
          <w:p w14:paraId="41ECAD03" w14:textId="50B960A9" w:rsidR="00960E67" w:rsidRPr="008D4AB4" w:rsidRDefault="00960E67" w:rsidP="00960E67">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2FB62136" w14:textId="72BE0391" w:rsidR="00960E67" w:rsidRPr="008D4AB4" w:rsidRDefault="00960E67" w:rsidP="00960E67">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0,00</w:t>
            </w:r>
          </w:p>
        </w:tc>
        <w:tc>
          <w:tcPr>
            <w:tcW w:w="588" w:type="pct"/>
            <w:tcBorders>
              <w:top w:val="single" w:sz="4" w:space="0" w:color="auto"/>
              <w:left w:val="single" w:sz="4" w:space="0" w:color="auto"/>
              <w:bottom w:val="single" w:sz="4" w:space="0" w:color="auto"/>
              <w:right w:val="single" w:sz="4" w:space="0" w:color="auto"/>
            </w:tcBorders>
          </w:tcPr>
          <w:p w14:paraId="7924D547" w14:textId="1C27F54E" w:rsidR="00960E67" w:rsidRPr="008D4AB4" w:rsidRDefault="00960E67" w:rsidP="00960E67">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1 030 548,00</w:t>
            </w:r>
          </w:p>
        </w:tc>
        <w:tc>
          <w:tcPr>
            <w:tcW w:w="442" w:type="pct"/>
            <w:tcBorders>
              <w:top w:val="single" w:sz="4" w:space="0" w:color="auto"/>
              <w:left w:val="single" w:sz="4" w:space="0" w:color="auto"/>
              <w:bottom w:val="single" w:sz="4" w:space="0" w:color="auto"/>
              <w:right w:val="single" w:sz="4" w:space="0" w:color="auto"/>
            </w:tcBorders>
          </w:tcPr>
          <w:p w14:paraId="1516FBA2" w14:textId="73357F52" w:rsidR="00960E67" w:rsidRPr="008D4AB4" w:rsidRDefault="00960E67" w:rsidP="00960E67">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2" w:type="pct"/>
            <w:tcBorders>
              <w:top w:val="single" w:sz="4" w:space="0" w:color="auto"/>
              <w:left w:val="single" w:sz="4" w:space="0" w:color="auto"/>
              <w:bottom w:val="single" w:sz="4" w:space="0" w:color="auto"/>
              <w:right w:val="single" w:sz="4" w:space="0" w:color="auto"/>
            </w:tcBorders>
          </w:tcPr>
          <w:p w14:paraId="2DC02CA0" w14:textId="66626FFD" w:rsidR="00960E67" w:rsidRPr="008D4AB4" w:rsidRDefault="00960E67" w:rsidP="00960E67">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bl>
    <w:p w14:paraId="43A5C56C" w14:textId="2CE35A9F" w:rsidR="00762389" w:rsidRPr="008D4AB4" w:rsidRDefault="00762389" w:rsidP="00CD6708">
      <w:pPr>
        <w:pStyle w:val="ListParagraph"/>
        <w:spacing w:before="120" w:after="120"/>
        <w:ind w:left="360"/>
        <w:jc w:val="both"/>
        <w:rPr>
          <w:rFonts w:ascii="Times New Roman" w:hAnsi="Times New Roman" w:cs="Times New Roman"/>
          <w:b/>
          <w:color w:val="000000"/>
          <w:sz w:val="24"/>
          <w:szCs w:val="24"/>
        </w:rPr>
      </w:pPr>
    </w:p>
    <w:p w14:paraId="75C2957A" w14:textId="18611348" w:rsidR="00727E33" w:rsidRPr="008D4AB4" w:rsidRDefault="00E07A47" w:rsidP="00C95C21">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 xml:space="preserve">В т. </w:t>
      </w:r>
      <w:r w:rsidR="00DC3536" w:rsidRPr="008D4AB4">
        <w:rPr>
          <w:rFonts w:ascii="Times New Roman" w:hAnsi="Times New Roman" w:cs="Times New Roman"/>
          <w:sz w:val="24"/>
          <w:szCs w:val="24"/>
        </w:rPr>
        <w:t xml:space="preserve">„Индикатори“ </w:t>
      </w:r>
      <w:r w:rsidRPr="008D4AB4">
        <w:rPr>
          <w:rFonts w:ascii="Times New Roman" w:hAnsi="Times New Roman" w:cs="Times New Roman"/>
          <w:sz w:val="24"/>
          <w:szCs w:val="24"/>
        </w:rPr>
        <w:t xml:space="preserve">от Формуляра за кандидатстване </w:t>
      </w:r>
      <w:r w:rsidR="00C95C21" w:rsidRPr="008D4AB4">
        <w:rPr>
          <w:rFonts w:ascii="Times New Roman" w:hAnsi="Times New Roman" w:cs="Times New Roman"/>
          <w:sz w:val="24"/>
          <w:szCs w:val="24"/>
        </w:rPr>
        <w:t>конкретния бенефициент</w:t>
      </w:r>
      <w:r w:rsidRPr="008D4AB4">
        <w:rPr>
          <w:rFonts w:ascii="Times New Roman" w:hAnsi="Times New Roman" w:cs="Times New Roman"/>
          <w:sz w:val="24"/>
          <w:szCs w:val="24"/>
        </w:rPr>
        <w:t xml:space="preserve"> следва да попълни данни</w:t>
      </w:r>
      <w:r w:rsidRPr="008D4AB4">
        <w:rPr>
          <w:rFonts w:ascii="Times New Roman" w:eastAsia="Calibri" w:hAnsi="Times New Roman" w:cs="Times New Roman"/>
          <w:sz w:val="24"/>
          <w:szCs w:val="24"/>
        </w:rPr>
        <w:t xml:space="preserve"> за базова и целева стойност по </w:t>
      </w:r>
      <w:r w:rsidR="00C95C21" w:rsidRPr="008D4AB4">
        <w:rPr>
          <w:rFonts w:ascii="Times New Roman" w:eastAsia="Calibri" w:hAnsi="Times New Roman" w:cs="Times New Roman"/>
          <w:sz w:val="24"/>
          <w:szCs w:val="24"/>
        </w:rPr>
        <w:t xml:space="preserve">приложимите от </w:t>
      </w:r>
      <w:r w:rsidRPr="008D4AB4">
        <w:rPr>
          <w:rFonts w:ascii="Times New Roman" w:eastAsia="Calibri" w:hAnsi="Times New Roman" w:cs="Times New Roman"/>
          <w:sz w:val="24"/>
          <w:szCs w:val="24"/>
        </w:rPr>
        <w:t>горепосочените индикатори</w:t>
      </w:r>
      <w:r w:rsidR="00B95BFC" w:rsidRPr="008D4AB4">
        <w:rPr>
          <w:rFonts w:ascii="Times New Roman" w:eastAsia="Calibri" w:hAnsi="Times New Roman" w:cs="Times New Roman"/>
          <w:sz w:val="24"/>
          <w:szCs w:val="24"/>
        </w:rPr>
        <w:t xml:space="preserve">. </w:t>
      </w:r>
      <w:r w:rsidR="00672C7C" w:rsidRPr="008D4AB4">
        <w:rPr>
          <w:rFonts w:ascii="Times New Roman" w:hAnsi="Times New Roman" w:cs="Times New Roman"/>
          <w:sz w:val="24"/>
          <w:szCs w:val="24"/>
        </w:rPr>
        <w:t>Във Формуляра за кандидатстване</w:t>
      </w:r>
      <w:r w:rsidR="00196555" w:rsidRPr="008D4AB4">
        <w:rPr>
          <w:rFonts w:ascii="Times New Roman" w:hAnsi="Times New Roman" w:cs="Times New Roman"/>
          <w:sz w:val="24"/>
          <w:szCs w:val="24"/>
        </w:rPr>
        <w:t xml:space="preserve"> к</w:t>
      </w:r>
      <w:r w:rsidR="00672C7C" w:rsidRPr="008D4AB4">
        <w:rPr>
          <w:rFonts w:ascii="Times New Roman" w:hAnsi="Times New Roman" w:cs="Times New Roman"/>
          <w:sz w:val="24"/>
          <w:szCs w:val="24"/>
        </w:rPr>
        <w:t>онкретният бенефициент трябва да включи тези индикатори, които отговарят на предвидените в</w:t>
      </w:r>
      <w:r w:rsidR="00B95BFC" w:rsidRPr="008D4AB4">
        <w:rPr>
          <w:rFonts w:ascii="Times New Roman" w:hAnsi="Times New Roman" w:cs="Times New Roman"/>
          <w:sz w:val="24"/>
          <w:szCs w:val="24"/>
        </w:rPr>
        <w:t xml:space="preserve"> дейности, с посочени целеви стойности съгласно периода на изпълнение на </w:t>
      </w:r>
      <w:r w:rsidR="00874505" w:rsidRPr="008D4AB4">
        <w:rPr>
          <w:rFonts w:ascii="Times New Roman" w:hAnsi="Times New Roman" w:cs="Times New Roman"/>
          <w:sz w:val="24"/>
          <w:szCs w:val="24"/>
        </w:rPr>
        <w:t>проекта</w:t>
      </w:r>
      <w:r w:rsidR="00B95BFC" w:rsidRPr="008D4AB4">
        <w:rPr>
          <w:rFonts w:ascii="Times New Roman" w:hAnsi="Times New Roman" w:cs="Times New Roman"/>
          <w:sz w:val="24"/>
          <w:szCs w:val="24"/>
        </w:rPr>
        <w:t>.</w:t>
      </w:r>
      <w:r w:rsidR="00B95BFC" w:rsidRPr="008D4AB4">
        <w:rPr>
          <w:rFonts w:ascii="Times New Roman" w:hAnsi="Times New Roman" w:cs="Times New Roman"/>
          <w:b/>
          <w:sz w:val="24"/>
          <w:szCs w:val="24"/>
        </w:rPr>
        <w:t xml:space="preserve"> </w:t>
      </w:r>
    </w:p>
    <w:p w14:paraId="44ED51FF" w14:textId="7439B7DF" w:rsidR="00F7626C" w:rsidRPr="008D4AB4" w:rsidRDefault="004A58E5" w:rsidP="00C95C21">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7" w:name="_Toc136270266"/>
      <w:r w:rsidRPr="008D4AB4">
        <w:rPr>
          <w:rFonts w:ascii="Times New Roman" w:hAnsi="Times New Roman" w:cs="Times New Roman"/>
        </w:rPr>
        <w:t>8</w:t>
      </w:r>
      <w:r w:rsidR="000115A9" w:rsidRPr="008D4AB4">
        <w:rPr>
          <w:rFonts w:ascii="Times New Roman" w:hAnsi="Times New Roman" w:cs="Times New Roman"/>
        </w:rPr>
        <w:t>. Общ размер на безвъзмездната финансова помощ по процедур</w:t>
      </w:r>
      <w:r w:rsidR="00EF3FB1" w:rsidRPr="008D4AB4">
        <w:rPr>
          <w:rFonts w:ascii="Times New Roman" w:hAnsi="Times New Roman" w:cs="Times New Roman"/>
        </w:rPr>
        <w:t>ите</w:t>
      </w:r>
      <w:r w:rsidR="00281B3E" w:rsidRPr="008D4AB4">
        <w:rPr>
          <w:rFonts w:ascii="Times New Roman" w:hAnsi="Times New Roman" w:cs="Times New Roman"/>
        </w:rPr>
        <w:t xml:space="preserve"> и разпределение по региони</w:t>
      </w:r>
      <w:r w:rsidR="000115A9" w:rsidRPr="008D4AB4">
        <w:rPr>
          <w:rFonts w:ascii="Times New Roman" w:hAnsi="Times New Roman" w:cs="Times New Roman"/>
        </w:rPr>
        <w:t>:</w:t>
      </w:r>
      <w:bookmarkEnd w:id="7"/>
    </w:p>
    <w:p w14:paraId="5180CF84" w14:textId="380D42B4" w:rsidR="00293A9F" w:rsidRPr="008D4AB4" w:rsidRDefault="00293A9F" w:rsidP="00300C94">
      <w:pPr>
        <w:pStyle w:val="ListParagraph"/>
        <w:spacing w:after="360" w:line="240" w:lineRule="auto"/>
        <w:ind w:left="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805"/>
        <w:gridCol w:w="1903"/>
        <w:gridCol w:w="2126"/>
        <w:gridCol w:w="1968"/>
        <w:gridCol w:w="1570"/>
      </w:tblGrid>
      <w:tr w:rsidR="007D392A" w:rsidRPr="008D4AB4" w14:paraId="45644318" w14:textId="77777777" w:rsidTr="00774B32">
        <w:trPr>
          <w:trHeight w:val="371"/>
          <w:tblHeader/>
        </w:trPr>
        <w:tc>
          <w:tcPr>
            <w:tcW w:w="111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91962D4"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lastRenderedPageBreak/>
              <w:t>Приоритет</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3CCA40B"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FFDED98" w14:textId="123C66AB"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Финансово участие на Съюза </w:t>
            </w:r>
            <w:r w:rsidR="00EF3FB1" w:rsidRPr="008D4AB4">
              <w:rPr>
                <w:rFonts w:ascii="Times New Roman" w:eastAsia="Times New Roman" w:hAnsi="Times New Roman" w:cs="Times New Roman"/>
                <w:b/>
                <w:iCs/>
                <w:noProof/>
                <w:sz w:val="20"/>
                <w:szCs w:val="20"/>
              </w:rPr>
              <w:t>(евро)</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5B5575F" w14:textId="4525AED2"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Национално участие </w:t>
            </w:r>
            <w:r w:rsidR="00EF3FB1" w:rsidRPr="008D4AB4">
              <w:rPr>
                <w:rFonts w:ascii="Times New Roman" w:eastAsia="Times New Roman" w:hAnsi="Times New Roman" w:cs="Times New Roman"/>
                <w:b/>
                <w:iCs/>
                <w:noProof/>
                <w:sz w:val="20"/>
                <w:szCs w:val="20"/>
              </w:rPr>
              <w:t xml:space="preserve"> (евро)</w:t>
            </w:r>
          </w:p>
        </w:tc>
        <w:tc>
          <w:tcPr>
            <w:tcW w:w="1968"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B50C3B7" w14:textId="13378B9F"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Общо</w:t>
            </w:r>
            <w:r w:rsidR="00EF3FB1" w:rsidRPr="008D4AB4">
              <w:rPr>
                <w:rFonts w:ascii="Times New Roman" w:eastAsia="Times New Roman" w:hAnsi="Times New Roman" w:cs="Times New Roman"/>
                <w:b/>
                <w:iCs/>
                <w:noProof/>
                <w:sz w:val="20"/>
                <w:szCs w:val="20"/>
              </w:rPr>
              <w:t xml:space="preserve"> (евро)</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47130A7" w14:textId="3D5B7C7D"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Процент на съфинансиране </w:t>
            </w:r>
          </w:p>
        </w:tc>
      </w:tr>
      <w:tr w:rsidR="00344277" w:rsidRPr="008D4AB4" w14:paraId="50795471" w14:textId="77777777" w:rsidTr="00774B32">
        <w:trPr>
          <w:trHeight w:val="523"/>
          <w:tblHeader/>
        </w:trPr>
        <w:tc>
          <w:tcPr>
            <w:tcW w:w="1114"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0C9B284" w14:textId="77777777" w:rsidR="007D392A" w:rsidRPr="008D4AB4" w:rsidRDefault="007D392A" w:rsidP="00344277">
            <w:pPr>
              <w:spacing w:before="100"/>
              <w:rPr>
                <w:rFonts w:ascii="Times New Roman" w:hAnsi="Times New Roman" w:cs="Times New Roman"/>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267BFC9" w14:textId="77777777" w:rsidR="007D392A" w:rsidRPr="008D4AB4" w:rsidRDefault="007D392A" w:rsidP="00344277">
            <w:pPr>
              <w:spacing w:before="100"/>
              <w:rPr>
                <w:rFonts w:ascii="Times New Roman" w:hAnsi="Times New Roman" w:cs="Times New Roman"/>
                <w:color w:val="000000"/>
                <w:sz w:val="20"/>
                <w:szCs w:val="20"/>
              </w:rPr>
            </w:pPr>
          </w:p>
        </w:tc>
        <w:tc>
          <w:tcPr>
            <w:tcW w:w="1903"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010294B" w14:textId="77777777" w:rsidR="007D392A" w:rsidRPr="008D4AB4" w:rsidRDefault="007D392A" w:rsidP="00344277">
            <w:pPr>
              <w:spacing w:before="100"/>
              <w:rPr>
                <w:rFonts w:ascii="Times New Roman" w:hAnsi="Times New Roman" w:cs="Times New Roman"/>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4BDD77E" w14:textId="77777777" w:rsidR="007D392A" w:rsidRPr="008D4AB4" w:rsidRDefault="007D392A" w:rsidP="00344277">
            <w:pPr>
              <w:spacing w:before="100"/>
              <w:rPr>
                <w:rFonts w:ascii="Times New Roman" w:hAnsi="Times New Roman" w:cs="Times New Roman"/>
                <w:color w:val="000000"/>
                <w:sz w:val="20"/>
                <w:szCs w:val="20"/>
              </w:rPr>
            </w:pPr>
          </w:p>
        </w:tc>
        <w:tc>
          <w:tcPr>
            <w:tcW w:w="1968"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DA32A7F" w14:textId="77777777" w:rsidR="007D392A" w:rsidRPr="008D4AB4" w:rsidRDefault="007D392A" w:rsidP="00344277">
            <w:pPr>
              <w:spacing w:before="100"/>
              <w:rPr>
                <w:rFonts w:ascii="Times New Roman" w:hAnsi="Times New Roman" w:cs="Times New Roman"/>
                <w:color w:val="000000"/>
                <w:sz w:val="20"/>
                <w:szCs w:val="20"/>
              </w:rPr>
            </w:pPr>
          </w:p>
        </w:tc>
        <w:tc>
          <w:tcPr>
            <w:tcW w:w="1570"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7A217D6" w14:textId="77777777" w:rsidR="007D392A" w:rsidRPr="008D4AB4" w:rsidRDefault="007D392A" w:rsidP="00344277">
            <w:pPr>
              <w:spacing w:before="100"/>
              <w:rPr>
                <w:rFonts w:ascii="Times New Roman" w:hAnsi="Times New Roman" w:cs="Times New Roman"/>
                <w:color w:val="000000"/>
                <w:sz w:val="20"/>
                <w:szCs w:val="20"/>
              </w:rPr>
            </w:pPr>
          </w:p>
        </w:tc>
      </w:tr>
      <w:tr w:rsidR="007D392A" w:rsidRPr="008D4AB4" w14:paraId="54413887" w14:textId="77777777" w:rsidTr="00774B32">
        <w:tc>
          <w:tcPr>
            <w:tcW w:w="111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A8769C"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4</w:t>
            </w:r>
          </w:p>
        </w:tc>
        <w:tc>
          <w:tcPr>
            <w:tcW w:w="80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DAF9F1" w14:textId="77777777" w:rsidR="007D392A" w:rsidRPr="008D4AB4" w:rsidRDefault="007D392A" w:rsidP="00344277">
            <w:pPr>
              <w:spacing w:before="100"/>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190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B36008"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40 000 000,00</w:t>
            </w:r>
          </w:p>
        </w:tc>
        <w:tc>
          <w:tcPr>
            <w:tcW w:w="212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7BF57"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7 058 824,00</w:t>
            </w:r>
          </w:p>
        </w:tc>
        <w:tc>
          <w:tcPr>
            <w:tcW w:w="196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F43B6D"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47 058 824,00</w:t>
            </w:r>
          </w:p>
        </w:tc>
        <w:tc>
          <w:tcPr>
            <w:tcW w:w="15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8C818" w14:textId="77777777" w:rsidR="007D392A" w:rsidRPr="008D4AB4" w:rsidRDefault="007D392A" w:rsidP="00344277">
            <w:pPr>
              <w:spacing w:before="100"/>
              <w:jc w:val="right"/>
              <w:rPr>
                <w:rFonts w:ascii="Times New Roman" w:hAnsi="Times New Roman" w:cs="Times New Roman"/>
                <w:color w:val="000000"/>
                <w:sz w:val="20"/>
                <w:szCs w:val="20"/>
              </w:rPr>
            </w:pPr>
            <w:r w:rsidRPr="008D4AB4">
              <w:rPr>
                <w:rFonts w:ascii="Times New Roman" w:eastAsia="Times New Roman" w:hAnsi="Times New Roman" w:cs="Times New Roman"/>
                <w:color w:val="000000"/>
                <w:sz w:val="20"/>
                <w:szCs w:val="20"/>
              </w:rPr>
              <w:t>84,9999991500%</w:t>
            </w:r>
          </w:p>
        </w:tc>
      </w:tr>
    </w:tbl>
    <w:p w14:paraId="6FC4C68F" w14:textId="438FBA51" w:rsidR="007D392A" w:rsidRDefault="007D392A" w:rsidP="007D392A">
      <w:pPr>
        <w:rPr>
          <w:rFonts w:ascii="Times New Roman" w:eastAsiaTheme="majorEastAsia" w:hAnsi="Times New Roman" w:cs="Times New Roman"/>
          <w:b/>
          <w:bCs/>
          <w:color w:val="5B9BD5" w:themeColor="accent1"/>
          <w:sz w:val="26"/>
          <w:szCs w:val="26"/>
        </w:rPr>
      </w:pPr>
    </w:p>
    <w:tbl>
      <w:tblPr>
        <w:tblW w:w="5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126"/>
        <w:gridCol w:w="2127"/>
        <w:gridCol w:w="1842"/>
      </w:tblGrid>
      <w:tr w:rsidR="00634F61" w:rsidRPr="00073A78" w14:paraId="52363389" w14:textId="77777777" w:rsidTr="00634F61">
        <w:trPr>
          <w:trHeight w:val="371"/>
          <w:tblHeader/>
        </w:trPr>
        <w:tc>
          <w:tcPr>
            <w:tcW w:w="3539"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6F80DFE" w14:textId="77777777" w:rsidR="00634F61" w:rsidRPr="00073A78" w:rsidRDefault="00634F61" w:rsidP="00ED7AF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Процедура</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353D976D" w14:textId="77777777" w:rsidR="00634F61" w:rsidRPr="00073A78" w:rsidRDefault="00634F61" w:rsidP="00ED7AF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Финансово участие на Съюза (лева)</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6E6F562" w14:textId="77777777" w:rsidR="00634F61" w:rsidRPr="00073A78" w:rsidRDefault="00634F61" w:rsidP="00ED7AF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Национално участие  (лева)</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356080B3" w14:textId="77777777" w:rsidR="00634F61" w:rsidRPr="00073A78" w:rsidRDefault="00634F61" w:rsidP="00ED7AF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Общо (лева)</w:t>
            </w:r>
          </w:p>
        </w:tc>
      </w:tr>
      <w:tr w:rsidR="00634F61" w:rsidRPr="00073A78" w14:paraId="4AE7C933" w14:textId="77777777" w:rsidTr="00634F61">
        <w:trPr>
          <w:trHeight w:val="523"/>
          <w:tblHeader/>
        </w:trPr>
        <w:tc>
          <w:tcPr>
            <w:tcW w:w="3539"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463E6D0" w14:textId="77777777" w:rsidR="00634F61" w:rsidRPr="00073A78" w:rsidRDefault="00634F61" w:rsidP="00ED7AF9">
            <w:pPr>
              <w:spacing w:before="100"/>
              <w:rPr>
                <w:rFonts w:ascii="Times New Roman" w:hAnsi="Times New Roman" w:cs="Times New Roman"/>
                <w:color w:val="000000"/>
                <w:sz w:val="20"/>
                <w:szCs w:val="20"/>
              </w:rPr>
            </w:pPr>
          </w:p>
        </w:tc>
        <w:tc>
          <w:tcPr>
            <w:tcW w:w="2126"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079A7D74" w14:textId="77777777" w:rsidR="00634F61" w:rsidRPr="00073A78" w:rsidRDefault="00634F61" w:rsidP="00ED7AF9">
            <w:pPr>
              <w:spacing w:before="100"/>
              <w:rPr>
                <w:rFonts w:ascii="Times New Roman" w:hAnsi="Times New Roman" w:cs="Times New Roman"/>
                <w:color w:val="000000"/>
                <w:sz w:val="20"/>
                <w:szCs w:val="20"/>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4CCB6DFB" w14:textId="77777777" w:rsidR="00634F61" w:rsidRPr="00073A78" w:rsidRDefault="00634F61" w:rsidP="00ED7AF9">
            <w:pPr>
              <w:spacing w:before="100"/>
              <w:rPr>
                <w:rFonts w:ascii="Times New Roman" w:hAnsi="Times New Roman" w:cs="Times New Roman"/>
                <w:color w:val="000000"/>
                <w:sz w:val="20"/>
                <w:szCs w:val="20"/>
              </w:rPr>
            </w:pPr>
          </w:p>
        </w:tc>
        <w:tc>
          <w:tcPr>
            <w:tcW w:w="1842"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334721C8" w14:textId="77777777" w:rsidR="00634F61" w:rsidRPr="00073A78" w:rsidRDefault="00634F61" w:rsidP="00ED7AF9">
            <w:pPr>
              <w:spacing w:before="100"/>
              <w:rPr>
                <w:rFonts w:ascii="Times New Roman" w:hAnsi="Times New Roman" w:cs="Times New Roman"/>
                <w:color w:val="000000"/>
                <w:sz w:val="20"/>
                <w:szCs w:val="20"/>
              </w:rPr>
            </w:pPr>
          </w:p>
        </w:tc>
      </w:tr>
      <w:tr w:rsidR="00634F61" w:rsidRPr="00073A78" w14:paraId="781C5D6F" w14:textId="77777777" w:rsidTr="00C93B2B">
        <w:tc>
          <w:tcPr>
            <w:tcW w:w="3539" w:type="dxa"/>
            <w:tcBorders>
              <w:top w:val="single" w:sz="4" w:space="0" w:color="000000"/>
              <w:left w:val="single" w:sz="4" w:space="0" w:color="000000"/>
              <w:bottom w:val="single" w:sz="4" w:space="0" w:color="auto"/>
              <w:right w:val="single" w:sz="4" w:space="0" w:color="auto"/>
            </w:tcBorders>
            <w:tcMar>
              <w:top w:w="0" w:type="dxa"/>
              <w:left w:w="60" w:type="dxa"/>
              <w:bottom w:w="80" w:type="dxa"/>
              <w:right w:w="60" w:type="dxa"/>
            </w:tcMar>
          </w:tcPr>
          <w:p w14:paraId="391E97AC" w14:textId="65254EFF" w:rsidR="00634F61" w:rsidRPr="00073A78" w:rsidRDefault="00634F61" w:rsidP="00634F61">
            <w:pPr>
              <w:spacing w:before="100"/>
              <w:rPr>
                <w:rFonts w:ascii="Times New Roman" w:hAnsi="Times New Roman" w:cs="Times New Roman"/>
                <w:color w:val="000000"/>
                <w:sz w:val="20"/>
                <w:szCs w:val="20"/>
              </w:rPr>
            </w:pPr>
            <w:r>
              <w:rPr>
                <w:rFonts w:ascii="Times New Roman" w:eastAsia="Times New Roman" w:hAnsi="Times New Roman" w:cs="Times New Roman"/>
                <w:noProof/>
                <w:sz w:val="20"/>
                <w:szCs w:val="20"/>
              </w:rPr>
              <w:t xml:space="preserve">2021BG16FFPR001-4.001 </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tcPr>
          <w:p w14:paraId="65AD7BC5" w14:textId="00563C9A" w:rsidR="00634F61" w:rsidRPr="004D15A0" w:rsidRDefault="00634F61" w:rsidP="00634F61">
            <w:pPr>
              <w:spacing w:before="100"/>
              <w:jc w:val="right"/>
              <w:rPr>
                <w:rFonts w:ascii="Times New Roman" w:hAnsi="Times New Roman" w:cs="Times New Roman"/>
                <w:sz w:val="24"/>
                <w:szCs w:val="24"/>
              </w:rPr>
            </w:pPr>
            <w:r w:rsidRPr="003F3DEE">
              <w:t>78 233 200,00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tcPr>
          <w:p w14:paraId="4B72300C" w14:textId="7856EB87" w:rsidR="00634F61" w:rsidRPr="004D15A0" w:rsidRDefault="00634F61" w:rsidP="00634F61">
            <w:pPr>
              <w:spacing w:before="100"/>
              <w:jc w:val="right"/>
              <w:rPr>
                <w:rFonts w:ascii="Times New Roman" w:hAnsi="Times New Roman" w:cs="Times New Roman"/>
                <w:sz w:val="24"/>
                <w:szCs w:val="24"/>
              </w:rPr>
            </w:pPr>
            <w:r w:rsidRPr="003F3DEE">
              <w:t xml:space="preserve"> 13 805 859,74     </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tcPr>
          <w:p w14:paraId="76AA2362" w14:textId="5E0A4243" w:rsidR="00634F61" w:rsidRPr="004D15A0" w:rsidRDefault="00634F61" w:rsidP="00634F61">
            <w:pPr>
              <w:spacing w:before="100"/>
              <w:jc w:val="right"/>
              <w:rPr>
                <w:rFonts w:ascii="Times New Roman" w:hAnsi="Times New Roman" w:cs="Times New Roman"/>
                <w:sz w:val="24"/>
                <w:szCs w:val="24"/>
              </w:rPr>
            </w:pPr>
            <w:r w:rsidRPr="003F3DEE">
              <w:t>92 039 059,74</w:t>
            </w:r>
          </w:p>
        </w:tc>
      </w:tr>
    </w:tbl>
    <w:p w14:paraId="4EE1F35E" w14:textId="77777777" w:rsidR="00634F61" w:rsidRPr="008D4AB4" w:rsidRDefault="00634F61" w:rsidP="007D392A">
      <w:pPr>
        <w:rPr>
          <w:rFonts w:ascii="Times New Roman" w:eastAsiaTheme="majorEastAsia" w:hAnsi="Times New Roman" w:cs="Times New Roman"/>
          <w:b/>
          <w:bCs/>
          <w:color w:val="5B9BD5" w:themeColor="accent1"/>
          <w:sz w:val="26"/>
          <w:szCs w:val="26"/>
        </w:rPr>
      </w:pPr>
    </w:p>
    <w:p w14:paraId="55A5E307" w14:textId="20667A32" w:rsidR="00BA2E00" w:rsidRPr="008D4AB4" w:rsidRDefault="00BA2E00" w:rsidP="003F1D1D">
      <w:pPr>
        <w:pStyle w:val="Heading2"/>
        <w:numPr>
          <w:ilvl w:val="0"/>
          <w:numId w:val="19"/>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8" w:name="_Toc136270267"/>
      <w:r w:rsidRPr="008D4AB4">
        <w:rPr>
          <w:rFonts w:ascii="Times New Roman" w:hAnsi="Times New Roman" w:cs="Times New Roman"/>
        </w:rPr>
        <w:t>Минимален</w:t>
      </w:r>
      <w:r w:rsidR="00EA11C9" w:rsidRPr="008D4AB4">
        <w:rPr>
          <w:rFonts w:ascii="Times New Roman" w:hAnsi="Times New Roman" w:cs="Times New Roman"/>
        </w:rPr>
        <w:t xml:space="preserve"> (ако е приложимо) </w:t>
      </w:r>
      <w:r w:rsidRPr="008D4AB4">
        <w:rPr>
          <w:rFonts w:ascii="Times New Roman" w:hAnsi="Times New Roman" w:cs="Times New Roman"/>
        </w:rPr>
        <w:t>и максимален размер на безвъзмездната финансова помощ за конкретен проект:</w:t>
      </w:r>
      <w:bookmarkEnd w:id="8"/>
    </w:p>
    <w:p w14:paraId="580368D8" w14:textId="23B3475D" w:rsidR="0089237A" w:rsidRPr="008D4AB4" w:rsidRDefault="0089237A"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По настоящата процедура </w:t>
      </w:r>
      <w:r w:rsidR="00CB6045" w:rsidRPr="008D4AB4">
        <w:rPr>
          <w:rFonts w:ascii="Times New Roman" w:hAnsi="Times New Roman" w:cs="Times New Roman"/>
          <w:sz w:val="24"/>
          <w:szCs w:val="24"/>
        </w:rPr>
        <w:t>чрез директно предоставяне на безвъзмездна фина</w:t>
      </w:r>
      <w:r w:rsidR="009F7278" w:rsidRPr="008D4AB4">
        <w:rPr>
          <w:rFonts w:ascii="Times New Roman" w:hAnsi="Times New Roman" w:cs="Times New Roman"/>
          <w:sz w:val="24"/>
          <w:szCs w:val="24"/>
        </w:rPr>
        <w:t>нсова помощ</w:t>
      </w:r>
      <w:r w:rsidR="003F6462" w:rsidRPr="008D4AB4">
        <w:rPr>
          <w:rFonts w:ascii="Times New Roman" w:hAnsi="Times New Roman" w:cs="Times New Roman"/>
          <w:sz w:val="24"/>
          <w:szCs w:val="24"/>
        </w:rPr>
        <w:t>,</w:t>
      </w:r>
      <w:r w:rsidR="009F7278" w:rsidRPr="008D4AB4">
        <w:rPr>
          <w:rFonts w:ascii="Times New Roman" w:hAnsi="Times New Roman" w:cs="Times New Roman"/>
          <w:sz w:val="24"/>
          <w:szCs w:val="24"/>
        </w:rPr>
        <w:t xml:space="preserve">  </w:t>
      </w:r>
      <w:r w:rsidRPr="008D4AB4">
        <w:rPr>
          <w:rFonts w:ascii="Times New Roman" w:hAnsi="Times New Roman" w:cs="Times New Roman"/>
          <w:sz w:val="24"/>
          <w:szCs w:val="24"/>
        </w:rPr>
        <w:t xml:space="preserve">няма изискване за </w:t>
      </w:r>
      <w:r w:rsidRPr="008D4AB4">
        <w:rPr>
          <w:rFonts w:ascii="Times New Roman" w:hAnsi="Times New Roman" w:cs="Times New Roman"/>
          <w:b/>
          <w:sz w:val="24"/>
          <w:szCs w:val="24"/>
        </w:rPr>
        <w:t>минимален размер</w:t>
      </w:r>
      <w:r w:rsidR="004E6FCB" w:rsidRPr="008D4AB4">
        <w:rPr>
          <w:rFonts w:ascii="Times New Roman" w:hAnsi="Times New Roman" w:cs="Times New Roman"/>
          <w:sz w:val="24"/>
          <w:szCs w:val="24"/>
        </w:rPr>
        <w:t xml:space="preserve"> на </w:t>
      </w:r>
      <w:r w:rsidR="00846685" w:rsidRPr="008D4AB4">
        <w:rPr>
          <w:rFonts w:ascii="Times New Roman" w:hAnsi="Times New Roman" w:cs="Times New Roman"/>
          <w:sz w:val="24"/>
          <w:szCs w:val="24"/>
        </w:rPr>
        <w:t>безвъзмездната финансова помощ</w:t>
      </w:r>
      <w:r w:rsidR="00062F64" w:rsidRPr="008D4AB4">
        <w:rPr>
          <w:rFonts w:ascii="Times New Roman" w:hAnsi="Times New Roman" w:cs="Times New Roman"/>
          <w:sz w:val="24"/>
          <w:szCs w:val="24"/>
        </w:rPr>
        <w:t>, който да бъде заявен</w:t>
      </w:r>
      <w:r w:rsidR="00846685" w:rsidRPr="008D4AB4">
        <w:rPr>
          <w:rFonts w:ascii="Times New Roman" w:hAnsi="Times New Roman" w:cs="Times New Roman"/>
          <w:sz w:val="24"/>
          <w:szCs w:val="24"/>
        </w:rPr>
        <w:t>.</w:t>
      </w:r>
      <w:r w:rsidRPr="008D4AB4">
        <w:rPr>
          <w:rFonts w:ascii="Times New Roman" w:hAnsi="Times New Roman" w:cs="Times New Roman"/>
          <w:sz w:val="24"/>
          <w:szCs w:val="24"/>
        </w:rPr>
        <w:t xml:space="preserve"> </w:t>
      </w:r>
    </w:p>
    <w:p w14:paraId="15DA167D" w14:textId="65601BFF" w:rsidR="00BA2E00" w:rsidRPr="008D4AB4" w:rsidRDefault="00344277"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Максималният размер е до съответната стойност по измерение 1 - Област на интервенция, която съответства на дейностите по проекта и не повече от общия бюджет на процедурата.</w:t>
      </w:r>
    </w:p>
    <w:p w14:paraId="6A9D8217" w14:textId="059A3C0A" w:rsidR="002325A3" w:rsidRPr="008D4AB4" w:rsidRDefault="002325A3" w:rsidP="003F1D1D">
      <w:pPr>
        <w:pStyle w:val="Heading2"/>
        <w:numPr>
          <w:ilvl w:val="0"/>
          <w:numId w:val="19"/>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9" w:name="_Toc136270268"/>
      <w:r w:rsidRPr="008D4AB4">
        <w:rPr>
          <w:rFonts w:ascii="Times New Roman" w:hAnsi="Times New Roman" w:cs="Times New Roman"/>
        </w:rPr>
        <w:t>Процент на съфинансиране:</w:t>
      </w:r>
      <w:bookmarkEnd w:id="9"/>
    </w:p>
    <w:p w14:paraId="37948D8A" w14:textId="530DC28F" w:rsidR="002325A3" w:rsidRPr="008D4AB4" w:rsidRDefault="00CD046B"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Интензитетът на безвъзмездната </w:t>
      </w:r>
      <w:r w:rsidR="00CB3CE5" w:rsidRPr="008D4AB4">
        <w:rPr>
          <w:rFonts w:ascii="Times New Roman" w:hAnsi="Times New Roman" w:cs="Times New Roman"/>
          <w:sz w:val="24"/>
          <w:szCs w:val="24"/>
        </w:rPr>
        <w:t xml:space="preserve">финансова </w:t>
      </w:r>
      <w:r w:rsidRPr="008D4AB4">
        <w:rPr>
          <w:rFonts w:ascii="Times New Roman" w:hAnsi="Times New Roman" w:cs="Times New Roman"/>
          <w:sz w:val="24"/>
          <w:szCs w:val="24"/>
        </w:rPr>
        <w:t xml:space="preserve">помощ е </w:t>
      </w:r>
      <w:r w:rsidR="00BC7952" w:rsidRPr="008D4AB4">
        <w:rPr>
          <w:rFonts w:ascii="Times New Roman" w:hAnsi="Times New Roman" w:cs="Times New Roman"/>
          <w:sz w:val="24"/>
          <w:szCs w:val="24"/>
        </w:rPr>
        <w:t>100%.</w:t>
      </w:r>
      <w:r w:rsidR="003558FF" w:rsidRPr="008D4AB4">
        <w:rPr>
          <w:rFonts w:ascii="Times New Roman" w:hAnsi="Times New Roman" w:cs="Times New Roman"/>
          <w:sz w:val="24"/>
          <w:szCs w:val="24"/>
        </w:rPr>
        <w:t xml:space="preserve"> </w:t>
      </w:r>
    </w:p>
    <w:p w14:paraId="5906B129" w14:textId="7C59C8E0" w:rsidR="002325A3" w:rsidRPr="008D4AB4" w:rsidRDefault="002325A3" w:rsidP="003F1D1D">
      <w:pPr>
        <w:pStyle w:val="Heading2"/>
        <w:numPr>
          <w:ilvl w:val="0"/>
          <w:numId w:val="19"/>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0" w:name="_Toc136270269"/>
      <w:r w:rsidRPr="008D4AB4">
        <w:rPr>
          <w:rFonts w:ascii="Times New Roman" w:hAnsi="Times New Roman" w:cs="Times New Roman"/>
        </w:rPr>
        <w:t>Допустими кандидати:</w:t>
      </w:r>
      <w:bookmarkEnd w:id="10"/>
      <w:r w:rsidRPr="008D4AB4">
        <w:rPr>
          <w:rFonts w:ascii="Times New Roman" w:hAnsi="Times New Roman" w:cs="Times New Roman"/>
        </w:rPr>
        <w:t xml:space="preserve"> </w:t>
      </w:r>
    </w:p>
    <w:p w14:paraId="70C75D6A" w14:textId="2A13CED4" w:rsidR="00D3273B" w:rsidRPr="008D4AB4" w:rsidRDefault="0011368E"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Допустим</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кандидат</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w:t>
      </w:r>
      <w:r w:rsidR="007303DE" w:rsidRPr="008D4AB4">
        <w:rPr>
          <w:rFonts w:ascii="Times New Roman" w:hAnsi="Times New Roman" w:cs="Times New Roman"/>
          <w:sz w:val="24"/>
          <w:szCs w:val="24"/>
        </w:rPr>
        <w:t>по процедур</w:t>
      </w:r>
      <w:r w:rsidR="00EF3FB1" w:rsidRPr="008D4AB4">
        <w:rPr>
          <w:rFonts w:ascii="Times New Roman" w:hAnsi="Times New Roman" w:cs="Times New Roman"/>
          <w:sz w:val="24"/>
          <w:szCs w:val="24"/>
        </w:rPr>
        <w:t>ите</w:t>
      </w:r>
      <w:r w:rsidR="007303DE" w:rsidRPr="008D4AB4">
        <w:rPr>
          <w:rFonts w:ascii="Times New Roman" w:hAnsi="Times New Roman" w:cs="Times New Roman"/>
          <w:sz w:val="24"/>
          <w:szCs w:val="24"/>
        </w:rPr>
        <w:t xml:space="preserve"> по смисъла на </w:t>
      </w:r>
      <w:r w:rsidR="00091E13" w:rsidRPr="008D4AB4">
        <w:rPr>
          <w:rFonts w:ascii="Times New Roman" w:hAnsi="Times New Roman" w:cs="Times New Roman"/>
          <w:sz w:val="24"/>
          <w:szCs w:val="24"/>
        </w:rPr>
        <w:t xml:space="preserve">чл. </w:t>
      </w:r>
      <w:r w:rsidR="007303DE" w:rsidRPr="008D4AB4">
        <w:rPr>
          <w:rFonts w:ascii="Times New Roman" w:hAnsi="Times New Roman" w:cs="Times New Roman"/>
          <w:sz w:val="24"/>
          <w:szCs w:val="24"/>
        </w:rPr>
        <w:t xml:space="preserve">25, ал. 1, т. 2 от </w:t>
      </w:r>
      <w:r w:rsidR="00B10409"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8D4AB4">
        <w:rPr>
          <w:rFonts w:ascii="Times New Roman" w:hAnsi="Times New Roman" w:cs="Times New Roman"/>
          <w:sz w:val="24"/>
          <w:szCs w:val="24"/>
        </w:rPr>
        <w:t>)</w:t>
      </w:r>
      <w:r w:rsidR="00B10409" w:rsidRPr="008D4AB4" w:rsidDel="00B10409">
        <w:rPr>
          <w:rFonts w:ascii="Times New Roman" w:hAnsi="Times New Roman" w:cs="Times New Roman"/>
          <w:sz w:val="24"/>
          <w:szCs w:val="24"/>
        </w:rPr>
        <w:t xml:space="preserve"> </w:t>
      </w:r>
      <w:r w:rsidR="00344277" w:rsidRPr="008D4AB4">
        <w:rPr>
          <w:rFonts w:ascii="Times New Roman" w:hAnsi="Times New Roman" w:cs="Times New Roman"/>
          <w:sz w:val="24"/>
          <w:szCs w:val="24"/>
        </w:rPr>
        <w:t>са:</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2409"/>
        <w:gridCol w:w="1276"/>
      </w:tblGrid>
      <w:tr w:rsidR="00344277" w:rsidRPr="008D4AB4" w14:paraId="7091DB32" w14:textId="77777777" w:rsidTr="003F4E48">
        <w:trPr>
          <w:trHeight w:val="483"/>
        </w:trPr>
        <w:tc>
          <w:tcPr>
            <w:tcW w:w="6204" w:type="dxa"/>
            <w:shd w:val="clear" w:color="auto" w:fill="BDD6EE"/>
            <w:vAlign w:val="center"/>
          </w:tcPr>
          <w:p w14:paraId="7C54B478" w14:textId="77777777" w:rsidR="00344277" w:rsidRPr="008D4AB4" w:rsidRDefault="00344277" w:rsidP="00344277">
            <w:pPr>
              <w:pStyle w:val="Normal1"/>
              <w:spacing w:before="134"/>
              <w:ind w:right="141"/>
              <w:rPr>
                <w:b/>
                <w:color w:val="000000"/>
              </w:rPr>
            </w:pPr>
            <w:r w:rsidRPr="008D4AB4">
              <w:rPr>
                <w:b/>
                <w:color w:val="000000"/>
              </w:rPr>
              <w:t>Номер и наименование на процедурата по ПТС</w:t>
            </w:r>
          </w:p>
        </w:tc>
        <w:tc>
          <w:tcPr>
            <w:tcW w:w="2409" w:type="dxa"/>
            <w:shd w:val="clear" w:color="auto" w:fill="BDD6EE"/>
            <w:vAlign w:val="center"/>
          </w:tcPr>
          <w:p w14:paraId="589C4BA4" w14:textId="77777777" w:rsidR="00344277" w:rsidRPr="008D4AB4" w:rsidRDefault="00344277" w:rsidP="00344277">
            <w:pPr>
              <w:pStyle w:val="Normal1"/>
              <w:spacing w:before="134"/>
              <w:ind w:right="141"/>
              <w:rPr>
                <w:b/>
                <w:color w:val="000000"/>
              </w:rPr>
            </w:pPr>
            <w:r w:rsidRPr="008D4AB4">
              <w:rPr>
                <w:b/>
                <w:bCs/>
              </w:rPr>
              <w:t xml:space="preserve">Конкретни </w:t>
            </w:r>
            <w:r w:rsidRPr="008D4AB4">
              <w:rPr>
                <w:b/>
                <w:color w:val="000000"/>
              </w:rPr>
              <w:t>бенефициенти по процедурата</w:t>
            </w:r>
          </w:p>
        </w:tc>
        <w:tc>
          <w:tcPr>
            <w:tcW w:w="1276" w:type="dxa"/>
            <w:shd w:val="clear" w:color="auto" w:fill="BDD6EE"/>
            <w:vAlign w:val="center"/>
          </w:tcPr>
          <w:p w14:paraId="7F0EA9B7" w14:textId="77777777" w:rsidR="00344277" w:rsidRPr="008D4AB4" w:rsidRDefault="00344277" w:rsidP="00344277">
            <w:pPr>
              <w:pStyle w:val="Normal1"/>
              <w:spacing w:before="134"/>
              <w:ind w:right="141"/>
              <w:rPr>
                <w:b/>
                <w:color w:val="000000"/>
              </w:rPr>
            </w:pPr>
            <w:r w:rsidRPr="008D4AB4">
              <w:rPr>
                <w:b/>
                <w:color w:val="000000"/>
              </w:rPr>
              <w:t>Фонд</w:t>
            </w:r>
          </w:p>
        </w:tc>
      </w:tr>
      <w:tr w:rsidR="00344277" w:rsidRPr="008D4AB4" w14:paraId="5B50EF53" w14:textId="77777777" w:rsidTr="003F4E48">
        <w:trPr>
          <w:trHeight w:val="985"/>
        </w:trPr>
        <w:tc>
          <w:tcPr>
            <w:tcW w:w="9889" w:type="dxa"/>
            <w:gridSpan w:val="3"/>
            <w:shd w:val="clear" w:color="auto" w:fill="E2EFD9" w:themeFill="accent6" w:themeFillTint="33"/>
          </w:tcPr>
          <w:p w14:paraId="7B1121F7" w14:textId="77777777" w:rsidR="00344277" w:rsidRPr="008D4AB4" w:rsidRDefault="00344277" w:rsidP="00344277">
            <w:pPr>
              <w:pStyle w:val="Normal1"/>
              <w:spacing w:before="120" w:beforeAutospacing="0" w:after="120" w:afterAutospacing="0"/>
              <w:ind w:right="141"/>
              <w:rPr>
                <w:color w:val="000000"/>
              </w:rPr>
            </w:pPr>
            <w:r w:rsidRPr="008D4AB4">
              <w:rPr>
                <w:b/>
                <w:color w:val="000000"/>
              </w:rPr>
              <w:t xml:space="preserve">Приоритет 4 </w:t>
            </w:r>
            <w:r w:rsidRPr="008D4AB4">
              <w:t>„</w:t>
            </w:r>
            <w:r w:rsidRPr="008D4AB4">
              <w:rPr>
                <w:color w:val="000000"/>
                <w:lang w:bidi="bg-BG"/>
              </w:rPr>
              <w:t>Интермодалност в градски условия</w:t>
            </w:r>
            <w:r w:rsidRPr="008D4AB4">
              <w:t>”</w:t>
            </w:r>
          </w:p>
        </w:tc>
      </w:tr>
      <w:tr w:rsidR="00344277" w:rsidRPr="008D4AB4" w14:paraId="3F9ECB20" w14:textId="77777777" w:rsidTr="003F4E48">
        <w:trPr>
          <w:trHeight w:val="842"/>
        </w:trPr>
        <w:tc>
          <w:tcPr>
            <w:tcW w:w="6204" w:type="dxa"/>
          </w:tcPr>
          <w:p w14:paraId="4AFA20E3" w14:textId="77777777" w:rsidR="00344277" w:rsidRPr="008D4AB4" w:rsidRDefault="00344277" w:rsidP="00344277">
            <w:pPr>
              <w:pStyle w:val="Normal1"/>
              <w:spacing w:before="120" w:beforeAutospacing="0" w:after="120" w:afterAutospacing="0"/>
              <w:ind w:right="141"/>
              <w:jc w:val="left"/>
              <w:rPr>
                <w:i/>
                <w:color w:val="000000"/>
              </w:rPr>
            </w:pPr>
            <w:r w:rsidRPr="008D4AB4">
              <w:rPr>
                <w:i/>
                <w:color w:val="000000"/>
              </w:rPr>
              <w:t xml:space="preserve">Процедура № </w:t>
            </w:r>
            <w:r w:rsidRPr="008D4AB4">
              <w:rPr>
                <w:i/>
              </w:rPr>
              <w:t>2021BG16FFPR001</w:t>
            </w:r>
            <w:r w:rsidRPr="008D4AB4">
              <w:rPr>
                <w:i/>
                <w:lang w:val="en-US"/>
              </w:rPr>
              <w:t>-4.001</w:t>
            </w:r>
            <w:r w:rsidRPr="008D4AB4">
              <w:rPr>
                <w:i/>
              </w:rPr>
              <w:t xml:space="preserve"> „</w:t>
            </w:r>
            <w:r w:rsidRPr="008D4AB4">
              <w:rPr>
                <w:i/>
                <w:iCs/>
              </w:rPr>
              <w:t>Интермодалност в градски условия</w:t>
            </w:r>
            <w:r w:rsidRPr="008D4AB4">
              <w:rPr>
                <w:i/>
              </w:rPr>
              <w:t>”</w:t>
            </w:r>
          </w:p>
        </w:tc>
        <w:tc>
          <w:tcPr>
            <w:tcW w:w="2409" w:type="dxa"/>
          </w:tcPr>
          <w:p w14:paraId="78CC8738" w14:textId="77777777" w:rsidR="00344277" w:rsidRPr="008D4AB4" w:rsidRDefault="00344277" w:rsidP="003F1D1D">
            <w:pPr>
              <w:pStyle w:val="Normal1"/>
              <w:numPr>
                <w:ilvl w:val="0"/>
                <w:numId w:val="1"/>
              </w:numPr>
              <w:tabs>
                <w:tab w:val="left" w:pos="310"/>
              </w:tabs>
              <w:spacing w:before="0" w:beforeAutospacing="0" w:after="0" w:afterAutospacing="0"/>
              <w:ind w:left="421" w:right="-108" w:hanging="421"/>
              <w:jc w:val="left"/>
              <w:rPr>
                <w:color w:val="000000"/>
              </w:rPr>
            </w:pPr>
            <w:r w:rsidRPr="008D4AB4">
              <w:rPr>
                <w:color w:val="000000"/>
              </w:rPr>
              <w:t>НКЖИ</w:t>
            </w:r>
          </w:p>
        </w:tc>
        <w:tc>
          <w:tcPr>
            <w:tcW w:w="1276" w:type="dxa"/>
          </w:tcPr>
          <w:p w14:paraId="596C589E"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2C90872E"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ЕФРР</w:t>
            </w:r>
          </w:p>
        </w:tc>
      </w:tr>
    </w:tbl>
    <w:p w14:paraId="4ECB3074" w14:textId="7823F1EA" w:rsidR="00344277" w:rsidRPr="008D4AB4" w:rsidRDefault="00344277" w:rsidP="003F4E48">
      <w:pPr>
        <w:pStyle w:val="ListParagraph"/>
        <w:spacing w:after="360" w:line="240" w:lineRule="auto"/>
        <w:ind w:left="0"/>
        <w:jc w:val="both"/>
        <w:rPr>
          <w:rFonts w:ascii="Times New Roman" w:hAnsi="Times New Roman" w:cs="Times New Roman"/>
          <w:sz w:val="24"/>
          <w:szCs w:val="24"/>
        </w:rPr>
      </w:pPr>
    </w:p>
    <w:p w14:paraId="16048FE4" w14:textId="4012FEA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0F4356F1" w14:textId="1BDAC74F" w:rsidR="003F4E48" w:rsidRPr="008D4AB4" w:rsidRDefault="003F4E48" w:rsidP="003F4E48">
      <w:pPr>
        <w:pStyle w:val="ListParagraph"/>
        <w:spacing w:after="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Кандидатът следва да разполага с необходимия административен, финансов и оперативен капацитет, който да гарантира успешното изпълнение на дейностите, заложени в съответните проекти.</w:t>
      </w:r>
    </w:p>
    <w:p w14:paraId="5B666DD4" w14:textId="5FD53064" w:rsidR="002325A3" w:rsidRPr="008D4AB4" w:rsidRDefault="002325A3" w:rsidP="003F1D1D">
      <w:pPr>
        <w:pStyle w:val="Heading2"/>
        <w:numPr>
          <w:ilvl w:val="0"/>
          <w:numId w:val="19"/>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1" w:name="_Toc136270270"/>
      <w:r w:rsidRPr="008D4AB4">
        <w:rPr>
          <w:rFonts w:ascii="Times New Roman" w:hAnsi="Times New Roman" w:cs="Times New Roman"/>
        </w:rPr>
        <w:lastRenderedPageBreak/>
        <w:t>Допустими партньори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11"/>
    </w:p>
    <w:p w14:paraId="039045DF" w14:textId="77777777" w:rsidR="002325A3" w:rsidRPr="008D4AB4" w:rsidRDefault="002D1F6A" w:rsidP="003F4E48">
      <w:pPr>
        <w:pStyle w:val="ListParagraph"/>
        <w:pBdr>
          <w:top w:val="single" w:sz="4" w:space="1" w:color="auto"/>
          <w:left w:val="single" w:sz="4" w:space="4" w:color="auto"/>
          <w:bottom w:val="single" w:sz="4" w:space="1" w:color="auto"/>
          <w:right w:val="single" w:sz="4" w:space="12" w:color="auto"/>
        </w:pBdr>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Неприложимо </w:t>
      </w:r>
    </w:p>
    <w:p w14:paraId="50D5260C" w14:textId="715F5B5A" w:rsidR="002325A3" w:rsidRPr="008D4AB4" w:rsidRDefault="004E6370" w:rsidP="003F1D1D">
      <w:pPr>
        <w:pStyle w:val="Heading2"/>
        <w:numPr>
          <w:ilvl w:val="0"/>
          <w:numId w:val="19"/>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2" w:name="_Toc136270271"/>
      <w:r w:rsidRPr="008D4AB4">
        <w:rPr>
          <w:rFonts w:ascii="Times New Roman" w:hAnsi="Times New Roman" w:cs="Times New Roman"/>
        </w:rPr>
        <w:t>Д</w:t>
      </w:r>
      <w:r w:rsidR="002325A3" w:rsidRPr="008D4AB4">
        <w:rPr>
          <w:rFonts w:ascii="Times New Roman" w:hAnsi="Times New Roman" w:cs="Times New Roman"/>
        </w:rPr>
        <w:t>ейности, допустими за финансиране:</w:t>
      </w:r>
      <w:bookmarkEnd w:id="12"/>
    </w:p>
    <w:p w14:paraId="2034B56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За да бъдат допустими дейностите, трябва да отговарят на следните условия: </w:t>
      </w:r>
    </w:p>
    <w:p w14:paraId="2120BEB0"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разпоредбите на Регламент (ЕС) 2021/1060;</w:t>
      </w:r>
    </w:p>
    <w:p w14:paraId="0040203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предвиденото в програма „Транспортна свързаност“ 2021-2027 г., да гарантират постигането на целите на настоящите процедури и да осигуряват ефективен принос за постигането на целите на Програмата;</w:t>
      </w:r>
    </w:p>
    <w:p w14:paraId="37215D69"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извършени от допустим бенефициент и да са изплатени в рамките на общата продължителност на операцията;</w:t>
      </w:r>
    </w:p>
    <w:p w14:paraId="16096728"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хоризонталните принципи, съгласно чл. 9 от Регламент (ЕС) 2021/1060;</w:t>
      </w:r>
    </w:p>
    <w:p w14:paraId="01C71B83"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p>
    <w:p w14:paraId="4E7729F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се реализират в рамките на наличния бюджет и да имат ясни и реалистични количествени резултати;</w:t>
      </w:r>
    </w:p>
    <w:p w14:paraId="59D32CF8" w14:textId="4C9287A2" w:rsidR="008D4AB4"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ненанасяне на значителни вреди, така че да не се засяга в значителна степен постигането както на екологичната, така и на социалната цел.</w:t>
      </w:r>
    </w:p>
    <w:p w14:paraId="4684BFCF" w14:textId="77777777"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lang w:eastAsia="bg-BG"/>
        </w:rPr>
        <w:t>Кохезионният фонд</w:t>
      </w:r>
      <w:r w:rsidRPr="008D4AB4">
        <w:rPr>
          <w:rFonts w:ascii="Times New Roman" w:eastAsia="Times New Roman" w:hAnsi="Times New Roman" w:cs="Times New Roman"/>
          <w:sz w:val="24"/>
          <w:szCs w:val="24"/>
          <w:lang w:eastAsia="bg-BG"/>
        </w:rPr>
        <w:t xml:space="preserve"> подкрепя следните дейности</w:t>
      </w:r>
      <w:r>
        <w:rPr>
          <w:rFonts w:ascii="Times New Roman" w:eastAsia="Times New Roman" w:hAnsi="Times New Roman" w:cs="Times New Roman"/>
          <w:sz w:val="24"/>
          <w:szCs w:val="24"/>
          <w:lang w:eastAsia="bg-BG"/>
        </w:rPr>
        <w:t xml:space="preserve"> съгласно</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8D4AB4">
        <w:rPr>
          <w:rFonts w:ascii="Times New Roman" w:eastAsia="Times New Roman" w:hAnsi="Times New Roman" w:cs="Times New Roman"/>
          <w:sz w:val="24"/>
          <w:szCs w:val="24"/>
          <w:lang w:eastAsia="bg-BG"/>
        </w:rPr>
        <w:t xml:space="preserve">лен </w:t>
      </w:r>
      <w:r>
        <w:rPr>
          <w:rFonts w:ascii="Times New Roman" w:eastAsia="Times New Roman" w:hAnsi="Times New Roman" w:cs="Times New Roman"/>
          <w:sz w:val="24"/>
          <w:szCs w:val="24"/>
          <w:lang w:eastAsia="bg-BG"/>
        </w:rPr>
        <w:t>6 на Регламент 2021/1058</w:t>
      </w:r>
      <w:r w:rsidRPr="008D4AB4">
        <w:rPr>
          <w:rFonts w:ascii="Times New Roman" w:eastAsia="Times New Roman" w:hAnsi="Times New Roman" w:cs="Times New Roman"/>
          <w:sz w:val="24"/>
          <w:szCs w:val="24"/>
          <w:lang w:eastAsia="bg-BG"/>
        </w:rPr>
        <w:t>:</w:t>
      </w:r>
    </w:p>
    <w:p w14:paraId="6DBF4555" w14:textId="77777777" w:rsidR="008D4AB4" w:rsidRPr="008D4AB4" w:rsidRDefault="008D4AB4" w:rsidP="003F1D1D">
      <w:pPr>
        <w:pStyle w:val="ListParagraph"/>
        <w:numPr>
          <w:ilvl w:val="0"/>
          <w:numId w:val="9"/>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областта на околната среда, включително инвестиции, свързани с устойчивото развитие и енергетиката, които предполагат ползи за околната среда, с особен акцент върху енергията от възобновяеми източници;</w:t>
      </w:r>
    </w:p>
    <w:p w14:paraId="5DD3C59D" w14:textId="77777777" w:rsidR="008D4AB4" w:rsidRPr="008D4AB4" w:rsidRDefault="008D4AB4" w:rsidP="003F1D1D">
      <w:pPr>
        <w:pStyle w:val="ListParagraph"/>
        <w:numPr>
          <w:ilvl w:val="0"/>
          <w:numId w:val="9"/>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TEN-T;</w:t>
      </w:r>
    </w:p>
    <w:p w14:paraId="2050FC11" w14:textId="77777777" w:rsidR="008D4AB4" w:rsidRPr="008D4AB4" w:rsidRDefault="008D4AB4" w:rsidP="003F1D1D">
      <w:pPr>
        <w:pStyle w:val="ListParagraph"/>
        <w:numPr>
          <w:ilvl w:val="0"/>
          <w:numId w:val="9"/>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5DE2DE75" w14:textId="77777777" w:rsidR="008D4AB4" w:rsidRPr="008D4AB4" w:rsidRDefault="008D4AB4" w:rsidP="003F1D1D">
      <w:pPr>
        <w:pStyle w:val="ListParagraph"/>
        <w:numPr>
          <w:ilvl w:val="0"/>
          <w:numId w:val="9"/>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p>
    <w:p w14:paraId="55D35572" w14:textId="77777777" w:rsidR="00F70DF6" w:rsidRPr="008D4AB4" w:rsidRDefault="00F70DF6" w:rsidP="00F70DF6">
      <w:pPr>
        <w:pStyle w:val="ListParagraph"/>
        <w:ind w:left="0"/>
        <w:jc w:val="both"/>
        <w:rPr>
          <w:rFonts w:ascii="Times New Roman" w:eastAsia="Times New Roman" w:hAnsi="Times New Roman" w:cs="Times New Roman"/>
          <w:sz w:val="24"/>
          <w:szCs w:val="24"/>
          <w:lang w:eastAsia="bg-BG"/>
        </w:rPr>
      </w:pPr>
    </w:p>
    <w:p w14:paraId="1C217061" w14:textId="541E44DE" w:rsidR="001F15FC" w:rsidRPr="008D4AB4" w:rsidRDefault="001F15FC" w:rsidP="000B36AF">
      <w:pPr>
        <w:pStyle w:val="ListParagraph"/>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Допустими</w:t>
      </w:r>
      <w:r w:rsidR="00174401" w:rsidRPr="008D4AB4">
        <w:rPr>
          <w:rFonts w:ascii="Times New Roman" w:eastAsia="Times New Roman" w:hAnsi="Times New Roman" w:cs="Times New Roman"/>
          <w:sz w:val="24"/>
          <w:szCs w:val="24"/>
          <w:lang w:eastAsia="bg-BG"/>
        </w:rPr>
        <w:t>те</w:t>
      </w:r>
      <w:r w:rsidRPr="008D4AB4">
        <w:rPr>
          <w:rFonts w:ascii="Times New Roman" w:eastAsia="Times New Roman" w:hAnsi="Times New Roman" w:cs="Times New Roman"/>
          <w:sz w:val="24"/>
          <w:szCs w:val="24"/>
          <w:lang w:eastAsia="bg-BG"/>
        </w:rPr>
        <w:t xml:space="preserve"> дейности, допринасящи за постигане на целите на приоритет</w:t>
      </w:r>
      <w:r w:rsidR="00EF3FB1" w:rsidRPr="008D4AB4">
        <w:rPr>
          <w:rFonts w:ascii="Times New Roman" w:eastAsia="Times New Roman" w:hAnsi="Times New Roman" w:cs="Times New Roman"/>
          <w:sz w:val="24"/>
          <w:szCs w:val="24"/>
          <w:lang w:eastAsia="bg-BG"/>
        </w:rPr>
        <w:t>ите</w:t>
      </w:r>
      <w:r w:rsidRPr="008D4AB4">
        <w:rPr>
          <w:rFonts w:ascii="Times New Roman" w:eastAsia="Times New Roman" w:hAnsi="Times New Roman" w:cs="Times New Roman"/>
          <w:sz w:val="24"/>
          <w:szCs w:val="24"/>
          <w:lang w:eastAsia="bg-BG"/>
        </w:rPr>
        <w:t xml:space="preserve"> </w:t>
      </w:r>
      <w:r w:rsidR="008D4AB4">
        <w:rPr>
          <w:rFonts w:ascii="Times New Roman" w:eastAsia="Times New Roman" w:hAnsi="Times New Roman" w:cs="Times New Roman"/>
          <w:sz w:val="24"/>
          <w:szCs w:val="24"/>
          <w:lang w:eastAsia="bg-BG"/>
        </w:rPr>
        <w:t xml:space="preserve">на ПТС </w:t>
      </w:r>
      <w:r w:rsidR="003F6462" w:rsidRPr="008D4AB4">
        <w:rPr>
          <w:rFonts w:ascii="Times New Roman" w:eastAsia="Times New Roman" w:hAnsi="Times New Roman" w:cs="Times New Roman"/>
          <w:sz w:val="24"/>
          <w:szCs w:val="24"/>
          <w:lang w:eastAsia="bg-BG"/>
        </w:rPr>
        <w:t>са както следва</w:t>
      </w:r>
      <w:r w:rsidRPr="008D4AB4">
        <w:rPr>
          <w:rFonts w:ascii="Times New Roman" w:eastAsia="Times New Roman" w:hAnsi="Times New Roman" w:cs="Times New Roman"/>
          <w:sz w:val="24"/>
          <w:szCs w:val="24"/>
          <w:lang w:eastAsia="bg-BG"/>
        </w:rPr>
        <w:t>:</w:t>
      </w:r>
    </w:p>
    <w:p w14:paraId="3E21EFBD" w14:textId="75700033" w:rsidR="00507F9F" w:rsidRDefault="00507F9F" w:rsidP="006255EF">
      <w:pPr>
        <w:ind w:firstLine="567"/>
        <w:jc w:val="both"/>
        <w:rPr>
          <w:rFonts w:ascii="Times New Roman" w:eastAsia="Times New Roman" w:hAnsi="Times New Roman" w:cs="Times New Roman"/>
          <w:sz w:val="24"/>
          <w:szCs w:val="24"/>
          <w:lang w:eastAsia="bg-BG"/>
        </w:rPr>
      </w:pPr>
      <w:r w:rsidRPr="00507F9F">
        <w:rPr>
          <w:rFonts w:ascii="Times New Roman" w:eastAsia="Times New Roman" w:hAnsi="Times New Roman" w:cs="Times New Roman"/>
          <w:sz w:val="24"/>
          <w:szCs w:val="24"/>
          <w:lang w:eastAsia="bg-BG"/>
        </w:rPr>
        <w:t>Приоритет 4: допустими дейности: изграждане на железопътни връзки към летища в градски условия, мерки за техническа помощ за подготовката/завършване на подготовката на проектите, включително за градска железница в Пловдив.</w:t>
      </w:r>
    </w:p>
    <w:p w14:paraId="7014FAFC" w14:textId="66F773CA"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Необходими са инвестиции за насърчаване на интермодалността в градски условия, което ще допринесе за подобряване и модернизиране на градските транспортни системи, за приспособяване към градския растеж и нарастващото търсене. Градските райони са особено изложени на негативните ефекти от настоящите модели на мобилност и транспорт, както и от устойчивата зависимост от частни леки автомобили, задвижвани от изкопаеми горива, като лошо качество на въздуха, шум, пътни произшествия, задръствания и емисии на парникови газове. Мерките за градска мобилност ще се прилагат в рамките на плановете за устойчива градска мобилност.</w:t>
      </w:r>
    </w:p>
    <w:p w14:paraId="6FED7BF9"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В допълнение на инвестициите по приоритет 1, се включват инвестиции за изграждане на ж.п. връзки към летище Пловдив и летище Бургас, които ще подобрят интермодалността и ще създадат по-добри условия за ефективно използване и комбиниране на видовете транспорт в градски условия.</w:t>
      </w:r>
    </w:p>
    <w:p w14:paraId="04B9E4FD"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Към настоящия момент не съществува комбиниран транспорт, който да обслужва нуждите на пътническите и товарните превози, осъществявайки връзка между ж.п. инфраструктурата и летищата в Пловдив и Бургас. Изграждането на ж.п. връзки ще осигури по-добра координация между отделните видове транспорт и ниво на обслужване, отговарящо на изискванията за съвременно придвижване на пътниците и товаро-превозните услуги. За по-добрата свързаност ще допринесе и проекта за изграждане на градска железница в Пловдив, който ще бъде подготвен по програмата.</w:t>
      </w:r>
    </w:p>
    <w:p w14:paraId="6A92762E"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Осигуряването на железопътна връзка на гара Крумово с летище Пловдив, заедно с проекта „Развитие на железопътен възел Пловдив“ и плановете за концесия и развитие на летище Пловдив, ще осигурят развитие на транспортната свързаност в рамките на град Пловдив, чрез развитие на съвременен, сигурен и ефективен железопътен транспорт в ареала на града. В момента автобусен транспорт обслужва пътническия терминал на летище Пловдив и прави връзка с центъра на град Пловдив. Другите възможности за достигане до терминала на летището са посредством личен автомобил или таксиметрови превози. Няма друг транспорт в града, който да осъществява връзка между летището и жп гарата. Това допринася за задръстванията в град Пловдив, който е втория по големина град в България и замърсява въздуха в района. Ще бъде създадена градска железница, чрез използване на трасетата на съществуващата железопътна инфраструктура и изграждане на допълнителни спирки и връзки за обслужване на транспортната схема на града. С развитието на градската железница трасето до летище Пловдив ще бъде интегрирано към осъществяваните превози в рамките на града, като по този начин ще се създаде възможност за по-добра свързаност на летището с транспортната мрежа на града и значително повишаване на превозите.</w:t>
      </w:r>
    </w:p>
    <w:p w14:paraId="0FCCAC5D"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Летище Бургас се намира в непосредствена близост до квартал Сарафово. В близост до квартала преминава 86-та жп линия Владимир Павлов - Сарафово, като приемното здание на гарата се намира на приблизително 2 км (по права линия) от населеното място. Ареалът на летище Бургас прегражда пътя към жп гарата, в резултат на което реалното разстояние между терминала на летище Бургас, респективно кв. Сарафово до приемното здание на гара Сарафово е около 5 км. Осигуряването на железопътна връзка чрез използване в максимална степен на съществуващата инфраструктура, ще допринесе за удобен и бърз превоз на пътници между жп гара Бургас и летище Бургас. Разработеният проект за изграждане на новата жп връзка допълва проекта за развитие на жп възел Бургас. Направлението е важно за </w:t>
      </w:r>
      <w:r w:rsidRPr="008D4AB4">
        <w:rPr>
          <w:rFonts w:ascii="Times New Roman" w:eastAsia="Times New Roman" w:hAnsi="Times New Roman" w:cs="Times New Roman"/>
          <w:sz w:val="24"/>
          <w:szCs w:val="24"/>
          <w:lang w:eastAsia="bg-BG"/>
        </w:rPr>
        <w:lastRenderedPageBreak/>
        <w:t>града, защото свързва международното летище с жп гара Бургас. Единственият обществен транспорт, предлаган по направлението е автобусна линия за масов градски транспорт. Други възможности за придвижване по направлението са таксиметров превоз или ползване на леки автомобили. Ще се проектират и изградят 3 нови спирки и 1 гара - стадион Лазур, Морската градина, Летище Бургас и Солниците. В този смисъл ж.п. линията не е само връзка с летище, но и градска железница в рамките на града, с изграждането на нови спирки и гара, обслужващи кварталите на града. С проекта ще се осигури свързаност на квартал Сарафово с централната част на град Бургас и други отдалечени квартали. Населението на квартал Сарафово е 4000 души, като в летния сезон достига 15000. Голяма част от живущите пътуват ежедневно за работа или забавление до центъра на града и другите квартали и капацитетът за обслужване с новата ж.п. линия е значителен. В този аспект тя може да се разглежда като градска железница, свързваща относително отдалечен квартал на града. Градската железница осигурява и транспортна свързаност в централната част на Бургас. Предвидени са 1 нова спирка и използване на гари Владимир Павлов и Бургас. Те са разположени в гъсто населени райони на града и чрез ж.п. линията се осъществява свързаност между тях с голям капацитет. Тези обекти се свързват чрез ж.п. линията със зони за отдих и развлечение в приморската част на града – спирка Морска градина и гара Солниците. Това са най-посещаваните зони – градската градина, Северния плаж на град Бургас, зона за отдих и лечение Солниците, зона за спорт в парка и велоалеите по крайбрежната ивица и е очаквано да се реализира значителен трафик в рамките на централната част на града и зоните за отдих.</w:t>
      </w:r>
    </w:p>
    <w:p w14:paraId="39FD239C"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Както е предвидено в съобщението „Стратегия за устойчива и интелигентна мобилност – поставяне на европейския транспорт на път за бъдещето“ , увеличаването на дела на колективния транспорт, както и автоматизираната, свързана и мултимодална мобилност значително ще намалят замърсяването и задръстванията от транспорта, особено в градовете и ще допринесат за подобряване на здравето и благосъстоянието на хората.</w:t>
      </w:r>
    </w:p>
    <w:p w14:paraId="3F4BD783"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Политиките на ЕС за справяне с демографските предизвикателства засягат транспорта, информационното общество, заетостта и социалната политика, културата, околната среда и климата, също и предприятията. Те изискват всеобхватен подход за преодоляване или смекчаване на последиците от демографските промени. Необходимо е повишаване на привлекателността на регионите, така че те да предоставят на младите хора възможности за учене, иновации и стабилна и качествена заетост чрез целенасочени инвестиции в инфраструктура и свързаност. Тази свързаност, освен да облекчи задръстванията, ще даде приоритет и на инвестициите в устойчиви транспортни мрежи и ще стимулира обществените услуги в по-слабо развитите райони, с цел да се насърчи взаимосвързаността между градовете и постигане на значителен градски растеж. Изпълнението на проекти, насърчаващи екологично устойчиво и социално приобщаващо развитие на транспортната инфраструктура в съответните региони спомага и за посрещане на нарастващото търсене на транспортните услуги.</w:t>
      </w:r>
    </w:p>
    <w:p w14:paraId="5B978D23" w14:textId="3E9BBED6"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В този контекст изграждането на железопътните връзки от пътническите гари на Пловдив и Бургас към съответните летища ще допринесе за подобряване на условията за приспособяване към демографските промени, за повишаване на градския растеж и за посрещане на нарастващото търсене.</w:t>
      </w:r>
    </w:p>
    <w:p w14:paraId="600E5BAB"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В последните години сме свидетели и участници в промяната на моделите на работа и начина на живот. Въпреки че е важно постепенно да се върнем на работните места и да се възползваме от сътрудничеството на живо, ще продължим частично да работим дистанционно в обозримото бъдеще. В ситуацията след COVID-19 хибридният модел на работа ще изисква значителна промяна в културата и установяване на нови начини на общуване заедно със съответните политики и практики, което се отразява и на начина ни на живот като цяло. В хибридните екипи трябва да се съсредоточим повече върху управлението на екипа, отделните му членове и самите нас - задачи, които са по-лесни, когато работим в едно и също физическо пространство. Изграждането на железопътните връзки с летищата на Пловдив и Бургас ще улесни придвижването на хората, работещи в региона и комуникациите между отделните групи пътници, което ще повлияе както върху променените модели на работа, така и променения начин на живот като цяло.</w:t>
      </w:r>
    </w:p>
    <w:p w14:paraId="21DF94CD" w14:textId="77777777"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 изграждането на връзките към летищата ще се постигне и подобрена ефективност на инфраструктурата с въздействие към намаляване на отрицателните външни ефекти такива като задръствания, катастрофи и вредни газови емисии в околната среда.</w:t>
      </w:r>
    </w:p>
    <w:p w14:paraId="195C429C" w14:textId="7E118881" w:rsidR="006255EF" w:rsidRPr="008D4AB4" w:rsidRDefault="006255EF" w:rsidP="006255EF">
      <w:pPr>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 предвидените инвестиции ще се насърчи развитието на мултимодална градска мобилност в допълнение на инвестициите по програмата за регионално развитие и в съответствие с плановете за устойчива градска мобилност.</w:t>
      </w:r>
    </w:p>
    <w:p w14:paraId="0B419EB8" w14:textId="54BC05BD" w:rsidR="00F26E9D" w:rsidRPr="008D4AB4" w:rsidRDefault="00635B38" w:rsidP="00EA7EF4">
      <w:pPr>
        <w:jc w:val="both"/>
        <w:rPr>
          <w:rFonts w:ascii="Times New Roman" w:eastAsia="Times New Roman" w:hAnsi="Times New Roman" w:cs="Times New Roman"/>
          <w:b/>
          <w:sz w:val="24"/>
          <w:szCs w:val="24"/>
          <w:lang w:eastAsia="bg-BG"/>
        </w:rPr>
      </w:pPr>
      <w:r w:rsidRPr="008D4AB4">
        <w:rPr>
          <w:rFonts w:ascii="Times New Roman" w:eastAsia="Times New Roman" w:hAnsi="Times New Roman" w:cs="Times New Roman"/>
          <w:b/>
          <w:sz w:val="24"/>
          <w:szCs w:val="24"/>
          <w:lang w:eastAsia="bg-BG"/>
        </w:rPr>
        <w:t xml:space="preserve">Всички предвидени проекти </w:t>
      </w:r>
      <w:r w:rsidR="00AC53C6">
        <w:rPr>
          <w:rFonts w:ascii="Times New Roman" w:eastAsia="Times New Roman" w:hAnsi="Times New Roman" w:cs="Times New Roman"/>
          <w:b/>
          <w:sz w:val="24"/>
          <w:szCs w:val="24"/>
          <w:lang w:eastAsia="bg-BG"/>
        </w:rPr>
        <w:t xml:space="preserve">по ПТС </w:t>
      </w:r>
      <w:r w:rsidRPr="008D4AB4">
        <w:rPr>
          <w:rFonts w:ascii="Times New Roman" w:eastAsia="Times New Roman" w:hAnsi="Times New Roman" w:cs="Times New Roman"/>
          <w:b/>
          <w:sz w:val="24"/>
          <w:szCs w:val="24"/>
          <w:lang w:eastAsia="bg-BG"/>
        </w:rPr>
        <w:t>съответстват на принципа „за ненанасяне на значителни вреди“ по смисъла на чл. 17 от Регламент (ЕС) 2020/852. Видовете действия са оценени като съвместими съгласно техническите насоки на Механизма за възстановяване и устойчивост /RRF DNSH/.</w:t>
      </w:r>
    </w:p>
    <w:p w14:paraId="0C5459DB" w14:textId="3B4A0BEA" w:rsidR="0008198A" w:rsidRPr="007A0B0A" w:rsidRDefault="00874505" w:rsidP="00890E38">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всеки проект</w:t>
      </w:r>
      <w:r w:rsidR="009879E3" w:rsidRPr="007A0B0A">
        <w:rPr>
          <w:rFonts w:ascii="Times New Roman" w:eastAsia="Times New Roman" w:hAnsi="Times New Roman" w:cs="Times New Roman"/>
          <w:iCs/>
          <w:sz w:val="24"/>
          <w:szCs w:val="24"/>
          <w:lang w:eastAsia="bg-BG"/>
        </w:rPr>
        <w:t xml:space="preserve"> </w:t>
      </w:r>
      <w:r w:rsidR="009879E3" w:rsidRPr="007A0B0A">
        <w:rPr>
          <w:rFonts w:ascii="Times New Roman" w:eastAsia="Times New Roman" w:hAnsi="Times New Roman" w:cs="Times New Roman"/>
          <w:sz w:val="24"/>
          <w:szCs w:val="24"/>
          <w:lang w:eastAsia="bg-BG"/>
        </w:rPr>
        <w:t xml:space="preserve">конкретният бенефициент </w:t>
      </w:r>
      <w:r w:rsidR="009879E3" w:rsidRPr="007A0B0A">
        <w:rPr>
          <w:rFonts w:ascii="Times New Roman" w:eastAsia="Times New Roman" w:hAnsi="Times New Roman" w:cs="Times New Roman"/>
          <w:iCs/>
          <w:sz w:val="24"/>
          <w:szCs w:val="24"/>
          <w:lang w:eastAsia="bg-BG"/>
        </w:rPr>
        <w:t>подава Формуляр за кандидатстване, с приложени към него приложими документи, посочени в т. 2</w:t>
      </w:r>
      <w:r w:rsidR="00890E38" w:rsidRPr="007A0B0A">
        <w:rPr>
          <w:rFonts w:ascii="Times New Roman" w:eastAsia="Times New Roman" w:hAnsi="Times New Roman" w:cs="Times New Roman"/>
          <w:iCs/>
          <w:sz w:val="24"/>
          <w:szCs w:val="24"/>
          <w:lang w:val="en-US" w:eastAsia="bg-BG"/>
        </w:rPr>
        <w:t>1</w:t>
      </w:r>
      <w:r w:rsidR="009879E3" w:rsidRPr="007A0B0A">
        <w:rPr>
          <w:rFonts w:ascii="Times New Roman" w:eastAsia="Times New Roman" w:hAnsi="Times New Roman" w:cs="Times New Roman"/>
          <w:iCs/>
          <w:sz w:val="24"/>
          <w:szCs w:val="24"/>
          <w:lang w:eastAsia="bg-BG"/>
        </w:rPr>
        <w:t xml:space="preserve"> от настоящите Условия за кандидатстване. </w:t>
      </w:r>
    </w:p>
    <w:p w14:paraId="7926ED67" w14:textId="3071379F" w:rsidR="009879E3" w:rsidRPr="00774B32" w:rsidRDefault="00CB0880" w:rsidP="00890E38">
      <w:pPr>
        <w:pStyle w:val="ListParagraph"/>
        <w:ind w:left="0" w:firstLine="567"/>
        <w:jc w:val="both"/>
        <w:rPr>
          <w:rFonts w:ascii="Times New Roman" w:eastAsia="Times New Roman" w:hAnsi="Times New Roman" w:cs="Times New Roman"/>
          <w:iCs/>
          <w:sz w:val="24"/>
          <w:szCs w:val="24"/>
          <w:lang w:val="en-US" w:eastAsia="bg-BG"/>
        </w:rPr>
      </w:pPr>
      <w:r w:rsidRPr="008D4AB4">
        <w:rPr>
          <w:rFonts w:ascii="Times New Roman" w:eastAsia="Times New Roman" w:hAnsi="Times New Roman" w:cs="Times New Roman"/>
          <w:iCs/>
          <w:sz w:val="24"/>
          <w:szCs w:val="24"/>
          <w:lang w:eastAsia="bg-BG"/>
        </w:rPr>
        <w:t xml:space="preserve">Периодът </w:t>
      </w:r>
      <w:r w:rsidR="00F73785" w:rsidRPr="008D4AB4">
        <w:rPr>
          <w:rFonts w:ascii="Times New Roman" w:eastAsia="Times New Roman" w:hAnsi="Times New Roman" w:cs="Times New Roman"/>
          <w:iCs/>
          <w:sz w:val="24"/>
          <w:szCs w:val="24"/>
          <w:lang w:eastAsia="bg-BG"/>
        </w:rPr>
        <w:t>з</w:t>
      </w:r>
      <w:r w:rsidRPr="008D4AB4">
        <w:rPr>
          <w:rFonts w:ascii="Times New Roman" w:eastAsia="Times New Roman" w:hAnsi="Times New Roman" w:cs="Times New Roman"/>
          <w:iCs/>
          <w:sz w:val="24"/>
          <w:szCs w:val="24"/>
          <w:lang w:eastAsia="bg-BG"/>
        </w:rPr>
        <w:t>а извършване на разходите</w:t>
      </w:r>
      <w:r w:rsidR="00B23ACB">
        <w:rPr>
          <w:rFonts w:ascii="Times New Roman" w:eastAsia="Times New Roman" w:hAnsi="Times New Roman" w:cs="Times New Roman"/>
          <w:iCs/>
          <w:sz w:val="24"/>
          <w:szCs w:val="24"/>
          <w:lang w:eastAsia="bg-BG"/>
        </w:rPr>
        <w:t xml:space="preserve"> за проектите е съгласна графикът им за изпълнение, но не по-късно от 31.12.2029 г</w:t>
      </w:r>
      <w:r w:rsidR="00774B32">
        <w:rPr>
          <w:rFonts w:ascii="Times New Roman" w:eastAsia="Times New Roman" w:hAnsi="Times New Roman" w:cs="Times New Roman"/>
          <w:iCs/>
          <w:sz w:val="24"/>
          <w:szCs w:val="24"/>
          <w:lang w:val="en-US" w:eastAsia="bg-BG"/>
        </w:rPr>
        <w:t>.</w:t>
      </w:r>
    </w:p>
    <w:p w14:paraId="656E92F5" w14:textId="77777777" w:rsidR="00D32B8F" w:rsidRPr="008D4AB4" w:rsidRDefault="00D32B8F" w:rsidP="00EA7EF4">
      <w:pPr>
        <w:pStyle w:val="ListParagraph"/>
        <w:ind w:left="0"/>
        <w:jc w:val="both"/>
        <w:rPr>
          <w:rFonts w:ascii="Times New Roman" w:eastAsia="Times New Roman" w:hAnsi="Times New Roman" w:cs="Times New Roman"/>
          <w:b/>
          <w:sz w:val="24"/>
          <w:szCs w:val="24"/>
          <w:lang w:eastAsia="bg-BG"/>
        </w:rPr>
      </w:pPr>
    </w:p>
    <w:p w14:paraId="092A5C14" w14:textId="6D327DB3" w:rsidR="0008198A" w:rsidRPr="008D4AB4" w:rsidRDefault="00D32B8F" w:rsidP="0008198A">
      <w:pPr>
        <w:pStyle w:val="ListParagraph"/>
        <w:pBdr>
          <w:top w:val="single" w:sz="4" w:space="1" w:color="auto"/>
          <w:left w:val="single" w:sz="4" w:space="4" w:color="auto"/>
          <w:bottom w:val="single" w:sz="4" w:space="1" w:color="auto"/>
          <w:right w:val="single" w:sz="4" w:space="4" w:color="auto"/>
        </w:pBdr>
        <w:shd w:val="clear" w:color="auto" w:fill="DEEAF6" w:themeFill="accent1" w:themeFillTint="33"/>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shd w:val="clear" w:color="auto" w:fill="DEEAF6" w:themeFill="accent1" w:themeFillTint="33"/>
          <w:lang w:eastAsia="bg-BG"/>
        </w:rPr>
        <w:t>ВАЖНО</w:t>
      </w:r>
      <w:r w:rsidRPr="008D4AB4">
        <w:rPr>
          <w:rFonts w:ascii="Times New Roman" w:eastAsia="Times New Roman" w:hAnsi="Times New Roman" w:cs="Times New Roman"/>
          <w:sz w:val="24"/>
          <w:szCs w:val="24"/>
          <w:shd w:val="clear" w:color="auto" w:fill="DEEAF6" w:themeFill="accent1" w:themeFillTint="33"/>
          <w:lang w:eastAsia="bg-BG"/>
        </w:rPr>
        <w:t>: При осъществяването на дейностите в областта на електронното управление и</w:t>
      </w:r>
      <w:r w:rsidRPr="008D4AB4">
        <w:rPr>
          <w:rFonts w:ascii="Times New Roman" w:eastAsia="Times New Roman" w:hAnsi="Times New Roman" w:cs="Times New Roman"/>
          <w:sz w:val="24"/>
          <w:szCs w:val="24"/>
          <w:lang w:eastAsia="bg-BG"/>
        </w:rPr>
        <w:t xml:space="preserve">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8D4AB4">
        <w:rPr>
          <w:rFonts w:ascii="Times New Roman" w:eastAsia="Times New Roman" w:hAnsi="Times New Roman" w:cs="Times New Roman"/>
          <w:sz w:val="24"/>
          <w:szCs w:val="24"/>
          <w:lang w:eastAsia="bg-BG"/>
        </w:rPr>
        <w:t xml:space="preserve">те административни </w:t>
      </w:r>
      <w:r w:rsidRPr="008D4AB4">
        <w:rPr>
          <w:rFonts w:ascii="Times New Roman" w:eastAsia="Times New Roman" w:hAnsi="Times New Roman" w:cs="Times New Roman"/>
          <w:sz w:val="24"/>
          <w:szCs w:val="24"/>
          <w:lang w:eastAsia="bg-BG"/>
        </w:rPr>
        <w:t>услуги.</w:t>
      </w:r>
    </w:p>
    <w:p w14:paraId="79699E6D" w14:textId="300C5182" w:rsidR="008A376E" w:rsidRPr="008D4AB4" w:rsidRDefault="00CF2360" w:rsidP="0008198A">
      <w:pPr>
        <w:spacing w:line="240" w:lineRule="auto"/>
        <w:jc w:val="both"/>
        <w:rPr>
          <w:rFonts w:ascii="Times New Roman" w:hAnsi="Times New Roman" w:cs="Times New Roman"/>
          <w:sz w:val="24"/>
          <w:szCs w:val="24"/>
        </w:rPr>
      </w:pPr>
      <w:r w:rsidRPr="007A0B0A">
        <w:rPr>
          <w:rFonts w:ascii="Times New Roman" w:hAnsi="Times New Roman" w:cs="Times New Roman"/>
          <w:sz w:val="24"/>
          <w:szCs w:val="24"/>
        </w:rPr>
        <w:t>В случай на изменение на ПТС, при което са настъпили промени в допустимите дейности, изменението се прилага в настоящите насоки от датата на одобрението на програмата от ЕК.</w:t>
      </w:r>
    </w:p>
    <w:p w14:paraId="12ED2287" w14:textId="74B21E6E" w:rsidR="00FB28D2" w:rsidRPr="008D4AB4" w:rsidRDefault="008F616E" w:rsidP="0008198A">
      <w:pPr>
        <w:pBdr>
          <w:top w:val="single" w:sz="4" w:space="1" w:color="auto"/>
          <w:left w:val="single" w:sz="4" w:space="4" w:color="auto"/>
          <w:bottom w:val="single" w:sz="4" w:space="1" w:color="auto"/>
          <w:right w:val="single" w:sz="4" w:space="4" w:color="auto"/>
        </w:pBdr>
        <w:shd w:val="clear" w:color="auto" w:fill="DEEAF6" w:themeFill="accent1" w:themeFillTint="33"/>
        <w:spacing w:line="240" w:lineRule="auto"/>
        <w:jc w:val="both"/>
        <w:rPr>
          <w:rFonts w:ascii="Times New Roman" w:hAnsi="Times New Roman" w:cs="Times New Roman"/>
          <w:sz w:val="24"/>
          <w:szCs w:val="24"/>
        </w:rPr>
      </w:pPr>
      <w:r w:rsidRPr="008D4AB4">
        <w:rPr>
          <w:rFonts w:ascii="Times New Roman" w:hAnsi="Times New Roman" w:cs="Times New Roman"/>
          <w:b/>
          <w:sz w:val="24"/>
          <w:szCs w:val="24"/>
        </w:rPr>
        <w:t>ВАЖНО:</w:t>
      </w:r>
      <w:r w:rsidRPr="008D4AB4">
        <w:rPr>
          <w:rFonts w:ascii="Times New Roman" w:hAnsi="Times New Roman" w:cs="Times New Roman"/>
          <w:sz w:val="24"/>
          <w:szCs w:val="24"/>
        </w:rPr>
        <w:t xml:space="preserve"> Кандидатът няма право да подава </w:t>
      </w:r>
      <w:r w:rsidR="006F0FEA" w:rsidRPr="008D4AB4">
        <w:rPr>
          <w:rFonts w:ascii="Times New Roman" w:hAnsi="Times New Roman" w:cs="Times New Roman"/>
          <w:sz w:val="24"/>
          <w:szCs w:val="24"/>
        </w:rPr>
        <w:t xml:space="preserve">Формуляр за кандидатстване </w:t>
      </w:r>
      <w:r w:rsidRPr="008D4AB4">
        <w:rPr>
          <w:rFonts w:ascii="Times New Roman" w:hAnsi="Times New Roman" w:cs="Times New Roman"/>
          <w:sz w:val="24"/>
          <w:szCs w:val="24"/>
        </w:rPr>
        <w:t xml:space="preserve">за </w:t>
      </w:r>
      <w:r w:rsidR="009E21BF" w:rsidRPr="008D4AB4">
        <w:rPr>
          <w:rFonts w:ascii="Times New Roman" w:hAnsi="Times New Roman" w:cs="Times New Roman"/>
          <w:sz w:val="24"/>
          <w:szCs w:val="24"/>
        </w:rPr>
        <w:t>операции</w:t>
      </w:r>
      <w:r w:rsidRPr="008D4AB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6BD73FE5" w:rsidR="002325A3" w:rsidRPr="008D4AB4" w:rsidRDefault="003D562F" w:rsidP="003F1D1D">
      <w:pPr>
        <w:pStyle w:val="Heading2"/>
        <w:numPr>
          <w:ilvl w:val="0"/>
          <w:numId w:val="19"/>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ind w:hanging="862"/>
        <w:rPr>
          <w:rFonts w:ascii="Times New Roman" w:hAnsi="Times New Roman" w:cs="Times New Roman"/>
        </w:rPr>
      </w:pPr>
      <w:bookmarkStart w:id="13" w:name="_Toc136270272"/>
      <w:r w:rsidRPr="008D4AB4">
        <w:rPr>
          <w:rFonts w:ascii="Times New Roman" w:hAnsi="Times New Roman" w:cs="Times New Roman"/>
        </w:rPr>
        <w:lastRenderedPageBreak/>
        <w:t>Категории р</w:t>
      </w:r>
      <w:r w:rsidR="002325A3" w:rsidRPr="008D4AB4">
        <w:rPr>
          <w:rFonts w:ascii="Times New Roman" w:hAnsi="Times New Roman" w:cs="Times New Roman"/>
        </w:rPr>
        <w:t>азходи, допустими за финансиране:</w:t>
      </w:r>
      <w:bookmarkEnd w:id="13"/>
    </w:p>
    <w:p w14:paraId="706EA400" w14:textId="38392A62" w:rsidR="00336E80" w:rsidRPr="008D4AB4" w:rsidRDefault="00336E80" w:rsidP="00115659">
      <w:pPr>
        <w:spacing w:line="240" w:lineRule="auto"/>
        <w:ind w:firstLine="708"/>
        <w:jc w:val="both"/>
        <w:rPr>
          <w:rFonts w:ascii="Times New Roman" w:hAnsi="Times New Roman" w:cs="Times New Roman"/>
          <w:sz w:val="24"/>
          <w:szCs w:val="24"/>
        </w:rPr>
      </w:pPr>
      <w:bookmarkStart w:id="14" w:name="_Toc442298722"/>
      <w:r w:rsidRPr="008D4AB4">
        <w:rPr>
          <w:rFonts w:ascii="Times New Roman" w:hAnsi="Times New Roman" w:cs="Times New Roman"/>
          <w:sz w:val="24"/>
          <w:szCs w:val="24"/>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6CC3FDCC" w14:textId="3B09352B" w:rsidR="001603B0" w:rsidRPr="008D4AB4" w:rsidRDefault="001603B0" w:rsidP="009976F4">
      <w:pPr>
        <w:pStyle w:val="Heading2"/>
        <w:spacing w:before="120" w:after="120"/>
        <w:rPr>
          <w:rFonts w:ascii="Times New Roman" w:hAnsi="Times New Roman" w:cs="Times New Roman"/>
        </w:rPr>
      </w:pPr>
      <w:bookmarkStart w:id="15" w:name="_Toc136270273"/>
      <w:r w:rsidRPr="008D4AB4">
        <w:rPr>
          <w:rFonts w:ascii="Times New Roman" w:hAnsi="Times New Roman" w:cs="Times New Roman"/>
        </w:rPr>
        <w:t>14.1. Условия за допустимост на разходите</w:t>
      </w:r>
      <w:bookmarkEnd w:id="14"/>
      <w:bookmarkEnd w:id="15"/>
    </w:p>
    <w:p w14:paraId="08BCD0E4" w14:textId="77777777" w:rsidR="00115659" w:rsidRPr="008D4AB4" w:rsidRDefault="00115659" w:rsidP="00115659">
      <w:pPr>
        <w:spacing w:after="24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Допустимите разходи </w:t>
      </w:r>
      <w:r w:rsidRPr="008D4AB4">
        <w:rPr>
          <w:rFonts w:ascii="Times New Roman" w:eastAsia="Calibri" w:hAnsi="Times New Roman" w:cs="Times New Roman"/>
          <w:sz w:val="24"/>
          <w:szCs w:val="24"/>
        </w:rPr>
        <w:t xml:space="preserve">следва да са извършени законосъобразно и </w:t>
      </w:r>
      <w:r w:rsidRPr="008D4AB4">
        <w:rPr>
          <w:rFonts w:ascii="Times New Roman" w:hAnsi="Times New Roman" w:cs="Times New Roman"/>
          <w:sz w:val="24"/>
          <w:szCs w:val="24"/>
        </w:rPr>
        <w:t xml:space="preserve">не трябва да противоречат на правилата, описани в Регламент (ЕС) 2021/1060 на Европейския парламент и на Съвета от 24 юни 2021 година </w:t>
      </w:r>
      <w:r w:rsidRPr="008D4AB4">
        <w:rPr>
          <w:rFonts w:ascii="Times New Roman" w:hAnsi="Times New Roman" w:cs="Times New Roman"/>
          <w:i/>
          <w:sz w:val="24"/>
          <w:szCs w:val="24"/>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D4AB4">
        <w:rPr>
          <w:rFonts w:ascii="Times New Roman" w:hAnsi="Times New Roman" w:cs="Times New Roman"/>
          <w:sz w:val="24"/>
          <w:szCs w:val="24"/>
        </w:rPr>
        <w:t xml:space="preserve">, Регламент (ЕС) 2021/1058 на Европейския парламент и на Съвета от 24 юни 2021 година </w:t>
      </w:r>
      <w:hyperlink r:id="rId10" w:tooltip="32021R1058" w:history="1">
        <w:r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Pr="008D4AB4">
        <w:rPr>
          <w:rFonts w:ascii="Times New Roman" w:hAnsi="Times New Roman" w:cs="Times New Roman"/>
          <w:sz w:val="24"/>
          <w:szCs w:val="24"/>
        </w:rPr>
        <w:t xml:space="preserve">, Регламент (ЕС, Евратом) 2018/1046 на Европейския парламент и на Съвета от 18 юли 2018 година </w:t>
      </w:r>
      <w:r w:rsidRPr="008D4AB4">
        <w:rPr>
          <w:rFonts w:ascii="Times New Roman" w:hAnsi="Times New Roman" w:cs="Times New Roman"/>
          <w:i/>
          <w:sz w:val="24"/>
          <w:szCs w:val="24"/>
        </w:rPr>
        <w:t>за финансовите правила, приложими за общия бюджет на Съюза</w:t>
      </w:r>
      <w:r w:rsidRPr="008D4AB4">
        <w:rPr>
          <w:rFonts w:ascii="Times New Roman" w:hAnsi="Times New Roman" w:cs="Times New Roman"/>
          <w:sz w:val="24"/>
          <w:szCs w:val="24"/>
        </w:rPr>
        <w:t xml:space="preserve">, </w:t>
      </w:r>
      <w:r w:rsidRPr="008D4AB4">
        <w:rPr>
          <w:rFonts w:ascii="Times New Roman" w:hAnsi="Times New Roman" w:cs="Times New Roman"/>
          <w:i/>
          <w:sz w:val="24"/>
          <w:szCs w:val="24"/>
        </w:rPr>
        <w:t>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D4AB4">
        <w:rPr>
          <w:rFonts w:ascii="Times New Roman" w:hAnsi="Times New Roman" w:cs="Times New Roman"/>
          <w:sz w:val="24"/>
          <w:szCs w:val="24"/>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AEDA75A" w14:textId="50393145" w:rsidR="004966C5" w:rsidRPr="008D4AB4" w:rsidRDefault="004966C5"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Съгласно чл. 63 </w:t>
      </w:r>
      <w:r w:rsidRPr="008D4AB4">
        <w:rPr>
          <w:rFonts w:ascii="Times New Roman" w:hAnsi="Times New Roman" w:cs="Times New Roman"/>
          <w:sz w:val="24"/>
          <w:szCs w:val="24"/>
        </w:rPr>
        <w:t>на Регламент 2021/1060 относно допустимостта на разходите:</w:t>
      </w:r>
    </w:p>
    <w:p w14:paraId="289C6C34" w14:textId="210B3C71" w:rsidR="00115659" w:rsidRPr="008D4AB4" w:rsidRDefault="00115659" w:rsidP="003F1D1D">
      <w:pPr>
        <w:pStyle w:val="ListParagraph"/>
        <w:numPr>
          <w:ilvl w:val="0"/>
          <w:numId w:val="5"/>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4966C5" w:rsidRPr="008D4AB4">
        <w:rPr>
          <w:rFonts w:ascii="Times New Roman" w:eastAsia="Times New Roman" w:hAnsi="Times New Roman" w:cs="Times New Roman"/>
          <w:sz w:val="24"/>
          <w:szCs w:val="24"/>
          <w:lang w:eastAsia="bg-BG"/>
        </w:rPr>
        <w:t xml:space="preserve">нт </w:t>
      </w:r>
      <w:r w:rsidRPr="008D4AB4">
        <w:rPr>
          <w:rFonts w:ascii="Times New Roman" w:eastAsia="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w:t>
      </w:r>
      <w:r w:rsidRPr="008D4AB4">
        <w:rPr>
          <w:rFonts w:ascii="Times New Roman" w:eastAsia="Times New Roman" w:hAnsi="Times New Roman" w:cs="Times New Roman"/>
          <w:b/>
          <w:sz w:val="24"/>
          <w:szCs w:val="24"/>
          <w:lang w:eastAsia="bg-BG"/>
        </w:rPr>
        <w:t>ранната</w:t>
      </w:r>
      <w:r w:rsidRPr="008D4AB4">
        <w:rPr>
          <w:rFonts w:ascii="Times New Roman" w:eastAsia="Times New Roman" w:hAnsi="Times New Roman" w:cs="Times New Roman"/>
          <w:sz w:val="24"/>
          <w:szCs w:val="24"/>
          <w:lang w:eastAsia="bg-BG"/>
        </w:rPr>
        <w:t xml:space="preserve"> от двете дати, и 31 декември 2029 г.</w:t>
      </w:r>
    </w:p>
    <w:p w14:paraId="13EFD6D8"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разходи, възстановени съгласно член 53, параграф 1, букви б), в) и е),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671702B9" w14:textId="77777777" w:rsidR="004966C5" w:rsidRPr="008D4AB4" w:rsidRDefault="00115659" w:rsidP="003F1D1D">
      <w:pPr>
        <w:pStyle w:val="ListParagraph"/>
        <w:numPr>
          <w:ilvl w:val="0"/>
          <w:numId w:val="5"/>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7DD4A6CD" w14:textId="77777777" w:rsidR="004966C5" w:rsidRPr="008D4AB4" w:rsidRDefault="00115659" w:rsidP="003F1D1D">
      <w:pPr>
        <w:pStyle w:val="ListParagraph"/>
        <w:numPr>
          <w:ilvl w:val="0"/>
          <w:numId w:val="5"/>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44884153" w14:textId="77777777" w:rsidR="004966C5" w:rsidRPr="008D4AB4" w:rsidRDefault="00115659" w:rsidP="003F1D1D">
      <w:pPr>
        <w:pStyle w:val="ListParagraph"/>
        <w:numPr>
          <w:ilvl w:val="0"/>
          <w:numId w:val="5"/>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13E4E368" w14:textId="77777777" w:rsidR="004966C5" w:rsidRPr="008D4AB4" w:rsidRDefault="00115659" w:rsidP="003F1D1D">
      <w:pPr>
        <w:pStyle w:val="ListParagraph"/>
        <w:numPr>
          <w:ilvl w:val="0"/>
          <w:numId w:val="5"/>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Разходи, които станат допустими вследствие на изменение на програмата, са допустими от датата на подаване на </w:t>
      </w:r>
      <w:r w:rsidR="004966C5" w:rsidRPr="008D4AB4">
        <w:rPr>
          <w:rFonts w:ascii="Times New Roman" w:eastAsia="Times New Roman" w:hAnsi="Times New Roman" w:cs="Times New Roman"/>
          <w:sz w:val="24"/>
          <w:szCs w:val="24"/>
          <w:lang w:eastAsia="bg-BG"/>
        </w:rPr>
        <w:t>съответното искане до Комисията.</w:t>
      </w:r>
    </w:p>
    <w:p w14:paraId="4A4E1183" w14:textId="37F40406" w:rsidR="00115659" w:rsidRPr="008D4AB4" w:rsidRDefault="004966C5" w:rsidP="003F1D1D">
      <w:pPr>
        <w:pStyle w:val="ListParagraph"/>
        <w:numPr>
          <w:ilvl w:val="0"/>
          <w:numId w:val="5"/>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 xml:space="preserve">За </w:t>
      </w:r>
      <w:r w:rsidR="00115659" w:rsidRPr="008D4AB4">
        <w:rPr>
          <w:rFonts w:ascii="Times New Roman" w:eastAsia="Times New Roman" w:hAnsi="Times New Roman" w:cs="Times New Roman"/>
          <w:sz w:val="24"/>
          <w:szCs w:val="24"/>
          <w:lang w:eastAsia="bg-BG"/>
        </w:rPr>
        <w:t>Кохезионния фонд разходите стават допустими вследствие на изменение на програмата, когато към програмата се добави нов вид интервенция, посоч</w:t>
      </w:r>
      <w:r w:rsidRPr="008D4AB4">
        <w:rPr>
          <w:rFonts w:ascii="Times New Roman" w:eastAsia="Times New Roman" w:hAnsi="Times New Roman" w:cs="Times New Roman"/>
          <w:sz w:val="24"/>
          <w:szCs w:val="24"/>
          <w:lang w:eastAsia="bg-BG"/>
        </w:rPr>
        <w:t>ена в таблица 1 от приложение I</w:t>
      </w:r>
      <w:r w:rsidR="00115659" w:rsidRPr="008D4AB4">
        <w:rPr>
          <w:rFonts w:ascii="Times New Roman" w:eastAsia="Times New Roman" w:hAnsi="Times New Roman" w:cs="Times New Roman"/>
          <w:sz w:val="24"/>
          <w:szCs w:val="24"/>
          <w:lang w:eastAsia="bg-BG"/>
        </w:rPr>
        <w:t>.</w:t>
      </w:r>
    </w:p>
    <w:p w14:paraId="3002B997"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6CF347A1" w14:textId="78CB8F95" w:rsidR="004966C5" w:rsidRPr="008D4AB4" w:rsidRDefault="00115659" w:rsidP="003F1D1D">
      <w:pPr>
        <w:pStyle w:val="ListParagraph"/>
        <w:numPr>
          <w:ilvl w:val="0"/>
          <w:numId w:val="5"/>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w:t>
      </w:r>
      <w:r w:rsidR="004966C5" w:rsidRPr="008D4AB4">
        <w:rPr>
          <w:rFonts w:ascii="Times New Roman" w:hAnsi="Times New Roman" w:cs="Times New Roman"/>
        </w:rPr>
        <w:t xml:space="preserve"> </w:t>
      </w:r>
      <w:r w:rsidR="004966C5" w:rsidRPr="008D4AB4">
        <w:rPr>
          <w:rFonts w:ascii="Times New Roman" w:eastAsia="Times New Roman" w:hAnsi="Times New Roman" w:cs="Times New Roman"/>
          <w:sz w:val="24"/>
          <w:szCs w:val="24"/>
          <w:lang w:eastAsia="bg-BG"/>
        </w:rPr>
        <w:t>а) подкрепа от друг фонд или инструмент на Съюза; б) подкрепа от същия фонд по друга програма.</w:t>
      </w:r>
    </w:p>
    <w:p w14:paraId="590D825C" w14:textId="01CE1150" w:rsidR="00115659" w:rsidRDefault="00115659"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пропорционална база в съответствие с документа, в който са определени условията за предоставяне на подкрепата.</w:t>
      </w:r>
    </w:p>
    <w:p w14:paraId="4EA67233" w14:textId="31911916"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277F148" w14:textId="45BCDB6B"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Съгласно чл. 57, ал. 1 от ЗУСЕФСУ, за да бъдат допустими, разходите трябва да отговарят е</w:t>
      </w:r>
      <w:r w:rsidR="008D4AB4" w:rsidRPr="008D4AB4">
        <w:rPr>
          <w:rFonts w:ascii="Times New Roman" w:eastAsia="Times New Roman" w:hAnsi="Times New Roman" w:cs="Times New Roman"/>
          <w:sz w:val="24"/>
          <w:szCs w:val="24"/>
          <w:lang w:eastAsia="bg-BG"/>
        </w:rPr>
        <w:t>дновременно на следните условия</w:t>
      </w:r>
      <w:r w:rsidRPr="008D4AB4">
        <w:rPr>
          <w:rFonts w:ascii="Times New Roman" w:eastAsia="Times New Roman" w:hAnsi="Times New Roman" w:cs="Times New Roman"/>
          <w:sz w:val="24"/>
          <w:szCs w:val="24"/>
          <w:lang w:eastAsia="bg-BG"/>
        </w:rPr>
        <w:t>:</w:t>
      </w:r>
    </w:p>
    <w:p w14:paraId="2E70406F"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дейности, съответстващи на предвидените в одобрения проект и се</w:t>
      </w:r>
    </w:p>
    <w:p w14:paraId="23649DAB"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извършват от допустими бенефициенти по ПТС;</w:t>
      </w:r>
    </w:p>
    <w:p w14:paraId="66017D90"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попадат във включени в документите по чл. 26, ал. 1 от ЗУСЕФСУ и в одобрения проект категории разходи;</w:t>
      </w:r>
    </w:p>
    <w:p w14:paraId="623AF259"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не надхвърлят праговете за съответната категория в документите по чл.</w:t>
      </w:r>
    </w:p>
    <w:p w14:paraId="0A7035E6"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26, ал. 1 от ЗУСЕФСУ и в одобрения проект;</w:t>
      </w:r>
    </w:p>
    <w:p w14:paraId="0DD06BCF"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реално доставени продукти, извършени услуги, строителни и</w:t>
      </w:r>
    </w:p>
    <w:p w14:paraId="0FC4A0F8"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монтажни работи и положен труд;</w:t>
      </w:r>
    </w:p>
    <w:p w14:paraId="0560097D"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извършени законосъобразно съгласно приложимото право на Европейския съюз и българското законодателство;</w:t>
      </w:r>
    </w:p>
    <w:p w14:paraId="5058A726"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411331F"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52E30FB1"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съобразени с приложимите правила за предоставяне на държавни помощи;</w:t>
      </w:r>
    </w:p>
    <w:p w14:paraId="6BDDD4A3" w14:textId="77777777" w:rsidR="00115659" w:rsidRPr="008D4AB4" w:rsidRDefault="00115659" w:rsidP="003F1D1D">
      <w:pPr>
        <w:pStyle w:val="ListParagraph"/>
        <w:numPr>
          <w:ilvl w:val="1"/>
          <w:numId w:val="3"/>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lastRenderedPageBreak/>
        <w:t>правилата определени в нормативните актове на Министерски съвет по чл. 59, ал. 1 от ЗУСЕФСУ.</w:t>
      </w:r>
    </w:p>
    <w:p w14:paraId="176807B5" w14:textId="77777777" w:rsidR="001603B0" w:rsidRPr="008D4AB4" w:rsidRDefault="001603B0" w:rsidP="009976F4">
      <w:pPr>
        <w:pStyle w:val="Heading2"/>
        <w:spacing w:before="120" w:after="120"/>
        <w:rPr>
          <w:rFonts w:ascii="Times New Roman" w:hAnsi="Times New Roman" w:cs="Times New Roman"/>
        </w:rPr>
      </w:pPr>
      <w:bookmarkStart w:id="16" w:name="_Toc442298723"/>
      <w:bookmarkStart w:id="17" w:name="_Toc136270274"/>
      <w:r w:rsidRPr="008D4AB4">
        <w:rPr>
          <w:rFonts w:ascii="Times New Roman" w:hAnsi="Times New Roman" w:cs="Times New Roman"/>
        </w:rPr>
        <w:t>14.2. Допустими разходи</w:t>
      </w:r>
      <w:bookmarkEnd w:id="16"/>
      <w:bookmarkEnd w:id="17"/>
    </w:p>
    <w:p w14:paraId="24837EE9" w14:textId="0C1BC41A" w:rsidR="00115659" w:rsidRPr="008D4AB4" w:rsidRDefault="00115659" w:rsidP="00F51ABD">
      <w:pPr>
        <w:spacing w:after="240" w:line="240" w:lineRule="auto"/>
        <w:ind w:firstLine="567"/>
        <w:jc w:val="both"/>
        <w:rPr>
          <w:rFonts w:ascii="Times New Roman" w:hAnsi="Times New Roman" w:cs="Times New Roman"/>
          <w:sz w:val="24"/>
          <w:szCs w:val="24"/>
        </w:rPr>
      </w:pPr>
      <w:r w:rsidRPr="008D4AB4">
        <w:rPr>
          <w:rFonts w:ascii="Times New Roman" w:hAnsi="Times New Roman" w:cs="Times New Roman"/>
          <w:sz w:val="24"/>
          <w:szCs w:val="24"/>
        </w:rPr>
        <w:t>За да бъдат допустими разходите по настоящата процедура чрез директно представяне на БФП,</w:t>
      </w:r>
      <w:r w:rsidRPr="008D4AB4" w:rsidDel="00965669">
        <w:rPr>
          <w:rFonts w:ascii="Times New Roman" w:hAnsi="Times New Roman" w:cs="Times New Roman"/>
          <w:sz w:val="24"/>
          <w:szCs w:val="24"/>
        </w:rPr>
        <w:t xml:space="preserve"> </w:t>
      </w:r>
      <w:r w:rsidRPr="008D4AB4">
        <w:rPr>
          <w:rFonts w:ascii="Times New Roman" w:hAnsi="Times New Roman" w:cs="Times New Roman"/>
          <w:sz w:val="24"/>
          <w:szCs w:val="24"/>
        </w:rPr>
        <w:t xml:space="preserve">трябва да отговарят на </w:t>
      </w:r>
      <w:r w:rsidR="00BB2944">
        <w:rPr>
          <w:rFonts w:ascii="Times New Roman" w:eastAsia="Times New Roman" w:hAnsi="Times New Roman" w:cs="Times New Roman"/>
          <w:sz w:val="24"/>
          <w:szCs w:val="24"/>
          <w:lang w:eastAsia="bg-BG"/>
        </w:rPr>
        <w:t xml:space="preserve">условията по т.14.1 от настоящите условия за кандидатстване </w:t>
      </w:r>
      <w:r w:rsidR="00BB2944">
        <w:rPr>
          <w:rFonts w:ascii="Times New Roman" w:hAnsi="Times New Roman" w:cs="Times New Roman"/>
          <w:sz w:val="24"/>
          <w:szCs w:val="24"/>
        </w:rPr>
        <w:t xml:space="preserve">и на </w:t>
      </w:r>
      <w:r w:rsidRPr="008D4AB4">
        <w:rPr>
          <w:rFonts w:ascii="Times New Roman" w:hAnsi="Times New Roman" w:cs="Times New Roman"/>
          <w:sz w:val="24"/>
          <w:szCs w:val="24"/>
        </w:rPr>
        <w:t xml:space="preserve">следните условия: </w:t>
      </w:r>
    </w:p>
    <w:p w14:paraId="0F31667A" w14:textId="6579C2EC" w:rsidR="007551DA" w:rsidRPr="008D4AB4" w:rsidRDefault="00BD6743" w:rsidP="0008198A">
      <w:pPr>
        <w:spacing w:after="240" w:line="240" w:lineRule="auto"/>
        <w:jc w:val="both"/>
        <w:rPr>
          <w:rFonts w:ascii="Times New Roman" w:hAnsi="Times New Roman" w:cs="Times New Roman"/>
          <w:sz w:val="24"/>
          <w:szCs w:val="24"/>
        </w:rPr>
      </w:pPr>
      <w:r w:rsidRPr="008D4AB4">
        <w:rPr>
          <w:rFonts w:ascii="Times New Roman" w:hAnsi="Times New Roman" w:cs="Times New Roman"/>
          <w:sz w:val="24"/>
          <w:szCs w:val="24"/>
        </w:rPr>
        <w:t>Допустими по настоящата процедура се следните разходи:</w:t>
      </w:r>
    </w:p>
    <w:p w14:paraId="5CB9607F" w14:textId="1816FCFA" w:rsidR="00BD6743" w:rsidRPr="008D4AB4" w:rsidRDefault="00BD6743" w:rsidP="003F1D1D">
      <w:pPr>
        <w:pStyle w:val="ListParagraph"/>
        <w:numPr>
          <w:ilvl w:val="0"/>
          <w:numId w:val="4"/>
        </w:numPr>
        <w:spacing w:after="0" w:line="240" w:lineRule="auto"/>
        <w:ind w:right="142"/>
        <w:jc w:val="both"/>
        <w:rPr>
          <w:rFonts w:ascii="Times New Roman" w:hAnsi="Times New Roman" w:cs="Times New Roman"/>
          <w:sz w:val="24"/>
          <w:szCs w:val="24"/>
        </w:rPr>
      </w:pPr>
      <w:r w:rsidRPr="008D4AB4">
        <w:rPr>
          <w:rFonts w:ascii="Times New Roman" w:hAnsi="Times New Roman" w:cs="Times New Roman"/>
          <w:sz w:val="24"/>
          <w:szCs w:val="24"/>
          <w:lang w:eastAsia="bg-BG"/>
        </w:rPr>
        <w:t>Разходи</w:t>
      </w:r>
      <w:r w:rsidRPr="008D4AB4">
        <w:rPr>
          <w:rFonts w:ascii="Times New Roman" w:hAnsi="Times New Roman" w:cs="Times New Roman"/>
          <w:sz w:val="24"/>
          <w:szCs w:val="24"/>
        </w:rPr>
        <w:t>, свързани с изпълнението на посоче</w:t>
      </w:r>
      <w:r w:rsidR="00C3540A" w:rsidRPr="008D4AB4">
        <w:rPr>
          <w:rFonts w:ascii="Times New Roman" w:hAnsi="Times New Roman" w:cs="Times New Roman"/>
          <w:sz w:val="24"/>
          <w:szCs w:val="24"/>
        </w:rPr>
        <w:t>ните в т. 13 дейности</w:t>
      </w:r>
      <w:r w:rsidR="00BB2944">
        <w:rPr>
          <w:rFonts w:ascii="Times New Roman" w:hAnsi="Times New Roman" w:cs="Times New Roman"/>
          <w:sz w:val="24"/>
          <w:szCs w:val="24"/>
        </w:rPr>
        <w:t>,</w:t>
      </w:r>
      <w:r w:rsidR="00BB2944" w:rsidRPr="00BB2944">
        <w:rPr>
          <w:rFonts w:ascii="Times New Roman" w:hAnsi="Times New Roman" w:cs="Times New Roman"/>
          <w:sz w:val="24"/>
          <w:szCs w:val="24"/>
        </w:rPr>
        <w:t xml:space="preserve"> </w:t>
      </w:r>
      <w:r w:rsidR="00BB2944" w:rsidRPr="008D4AB4">
        <w:rPr>
          <w:rFonts w:ascii="Times New Roman" w:hAnsi="Times New Roman" w:cs="Times New Roman"/>
          <w:sz w:val="24"/>
          <w:szCs w:val="24"/>
        </w:rPr>
        <w:t>допустими</w:t>
      </w:r>
      <w:r w:rsidR="00BB2944">
        <w:rPr>
          <w:rFonts w:ascii="Times New Roman" w:hAnsi="Times New Roman" w:cs="Times New Roman"/>
          <w:sz w:val="24"/>
          <w:szCs w:val="24"/>
        </w:rPr>
        <w:t xml:space="preserve"> за финансиране</w:t>
      </w:r>
      <w:r w:rsidR="009C544A">
        <w:rPr>
          <w:rFonts w:ascii="Times New Roman" w:hAnsi="Times New Roman" w:cs="Times New Roman"/>
          <w:sz w:val="24"/>
          <w:szCs w:val="24"/>
        </w:rPr>
        <w:t xml:space="preserve"> по съответните приоритети по ПТС</w:t>
      </w:r>
      <w:r w:rsidRPr="008D4AB4">
        <w:rPr>
          <w:rFonts w:ascii="Times New Roman" w:hAnsi="Times New Roman" w:cs="Times New Roman"/>
          <w:sz w:val="24"/>
          <w:szCs w:val="24"/>
        </w:rPr>
        <w:t>.</w:t>
      </w:r>
    </w:p>
    <w:p w14:paraId="6FE00E73" w14:textId="0DE767EA"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дейности, определени и извършени под отговорността на управляващ орган </w:t>
      </w:r>
      <w:r w:rsidR="006B573B" w:rsidRPr="008D4AB4">
        <w:rPr>
          <w:rFonts w:ascii="Times New Roman" w:hAnsi="Times New Roman" w:cs="Times New Roman"/>
          <w:sz w:val="24"/>
          <w:szCs w:val="24"/>
          <w:lang w:eastAsia="bg-BG"/>
        </w:rPr>
        <w:t xml:space="preserve">на ПТС </w:t>
      </w:r>
      <w:r w:rsidR="0024378B" w:rsidRPr="008D4AB4">
        <w:rPr>
          <w:rFonts w:ascii="Times New Roman" w:hAnsi="Times New Roman" w:cs="Times New Roman"/>
          <w:sz w:val="24"/>
          <w:szCs w:val="24"/>
          <w:lang w:eastAsia="bg-BG"/>
        </w:rPr>
        <w:t xml:space="preserve">и съгласно критериите за </w:t>
      </w:r>
      <w:r w:rsidR="006B573B" w:rsidRPr="008D4AB4">
        <w:rPr>
          <w:rFonts w:ascii="Times New Roman" w:hAnsi="Times New Roman" w:cs="Times New Roman"/>
          <w:sz w:val="24"/>
          <w:szCs w:val="24"/>
          <w:lang w:eastAsia="bg-BG"/>
        </w:rPr>
        <w:t>подбор</w:t>
      </w:r>
      <w:r w:rsidR="0024378B" w:rsidRPr="008D4AB4">
        <w:rPr>
          <w:rFonts w:ascii="Times New Roman" w:hAnsi="Times New Roman" w:cs="Times New Roman"/>
          <w:sz w:val="24"/>
          <w:szCs w:val="24"/>
          <w:lang w:eastAsia="bg-BG"/>
        </w:rPr>
        <w:t xml:space="preserve"> на операции, одобрени от Комитет за наблюдение</w:t>
      </w:r>
      <w:r w:rsidR="006B573B" w:rsidRPr="008D4AB4">
        <w:rPr>
          <w:rFonts w:ascii="Times New Roman" w:hAnsi="Times New Roman" w:cs="Times New Roman"/>
          <w:sz w:val="24"/>
          <w:szCs w:val="24"/>
          <w:lang w:eastAsia="bg-BG"/>
        </w:rPr>
        <w:t xml:space="preserve"> на ПТС</w:t>
      </w:r>
      <w:r w:rsidR="0024378B" w:rsidRPr="008D4AB4">
        <w:rPr>
          <w:rFonts w:ascii="Times New Roman" w:hAnsi="Times New Roman" w:cs="Times New Roman"/>
          <w:sz w:val="24"/>
          <w:szCs w:val="24"/>
          <w:lang w:eastAsia="bg-BG"/>
        </w:rPr>
        <w:t xml:space="preserve">; </w:t>
      </w:r>
    </w:p>
    <w:p w14:paraId="01973F7A" w14:textId="12D85077"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извършени от допустим по съответния приоритет на </w:t>
      </w:r>
      <w:r w:rsidR="006B573B" w:rsidRPr="008D4AB4">
        <w:rPr>
          <w:rFonts w:ascii="Times New Roman" w:hAnsi="Times New Roman" w:cs="Times New Roman"/>
          <w:sz w:val="24"/>
          <w:szCs w:val="24"/>
          <w:lang w:eastAsia="bg-BG"/>
        </w:rPr>
        <w:t>ПТС</w:t>
      </w:r>
      <w:r w:rsidR="0024378B" w:rsidRPr="008D4AB4">
        <w:rPr>
          <w:rFonts w:ascii="Times New Roman" w:hAnsi="Times New Roman" w:cs="Times New Roman"/>
          <w:sz w:val="24"/>
          <w:szCs w:val="24"/>
          <w:lang w:eastAsia="bg-BG"/>
        </w:rPr>
        <w:t xml:space="preserve"> бенефициент; </w:t>
      </w:r>
    </w:p>
    <w:p w14:paraId="226ADBCD" w14:textId="58D5D355"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Категориите </w:t>
      </w:r>
      <w:r w:rsidR="0024378B" w:rsidRPr="008D4AB4">
        <w:rPr>
          <w:rFonts w:ascii="Times New Roman" w:hAnsi="Times New Roman" w:cs="Times New Roman"/>
          <w:sz w:val="24"/>
          <w:szCs w:val="24"/>
          <w:lang w:eastAsia="bg-BG"/>
        </w:rPr>
        <w:t xml:space="preserve">разходи да са включени в договора за предоставяне на финансова подкрепа; </w:t>
      </w:r>
    </w:p>
    <w:p w14:paraId="739E74A0" w14:textId="108A5EFB" w:rsidR="009C544A"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Изборът </w:t>
      </w:r>
      <w:r w:rsidR="0024378B" w:rsidRPr="008D4AB4">
        <w:rPr>
          <w:rFonts w:ascii="Times New Roman" w:hAnsi="Times New Roman" w:cs="Times New Roman"/>
          <w:sz w:val="24"/>
          <w:szCs w:val="24"/>
          <w:lang w:eastAsia="bg-BG"/>
        </w:rPr>
        <w:t>на изпълнител за реализираните дейно</w:t>
      </w:r>
      <w:r w:rsidR="006B573B" w:rsidRPr="008D4AB4">
        <w:rPr>
          <w:rFonts w:ascii="Times New Roman" w:hAnsi="Times New Roman" w:cs="Times New Roman"/>
          <w:sz w:val="24"/>
          <w:szCs w:val="24"/>
          <w:lang w:eastAsia="bg-BG"/>
        </w:rPr>
        <w:t xml:space="preserve">сти </w:t>
      </w:r>
      <w:r w:rsidR="0024378B" w:rsidRPr="008D4AB4">
        <w:rPr>
          <w:rFonts w:ascii="Times New Roman" w:hAnsi="Times New Roman" w:cs="Times New Roman"/>
          <w:sz w:val="24"/>
          <w:szCs w:val="24"/>
          <w:lang w:eastAsia="bg-BG"/>
        </w:rPr>
        <w:t>(</w:t>
      </w:r>
      <w:r w:rsidR="006B573B" w:rsidRPr="008D4AB4">
        <w:rPr>
          <w:rFonts w:ascii="Times New Roman" w:hAnsi="Times New Roman" w:cs="Times New Roman"/>
          <w:sz w:val="24"/>
          <w:szCs w:val="24"/>
          <w:lang w:eastAsia="bg-BG"/>
        </w:rPr>
        <w:t xml:space="preserve">СМР, </w:t>
      </w:r>
      <w:r w:rsidR="0024378B" w:rsidRPr="008D4AB4">
        <w:rPr>
          <w:rFonts w:ascii="Times New Roman" w:hAnsi="Times New Roman" w:cs="Times New Roman"/>
          <w:sz w:val="24"/>
          <w:szCs w:val="24"/>
          <w:lang w:eastAsia="bg-BG"/>
        </w:rPr>
        <w:t>услуги и/или доставки) да е извършен в съответствие с действащото национално и с европейското законодателство</w:t>
      </w:r>
      <w:r>
        <w:rPr>
          <w:rFonts w:ascii="Times New Roman" w:hAnsi="Times New Roman" w:cs="Times New Roman"/>
          <w:sz w:val="24"/>
          <w:szCs w:val="24"/>
          <w:lang w:eastAsia="bg-BG"/>
        </w:rPr>
        <w:t xml:space="preserve"> за възлагане на обществени поръчки. </w:t>
      </w:r>
    </w:p>
    <w:p w14:paraId="3D6D96EC" w14:textId="05A58A31"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тях да е налична адекватна одитна следа, включително да са спазени разпоредбите за наличност на документите по чл. </w:t>
      </w:r>
      <w:r w:rsidR="006B573B" w:rsidRPr="008D4AB4">
        <w:rPr>
          <w:rFonts w:ascii="Times New Roman" w:hAnsi="Times New Roman" w:cs="Times New Roman"/>
          <w:sz w:val="24"/>
          <w:szCs w:val="24"/>
          <w:lang w:eastAsia="bg-BG"/>
        </w:rPr>
        <w:t>69, пар. 6</w:t>
      </w:r>
      <w:r w:rsidR="0024378B" w:rsidRPr="008D4AB4">
        <w:rPr>
          <w:rFonts w:ascii="Times New Roman" w:hAnsi="Times New Roman" w:cs="Times New Roman"/>
          <w:sz w:val="24"/>
          <w:szCs w:val="24"/>
          <w:lang w:eastAsia="bg-BG"/>
        </w:rPr>
        <w:t xml:space="preserve"> от </w:t>
      </w:r>
      <w:r w:rsidR="006B573B" w:rsidRPr="008D4AB4">
        <w:rPr>
          <w:rFonts w:ascii="Times New Roman" w:hAnsi="Times New Roman" w:cs="Times New Roman"/>
          <w:sz w:val="24"/>
          <w:szCs w:val="24"/>
          <w:lang w:eastAsia="bg-BG"/>
        </w:rPr>
        <w:t>Регламент (ЕС) 2021/1060 на Европейския парламент и на Съвета от 24 юни 2021 година и Приложение XIII към него</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в съответствие с чл. 57, ал. 1, т. 7 от ЗУСЕФСУ, включително да са спазени изискванията за съхраняване на документите по чл. 82 от Регламент (ЕС) 2021/1060.</w:t>
      </w:r>
    </w:p>
    <w:p w14:paraId="3043A9BC" w14:textId="32B05611"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отразени в счетоводната документация на бенефициента чрез отделни счетоводни аналитични сметки или в отделна счетоводна система; </w:t>
      </w:r>
    </w:p>
    <w:p w14:paraId="53D3C0F8" w14:textId="48859A7C" w:rsidR="009C544A" w:rsidRPr="009C544A" w:rsidRDefault="009C544A" w:rsidP="003F1D1D">
      <w:pPr>
        <w:pStyle w:val="ListParagraph"/>
        <w:numPr>
          <w:ilvl w:val="0"/>
          <w:numId w:val="4"/>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2ED36E82" w14:textId="16FC3B7E"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24378B" w:rsidRPr="008D4AB4">
        <w:rPr>
          <w:rFonts w:ascii="Times New Roman" w:hAnsi="Times New Roman" w:cs="Times New Roman"/>
          <w:sz w:val="24"/>
          <w:szCs w:val="24"/>
          <w:lang w:eastAsia="bg-BG"/>
        </w:rPr>
        <w:t>;</w:t>
      </w:r>
    </w:p>
    <w:p w14:paraId="00434992" w14:textId="1458D2BB"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В </w:t>
      </w:r>
      <w:r w:rsidR="0024378B" w:rsidRPr="008D4AB4">
        <w:rPr>
          <w:rFonts w:ascii="Times New Roman" w:hAnsi="Times New Roman" w:cs="Times New Roman"/>
          <w:sz w:val="24"/>
          <w:szCs w:val="24"/>
          <w:lang w:eastAsia="bg-BG"/>
        </w:rPr>
        <w:t>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306A1F6F" w14:textId="38943810" w:rsidR="0024378B" w:rsidRPr="008D4AB4" w:rsidRDefault="009C544A"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в съответствие с принципа на доброто финансово уп</w:t>
      </w:r>
      <w:r w:rsidR="00621D29" w:rsidRPr="008D4AB4">
        <w:rPr>
          <w:rFonts w:ascii="Times New Roman" w:hAnsi="Times New Roman" w:cs="Times New Roman"/>
          <w:sz w:val="24"/>
          <w:szCs w:val="24"/>
          <w:lang w:eastAsia="bg-BG"/>
        </w:rPr>
        <w:t>равление в съответствие с чл. 33</w:t>
      </w:r>
      <w:r w:rsidR="0024378B" w:rsidRPr="008D4AB4">
        <w:rPr>
          <w:rFonts w:ascii="Times New Roman" w:hAnsi="Times New Roman" w:cs="Times New Roman"/>
          <w:sz w:val="24"/>
          <w:szCs w:val="24"/>
          <w:lang w:eastAsia="bg-BG"/>
        </w:rPr>
        <w:t xml:space="preserve"> на </w:t>
      </w:r>
      <w:r w:rsidR="00621D29" w:rsidRPr="008D4AB4">
        <w:rPr>
          <w:rFonts w:ascii="Times New Roman" w:hAnsi="Times New Roman" w:cs="Times New Roman"/>
          <w:sz w:val="24"/>
          <w:szCs w:val="24"/>
          <w:lang w:eastAsia="bg-BG"/>
        </w:rPr>
        <w:t>Регламент (ЕС, Евратом) 2018/1046 на Европейския парламент и на Съвета от 18 юли 2018 година</w:t>
      </w:r>
      <w:r w:rsidR="0024378B" w:rsidRPr="008D4AB4">
        <w:rPr>
          <w:rFonts w:ascii="Times New Roman" w:hAnsi="Times New Roman" w:cs="Times New Roman"/>
          <w:sz w:val="24"/>
          <w:szCs w:val="24"/>
          <w:lang w:eastAsia="bg-BG"/>
        </w:rPr>
        <w:t xml:space="preserve">. </w:t>
      </w:r>
    </w:p>
    <w:p w14:paraId="40B5E311" w14:textId="15343696" w:rsidR="00336E80" w:rsidRPr="008D4AB4" w:rsidRDefault="00336E80"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BB2944">
        <w:rPr>
          <w:rFonts w:ascii="Times New Roman" w:hAnsi="Times New Roman" w:cs="Times New Roman"/>
          <w:sz w:val="24"/>
          <w:szCs w:val="24"/>
          <w:lang w:eastAsia="bg-BG"/>
        </w:rPr>
        <w:t>нт</w:t>
      </w:r>
      <w:r w:rsidRPr="008D4AB4">
        <w:rPr>
          <w:rFonts w:ascii="Times New Roman" w:hAnsi="Times New Roman" w:cs="Times New Roman"/>
          <w:sz w:val="24"/>
          <w:szCs w:val="24"/>
          <w:lang w:eastAsia="bg-BG"/>
        </w:rPr>
        <w:t xml:space="preserve"> </w:t>
      </w:r>
      <w:r w:rsidR="009C544A">
        <w:rPr>
          <w:rFonts w:ascii="Times New Roman" w:hAnsi="Times New Roman" w:cs="Times New Roman"/>
          <w:sz w:val="24"/>
          <w:szCs w:val="24"/>
          <w:lang w:eastAsia="bg-BG"/>
        </w:rPr>
        <w:t xml:space="preserve">по ПТС </w:t>
      </w:r>
      <w:r w:rsidRPr="008D4AB4">
        <w:rPr>
          <w:rFonts w:ascii="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9C544A">
        <w:rPr>
          <w:rFonts w:ascii="Times New Roman" w:hAnsi="Times New Roman" w:cs="Times New Roman"/>
          <w:sz w:val="24"/>
          <w:szCs w:val="24"/>
          <w:lang w:eastAsia="bg-BG"/>
        </w:rPr>
        <w:t xml:space="preserve"> Разходите следва д</w:t>
      </w:r>
      <w:r w:rsidR="009C544A" w:rsidRPr="009C544A">
        <w:rPr>
          <w:rFonts w:ascii="Times New Roman" w:hAnsi="Times New Roman" w:cs="Times New Roman"/>
          <w:sz w:val="24"/>
          <w:szCs w:val="24"/>
          <w:lang w:eastAsia="bg-BG"/>
        </w:rPr>
        <w:t xml:space="preserve">а бъдат извършени в периода от </w:t>
      </w:r>
      <w:r w:rsidR="009C544A">
        <w:rPr>
          <w:rFonts w:ascii="Times New Roman" w:hAnsi="Times New Roman" w:cs="Times New Roman"/>
          <w:sz w:val="24"/>
          <w:szCs w:val="24"/>
          <w:lang w:eastAsia="bg-BG"/>
        </w:rPr>
        <w:t xml:space="preserve">01.01.2021 г. до 31.12.2029 г. </w:t>
      </w:r>
      <w:r w:rsidR="009C544A" w:rsidRPr="009C544A">
        <w:rPr>
          <w:rFonts w:ascii="Times New Roman" w:hAnsi="Times New Roman" w:cs="Times New Roman"/>
          <w:sz w:val="24"/>
          <w:szCs w:val="24"/>
          <w:lang w:eastAsia="bg-BG"/>
        </w:rPr>
        <w:t xml:space="preserve">и разходооправдателните документи, свързани с </w:t>
      </w:r>
      <w:r w:rsidR="009C544A" w:rsidRPr="009C544A">
        <w:rPr>
          <w:rFonts w:ascii="Times New Roman" w:hAnsi="Times New Roman" w:cs="Times New Roman"/>
          <w:sz w:val="24"/>
          <w:szCs w:val="24"/>
          <w:lang w:eastAsia="bg-BG"/>
        </w:rPr>
        <w:lastRenderedPageBreak/>
        <w:t>изпълнението на допустимите по проекта дейности, следва да бъдат издадени в периода на допустимост на разходите.</w:t>
      </w:r>
    </w:p>
    <w:p w14:paraId="3F99C6A3" w14:textId="5AA78DC8" w:rsidR="009C544A" w:rsidRPr="009C544A" w:rsidRDefault="009C544A" w:rsidP="003F1D1D">
      <w:pPr>
        <w:pStyle w:val="ListParagraph"/>
        <w:numPr>
          <w:ilvl w:val="0"/>
          <w:numId w:val="4"/>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32FC543" w14:textId="1C72D06B" w:rsidR="0024378B" w:rsidRPr="008D4AB4" w:rsidRDefault="0024378B"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станали допустими в резултат на изменение в програма,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     </w:t>
      </w:r>
    </w:p>
    <w:p w14:paraId="6AAF825D" w14:textId="77777777" w:rsidR="0024378B" w:rsidRPr="008D4AB4" w:rsidRDefault="0024378B" w:rsidP="003F1D1D">
      <w:pPr>
        <w:pStyle w:val="ListParagraph"/>
        <w:numPr>
          <w:ilvl w:val="0"/>
          <w:numId w:val="4"/>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 са разходите по операции, осъществени в програмния район на програмата.  При одобрение от управляващия орган на съответната оперативна програма са допустими разходи и по операции, съфинансирани от ЕФРР и КФ, които</w:t>
      </w:r>
      <w:r w:rsidRPr="008D4AB4">
        <w:rPr>
          <w:rFonts w:ascii="Times New Roman" w:hAnsi="Times New Roman" w:cs="Times New Roman"/>
          <w:color w:val="000000"/>
          <w:sz w:val="24"/>
          <w:szCs w:val="24"/>
          <w:lang w:eastAsia="bg-BG"/>
        </w:rPr>
        <w:t xml:space="preserve"> се осъществяват извън програмния район, но в границите на Европейския съюз, при условие че е изпълнено всяко от следните условия</w:t>
      </w:r>
      <w:r w:rsidRPr="008D4AB4">
        <w:rPr>
          <w:rFonts w:ascii="Times New Roman" w:hAnsi="Times New Roman" w:cs="Times New Roman"/>
          <w:sz w:val="24"/>
          <w:szCs w:val="24"/>
          <w:lang w:eastAsia="bg-BG"/>
        </w:rPr>
        <w:t>:</w:t>
      </w:r>
    </w:p>
    <w:p w14:paraId="6A29209F"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операцията е в полза на програмния район;</w:t>
      </w:r>
    </w:p>
    <w:p w14:paraId="46D550BF" w14:textId="3A610A43"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общата сума, разпределена по програмата за операции извън програмния район, не надвишава 15 на сто от подкрепата от КФ на ниво приоритет;</w:t>
      </w:r>
    </w:p>
    <w:p w14:paraId="00879931"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комитетът за наблюдение на съответната програма е одобрил съответната операция или съответните видове операции;</w:t>
      </w:r>
    </w:p>
    <w:p w14:paraId="6D0C8C31"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задълженията на органите по програмата във връзка с управлението, контрола и одита по отношение на операцията се изпълняват от органите, които отговарят за програмата, по която операцията получава финансова подкрепа, или те сключват споразумения с органите в района, в който се изпълнява операцията.</w:t>
      </w:r>
    </w:p>
    <w:p w14:paraId="156B3821" w14:textId="77777777" w:rsidR="0024378B" w:rsidRPr="008D4AB4"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разход, като основа може да се използват общите допустими разходи за съответния вид, с който е обвързан. </w:t>
      </w:r>
    </w:p>
    <w:p w14:paraId="4D550076" w14:textId="77777777" w:rsidR="0024378B" w:rsidRPr="008D4AB4" w:rsidRDefault="0024378B" w:rsidP="003F1D1D">
      <w:pPr>
        <w:pStyle w:val="ListParagraph"/>
        <w:numPr>
          <w:ilvl w:val="1"/>
          <w:numId w:val="4"/>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50FF8ABB"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организация и управление - до 10 на сто от общите допустими разходи по операцията; </w:t>
      </w:r>
    </w:p>
    <w:p w14:paraId="7679F5EE"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публичност и визуализация – до 2 на сто от общите допустими разходи за операции, при които размерът на финансовата подкрепа не превишава левовата равностойност на 100 000 евро, и до 1 на сто от общите допустими разходи на всички останали операции; </w:t>
      </w:r>
    </w:p>
    <w:p w14:paraId="1033C49D"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 за командировъчни пари –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2D0A746F" w14:textId="77777777" w:rsidR="0024378B" w:rsidRPr="008D4AB4"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lang w:eastAsia="bg-BG"/>
        </w:rPr>
      </w:pPr>
      <w:r w:rsidRPr="008D4AB4">
        <w:rPr>
          <w:rFonts w:ascii="Times New Roman" w:hAnsi="Times New Roman" w:cs="Times New Roman"/>
          <w:sz w:val="24"/>
          <w:szCs w:val="24"/>
          <w:lang w:eastAsia="bg-BG"/>
        </w:rPr>
        <w:t>Когато изпълнението на операция поражда непреки разходи, те могат да бъдат изчислени</w:t>
      </w:r>
      <w:r w:rsidRPr="008D4AB4">
        <w:rPr>
          <w:rFonts w:ascii="Times New Roman" w:hAnsi="Times New Roman" w:cs="Times New Roman"/>
          <w:color w:val="000000"/>
          <w:sz w:val="24"/>
          <w:szCs w:val="24"/>
          <w:lang w:eastAsia="bg-BG"/>
        </w:rPr>
        <w:t xml:space="preserve"> като единна ставка по един от следните начини:</w:t>
      </w:r>
    </w:p>
    <w:p w14:paraId="05217F0D"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в размер до 25 на сто от допустимите преки разходи, при условие че ставката се изчислява въз основа на коректен, справедлив и проверим метод на изчисление или въз основа на метод, прилаган в рамките на национални схеми за предоставяне на безвъзмездна финансова помощ за подобен тип операция и бенефициент;</w:t>
      </w:r>
    </w:p>
    <w:p w14:paraId="7113B617"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единна ставка в размер до 15 на сто от допустимите преки разходи за персонал, без да се изисква да се извършват изчисления за определянето на приложимата ставка; </w:t>
      </w:r>
    </w:p>
    <w:p w14:paraId="1C3D7C2E" w14:textId="77777777" w:rsidR="0024378B" w:rsidRPr="008D4AB4" w:rsidRDefault="0024378B" w:rsidP="003F1D1D">
      <w:pPr>
        <w:pStyle w:val="ListParagraph"/>
        <w:numPr>
          <w:ilvl w:val="2"/>
          <w:numId w:val="4"/>
        </w:numPr>
        <w:spacing w:after="0" w:line="240" w:lineRule="auto"/>
        <w:ind w:left="1418" w:right="142" w:hanging="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прилагана към допустимите преки разходи въз основа на съществуващите методи и съответстващите ставки, приложими в политиките на Европейския съюз за подобен тип операция и бенефициент.</w:t>
      </w:r>
    </w:p>
    <w:p w14:paraId="2FD3BAD0" w14:textId="3CA3E52A" w:rsidR="00BF1A49" w:rsidRPr="00BF1A49" w:rsidRDefault="00BF1A49" w:rsidP="003F1D1D">
      <w:pPr>
        <w:pStyle w:val="ListParagraph"/>
        <w:numPr>
          <w:ilvl w:val="1"/>
          <w:numId w:val="4"/>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Разходи за екипи, отговорни за управление и/или изпълнение на проектите, са допустими, когато:</w:t>
      </w:r>
    </w:p>
    <w:p w14:paraId="68B28052"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управлението и/или изпълнението се осъществява само от служители на бенефициента;</w:t>
      </w:r>
    </w:p>
    <w:p w14:paraId="22F1C3ED"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14:paraId="2FF6116C"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3. управлението и/или изпълнението се осъществява изцяло от външни за бенефициента лица, избрани в съответствие с националното законодателство.</w:t>
      </w:r>
    </w:p>
    <w:p w14:paraId="0E072A2A" w14:textId="6A8FD9C2" w:rsidR="00BF1A49" w:rsidRPr="00BF1A49" w:rsidRDefault="00BF1A49" w:rsidP="003F1D1D">
      <w:pPr>
        <w:pStyle w:val="ListParagraph"/>
        <w:numPr>
          <w:ilvl w:val="1"/>
          <w:numId w:val="4"/>
        </w:numPr>
        <w:tabs>
          <w:tab w:val="left" w:pos="1418"/>
        </w:tabs>
        <w:spacing w:after="0" w:line="240" w:lineRule="auto"/>
        <w:ind w:left="0" w:right="142" w:firstLine="567"/>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Когато безвъзмездна финансова помощ и възстановима помощ се предоставят под формата по </w:t>
      </w:r>
      <w:r w:rsidRPr="009838B8">
        <w:rPr>
          <w:rFonts w:ascii="Times New Roman" w:eastAsia="Times New Roman" w:hAnsi="Times New Roman" w:cs="Times New Roman"/>
          <w:color w:val="000000"/>
          <w:sz w:val="24"/>
          <w:szCs w:val="24"/>
          <w:lang w:eastAsia="bg-BG"/>
        </w:rPr>
        <w:t>чл. 55, ал. 1, т. 1</w:t>
      </w:r>
      <w:r w:rsidR="009838B8">
        <w:rPr>
          <w:rFonts w:ascii="Times New Roman" w:eastAsia="Times New Roman" w:hAnsi="Times New Roman" w:cs="Times New Roman"/>
          <w:color w:val="000000"/>
          <w:sz w:val="24"/>
          <w:szCs w:val="24"/>
          <w:lang w:eastAsia="bg-BG"/>
        </w:rPr>
        <w:t xml:space="preserve"> от</w:t>
      </w:r>
      <w:r w:rsidRPr="009838B8">
        <w:rPr>
          <w:rFonts w:ascii="Times New Roman" w:eastAsia="Times New Roman" w:hAnsi="Times New Roman" w:cs="Times New Roman"/>
          <w:color w:val="000000"/>
          <w:sz w:val="24"/>
          <w:szCs w:val="24"/>
          <w:lang w:eastAsia="bg-BG"/>
        </w:rPr>
        <w:t xml:space="preserve"> ЗУСЕФСУ</w:t>
      </w:r>
      <w:r w:rsidRPr="00BF1A49">
        <w:rPr>
          <w:rFonts w:ascii="Times New Roman" w:eastAsia="Times New Roman" w:hAnsi="Times New Roman" w:cs="Times New Roman"/>
          <w:color w:val="000000"/>
          <w:sz w:val="24"/>
          <w:szCs w:val="24"/>
          <w:lang w:eastAsia="bg-BG"/>
        </w:rPr>
        <w:t>, дейностите по изпълнение и/или управление се възлагат, както следва:</w:t>
      </w:r>
    </w:p>
    <w:p w14:paraId="43E93D23"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с длъжностната характеристика на служителя, нает от бенефициента по трудово или служебно правоотношение;</w:t>
      </w:r>
    </w:p>
    <w:p w14:paraId="65DB442D"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дейности, изпълнявани извън установеното работно време и длъжностна характеристика на служителя, се възлагат при следните условия:</w:t>
      </w:r>
    </w:p>
    <w:p w14:paraId="27D351BC" w14:textId="19E1C292"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а) със заповед на органа по назначаване, съответно на работодателя, на служителя по служебно правоотношение, съответно трудово правоотношение, в държавната администрация, с негово съгласие и срещу възнаграждение са възложени допълнителни задължения във връзка с управлението и/или изпълнението на проект, или</w:t>
      </w:r>
    </w:p>
    <w:p w14:paraId="70F35589" w14:textId="77777777"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б) със служителя по трудово правоотношение е сключен трудов договор по реда на </w:t>
      </w:r>
      <w:r w:rsidRPr="009838B8">
        <w:rPr>
          <w:rFonts w:ascii="Times New Roman" w:eastAsia="Times New Roman" w:hAnsi="Times New Roman" w:cs="Times New Roman"/>
          <w:color w:val="000000"/>
          <w:sz w:val="24"/>
          <w:szCs w:val="24"/>
          <w:lang w:eastAsia="bg-BG"/>
        </w:rPr>
        <w:t>чл. 110 от Кодекса на труда</w:t>
      </w:r>
      <w:r w:rsidRPr="00BF1A49">
        <w:rPr>
          <w:rFonts w:ascii="Times New Roman" w:eastAsia="Times New Roman" w:hAnsi="Times New Roman" w:cs="Times New Roman"/>
          <w:color w:val="000000"/>
          <w:sz w:val="24"/>
          <w:szCs w:val="24"/>
          <w:lang w:eastAsia="bg-BG"/>
        </w:rPr>
        <w:t> във връзка с управлението и/или изпълнението на проект;</w:t>
      </w:r>
    </w:p>
    <w:p w14:paraId="42256A78" w14:textId="0B74C65C" w:rsidR="00BF1A49" w:rsidRPr="007A0B0A"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7A0B0A">
        <w:rPr>
          <w:rFonts w:ascii="Times New Roman" w:eastAsia="Times New Roman" w:hAnsi="Times New Roman" w:cs="Times New Roman"/>
          <w:color w:val="000000"/>
          <w:sz w:val="24"/>
          <w:szCs w:val="24"/>
          <w:lang w:eastAsia="bg-BG"/>
        </w:rPr>
        <w:t xml:space="preserve">3. извън случаите по т. 1 и 2 за дейности по проекта с лицето е сключен договор съгласно правилата по чл. 49, ал. 2 </w:t>
      </w:r>
      <w:r w:rsidR="009838B8" w:rsidRPr="007A0B0A">
        <w:rPr>
          <w:rFonts w:ascii="Times New Roman" w:eastAsia="Times New Roman" w:hAnsi="Times New Roman" w:cs="Times New Roman"/>
          <w:color w:val="000000"/>
          <w:sz w:val="24"/>
          <w:szCs w:val="24"/>
          <w:lang w:eastAsia="bg-BG"/>
        </w:rPr>
        <w:t xml:space="preserve">от </w:t>
      </w:r>
      <w:r w:rsidRPr="007A0B0A">
        <w:rPr>
          <w:rFonts w:ascii="Times New Roman" w:eastAsia="Times New Roman" w:hAnsi="Times New Roman" w:cs="Times New Roman"/>
          <w:color w:val="000000"/>
          <w:sz w:val="24"/>
          <w:szCs w:val="24"/>
          <w:lang w:eastAsia="bg-BG"/>
        </w:rPr>
        <w:t>ЗУСЕФСУ.</w:t>
      </w:r>
    </w:p>
    <w:p w14:paraId="78CE7966" w14:textId="1DB0E952" w:rsidR="0024378B" w:rsidRPr="008D4AB4" w:rsidRDefault="0024378B" w:rsidP="003F1D1D">
      <w:pPr>
        <w:pStyle w:val="ListParagraph"/>
        <w:numPr>
          <w:ilvl w:val="1"/>
          <w:numId w:val="4"/>
        </w:numPr>
        <w:tabs>
          <w:tab w:val="left" w:pos="1276"/>
        </w:tabs>
        <w:spacing w:after="0" w:line="240" w:lineRule="auto"/>
        <w:ind w:left="0" w:right="142" w:firstLine="567"/>
        <w:jc w:val="both"/>
        <w:rPr>
          <w:rFonts w:ascii="Times New Roman" w:hAnsi="Times New Roman" w:cs="Times New Roman"/>
          <w:lang w:eastAsia="bg-BG"/>
        </w:rPr>
      </w:pPr>
      <w:r w:rsidRPr="007A0B0A">
        <w:rPr>
          <w:rFonts w:ascii="Times New Roman" w:hAnsi="Times New Roman" w:cs="Times New Roman"/>
          <w:sz w:val="24"/>
          <w:szCs w:val="24"/>
          <w:lang w:eastAsia="bg-BG"/>
        </w:rPr>
        <w:t>Размерът</w:t>
      </w:r>
      <w:r w:rsidRPr="007A0B0A">
        <w:rPr>
          <w:rFonts w:ascii="Times New Roman" w:hAnsi="Times New Roman" w:cs="Times New Roman"/>
          <w:b/>
          <w:color w:val="000000"/>
          <w:sz w:val="24"/>
          <w:szCs w:val="24"/>
          <w:lang w:eastAsia="bg-BG"/>
        </w:rPr>
        <w:t xml:space="preserve"> на часовата ставка на възнаграждение</w:t>
      </w:r>
      <w:r w:rsidRPr="007A0B0A">
        <w:rPr>
          <w:rFonts w:ascii="Times New Roman" w:hAnsi="Times New Roman" w:cs="Times New Roman"/>
          <w:color w:val="000000"/>
          <w:sz w:val="24"/>
          <w:szCs w:val="24"/>
          <w:lang w:eastAsia="bg-BG"/>
        </w:rPr>
        <w:t xml:space="preserve"> на служителя за изпълнението на дейности по управление и изпълнение на операции следва да не превишава</w:t>
      </w:r>
      <w:r w:rsidRPr="008D4AB4">
        <w:rPr>
          <w:rFonts w:ascii="Times New Roman" w:hAnsi="Times New Roman" w:cs="Times New Roman"/>
          <w:color w:val="000000"/>
          <w:sz w:val="24"/>
          <w:szCs w:val="24"/>
          <w:lang w:eastAsia="bg-BG"/>
        </w:rPr>
        <w:t xml:space="preserve"> размера на възнаграждение на часова база, което лицето получава за изпълнение на дейности по основното си служеб</w:t>
      </w:r>
      <w:r w:rsidR="00123FCD">
        <w:rPr>
          <w:rFonts w:ascii="Times New Roman" w:hAnsi="Times New Roman" w:cs="Times New Roman"/>
          <w:color w:val="000000"/>
          <w:sz w:val="24"/>
          <w:szCs w:val="24"/>
          <w:lang w:eastAsia="bg-BG"/>
        </w:rPr>
        <w:t xml:space="preserve">но или трудово правоотношение. </w:t>
      </w:r>
      <w:r w:rsidRPr="008D4AB4">
        <w:rPr>
          <w:rFonts w:ascii="Times New Roman" w:hAnsi="Times New Roman" w:cs="Times New Roman"/>
          <w:color w:val="000000"/>
          <w:sz w:val="24"/>
          <w:szCs w:val="24"/>
          <w:lang w:eastAsia="bg-BG"/>
        </w:rPr>
        <w:t>Изчисляване на приложимата часова ставка при определяне на разходите за персонал, свързани с изпълнението на даден проект, като годишните брутни разходи за трудови възнаграждения в счетоводните отчети за последната година се разделят на 1720 часа..</w:t>
      </w:r>
    </w:p>
    <w:p w14:paraId="353B3774" w14:textId="77777777" w:rsidR="0024378B" w:rsidRPr="008D4AB4" w:rsidRDefault="0024378B" w:rsidP="003F1D1D">
      <w:pPr>
        <w:pStyle w:val="ListParagraph"/>
        <w:numPr>
          <w:ilvl w:val="1"/>
          <w:numId w:val="4"/>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предоставяне на безвъзмездна финансова помощ амортизационните разходи може да бъдат считани за допустими, при условие, че:</w:t>
      </w:r>
    </w:p>
    <w:p w14:paraId="3BCB3A34" w14:textId="77777777" w:rsidR="0024378B" w:rsidRPr="008D4AB4" w:rsidRDefault="0024378B" w:rsidP="003F1D1D">
      <w:pPr>
        <w:pStyle w:val="ListParagraph"/>
        <w:numPr>
          <w:ilvl w:val="2"/>
          <w:numId w:val="4"/>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разходът се отнася за дейности и разходи, допустими за съответната операция;</w:t>
      </w:r>
    </w:p>
    <w:p w14:paraId="7E84A74A" w14:textId="77777777" w:rsidR="0024378B" w:rsidRPr="008D4AB4" w:rsidRDefault="0024378B" w:rsidP="003F1D1D">
      <w:pPr>
        <w:pStyle w:val="ListParagraph"/>
        <w:numPr>
          <w:ilvl w:val="2"/>
          <w:numId w:val="4"/>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изчислени в съответствие със Закона за корпоративното подоходно облагане;</w:t>
      </w:r>
    </w:p>
    <w:p w14:paraId="4212D03F" w14:textId="77777777" w:rsidR="0024378B" w:rsidRPr="008D4AB4" w:rsidRDefault="0024378B" w:rsidP="003F1D1D">
      <w:pPr>
        <w:pStyle w:val="ListParagraph"/>
        <w:numPr>
          <w:ilvl w:val="2"/>
          <w:numId w:val="4"/>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w:t>
      </w:r>
    </w:p>
    <w:p w14:paraId="66CBDF38" w14:textId="77777777" w:rsidR="0024378B" w:rsidRPr="008D4AB4" w:rsidRDefault="0024378B" w:rsidP="003F1D1D">
      <w:pPr>
        <w:pStyle w:val="ListParagraph"/>
        <w:numPr>
          <w:ilvl w:val="2"/>
          <w:numId w:val="4"/>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разходите се отнасят изключително за периода на финансова подкрепа на операцията;</w:t>
      </w:r>
    </w:p>
    <w:p w14:paraId="363F5B7C" w14:textId="77777777" w:rsidR="0024378B" w:rsidRPr="008D4AB4" w:rsidRDefault="0024378B" w:rsidP="003F1D1D">
      <w:pPr>
        <w:pStyle w:val="ListParagraph"/>
        <w:numPr>
          <w:ilvl w:val="2"/>
          <w:numId w:val="4"/>
        </w:numPr>
        <w:spacing w:after="0" w:line="240" w:lineRule="auto"/>
        <w:ind w:left="1701"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активите не са закупени дори частично с безвъзмездна финансова помощ.</w:t>
      </w:r>
    </w:p>
    <w:p w14:paraId="1B62BABB" w14:textId="1E3BC52D" w:rsidR="00527B1D" w:rsidRDefault="0024378B" w:rsidP="003F1D1D">
      <w:pPr>
        <w:pStyle w:val="ListParagraph"/>
        <w:numPr>
          <w:ilvl w:val="1"/>
          <w:numId w:val="4"/>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Данък върху добавената стойност </w:t>
      </w:r>
      <w:r w:rsidR="00527B1D">
        <w:rPr>
          <w:rFonts w:ascii="Times New Roman" w:hAnsi="Times New Roman" w:cs="Times New Roman"/>
          <w:sz w:val="24"/>
          <w:szCs w:val="24"/>
          <w:lang w:eastAsia="bg-BG"/>
        </w:rPr>
        <w:t>е допустим</w:t>
      </w:r>
      <w:r w:rsidR="00527B1D" w:rsidRPr="00527B1D">
        <w:rPr>
          <w:rFonts w:ascii="Times New Roman" w:hAnsi="Times New Roman" w:cs="Times New Roman"/>
          <w:sz w:val="24"/>
          <w:szCs w:val="24"/>
          <w:lang w:eastAsia="bg-BG"/>
        </w:rPr>
        <w:t xml:space="preserve"> за операции с общ размер на разходите</w:t>
      </w:r>
      <w:r w:rsidR="00F51ABD">
        <w:rPr>
          <w:rStyle w:val="FootnoteReference"/>
          <w:rFonts w:ascii="Times New Roman" w:hAnsi="Times New Roman" w:cs="Times New Roman"/>
          <w:sz w:val="24"/>
          <w:szCs w:val="24"/>
          <w:lang w:eastAsia="bg-BG"/>
        </w:rPr>
        <w:footnoteReference w:id="2"/>
      </w:r>
      <w:r w:rsidR="00F51ABD">
        <w:rPr>
          <w:rFonts w:ascii="Times New Roman" w:hAnsi="Times New Roman" w:cs="Times New Roman"/>
          <w:sz w:val="24"/>
          <w:szCs w:val="24"/>
          <w:lang w:eastAsia="bg-BG"/>
        </w:rPr>
        <w:t>:</w:t>
      </w:r>
    </w:p>
    <w:p w14:paraId="38AF45DF" w14:textId="78FE06E5" w:rsidR="00527B1D" w:rsidRDefault="00527B1D" w:rsidP="003F1D1D">
      <w:pPr>
        <w:pStyle w:val="ListParagraph"/>
        <w:numPr>
          <w:ilvl w:val="2"/>
          <w:numId w:val="4"/>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под 5 000 000 EUR (вкл. ДДС);</w:t>
      </w:r>
    </w:p>
    <w:p w14:paraId="0070E459" w14:textId="480A3091" w:rsidR="00527B1D" w:rsidRPr="008D4AB4" w:rsidRDefault="00527B1D" w:rsidP="003F1D1D">
      <w:pPr>
        <w:pStyle w:val="ListParagraph"/>
        <w:numPr>
          <w:ilvl w:val="2"/>
          <w:numId w:val="4"/>
        </w:numPr>
        <w:tabs>
          <w:tab w:val="left" w:pos="1276"/>
          <w:tab w:val="left" w:pos="1701"/>
        </w:tabs>
        <w:spacing w:after="0" w:line="240" w:lineRule="auto"/>
        <w:ind w:right="142"/>
        <w:jc w:val="both"/>
        <w:rPr>
          <w:rFonts w:ascii="Times New Roman" w:hAnsi="Times New Roman" w:cs="Times New Roman"/>
          <w:sz w:val="24"/>
          <w:szCs w:val="24"/>
          <w:lang w:eastAsia="bg-BG"/>
        </w:rPr>
      </w:pPr>
      <w:r w:rsidRPr="00527B1D">
        <w:rPr>
          <w:rFonts w:ascii="Times New Roman" w:hAnsi="Times New Roman" w:cs="Times New Roman"/>
          <w:sz w:val="24"/>
          <w:szCs w:val="24"/>
          <w:lang w:eastAsia="bg-BG"/>
        </w:rPr>
        <w:t>най-малко 5 000 000 EUR (вкл. ДДС), когато ДДС не подлежи на възстановяване съгласно националното законодателство в областта на ДДС</w:t>
      </w:r>
      <w:r>
        <w:rPr>
          <w:rFonts w:ascii="Times New Roman" w:hAnsi="Times New Roman" w:cs="Times New Roman"/>
          <w:sz w:val="24"/>
          <w:szCs w:val="24"/>
          <w:lang w:eastAsia="bg-BG"/>
        </w:rPr>
        <w:t>;</w:t>
      </w:r>
    </w:p>
    <w:p w14:paraId="43B530B0" w14:textId="77777777" w:rsidR="0024378B" w:rsidRPr="008D4AB4" w:rsidRDefault="0024378B" w:rsidP="003F1D1D">
      <w:pPr>
        <w:pStyle w:val="ListParagraph"/>
        <w:numPr>
          <w:ilvl w:val="1"/>
          <w:numId w:val="4"/>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разходи, извършени във връзка с </w:t>
      </w:r>
      <w:r w:rsidRPr="008D4AB4">
        <w:rPr>
          <w:rFonts w:ascii="Times New Roman" w:hAnsi="Times New Roman" w:cs="Times New Roman"/>
          <w:sz w:val="24"/>
          <w:szCs w:val="24"/>
          <w:lang w:eastAsia="bg-BG"/>
        </w:rPr>
        <w:t>лизингови операции</w:t>
      </w:r>
      <w:r w:rsidRPr="008D4AB4">
        <w:rPr>
          <w:rFonts w:ascii="Times New Roman" w:hAnsi="Times New Roman" w:cs="Times New Roman"/>
          <w:color w:val="000000"/>
          <w:sz w:val="24"/>
          <w:szCs w:val="24"/>
          <w:lang w:eastAsia="bg-BG"/>
        </w:rPr>
        <w:t>, са единствено лизинговите вноски при спазване на следните изисквания:</w:t>
      </w:r>
    </w:p>
    <w:p w14:paraId="1919B99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лизинговите вноски са дължими и платени до изтичане на срока за изпълнение на операцията, финансирана по оперативната програма;</w:t>
      </w:r>
    </w:p>
    <w:p w14:paraId="0AF18DA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D50C0C"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максималната допустима цена е по-ниска от пазарната цена за закупуване на актива.</w:t>
      </w:r>
    </w:p>
    <w:p w14:paraId="5B3C1F45" w14:textId="77777777" w:rsidR="0024378B" w:rsidRPr="008D4AB4" w:rsidRDefault="0024378B" w:rsidP="003F1D1D">
      <w:pPr>
        <w:pStyle w:val="ListParagraph"/>
        <w:numPr>
          <w:ilvl w:val="1"/>
          <w:numId w:val="4"/>
        </w:numPr>
        <w:tabs>
          <w:tab w:val="left" w:pos="1276"/>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Разходите за </w:t>
      </w:r>
      <w:r w:rsidRPr="008D4AB4">
        <w:rPr>
          <w:rFonts w:ascii="Times New Roman" w:hAnsi="Times New Roman" w:cs="Times New Roman"/>
          <w:sz w:val="24"/>
          <w:szCs w:val="24"/>
          <w:lang w:eastAsia="bg-BG"/>
        </w:rPr>
        <w:t>закупуване на земя и/или придобиване на ограничени вещни права</w:t>
      </w:r>
      <w:r w:rsidRPr="008D4AB4">
        <w:rPr>
          <w:rFonts w:ascii="Times New Roman" w:hAnsi="Times New Roman" w:cs="Times New Roman"/>
          <w:color w:val="000000"/>
          <w:sz w:val="24"/>
          <w:szCs w:val="24"/>
          <w:lang w:eastAsia="bg-BG"/>
        </w:rPr>
        <w:t xml:space="preserve"> са </w:t>
      </w: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при спа</w:t>
      </w:r>
      <w:r w:rsidRPr="008D4AB4">
        <w:rPr>
          <w:rFonts w:ascii="Times New Roman" w:hAnsi="Times New Roman" w:cs="Times New Roman"/>
          <w:sz w:val="24"/>
          <w:szCs w:val="24"/>
          <w:lang w:eastAsia="bg-BG"/>
        </w:rPr>
        <w:t>зване на следните условия:</w:t>
      </w:r>
    </w:p>
    <w:p w14:paraId="2C887E19"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14:paraId="0B5A4B5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14:paraId="220A172A"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14:paraId="78275AB4"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4. 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14:paraId="18CFB14A" w14:textId="77777777" w:rsidR="0024378B" w:rsidRPr="008D4AB4"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Закупуването на незастроени и застроени земи</w:t>
      </w:r>
      <w:r w:rsidRPr="008D4AB4">
        <w:rPr>
          <w:rFonts w:ascii="Times New Roman" w:hAnsi="Times New Roman" w:cs="Times New Roman"/>
          <w:color w:val="000000"/>
          <w:sz w:val="24"/>
          <w:szCs w:val="24"/>
          <w:lang w:eastAsia="bg-BG"/>
        </w:rPr>
        <w:t xml:space="preserve"> е допустимо на стойност </w:t>
      </w:r>
      <w:r w:rsidRPr="008D4AB4">
        <w:rPr>
          <w:rFonts w:ascii="Times New Roman" w:hAnsi="Times New Roman" w:cs="Times New Roman"/>
          <w:sz w:val="24"/>
          <w:szCs w:val="24"/>
          <w:lang w:eastAsia="bg-BG"/>
        </w:rPr>
        <w:t>до 10 на сто от общите допустими разходи</w:t>
      </w:r>
      <w:r w:rsidRPr="008D4AB4">
        <w:rPr>
          <w:rFonts w:ascii="Times New Roman" w:hAnsi="Times New Roman" w:cs="Times New Roman"/>
          <w:color w:val="000000"/>
          <w:sz w:val="24"/>
          <w:szCs w:val="24"/>
          <w:lang w:eastAsia="bg-BG"/>
        </w:rPr>
        <w:t xml:space="preserve">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на сто. При изключителни и добре обосновани случаи може да се разреши по-висок процент от горепосочените проценти за операции, свързани с опазване на околната среда.</w:t>
      </w:r>
    </w:p>
    <w:p w14:paraId="72D12E22" w14:textId="77777777" w:rsidR="0024378B" w:rsidRPr="008D4AB4"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Допустими за финансиране са следните разходи, при условие че са </w:t>
      </w:r>
      <w:r w:rsidRPr="008D4AB4">
        <w:rPr>
          <w:rFonts w:ascii="Times New Roman" w:hAnsi="Times New Roman" w:cs="Times New Roman"/>
          <w:sz w:val="24"/>
          <w:szCs w:val="24"/>
          <w:lang w:eastAsia="bg-BG"/>
        </w:rPr>
        <w:t>пряко свързани</w:t>
      </w:r>
      <w:r w:rsidRPr="008D4AB4">
        <w:rPr>
          <w:rFonts w:ascii="Times New Roman" w:hAnsi="Times New Roman" w:cs="Times New Roman"/>
          <w:color w:val="000000"/>
          <w:sz w:val="24"/>
          <w:szCs w:val="24"/>
          <w:lang w:eastAsia="bg-BG"/>
        </w:rPr>
        <w:t xml:space="preserve"> с финансираните операции или дейности и са необходими за тяхната подготовка и осъществяване:</w:t>
      </w:r>
    </w:p>
    <w:p w14:paraId="5DE3CE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1. разходи за </w:t>
      </w:r>
      <w:r w:rsidRPr="008D4AB4">
        <w:rPr>
          <w:rFonts w:ascii="Times New Roman" w:hAnsi="Times New Roman" w:cs="Times New Roman"/>
          <w:b/>
          <w:sz w:val="24"/>
          <w:szCs w:val="24"/>
          <w:lang w:eastAsia="bg-BG"/>
        </w:rPr>
        <w:t>застраховки</w:t>
      </w:r>
      <w:r w:rsidRPr="008D4AB4">
        <w:rPr>
          <w:rFonts w:ascii="Times New Roman" w:hAnsi="Times New Roman" w:cs="Times New Roman"/>
          <w:sz w:val="24"/>
          <w:szCs w:val="24"/>
          <w:lang w:eastAsia="bg-BG"/>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7808F06"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2. разходи за </w:t>
      </w:r>
      <w:r w:rsidRPr="008D4AB4">
        <w:rPr>
          <w:rFonts w:ascii="Times New Roman" w:hAnsi="Times New Roman" w:cs="Times New Roman"/>
          <w:b/>
          <w:sz w:val="24"/>
          <w:szCs w:val="24"/>
          <w:lang w:eastAsia="bg-BG"/>
        </w:rPr>
        <w:t>юридически консултации и нотариални услуги</w:t>
      </w:r>
      <w:r w:rsidRPr="008D4AB4">
        <w:rPr>
          <w:rFonts w:ascii="Times New Roman" w:hAnsi="Times New Roman" w:cs="Times New Roman"/>
          <w:sz w:val="24"/>
          <w:szCs w:val="24"/>
          <w:lang w:eastAsia="bg-BG"/>
        </w:rPr>
        <w:t>;</w:t>
      </w:r>
    </w:p>
    <w:p w14:paraId="69FB8D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3. разходи за </w:t>
      </w:r>
      <w:r w:rsidRPr="008D4AB4">
        <w:rPr>
          <w:rFonts w:ascii="Times New Roman" w:hAnsi="Times New Roman" w:cs="Times New Roman"/>
          <w:b/>
          <w:sz w:val="24"/>
          <w:szCs w:val="24"/>
          <w:lang w:eastAsia="bg-BG"/>
        </w:rPr>
        <w:t>технически и финансови експертизи</w:t>
      </w:r>
      <w:r w:rsidRPr="008D4AB4">
        <w:rPr>
          <w:rFonts w:ascii="Times New Roman" w:hAnsi="Times New Roman" w:cs="Times New Roman"/>
          <w:sz w:val="24"/>
          <w:szCs w:val="24"/>
          <w:lang w:eastAsia="bg-BG"/>
        </w:rPr>
        <w:t>;</w:t>
      </w:r>
    </w:p>
    <w:p w14:paraId="727AF8C3"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4. разходи за </w:t>
      </w:r>
      <w:r w:rsidRPr="008D4AB4">
        <w:rPr>
          <w:rFonts w:ascii="Times New Roman" w:hAnsi="Times New Roman" w:cs="Times New Roman"/>
          <w:b/>
          <w:sz w:val="24"/>
          <w:szCs w:val="24"/>
          <w:lang w:eastAsia="bg-BG"/>
        </w:rPr>
        <w:t>счетоводство</w:t>
      </w:r>
      <w:r w:rsidRPr="008D4AB4">
        <w:rPr>
          <w:rFonts w:ascii="Times New Roman" w:hAnsi="Times New Roman" w:cs="Times New Roman"/>
          <w:sz w:val="24"/>
          <w:szCs w:val="24"/>
          <w:lang w:eastAsia="bg-BG"/>
        </w:rPr>
        <w:t>.</w:t>
      </w:r>
    </w:p>
    <w:p w14:paraId="36B95814" w14:textId="7211AFE0" w:rsidR="0024378B" w:rsidRPr="008D4AB4"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sz w:val="24"/>
          <w:szCs w:val="24"/>
          <w:lang w:eastAsia="bg-BG"/>
        </w:rPr>
        <w:t xml:space="preserve"> за подготовката на инвестиционни проекти, включени в допустимите дейности по съответната приоритетна ос на </w:t>
      </w:r>
      <w:r w:rsidR="00527B1D">
        <w:rPr>
          <w:rFonts w:ascii="Times New Roman" w:hAnsi="Times New Roman" w:cs="Times New Roman"/>
          <w:sz w:val="24"/>
          <w:szCs w:val="24"/>
          <w:lang w:eastAsia="bg-BG"/>
        </w:rPr>
        <w:t>ПТС</w:t>
      </w:r>
      <w:r w:rsidRPr="008D4AB4">
        <w:rPr>
          <w:rFonts w:ascii="Times New Roman" w:hAnsi="Times New Roman" w:cs="Times New Roman"/>
          <w:sz w:val="24"/>
          <w:szCs w:val="24"/>
          <w:lang w:eastAsia="bg-BG"/>
        </w:rPr>
        <w:t>;</w:t>
      </w:r>
    </w:p>
    <w:p w14:paraId="7F74D0BA" w14:textId="67770299" w:rsidR="0024378B" w:rsidRPr="00E9290C"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8D4AB4">
        <w:rPr>
          <w:rFonts w:ascii="Times New Roman" w:hAnsi="Times New Roman" w:cs="Times New Roman"/>
          <w:sz w:val="24"/>
          <w:szCs w:val="24"/>
          <w:lang w:eastAsia="bg-BG"/>
        </w:rPr>
        <w:t>Разходи, свързани с приложението на политиките по околна среда и изменението на климата (</w:t>
      </w:r>
      <w:r w:rsidRPr="00E9290C">
        <w:rPr>
          <w:rFonts w:ascii="Times New Roman" w:hAnsi="Times New Roman" w:cs="Times New Roman"/>
          <w:color w:val="000000"/>
          <w:sz w:val="24"/>
          <w:szCs w:val="24"/>
          <w:lang w:eastAsia="bg-BG"/>
        </w:rPr>
        <w:t>доклади за оценка на въздействието върху околната среда, оценка за съвместимост</w:t>
      </w:r>
      <w:r w:rsidR="00527B1D" w:rsidRPr="00E9290C">
        <w:rPr>
          <w:rFonts w:ascii="Times New Roman" w:hAnsi="Times New Roman" w:cs="Times New Roman"/>
          <w:color w:val="000000"/>
          <w:sz w:val="24"/>
          <w:szCs w:val="24"/>
          <w:lang w:eastAsia="bg-BG"/>
        </w:rPr>
        <w:t>, DNSH, климатична устойчивост, НАТУРА 2000 и т.н.</w:t>
      </w:r>
      <w:r w:rsidRPr="00E9290C">
        <w:rPr>
          <w:rFonts w:ascii="Times New Roman" w:hAnsi="Times New Roman" w:cs="Times New Roman"/>
          <w:color w:val="000000"/>
          <w:sz w:val="24"/>
          <w:szCs w:val="24"/>
          <w:lang w:eastAsia="bg-BG"/>
        </w:rPr>
        <w:t xml:space="preserve">), </w:t>
      </w:r>
    </w:p>
    <w:p w14:paraId="3F786B21" w14:textId="625C0A14" w:rsidR="0024378B" w:rsidRPr="00E9290C"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 за подготовка на формуляр за кандидатстване за финансиране на проекти по </w:t>
      </w:r>
      <w:r w:rsidR="00527B1D" w:rsidRPr="00E9290C">
        <w:rPr>
          <w:rFonts w:ascii="Times New Roman" w:hAnsi="Times New Roman" w:cs="Times New Roman"/>
          <w:color w:val="000000"/>
          <w:sz w:val="24"/>
          <w:szCs w:val="24"/>
          <w:lang w:eastAsia="bg-BG"/>
        </w:rPr>
        <w:t>ПТС</w:t>
      </w:r>
      <w:r w:rsidRPr="00E9290C">
        <w:rPr>
          <w:rFonts w:ascii="Times New Roman" w:hAnsi="Times New Roman" w:cs="Times New Roman"/>
          <w:color w:val="000000"/>
          <w:sz w:val="24"/>
          <w:szCs w:val="24"/>
          <w:lang w:eastAsia="bg-BG"/>
        </w:rPr>
        <w:t>, включително за изготвяне</w:t>
      </w:r>
      <w:r w:rsidR="00527B1D" w:rsidRPr="00E9290C">
        <w:rPr>
          <w:rFonts w:ascii="Times New Roman" w:hAnsi="Times New Roman" w:cs="Times New Roman"/>
          <w:color w:val="000000"/>
          <w:sz w:val="24"/>
          <w:szCs w:val="24"/>
          <w:lang w:eastAsia="bg-BG"/>
        </w:rPr>
        <w:t xml:space="preserve">/актуализиране </w:t>
      </w:r>
      <w:r w:rsidRPr="00E9290C">
        <w:rPr>
          <w:rFonts w:ascii="Times New Roman" w:hAnsi="Times New Roman" w:cs="Times New Roman"/>
          <w:color w:val="000000"/>
          <w:sz w:val="24"/>
          <w:szCs w:val="24"/>
          <w:lang w:eastAsia="bg-BG"/>
        </w:rPr>
        <w:t>на анализ „Разходи – ползи“, предпроектни, геоложки, археологически, технически проучвания, геодезически заснемания, за проектиране (идейни, технически, работни и др. проекти), за оценка на съответствието на проектите съгласно действащото законодателство и за други необходими анализи и проучвания;</w:t>
      </w:r>
    </w:p>
    <w:p w14:paraId="09B298B3" w14:textId="77777777" w:rsidR="0024378B" w:rsidRPr="00E9290C"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 свързани с набавянето на необходимите разрешителни документи, изискващи се от националното законодателство, технически планове и свързаните с тях такси, дължими на съответните компетентни органи;</w:t>
      </w:r>
    </w:p>
    <w:p w14:paraId="2398B7FD" w14:textId="77777777" w:rsidR="0024378B" w:rsidRPr="00E9290C"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Разходите за закупуване на земя и/или придобиване на ограничени вещни права и/или на застроени недвижими имоти са допустими, в случай че земята става собственост на държавата или на лице, на което са възложени публични/ публичноправни функции.</w:t>
      </w:r>
    </w:p>
    <w:p w14:paraId="34D717CA" w14:textId="77777777" w:rsidR="0024378B" w:rsidRPr="008D4AB4" w:rsidRDefault="0024378B"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color w:val="000000"/>
          <w:sz w:val="24"/>
          <w:szCs w:val="24"/>
          <w:lang w:eastAsia="bg-BG"/>
        </w:rPr>
        <w:t xml:space="preserve"> за закупуване на дълготрайни материални активи, в т.ч. транспортни средства, при следните условия:</w:t>
      </w:r>
    </w:p>
    <w:p w14:paraId="3AB860AC" w14:textId="77777777" w:rsidR="0024378B" w:rsidRPr="008D4AB4"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 закупените активи са необходими за изпълнението и/или управлението на операцията и не са постоянно инсталирани на мястото на изпълнение;</w:t>
      </w:r>
    </w:p>
    <w:p w14:paraId="4E617A7A" w14:textId="77777777" w:rsidR="0024378B" w:rsidRPr="007A0B0A" w:rsidRDefault="0024378B" w:rsidP="0024378B">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б) след приключването на операцията активите са без остатъчна стойност при прилагане на правилата за изчисляване на амортизации съгласно Закона за корпоративното </w:t>
      </w:r>
      <w:r w:rsidRPr="007A0B0A">
        <w:rPr>
          <w:rFonts w:ascii="Times New Roman" w:hAnsi="Times New Roman" w:cs="Times New Roman"/>
          <w:sz w:val="24"/>
          <w:szCs w:val="24"/>
          <w:lang w:eastAsia="bg-BG"/>
        </w:rPr>
        <w:t>подоходно облагане.</w:t>
      </w:r>
    </w:p>
    <w:p w14:paraId="0CA48BEA" w14:textId="552487F1" w:rsidR="0024378B" w:rsidRPr="007A0B0A" w:rsidRDefault="00E9290C" w:rsidP="003F1D1D">
      <w:pPr>
        <w:pStyle w:val="ListParagraph"/>
        <w:numPr>
          <w:ilvl w:val="1"/>
          <w:numId w:val="4"/>
        </w:numPr>
        <w:tabs>
          <w:tab w:val="left" w:pos="1418"/>
        </w:tabs>
        <w:spacing w:after="0" w:line="240" w:lineRule="auto"/>
        <w:ind w:left="0" w:right="142" w:firstLine="567"/>
        <w:jc w:val="both"/>
        <w:rPr>
          <w:rFonts w:ascii="Times New Roman" w:hAnsi="Times New Roman" w:cs="Times New Roman"/>
          <w:sz w:val="24"/>
          <w:szCs w:val="24"/>
          <w:lang w:eastAsia="bg-BG"/>
        </w:rPr>
      </w:pPr>
      <w:r w:rsidRPr="007A0B0A">
        <w:rPr>
          <w:rFonts w:ascii="Times New Roman" w:hAnsi="Times New Roman" w:cs="Times New Roman"/>
          <w:sz w:val="24"/>
          <w:szCs w:val="24"/>
          <w:lang w:eastAsia="bg-BG"/>
        </w:rPr>
        <w:t>Н</w:t>
      </w:r>
      <w:r w:rsidR="0024378B" w:rsidRPr="007A0B0A">
        <w:rPr>
          <w:rFonts w:ascii="Times New Roman" w:hAnsi="Times New Roman" w:cs="Times New Roman"/>
          <w:sz w:val="24"/>
          <w:szCs w:val="24"/>
          <w:lang w:eastAsia="bg-BG"/>
        </w:rPr>
        <w:t xml:space="preserve">епредвидени разходи за инвестиционните проекти, които не могат да надвишават 10 на сто от </w:t>
      </w:r>
      <w:r w:rsidR="0024378B" w:rsidRPr="007A0B0A">
        <w:rPr>
          <w:rFonts w:ascii="Times New Roman" w:hAnsi="Times New Roman" w:cs="Times New Roman"/>
          <w:color w:val="000000"/>
          <w:sz w:val="24"/>
          <w:szCs w:val="24"/>
          <w:lang w:eastAsia="bg-BG"/>
        </w:rPr>
        <w:t>общата</w:t>
      </w:r>
      <w:r w:rsidR="0024378B" w:rsidRPr="007A0B0A">
        <w:rPr>
          <w:rFonts w:ascii="Times New Roman" w:hAnsi="Times New Roman" w:cs="Times New Roman"/>
          <w:sz w:val="24"/>
          <w:szCs w:val="24"/>
          <w:lang w:eastAsia="bg-BG"/>
        </w:rPr>
        <w:t xml:space="preserve"> сума на разходите след приспадането на непредвидените разходи.</w:t>
      </w:r>
    </w:p>
    <w:p w14:paraId="418AD978" w14:textId="77777777" w:rsidR="009976F4" w:rsidRPr="008D4AB4" w:rsidRDefault="009976F4" w:rsidP="009976F4">
      <w:pPr>
        <w:pStyle w:val="Heading2"/>
        <w:spacing w:before="120" w:after="120"/>
        <w:rPr>
          <w:rFonts w:ascii="Times New Roman" w:hAnsi="Times New Roman" w:cs="Times New Roman"/>
        </w:rPr>
      </w:pPr>
      <w:bookmarkStart w:id="18" w:name="_Toc442298724"/>
      <w:bookmarkStart w:id="19" w:name="_Toc136270275"/>
      <w:r w:rsidRPr="008D4AB4">
        <w:rPr>
          <w:rFonts w:ascii="Times New Roman" w:hAnsi="Times New Roman" w:cs="Times New Roman"/>
        </w:rPr>
        <w:t>14.3. Недопустими разходи</w:t>
      </w:r>
      <w:bookmarkEnd w:id="18"/>
      <w:bookmarkEnd w:id="19"/>
    </w:p>
    <w:p w14:paraId="5FA789DC" w14:textId="77777777" w:rsidR="00EE38B2" w:rsidRDefault="00EE38B2" w:rsidP="00EE38B2">
      <w:pPr>
        <w:spacing w:after="120" w:line="240" w:lineRule="auto"/>
        <w:ind w:firstLine="708"/>
        <w:jc w:val="both"/>
        <w:rPr>
          <w:rFonts w:ascii="Times New Roman" w:hAnsi="Times New Roman" w:cs="Times New Roman"/>
          <w:sz w:val="24"/>
          <w:szCs w:val="24"/>
        </w:rPr>
      </w:pPr>
      <w:r w:rsidRPr="005B30FA">
        <w:rPr>
          <w:rFonts w:ascii="inherit" w:eastAsia="Times New Roman" w:hAnsi="inherit" w:cs="Times New Roman"/>
          <w:sz w:val="24"/>
          <w:szCs w:val="24"/>
        </w:rPr>
        <w:t>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непредставени за съфинансиране разходи</w:t>
      </w:r>
      <w:r>
        <w:rPr>
          <w:rFonts w:ascii="inherit" w:eastAsia="Times New Roman" w:hAnsi="inherit" w:cs="Times New Roman"/>
          <w:sz w:val="24"/>
          <w:szCs w:val="24"/>
        </w:rPr>
        <w:t xml:space="preserve">. </w:t>
      </w:r>
    </w:p>
    <w:p w14:paraId="06C5A9C3" w14:textId="1BA05FDA" w:rsidR="000509F6" w:rsidRPr="008D4AB4" w:rsidRDefault="000509F6" w:rsidP="004966C5">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8D4AB4">
        <w:rPr>
          <w:rFonts w:ascii="Times New Roman" w:hAnsi="Times New Roman" w:cs="Times New Roman"/>
          <w:sz w:val="24"/>
          <w:szCs w:val="24"/>
        </w:rPr>
        <w:t>н</w:t>
      </w:r>
      <w:r w:rsidRPr="008D4AB4">
        <w:rPr>
          <w:rFonts w:ascii="Times New Roman" w:hAnsi="Times New Roman" w:cs="Times New Roman"/>
          <w:sz w:val="24"/>
          <w:szCs w:val="24"/>
        </w:rPr>
        <w:t xml:space="preserve">а </w:t>
      </w:r>
      <w:r w:rsidR="004A0156" w:rsidRPr="008D4AB4">
        <w:rPr>
          <w:rFonts w:ascii="Times New Roman" w:hAnsi="Times New Roman" w:cs="Times New Roman"/>
          <w:sz w:val="24"/>
          <w:szCs w:val="24"/>
        </w:rPr>
        <w:t xml:space="preserve">Европейските фондове за споделено управление </w:t>
      </w:r>
      <w:r w:rsidRPr="008D4AB4">
        <w:rPr>
          <w:rFonts w:ascii="Times New Roman" w:hAnsi="Times New Roman" w:cs="Times New Roman"/>
          <w:sz w:val="24"/>
          <w:szCs w:val="24"/>
        </w:rPr>
        <w:t>(</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2021/1060 </w:t>
      </w:r>
      <w:r w:rsidR="00474DB7" w:rsidRPr="008D4AB4">
        <w:rPr>
          <w:rFonts w:ascii="Times New Roman" w:hAnsi="Times New Roman" w:cs="Times New Roman"/>
          <w:sz w:val="24"/>
          <w:szCs w:val="24"/>
        </w:rPr>
        <w:t xml:space="preserve">на </w:t>
      </w:r>
      <w:r w:rsidR="00F13FA9" w:rsidRPr="008D4AB4">
        <w:rPr>
          <w:rFonts w:ascii="Times New Roman" w:hAnsi="Times New Roman" w:cs="Times New Roman"/>
          <w:sz w:val="24"/>
          <w:szCs w:val="24"/>
        </w:rPr>
        <w:t>Е</w:t>
      </w:r>
      <w:r w:rsidR="00474DB7" w:rsidRPr="008D4AB4">
        <w:rPr>
          <w:rFonts w:ascii="Times New Roman" w:hAnsi="Times New Roman" w:cs="Times New Roman"/>
          <w:sz w:val="24"/>
          <w:szCs w:val="24"/>
        </w:rPr>
        <w:t xml:space="preserve">вропейския парламент и на </w:t>
      </w:r>
      <w:r w:rsidR="00F13FA9" w:rsidRPr="008D4AB4">
        <w:rPr>
          <w:rFonts w:ascii="Times New Roman" w:hAnsi="Times New Roman" w:cs="Times New Roman"/>
          <w:sz w:val="24"/>
          <w:szCs w:val="24"/>
        </w:rPr>
        <w:t>С</w:t>
      </w:r>
      <w:r w:rsidR="00474DB7" w:rsidRPr="008D4AB4">
        <w:rPr>
          <w:rFonts w:ascii="Times New Roman" w:hAnsi="Times New Roman" w:cs="Times New Roman"/>
          <w:sz w:val="24"/>
          <w:szCs w:val="24"/>
        </w:rPr>
        <w:t xml:space="preserve">ъвета </w:t>
      </w:r>
      <w:r w:rsidR="004A0156" w:rsidRPr="008D4AB4">
        <w:rPr>
          <w:rFonts w:ascii="Times New Roman" w:hAnsi="Times New Roman" w:cs="Times New Roman"/>
          <w:sz w:val="24"/>
          <w:szCs w:val="24"/>
        </w:rPr>
        <w:t xml:space="preserve">от 24 юни 2021 година </w:t>
      </w:r>
      <w:r w:rsidR="004A0156" w:rsidRPr="008D4AB4">
        <w:rPr>
          <w:rFonts w:ascii="Times New Roman" w:hAnsi="Times New Roman" w:cs="Times New Roman"/>
          <w:i/>
          <w:sz w:val="24"/>
          <w:szCs w:val="24"/>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2021/1058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24 юни 2021 година </w:t>
      </w:r>
      <w:hyperlink r:id="rId11" w:tooltip="32021R1058" w:history="1">
        <w:r w:rsidR="004A0156"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Евратом) 2018/1046 </w:t>
      </w:r>
      <w:r w:rsidR="00F536D4" w:rsidRPr="008D4AB4">
        <w:rPr>
          <w:rFonts w:ascii="Times New Roman" w:hAnsi="Times New Roman" w:cs="Times New Roman"/>
          <w:sz w:val="24"/>
          <w:szCs w:val="24"/>
        </w:rPr>
        <w:t xml:space="preserve">на Европейския парламент и на </w:t>
      </w:r>
      <w:r w:rsidR="00F536D4" w:rsidRPr="008D4AB4">
        <w:rPr>
          <w:rFonts w:ascii="Times New Roman" w:hAnsi="Times New Roman" w:cs="Times New Roman"/>
          <w:sz w:val="24"/>
          <w:szCs w:val="24"/>
        </w:rPr>
        <w:lastRenderedPageBreak/>
        <w:t xml:space="preserve">Съвета </w:t>
      </w:r>
      <w:r w:rsidR="004A0156" w:rsidRPr="008D4AB4">
        <w:rPr>
          <w:rFonts w:ascii="Times New Roman" w:hAnsi="Times New Roman" w:cs="Times New Roman"/>
          <w:sz w:val="24"/>
          <w:szCs w:val="24"/>
        </w:rPr>
        <w:t xml:space="preserve">от 18 юли 2018 година </w:t>
      </w:r>
      <w:r w:rsidR="004A0156" w:rsidRPr="008D4AB4">
        <w:rPr>
          <w:rFonts w:ascii="Times New Roman" w:hAnsi="Times New Roman" w:cs="Times New Roman"/>
          <w:i/>
          <w:sz w:val="24"/>
          <w:szCs w:val="24"/>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D4AB4">
        <w:rPr>
          <w:rFonts w:ascii="Times New Roman" w:hAnsi="Times New Roman" w:cs="Times New Roman"/>
          <w:i/>
          <w:sz w:val="24"/>
          <w:szCs w:val="24"/>
        </w:rPr>
        <w:t>)</w:t>
      </w:r>
      <w:r w:rsidRPr="008D4AB4">
        <w:rPr>
          <w:rFonts w:ascii="Times New Roman" w:hAnsi="Times New Roman" w:cs="Times New Roman"/>
          <w:sz w:val="24"/>
          <w:szCs w:val="24"/>
        </w:rPr>
        <w:t xml:space="preserve">, </w:t>
      </w:r>
      <w:r w:rsidR="004A0156"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8D4AB4">
        <w:rPr>
          <w:rFonts w:ascii="Times New Roman" w:hAnsi="Times New Roman" w:cs="Times New Roman"/>
          <w:sz w:val="24"/>
          <w:szCs w:val="24"/>
        </w:rPr>
        <w:t xml:space="preserve"> </w:t>
      </w:r>
      <w:r w:rsidRPr="008D4AB4">
        <w:rPr>
          <w:rFonts w:ascii="Times New Roman" w:hAnsi="Times New Roman" w:cs="Times New Roman"/>
          <w:sz w:val="24"/>
          <w:szCs w:val="24"/>
        </w:rPr>
        <w:t>национални правила за допустимост на разходите</w:t>
      </w:r>
      <w:r w:rsidR="00346133" w:rsidRPr="008D4AB4">
        <w:rPr>
          <w:rFonts w:ascii="Times New Roman" w:hAnsi="Times New Roman" w:cs="Times New Roman"/>
          <w:sz w:val="24"/>
          <w:szCs w:val="24"/>
        </w:rPr>
        <w:t xml:space="preserve"> за средствата от ЕФСУ</w:t>
      </w:r>
      <w:r w:rsidR="00AF0179" w:rsidRPr="008D4AB4">
        <w:rPr>
          <w:rFonts w:ascii="Times New Roman" w:hAnsi="Times New Roman" w:cs="Times New Roman"/>
          <w:sz w:val="24"/>
          <w:szCs w:val="24"/>
        </w:rPr>
        <w:t xml:space="preserve">. </w:t>
      </w:r>
    </w:p>
    <w:p w14:paraId="65712F50" w14:textId="77777777" w:rsidR="00EC03CF" w:rsidRPr="008D4AB4" w:rsidRDefault="004966C5"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w:t>
      </w:r>
      <w:r w:rsidRPr="004966C5">
        <w:rPr>
          <w:rFonts w:ascii="Times New Roman" w:hAnsi="Times New Roman" w:cs="Times New Roman"/>
          <w:sz w:val="24"/>
          <w:szCs w:val="24"/>
        </w:rPr>
        <w:t>лен 64</w:t>
      </w:r>
      <w:r w:rsidRPr="008D4AB4">
        <w:rPr>
          <w:rFonts w:ascii="Times New Roman" w:hAnsi="Times New Roman" w:cs="Times New Roman"/>
          <w:sz w:val="24"/>
          <w:szCs w:val="24"/>
        </w:rPr>
        <w:t xml:space="preserve"> на Регламент 2021/</w:t>
      </w:r>
      <w:r w:rsidR="00EC03CF" w:rsidRPr="008D4AB4">
        <w:rPr>
          <w:rFonts w:ascii="Times New Roman" w:hAnsi="Times New Roman" w:cs="Times New Roman"/>
          <w:sz w:val="24"/>
          <w:szCs w:val="24"/>
        </w:rPr>
        <w:t xml:space="preserve">1060 относно недопустимите </w:t>
      </w:r>
      <w:r w:rsidRPr="008D4AB4">
        <w:rPr>
          <w:rFonts w:ascii="Times New Roman" w:hAnsi="Times New Roman" w:cs="Times New Roman"/>
          <w:sz w:val="24"/>
          <w:szCs w:val="24"/>
        </w:rPr>
        <w:t>разход</w:t>
      </w:r>
      <w:r w:rsidR="00EC03CF" w:rsidRPr="008D4AB4">
        <w:rPr>
          <w:rFonts w:ascii="Times New Roman" w:hAnsi="Times New Roman" w:cs="Times New Roman"/>
          <w:sz w:val="24"/>
          <w:szCs w:val="24"/>
        </w:rPr>
        <w:t>и:</w:t>
      </w:r>
    </w:p>
    <w:p w14:paraId="5A4CC901" w14:textId="5B61049D" w:rsidR="004966C5" w:rsidRPr="008D4AB4" w:rsidRDefault="00EC03CF" w:rsidP="003F1D1D">
      <w:pPr>
        <w:pStyle w:val="ListParagraph"/>
        <w:numPr>
          <w:ilvl w:val="0"/>
          <w:numId w:val="6"/>
        </w:numPr>
        <w:spacing w:after="120" w:line="240" w:lineRule="auto"/>
        <w:jc w:val="both"/>
        <w:rPr>
          <w:rFonts w:ascii="Times New Roman" w:eastAsia="Times New Roman" w:hAnsi="Times New Roman" w:cs="Times New Roman"/>
          <w:color w:val="333333"/>
          <w:sz w:val="24"/>
          <w:szCs w:val="24"/>
          <w:lang w:eastAsia="bg-BG"/>
        </w:rPr>
      </w:pPr>
      <w:r w:rsidRPr="008D4AB4">
        <w:rPr>
          <w:rFonts w:ascii="Times New Roman" w:eastAsia="Times New Roman" w:hAnsi="Times New Roman" w:cs="Times New Roman"/>
          <w:color w:val="333333"/>
          <w:sz w:val="24"/>
          <w:szCs w:val="24"/>
          <w:lang w:eastAsia="bg-BG"/>
        </w:rPr>
        <w:t>Следните разходи не са допустими за получаване на принос от фондовете:</w:t>
      </w:r>
    </w:p>
    <w:p w14:paraId="2F8E1A25" w14:textId="5BADB698"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а) лихви по дългове, освен във връзка с безвъзмездни средства, предоставени под формата на лихвени субсидии или субсидии за гаранционни такси;</w:t>
      </w:r>
    </w:p>
    <w:p w14:paraId="798DD927" w14:textId="2E393601" w:rsidR="00EC03CF" w:rsidRPr="008D4AB4" w:rsidRDefault="00EC03CF" w:rsidP="00843132">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D4AB4">
        <w:rPr>
          <w:rFonts w:ascii="Times New Roman" w:hAnsi="Times New Roman" w:cs="Times New Roman"/>
          <w:sz w:val="24"/>
          <w:szCs w:val="24"/>
        </w:rPr>
        <w:t>б) покупка на земя на стойност над 10 % от общите допустими разходи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w:t>
      </w:r>
      <w:r w:rsidR="00843132" w:rsidRPr="008D4AB4">
        <w:rPr>
          <w:rFonts w:ascii="Times New Roman" w:hAnsi="Times New Roman" w:cs="Times New Roman"/>
          <w:sz w:val="24"/>
          <w:szCs w:val="24"/>
        </w:rPr>
        <w:t xml:space="preserve">. </w:t>
      </w:r>
      <w:r w:rsidR="00843132" w:rsidRPr="004966C5">
        <w:rPr>
          <w:rFonts w:ascii="Times New Roman" w:eastAsia="Times New Roman" w:hAnsi="Times New Roman" w:cs="Times New Roman"/>
          <w:color w:val="333333"/>
          <w:sz w:val="24"/>
          <w:szCs w:val="24"/>
          <w:lang w:eastAsia="bg-BG"/>
        </w:rPr>
        <w:t xml:space="preserve">Буква б) </w:t>
      </w:r>
      <w:r w:rsidR="00843132" w:rsidRPr="008D4AB4">
        <w:rPr>
          <w:rFonts w:ascii="Times New Roman" w:eastAsia="Times New Roman" w:hAnsi="Times New Roman" w:cs="Times New Roman"/>
          <w:color w:val="333333"/>
          <w:sz w:val="24"/>
          <w:szCs w:val="24"/>
          <w:lang w:eastAsia="bg-BG"/>
        </w:rPr>
        <w:t xml:space="preserve">по т.1 </w:t>
      </w:r>
      <w:r w:rsidR="00843132" w:rsidRPr="004966C5">
        <w:rPr>
          <w:rFonts w:ascii="Times New Roman" w:eastAsia="Times New Roman" w:hAnsi="Times New Roman" w:cs="Times New Roman"/>
          <w:color w:val="333333"/>
          <w:sz w:val="24"/>
          <w:szCs w:val="24"/>
          <w:lang w:eastAsia="bg-BG"/>
        </w:rPr>
        <w:t>не се прилага за операции, свързани с опазването на околната среда.</w:t>
      </w:r>
      <w:r w:rsidRPr="008D4AB4">
        <w:rPr>
          <w:rFonts w:ascii="Times New Roman" w:hAnsi="Times New Roman" w:cs="Times New Roman"/>
          <w:sz w:val="24"/>
          <w:szCs w:val="24"/>
        </w:rPr>
        <w:t xml:space="preserve">; </w:t>
      </w:r>
    </w:p>
    <w:p w14:paraId="51D09398" w14:textId="3FCAE14A"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в) данък върху добавената стойност (ДДС) освен:</w:t>
      </w:r>
    </w:p>
    <w:p w14:paraId="49BB13BF" w14:textId="18D99DB2"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t>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под 5 000 000 EUR (вкл. ДДС);</w:t>
      </w:r>
    </w:p>
    <w:p w14:paraId="28F164F3" w14:textId="7FFF6D4D" w:rsidR="00EC03CF" w:rsidRPr="008D4AB4" w:rsidRDefault="00EC03CF" w:rsidP="00EC03CF">
      <w:pPr>
        <w:spacing w:after="120" w:line="240" w:lineRule="auto"/>
        <w:ind w:firstLine="1276"/>
        <w:jc w:val="both"/>
        <w:rPr>
          <w:rFonts w:ascii="Times New Roman" w:hAnsi="Times New Roman" w:cs="Times New Roman"/>
          <w:sz w:val="24"/>
          <w:szCs w:val="24"/>
        </w:rPr>
      </w:pPr>
      <w:r w:rsidRPr="008D4AB4">
        <w:rPr>
          <w:rFonts w:ascii="Times New Roman" w:hAnsi="Times New Roman" w:cs="Times New Roman"/>
          <w:sz w:val="24"/>
          <w:szCs w:val="24"/>
        </w:rPr>
        <w:t>ii)</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за операции с общ размер на разходите най-малко 5 000 000 EUR (вкл. ДДС), когато ДДС не подлежи на възстановяване съгласно националното законодателство в областта на ДДС;</w:t>
      </w:r>
    </w:p>
    <w:p w14:paraId="780A5B86" w14:textId="77777777" w:rsidR="004966C5" w:rsidRPr="008D4AB4" w:rsidRDefault="004966C5" w:rsidP="00D4692B">
      <w:pPr>
        <w:spacing w:after="120" w:line="240" w:lineRule="auto"/>
        <w:jc w:val="both"/>
        <w:rPr>
          <w:rFonts w:ascii="Times New Roman" w:hAnsi="Times New Roman" w:cs="Times New Roman"/>
          <w:sz w:val="24"/>
          <w:szCs w:val="24"/>
        </w:rPr>
      </w:pPr>
    </w:p>
    <w:p w14:paraId="6A42342C" w14:textId="6AC53BC9" w:rsidR="00EC03CF" w:rsidRPr="008D4AB4" w:rsidRDefault="00EC03CF" w:rsidP="00843132">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член 7, на Регламент 2021/1058 „Изключване от обхвата на ЕФРР и Кохезионния фонд“</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ЕФРР и Кохезионният фонд не подкрепят:</w:t>
      </w:r>
    </w:p>
    <w:p w14:paraId="7D5D55E1" w14:textId="765CBF31"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а) извеждането от експлоатация или изграждането на атомни електроцентрали;</w:t>
      </w:r>
    </w:p>
    <w:p w14:paraId="013D31AF" w14:textId="4AC3855F"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б) инвестиции за постигане на намаляване на емисиите на парникови газове от дейности, посочени в приложение I към Директива 2003/87/ЕО;</w:t>
      </w:r>
    </w:p>
    <w:p w14:paraId="6717E76C" w14:textId="35A48865"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в) производството, преработката и продажбата на тютюн и тютюневи изделия;</w:t>
      </w:r>
    </w:p>
    <w:p w14:paraId="0E6F6EB9" w14:textId="2560C820"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г) предприятиe в затруднено положение, както e определенo в член 2, точка 18 от Регламент (ЕС) № 651/2014,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18177135" w14:textId="2396380B"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д) инвестиции в летищна инфраструктура, с изключение на най-отдалечените региони, или в съществуващи регионални летища, както е определено в член 2, точка 153 от Регламент (ЕС) № 651/2014, във всеки от следните случаи:</w:t>
      </w:r>
    </w:p>
    <w:p w14:paraId="646896C2" w14:textId="6D0FACE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при мерките за смекчаване на въздействието върху околната среда; или</w:t>
      </w:r>
    </w:p>
    <w:p w14:paraId="648FDCE5" w14:textId="04E0A57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при системи за сигурност, безопасност и управление на въздушното движение, произтичащи от системата за управление на въздушното движение;</w:t>
      </w:r>
    </w:p>
    <w:p w14:paraId="4025E8E5" w14:textId="7905F77D"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е) инвестиции за обезвреждане на отпадъците в депа за отпадъци, с изключение на:</w:t>
      </w:r>
    </w:p>
    <w:p w14:paraId="75B3E1FF" w14:textId="27BF5ED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най-отдалечените региони, само в надлежно обосновани случаи; или</w:t>
      </w:r>
    </w:p>
    <w:p w14:paraId="6803FF3E" w14:textId="56FE9A2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71D7073" w14:textId="7C681AAC"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lastRenderedPageBreak/>
        <w:t>ж) инвестиции за увеличаване на капацитета на съоръжения за третиране на остатъчни отпадъци, с изключение на:</w:t>
      </w:r>
    </w:p>
    <w:p w14:paraId="5AC80388" w14:textId="7B5A0961" w:rsidR="00EC03CF" w:rsidRPr="008D4AB4" w:rsidRDefault="00EC03CF" w:rsidP="003F1D1D">
      <w:pPr>
        <w:pStyle w:val="ListParagraph"/>
        <w:numPr>
          <w:ilvl w:val="0"/>
          <w:numId w:val="7"/>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най-отдалечените региони, само в надлежно обосновани случаи;</w:t>
      </w:r>
    </w:p>
    <w:p w14:paraId="6C95844E" w14:textId="466FC553" w:rsidR="00EC03CF" w:rsidRPr="008D4AB4" w:rsidRDefault="00EC03CF" w:rsidP="003F1D1D">
      <w:pPr>
        <w:pStyle w:val="ListParagraph"/>
        <w:numPr>
          <w:ilvl w:val="0"/>
          <w:numId w:val="7"/>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инвестициите в технологии за оползотворяване на материали остатъчни отпадъци за целите на кръговата икономика;</w:t>
      </w:r>
    </w:p>
    <w:p w14:paraId="37F86E48" w14:textId="0EA3B39A"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з)</w:t>
      </w:r>
      <w:r w:rsidR="001105E2">
        <w:rPr>
          <w:rFonts w:ascii="Times New Roman" w:hAnsi="Times New Roman" w:cs="Times New Roman"/>
          <w:sz w:val="24"/>
          <w:szCs w:val="24"/>
        </w:rPr>
        <w:t xml:space="preserve"> </w:t>
      </w:r>
      <w:r w:rsidRPr="008D4AB4">
        <w:rPr>
          <w:rFonts w:ascii="Times New Roman" w:hAnsi="Times New Roman" w:cs="Times New Roman"/>
          <w:sz w:val="24"/>
          <w:szCs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w:t>
      </w:r>
    </w:p>
    <w:p w14:paraId="69CB9788" w14:textId="5A986B88" w:rsidR="00EC03CF" w:rsidRPr="008D4AB4" w:rsidRDefault="00EC03CF" w:rsidP="003F1D1D">
      <w:pPr>
        <w:pStyle w:val="ListParagraph"/>
        <w:numPr>
          <w:ilvl w:val="0"/>
          <w:numId w:val="10"/>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замяната на отоплителни системи на твърди изкопаеми горива, а именно въглища, торф, лигнитни въглища, нефтени шисти, с газови отоплителни системи с цел:</w:t>
      </w:r>
    </w:p>
    <w:p w14:paraId="10E56E56" w14:textId="05354EC3" w:rsidR="00EC03CF" w:rsidRPr="008D4AB4" w:rsidRDefault="00843132" w:rsidP="00843132">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w:t>
      </w:r>
      <w:r w:rsidR="00EC03CF" w:rsidRPr="008D4AB4">
        <w:rPr>
          <w:rFonts w:ascii="Times New Roman" w:hAnsi="Times New Roman" w:cs="Times New Roman"/>
          <w:sz w:val="24"/>
          <w:szCs w:val="24"/>
        </w:rPr>
        <w:t>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7798E09D" w14:textId="2AFBB379"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9C52F59" w14:textId="0CC364E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p w14:paraId="3249DA8F" w14:textId="2276FC95" w:rsidR="00EC03CF" w:rsidRPr="008D4AB4" w:rsidRDefault="00EC03CF" w:rsidP="003F1D1D">
      <w:pPr>
        <w:pStyle w:val="ListParagraph"/>
        <w:numPr>
          <w:ilvl w:val="0"/>
          <w:numId w:val="10"/>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095610F4" w14:textId="1E089467" w:rsidR="00EC03CF" w:rsidRPr="008D4AB4" w:rsidRDefault="00EC03CF" w:rsidP="003F1D1D">
      <w:pPr>
        <w:pStyle w:val="ListParagraph"/>
        <w:numPr>
          <w:ilvl w:val="0"/>
          <w:numId w:val="10"/>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w:t>
      </w:r>
    </w:p>
    <w:p w14:paraId="171F4683" w14:textId="0BF4180C" w:rsidR="00EC03CF" w:rsidRPr="008D4AB4" w:rsidRDefault="00EC03CF" w:rsidP="003F1D1D">
      <w:pPr>
        <w:pStyle w:val="ListParagraph"/>
        <w:numPr>
          <w:ilvl w:val="0"/>
          <w:numId w:val="8"/>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чисти превозни средства, както е определено в Директива 2009/33/ЕО на Европейския парламент и на Съвета (22) за обществени цели; и</w:t>
      </w:r>
    </w:p>
    <w:p w14:paraId="1ACDF2F1" w14:textId="6DD1AAFA" w:rsidR="004966C5" w:rsidRDefault="00EC03CF" w:rsidP="003F1D1D">
      <w:pPr>
        <w:pStyle w:val="ListParagraph"/>
        <w:numPr>
          <w:ilvl w:val="0"/>
          <w:numId w:val="8"/>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превозни средства, въздухоплавателни средства и плавателни съдове, проектирани и конструирани или приспособени за използване от службите за гражданска защита и противопожарните служби.</w:t>
      </w:r>
    </w:p>
    <w:p w14:paraId="5DEBC55B" w14:textId="1FF68A84" w:rsidR="00AF67D5" w:rsidRPr="00144B34" w:rsidRDefault="00AF67D5"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наем на машини, съоръжения и оборудване за постоянно ползване след приключване на проекта;</w:t>
      </w:r>
    </w:p>
    <w:p w14:paraId="58AE6FD2" w14:textId="70F79904" w:rsidR="00AF67D5" w:rsidRPr="00144B34" w:rsidRDefault="00AF67D5"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закупуване на дълготрайни материални активи, в т.ч. транспортни средства, които не отговарят на условията в предишната точка;</w:t>
      </w:r>
    </w:p>
    <w:p w14:paraId="675D561A" w14:textId="2B459D28" w:rsidR="00AF67D5" w:rsidRPr="00144B34" w:rsidRDefault="00AF67D5"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последваща експлоатация и поддръжка (освен гаранционната поддръжка);</w:t>
      </w:r>
    </w:p>
    <w:p w14:paraId="0550A191" w14:textId="5254AC61" w:rsidR="00AF67D5" w:rsidRPr="00144B34" w:rsidRDefault="00AF67D5"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E777EE6" w14:textId="24606FD9" w:rsidR="00AF67D5" w:rsidRPr="00144B34" w:rsidRDefault="00AF67D5"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глоби, финансови санкции и разходи за разрешаване на спорове;</w:t>
      </w:r>
    </w:p>
    <w:p w14:paraId="26376759" w14:textId="19A71D5C" w:rsidR="00AF67D5" w:rsidRPr="00144B34" w:rsidRDefault="00AF67D5"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ДДС върху недопустими дейности; </w:t>
      </w:r>
    </w:p>
    <w:p w14:paraId="15EF73A6" w14:textId="6CC5FDA3" w:rsidR="00AF67D5" w:rsidRPr="00144B34" w:rsidRDefault="00AF67D5"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закупуване на дълготрайни материални активи – втора употреба;</w:t>
      </w:r>
    </w:p>
    <w:p w14:paraId="1F77D2A2" w14:textId="2145BE79" w:rsidR="00501B6C" w:rsidRPr="00144B34" w:rsidRDefault="00501B6C"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9F4CA7E" w14:textId="1CCED145" w:rsidR="00501B6C" w:rsidRPr="00144B34" w:rsidRDefault="00501B6C"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lastRenderedPageBreak/>
        <w:t xml:space="preserve">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285EBA56" w14:textId="41799C42" w:rsidR="00501B6C" w:rsidRPr="00144B34" w:rsidRDefault="00501B6C" w:rsidP="003F1D1D">
      <w:pPr>
        <w:pStyle w:val="ListParagraph"/>
        <w:numPr>
          <w:ilvl w:val="0"/>
          <w:numId w:val="8"/>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с цел гарантиране в максимална степен на спазването на принципа за „ненанасяне на значителни вреди“, по процедурата няма да се финансират разходи за: </w:t>
      </w:r>
    </w:p>
    <w:p w14:paraId="53F6757F"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3CBA1FC3"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555C4C3E" w14:textId="1CAD7EA1"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iii) дейности и активи, свързани със сметища, инсталации за изгаряне на отпадъци и заводи за механично-биологично третиране; </w:t>
      </w:r>
    </w:p>
    <w:p w14:paraId="11C9E810" w14:textId="2935EAFE"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563B420D" w14:textId="77777777" w:rsidR="00AF67D5" w:rsidRPr="00AF67D5" w:rsidRDefault="00AF67D5" w:rsidP="00AF67D5">
      <w:pPr>
        <w:spacing w:after="120" w:line="240" w:lineRule="auto"/>
        <w:jc w:val="both"/>
        <w:rPr>
          <w:rFonts w:ascii="Times New Roman" w:hAnsi="Times New Roman" w:cs="Times New Roman"/>
          <w:sz w:val="24"/>
          <w:szCs w:val="24"/>
        </w:rPr>
      </w:pPr>
    </w:p>
    <w:p w14:paraId="09329804" w14:textId="102177E3" w:rsidR="009976F4" w:rsidRPr="008D4AB4" w:rsidRDefault="001878C1" w:rsidP="00D4692B">
      <w:pPr>
        <w:spacing w:after="120" w:line="240" w:lineRule="auto"/>
        <w:jc w:val="both"/>
        <w:rPr>
          <w:rFonts w:ascii="Times New Roman" w:hAnsi="Times New Roman" w:cs="Times New Roman"/>
          <w:sz w:val="24"/>
          <w:szCs w:val="24"/>
        </w:rPr>
      </w:pPr>
      <w:r w:rsidRPr="007A0B0A">
        <w:rPr>
          <w:rFonts w:ascii="Times New Roman" w:hAnsi="Times New Roman" w:cs="Times New Roman"/>
          <w:sz w:val="24"/>
          <w:szCs w:val="24"/>
        </w:rPr>
        <w:t>Управляващият</w:t>
      </w:r>
      <w:r w:rsidR="00690DB6" w:rsidRPr="007A0B0A">
        <w:rPr>
          <w:rFonts w:ascii="Times New Roman" w:hAnsi="Times New Roman" w:cs="Times New Roman"/>
          <w:sz w:val="24"/>
          <w:szCs w:val="24"/>
        </w:rPr>
        <w:t xml:space="preserve"> орган може да нанесе корекции както </w:t>
      </w:r>
      <w:r w:rsidR="00C3540A" w:rsidRPr="007A0B0A">
        <w:rPr>
          <w:rFonts w:ascii="Times New Roman" w:hAnsi="Times New Roman" w:cs="Times New Roman"/>
          <w:sz w:val="24"/>
          <w:szCs w:val="24"/>
        </w:rPr>
        <w:t>в/</w:t>
      </w:r>
      <w:r w:rsidR="00690DB6" w:rsidRPr="007A0B0A">
        <w:rPr>
          <w:rFonts w:ascii="Times New Roman" w:hAnsi="Times New Roman" w:cs="Times New Roman"/>
          <w:sz w:val="24"/>
          <w:szCs w:val="24"/>
        </w:rPr>
        <w:t xml:space="preserve">във </w:t>
      </w:r>
      <w:r w:rsidR="00D4692B" w:rsidRPr="007A0B0A">
        <w:rPr>
          <w:rFonts w:ascii="Times New Roman" w:hAnsi="Times New Roman" w:cs="Times New Roman"/>
          <w:sz w:val="24"/>
          <w:szCs w:val="24"/>
        </w:rPr>
        <w:t>проекта</w:t>
      </w:r>
      <w:r w:rsidR="007D721A" w:rsidRPr="007A0B0A">
        <w:rPr>
          <w:rFonts w:ascii="Times New Roman" w:hAnsi="Times New Roman" w:cs="Times New Roman"/>
          <w:sz w:val="24"/>
          <w:szCs w:val="24"/>
        </w:rPr>
        <w:t xml:space="preserve"> </w:t>
      </w:r>
      <w:r w:rsidR="00690DB6" w:rsidRPr="007A0B0A">
        <w:rPr>
          <w:rFonts w:ascii="Times New Roman" w:hAnsi="Times New Roman" w:cs="Times New Roman"/>
          <w:sz w:val="24"/>
          <w:szCs w:val="24"/>
        </w:rPr>
        <w:t xml:space="preserve">във връзка с установени в процеса на оценката </w:t>
      </w:r>
      <w:r w:rsidR="00816C51" w:rsidRPr="007A0B0A">
        <w:rPr>
          <w:rFonts w:ascii="Times New Roman" w:hAnsi="Times New Roman" w:cs="Times New Roman"/>
          <w:sz w:val="24"/>
          <w:szCs w:val="24"/>
        </w:rPr>
        <w:t>недопустими разходи и/или на кандидата се предоставят указания и срок за отстраняване на установените нередовности, непълноти и/или несъответствия.</w:t>
      </w:r>
      <w:r w:rsidR="00816C51" w:rsidRPr="008D4AB4">
        <w:rPr>
          <w:rFonts w:ascii="Times New Roman" w:hAnsi="Times New Roman" w:cs="Times New Roman"/>
          <w:sz w:val="24"/>
          <w:szCs w:val="24"/>
        </w:rPr>
        <w:t xml:space="preserve"> </w:t>
      </w:r>
    </w:p>
    <w:p w14:paraId="33285AD0" w14:textId="77777777" w:rsidR="00D4692B" w:rsidRPr="008D4AB4" w:rsidRDefault="00D4692B" w:rsidP="00D4692B">
      <w:pPr>
        <w:spacing w:after="120" w:line="240" w:lineRule="auto"/>
        <w:jc w:val="both"/>
        <w:rPr>
          <w:rFonts w:ascii="Times New Roman" w:hAnsi="Times New Roman" w:cs="Times New Roman"/>
          <w:sz w:val="24"/>
          <w:szCs w:val="24"/>
        </w:rPr>
      </w:pPr>
    </w:p>
    <w:p w14:paraId="74FE75F1" w14:textId="46936004" w:rsidR="00CB14EE" w:rsidRPr="008D4AB4" w:rsidRDefault="00CB14EE" w:rsidP="003F1D1D">
      <w:pPr>
        <w:pStyle w:val="Heading2"/>
        <w:numPr>
          <w:ilvl w:val="0"/>
          <w:numId w:val="1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0" w:name="_Toc136270276"/>
      <w:r w:rsidRPr="008D4AB4">
        <w:rPr>
          <w:rFonts w:ascii="Times New Roman" w:hAnsi="Times New Roman" w:cs="Times New Roman"/>
        </w:rPr>
        <w:t>Допустими целеви групи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0"/>
    </w:p>
    <w:p w14:paraId="60FF89FF" w14:textId="3C74D249" w:rsidR="00AB1047" w:rsidRPr="008D4AB4" w:rsidRDefault="00D4692B" w:rsidP="00D4692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Неприложимо</w:t>
      </w:r>
    </w:p>
    <w:p w14:paraId="465DE7C2" w14:textId="4E4E50A6" w:rsidR="0052720E" w:rsidRPr="008D4AB4" w:rsidRDefault="00F7626C" w:rsidP="003F1D1D">
      <w:pPr>
        <w:pStyle w:val="Heading2"/>
        <w:numPr>
          <w:ilvl w:val="0"/>
          <w:numId w:val="1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1" w:name="_Toc136270277"/>
      <w:r w:rsidRPr="008D4AB4">
        <w:rPr>
          <w:rFonts w:ascii="Times New Roman" w:hAnsi="Times New Roman" w:cs="Times New Roman"/>
        </w:rPr>
        <w:t>Приложим режим на минимални/държавни помощи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1"/>
      <w:r w:rsidR="0038451C" w:rsidRPr="008D4AB4">
        <w:rPr>
          <w:rFonts w:ascii="Times New Roman" w:hAnsi="Times New Roman" w:cs="Times New Roman"/>
          <w:sz w:val="24"/>
          <w:szCs w:val="24"/>
        </w:rPr>
        <w:t xml:space="preserve"> </w:t>
      </w:r>
    </w:p>
    <w:p w14:paraId="389CAE7D" w14:textId="4B4F440F" w:rsidR="00AE104B" w:rsidRDefault="00AE104B" w:rsidP="00AE104B">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процедурата по </w:t>
      </w:r>
      <w:r w:rsidRPr="00AE104B">
        <w:t xml:space="preserve">приоритет </w:t>
      </w:r>
      <w:r w:rsidR="001C7084">
        <w:t>4</w:t>
      </w:r>
      <w:r w:rsidRPr="00AE104B">
        <w:t xml:space="preserve"> ще</w:t>
      </w:r>
      <w:r w:rsidRPr="00A25C54">
        <w:rPr>
          <w:color w:val="000000"/>
        </w:rPr>
        <w:t xml:space="preserve">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14:paraId="6DDED1D7" w14:textId="77777777" w:rsidR="00AE104B" w:rsidRDefault="00AE104B" w:rsidP="00AE104B">
      <w:pPr>
        <w:pStyle w:val="NormalWeb"/>
        <w:ind w:firstLine="567"/>
        <w:jc w:val="both"/>
      </w:pPr>
      <w:r>
        <w:t xml:space="preserve">По процедурите, посочени в настоящите насоки се предвижда финансиране на проекти с бенефициент </w:t>
      </w:r>
      <w:r w:rsidRPr="00A44BFD">
        <w:rPr>
          <w:b/>
        </w:rPr>
        <w:t>НКЖИ</w:t>
      </w:r>
      <w:r>
        <w:t xml:space="preserve"> за осъществяване единствено на дейности с нестопански характер – инвестиции за железопътна инфраструктура, които представляват публична държавна  инфраструктура и в тази връзка представляват „законов монопол“, информационни системи в железопътния</w:t>
      </w:r>
      <w:r>
        <w:rPr>
          <w:lang w:val="en-US"/>
        </w:rPr>
        <w:t xml:space="preserve"> </w:t>
      </w:r>
      <w:r>
        <w:t xml:space="preserve">транспорт, мерки за безопасността в железопътния транспорт и други, свързани с публични функции на държавата и в тях не се извършва икономическа дейност. </w:t>
      </w:r>
    </w:p>
    <w:p w14:paraId="06C49177" w14:textId="6BA0D903" w:rsidR="000D7AD3" w:rsidRDefault="00AE104B" w:rsidP="001C7084">
      <w:pPr>
        <w:pStyle w:val="NormalWeb"/>
        <w:ind w:firstLine="567"/>
        <w:jc w:val="both"/>
      </w:pPr>
      <w:r w:rsidRPr="005109BA">
        <w:rPr>
          <w:b/>
        </w:rPr>
        <w:t xml:space="preserve">По приоритет </w:t>
      </w:r>
      <w:r w:rsidR="000D7AD3">
        <w:rPr>
          <w:b/>
        </w:rPr>
        <w:t>4</w:t>
      </w:r>
      <w:r>
        <w:t xml:space="preserve"> с бенефициент </w:t>
      </w:r>
      <w:r w:rsidRPr="005109BA">
        <w:rPr>
          <w:b/>
        </w:rPr>
        <w:t>НКЖИ</w:t>
      </w:r>
      <w:r>
        <w:rPr>
          <w:b/>
        </w:rPr>
        <w:t xml:space="preserve"> </w:t>
      </w:r>
      <w:r w:rsidRPr="001B67DE">
        <w:t xml:space="preserve">с приложим режим </w:t>
      </w:r>
      <w:r>
        <w:rPr>
          <w:b/>
        </w:rPr>
        <w:t>„не</w:t>
      </w:r>
      <w:r w:rsidRPr="001B67DE">
        <w:rPr>
          <w:b/>
        </w:rPr>
        <w:t>помощ“</w:t>
      </w:r>
      <w:r w:rsidRPr="001B67DE">
        <w:t xml:space="preserve"> – помощ извън обхвата на чл. 107, пар. 1 от ДФЕС </w:t>
      </w:r>
      <w:r>
        <w:t xml:space="preserve">се предвижда да се финансират дейности за </w:t>
      </w:r>
      <w:r w:rsidR="000D7AD3" w:rsidRPr="00507F9F">
        <w:t>изграждане на железопътни връзки към летища в градски условия, мерки за техническа помощ за подготовката/завършване на подготовката на проектите, включително за градска железница в Пловдив</w:t>
      </w:r>
      <w:r w:rsidR="000D7AD3">
        <w:t xml:space="preserve"> за проекти:</w:t>
      </w:r>
      <w:r w:rsidR="001C7084">
        <w:t xml:space="preserve"> </w:t>
      </w:r>
      <w:r w:rsidR="000D7AD3" w:rsidRPr="008D4AB4">
        <w:t>изграждането на железопътните връзки от пътническите гари на Пловдив и Бургас към съответните летища</w:t>
      </w:r>
    </w:p>
    <w:p w14:paraId="605C9DD3" w14:textId="77777777" w:rsidR="00AE104B" w:rsidRDefault="00AE104B" w:rsidP="00AE104B">
      <w:pPr>
        <w:pStyle w:val="NormalWeb"/>
        <w:ind w:firstLine="567"/>
        <w:jc w:val="both"/>
      </w:pPr>
      <w:r w:rsidRPr="009B6E58">
        <w:t xml:space="preserve">Докато управлението на железопътна инфраструктура може да представлява стопанска дейност, </w:t>
      </w:r>
      <w:r w:rsidRPr="009B6E58">
        <w:rPr>
          <w:b/>
        </w:rPr>
        <w:t>изграждането на железопътна инфраструктура</w:t>
      </w:r>
      <w:r w:rsidRPr="009B6E58">
        <w:t xml:space="preserve">, която е достъпна за потенциални ползватели при равни и недискриминационни условия — за разлика от експлоатацията на инфраструктурата — обикновено отговаря на условията, посочени в точка 211 от Известие на Комисията относно понятието за държавна помощ, посочено в член 107, параграф 1 от </w:t>
      </w:r>
      <w:r w:rsidRPr="009B6E58">
        <w:lastRenderedPageBreak/>
        <w:t>Договора за функционирането на Европейския съюз - 2016/C 262/01 (Известието), и неговото финансиране следователно обикновено не влияе на търговията между държавите членки или не нарушава конкуренцията. За да се гарантира, че цялото финансиране на даден проект не е предмет на правилата за държавна помощ, държавите членки трябва също да гарантират, че са изпълнени условията, определени в съображение 212 от Известието.</w:t>
      </w:r>
    </w:p>
    <w:p w14:paraId="5C1F90B4" w14:textId="77777777" w:rsidR="00AE104B" w:rsidRDefault="00AE104B" w:rsidP="00AE104B">
      <w:pPr>
        <w:pStyle w:val="NormalWeb"/>
        <w:ind w:firstLine="567"/>
        <w:jc w:val="both"/>
      </w:pPr>
      <w:r>
        <w:t xml:space="preserve">НКЖИ е националният управител на железопътната инфраструктура, който предлага напълно отворен и равен достъп до жп инфраструктурата (включително коловози, терминали и комуникация) на всички оператори на пътнически и товарни влакове. Що се отнася до изграждането и управлението на жп инфраструктура, се има предвид, че НКЖИ: </w:t>
      </w:r>
    </w:p>
    <w:p w14:paraId="41FF21A8" w14:textId="77777777" w:rsidR="00AE104B" w:rsidRDefault="00AE104B" w:rsidP="00AE104B">
      <w:pPr>
        <w:pStyle w:val="NormalWeb"/>
        <w:ind w:firstLine="567"/>
        <w:jc w:val="both"/>
      </w:pPr>
      <w:r>
        <w:t xml:space="preserve">- е държавно предприятие, регистрирано по чл. 62, ал. 3 от Търговския закон, създадено на основание чл. 9, ал. 1 от Закона за железопътния транспорт (ЗЖТ). </w:t>
      </w:r>
    </w:p>
    <w:p w14:paraId="73BB02D2" w14:textId="77777777" w:rsidR="00AE104B" w:rsidRDefault="00AE104B" w:rsidP="00AE104B">
      <w:pPr>
        <w:pStyle w:val="NormalWeb"/>
        <w:ind w:firstLine="567"/>
        <w:jc w:val="both"/>
      </w:pPr>
      <w:r>
        <w:t xml:space="preserve">- е 100% собственост на Министерството на транспортна и съобщения, НКЖИ не може да извършва икономически дейности. </w:t>
      </w:r>
    </w:p>
    <w:p w14:paraId="6868157E" w14:textId="77777777" w:rsidR="00AE104B" w:rsidRDefault="00AE104B" w:rsidP="00AE104B">
      <w:pPr>
        <w:pStyle w:val="NormalWeb"/>
        <w:ind w:firstLine="567"/>
        <w:jc w:val="both"/>
      </w:pPr>
      <w:r>
        <w:t xml:space="preserve">- по чл.10, т.2 от ЗЖТ предметът му на дейност включва изпълнение на дейности по развитие, ремонт, поддръжка и експлоатация на жп инфраструктура; </w:t>
      </w:r>
    </w:p>
    <w:p w14:paraId="7C0D6F7E" w14:textId="77777777" w:rsidR="00AE104B" w:rsidRDefault="00AE104B" w:rsidP="00AE104B">
      <w:pPr>
        <w:pStyle w:val="NormalWeb"/>
        <w:ind w:firstLine="567"/>
        <w:jc w:val="both"/>
      </w:pPr>
      <w:r>
        <w:t xml:space="preserve">- съгласно чл.3 от ЗЖТ обектите на жп инфраструктура и земята, върху която са построени или която е предназначена да се използва за тяхното изграждане, са държавна собственост; </w:t>
      </w:r>
    </w:p>
    <w:p w14:paraId="2A7B241E" w14:textId="77777777" w:rsidR="00AE104B" w:rsidRDefault="00AE104B" w:rsidP="00AE104B">
      <w:pPr>
        <w:pStyle w:val="NormalWeb"/>
        <w:ind w:firstLine="567"/>
        <w:jc w:val="both"/>
      </w:pPr>
      <w:r>
        <w:t xml:space="preserve">- всички изпълнители на дейностите в рамките на проектите ще бъдат избрани въз основа на открита, публична и недискриминационна процедура за възлагане на обществени поръчки по Закона за обществените поръчки. </w:t>
      </w:r>
    </w:p>
    <w:p w14:paraId="512569BD" w14:textId="77777777" w:rsidR="00AE104B" w:rsidRDefault="00AE104B" w:rsidP="00AE104B">
      <w:pPr>
        <w:pStyle w:val="NormalWeb"/>
        <w:ind w:firstLine="567"/>
        <w:jc w:val="both"/>
      </w:pPr>
      <w:r>
        <w:t>- съгласно чл. 10., ал.1, т. 3 от ЗЖТ НКЖИ определя и събира инфраструктурните такси от лицензираните железопътни превозвачи в съответствие с методика, приета от Министерския съвет и съгласно чл. 35, ал. 5 от ЗЖТ п</w:t>
      </w:r>
      <w:r w:rsidRPr="00730999">
        <w:t>риходите от инфраструктурни такси се разходват изцяло за поддържането на железопътната инфраструктура, като се покриват разходите на управителя на инфраструктурата, извършени за осъществяването на превозите от железопътните превозвачи.</w:t>
      </w:r>
    </w:p>
    <w:p w14:paraId="23566582" w14:textId="77777777" w:rsidR="00AE104B" w:rsidRDefault="00AE104B" w:rsidP="00AE104B">
      <w:pPr>
        <w:pStyle w:val="NormalWeb"/>
        <w:ind w:firstLine="567"/>
        <w:jc w:val="both"/>
      </w:pPr>
      <w:r>
        <w:t>- ж</w:t>
      </w:r>
      <w:r w:rsidRPr="00730999">
        <w:t>елезопътните превозвачи имат право на достъп до железопътната инфраструктура и до обслужващите съоръжения за извършване на всички видове железопътни услуги за превоз на пътници и товари при справедливи, недискриминационни и прозрачни условия. Това право включва достъп до инфраструктурата, която свързва морските и речните пристанища с другите обслужващи съоръжения, и до инфраструктурата, която обслужва или би могла да обслужва повече от един краен потребител.</w:t>
      </w:r>
    </w:p>
    <w:p w14:paraId="779D66FC" w14:textId="77777777" w:rsidR="00AE104B" w:rsidRDefault="00AE104B" w:rsidP="00AE104B">
      <w:pPr>
        <w:pStyle w:val="NormalWeb"/>
        <w:ind w:firstLine="567"/>
        <w:jc w:val="both"/>
      </w:pPr>
      <w:r>
        <w:t xml:space="preserve">Предвид гореизложеното може да се приеме, че НКЖИ е единственият и изключителен управител на жп инфраструктура в България и дейността ѝ не може да се извършва на пазарен принцип. В това си качество компанията е включена като конкретен бенефициент по ПТС. </w:t>
      </w:r>
    </w:p>
    <w:p w14:paraId="6C84B75F" w14:textId="77777777" w:rsidR="00AE104B" w:rsidRDefault="00AE104B" w:rsidP="00AE104B">
      <w:pPr>
        <w:pStyle w:val="NormalWeb"/>
        <w:ind w:firstLine="567"/>
        <w:jc w:val="both"/>
      </w:pPr>
      <w:r>
        <w:t xml:space="preserve">Средствата, които ще бъдат отпуснати по Кохезионния фонд и други източници на публично финансиране, ще предоставят на НКЖИ задачата да организира тръжни процедури за строителство и доставка на необходимите машини и оборудване за изграждане на </w:t>
      </w:r>
      <w:r>
        <w:lastRenderedPageBreak/>
        <w:t xml:space="preserve">железопътната инфраструктура в рамките на проекта. В този контекст може да се приеме, че по отношение на изграждането на железопътната инфраструктура няма да получи икономически ползи от тази дейност. </w:t>
      </w:r>
    </w:p>
    <w:p w14:paraId="3A7BB205" w14:textId="77777777" w:rsidR="00AE104B" w:rsidRDefault="00AE104B" w:rsidP="00AE104B">
      <w:pPr>
        <w:pStyle w:val="NormalWeb"/>
        <w:ind w:firstLine="567"/>
        <w:jc w:val="both"/>
      </w:pPr>
      <w:r>
        <w:t xml:space="preserve">На първо място, НКЖИ и държавата ще притежават новопостроената жп инфраструктура. На второ място, НКЖИ няма да получи плащане по проекта освен плащания на изпълнители, възложени да изграждат инфраструктурата в рамките на от проектите. По отношение на жп инфраструктурата, НКЖИ функционира като </w:t>
      </w:r>
      <w:r w:rsidRPr="00D86E14">
        <w:t xml:space="preserve">„законов“ </w:t>
      </w:r>
      <w:r>
        <w:t xml:space="preserve"> монопол, което изключва всяка възможност за въздействие върху конкуренцията. При тези условия може да се приеме, че проектите изключват държавна помощ. Вземайки предвид разпоредбите на ЗЖТ по отношение на изпълнението на неговата основна дейност, включително изпълнението на проектите по ПТС, НКЖИ изпълнява кумулативно условията на т. 188 от Известието на комисията, а именно: </w:t>
      </w:r>
    </w:p>
    <w:p w14:paraId="3669430F" w14:textId="77777777" w:rsidR="00AE104B" w:rsidRDefault="00AE104B" w:rsidP="00AE104B">
      <w:pPr>
        <w:pStyle w:val="NormalWeb"/>
        <w:ind w:firstLine="567"/>
        <w:jc w:val="both"/>
      </w:pPr>
      <w:r>
        <w:t xml:space="preserve">- НКЖИ е единственият и изключителен управител на железопътната инфраструктура в България, отговорен за нейното развитие, ремонт, поддръжка и експлоатация на национално ниво. Като такава, компанията е включена като конкретен бенефициент по ПТС; </w:t>
      </w:r>
    </w:p>
    <w:p w14:paraId="7F3E56BC" w14:textId="77777777" w:rsidR="00AE104B" w:rsidRDefault="00AE104B" w:rsidP="00AE104B">
      <w:pPr>
        <w:pStyle w:val="NormalWeb"/>
        <w:ind w:firstLine="567"/>
        <w:jc w:val="both"/>
      </w:pPr>
      <w:r>
        <w:t xml:space="preserve">- Що се отнася до изпълнението на проектите, правният законов монопол, упражняван от НКЖИ, изключва всяка възможност за конкуренция за изключителния мениджър; </w:t>
      </w:r>
    </w:p>
    <w:p w14:paraId="159264A8" w14:textId="77777777" w:rsidR="00AE104B" w:rsidRDefault="00AE104B" w:rsidP="00AE104B">
      <w:pPr>
        <w:pStyle w:val="NormalWeb"/>
        <w:ind w:firstLine="567"/>
        <w:jc w:val="both"/>
      </w:pPr>
      <w:r>
        <w:t xml:space="preserve">- Дейността по подготовка на развитието на жп инфраструктурата в България, извършвана от НКЖИ, по смисъла на ЗЖТ, не се конкурира с други услуги, тъй като е възложена от закона; </w:t>
      </w:r>
    </w:p>
    <w:p w14:paraId="2C2C4C56" w14:textId="77777777" w:rsidR="00AE104B" w:rsidRDefault="00AE104B" w:rsidP="00AE104B">
      <w:pPr>
        <w:pStyle w:val="NormalWeb"/>
        <w:ind w:firstLine="567"/>
        <w:jc w:val="both"/>
      </w:pPr>
      <w:r>
        <w:t xml:space="preserve">- Железопътната инфраструктура е изградена върху земя, която е публична държавна собственост, съответно проектите за изграждане/ модернизация/ рехабилитация на жп инфраструктура се изпълняват върху земя, която е публична държавна собственост. </w:t>
      </w:r>
    </w:p>
    <w:p w14:paraId="3A7947C6" w14:textId="77777777" w:rsidR="00AE104B" w:rsidRPr="007A0B0A" w:rsidRDefault="00AE104B" w:rsidP="00AE104B">
      <w:pPr>
        <w:pStyle w:val="NormalWeb"/>
        <w:ind w:firstLine="567"/>
        <w:jc w:val="both"/>
      </w:pPr>
      <w:r>
        <w:t xml:space="preserve">Ето защо може да се приеме, че НКЖИ </w:t>
      </w:r>
      <w:r w:rsidRPr="0073369C">
        <w:rPr>
          <w:u w:val="single"/>
        </w:rPr>
        <w:t>не упражнява</w:t>
      </w:r>
      <w:r>
        <w:t xml:space="preserve"> своите дейности, включително дейностите в рамките на настоящите</w:t>
      </w:r>
      <w:r w:rsidRPr="007A0B0A">
        <w:t xml:space="preserve"> проект</w:t>
      </w:r>
      <w:r>
        <w:t>и</w:t>
      </w:r>
      <w:r w:rsidRPr="007A0B0A">
        <w:t>, извън територията на България.</w:t>
      </w:r>
    </w:p>
    <w:p w14:paraId="59C34A2C" w14:textId="77777777" w:rsidR="00AE104B" w:rsidRDefault="00AE104B" w:rsidP="00AE104B">
      <w:pPr>
        <w:pStyle w:val="NormalWeb"/>
        <w:ind w:firstLine="567"/>
        <w:jc w:val="both"/>
      </w:pPr>
      <w:r w:rsidRPr="007A0B0A">
        <w:rPr>
          <w:color w:val="000000"/>
        </w:rPr>
        <w:t>Съгласно чл. 10 от ЗЖТ предметът и на дейност на НКЖИ, включва извършване на дейности по развитието, ремонта, поддържането и експлоатацията на железопътната инфраструктура и управление на влаковата работа</w:t>
      </w:r>
      <w:r w:rsidRPr="004F79C2">
        <w:rPr>
          <w:color w:val="000000"/>
        </w:rPr>
        <w:t xml:space="preserve"> в железопътната инфраструктура при спазване на изискванията за безопасност, надеждност и сигурност</w:t>
      </w:r>
      <w:r>
        <w:rPr>
          <w:color w:val="000000"/>
        </w:rPr>
        <w:t>,</w:t>
      </w:r>
      <w:r w:rsidRPr="0045476E">
        <w:rPr>
          <w:color w:val="000000"/>
        </w:rPr>
        <w:t xml:space="preserve"> </w:t>
      </w:r>
      <w:r w:rsidRPr="00391CEB">
        <w:rPr>
          <w:color w:val="000000"/>
        </w:rPr>
        <w:t xml:space="preserve">т.е. не съществуват предпоставки за нарушаване конкуренцията и/или създаване на условия за </w:t>
      </w:r>
      <w:r w:rsidRPr="00D86E14">
        <w:t xml:space="preserve">пряко или непряко икономическо предимство. </w:t>
      </w:r>
    </w:p>
    <w:p w14:paraId="3401729F" w14:textId="77777777" w:rsidR="00AE104B" w:rsidRDefault="00AE104B" w:rsidP="00AE104B">
      <w:pPr>
        <w:pStyle w:val="NormalWeb"/>
        <w:ind w:firstLine="567"/>
        <w:jc w:val="both"/>
      </w:pPr>
      <w:r>
        <w:t xml:space="preserve">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030D14">
        <w:rPr>
          <w:bCs/>
        </w:rPr>
        <w:t>и в тази връзка</w:t>
      </w:r>
      <w:r>
        <w:rPr>
          <w:bCs/>
        </w:rPr>
        <w:t xml:space="preserve"> </w:t>
      </w:r>
      <w:r w:rsidRPr="00030D14">
        <w:rPr>
          <w:bCs/>
        </w:rPr>
        <w:t>финансиране</w:t>
      </w:r>
      <w:r>
        <w:rPr>
          <w:bCs/>
        </w:rPr>
        <w:t xml:space="preserve">то на проектите е </w:t>
      </w:r>
      <w:r w:rsidRPr="009B6E58">
        <w:rPr>
          <w:b/>
          <w:bCs/>
        </w:rPr>
        <w:t>непомощ</w:t>
      </w:r>
      <w:r w:rsidRPr="00D86E14">
        <w:t>.</w:t>
      </w:r>
    </w:p>
    <w:p w14:paraId="3697022C" w14:textId="77777777" w:rsidR="00AE104B" w:rsidRDefault="00AE104B" w:rsidP="00AE104B">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Съгласно чл. 38, ал. 1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w:t>
      </w:r>
      <w:r>
        <w:rPr>
          <w:rFonts w:ascii="Times New Roman" w:hAnsi="Times New Roman" w:cs="Times New Roman"/>
          <w:sz w:val="24"/>
          <w:szCs w:val="24"/>
        </w:rPr>
        <w:lastRenderedPageBreak/>
        <w:t>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5A3B259A" w14:textId="77777777" w:rsidR="00AE104B" w:rsidRDefault="00AE104B" w:rsidP="00AE104B">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приложимите разпоредби на европейското и националното законодателство.</w:t>
      </w:r>
    </w:p>
    <w:p w14:paraId="2A1E7A0F" w14:textId="77777777" w:rsidR="00AE104B" w:rsidRDefault="00AE104B" w:rsidP="00AE104B">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Съгласно чл. 44 от Закона за държавните помощи </w:t>
      </w:r>
      <w:r w:rsidRPr="00B95BD8">
        <w:rPr>
          <w:rFonts w:ascii="Times New Roman" w:hAnsi="Times New Roman" w:cs="Times New Roman"/>
          <w:sz w:val="24"/>
          <w:szCs w:val="24"/>
        </w:rPr>
        <w:t>администраторът на помощ е длъжен да не предоставя нова държавна помощ на предприятие, което не е изпълнило решение на Европейската комисия по чл. 38, ал. 1 и не е възстановило изцяло неправомерна и несъвместима държавна помощ или неправилно използвана държавна помощ.</w:t>
      </w:r>
    </w:p>
    <w:p w14:paraId="6E3D679D" w14:textId="77777777" w:rsidR="00AE104B" w:rsidRDefault="00AE104B" w:rsidP="00AE104B">
      <w:pPr>
        <w:spacing w:line="252" w:lineRule="auto"/>
        <w:ind w:firstLine="720"/>
        <w:jc w:val="both"/>
        <w:rPr>
          <w:rFonts w:ascii="Times New Roman" w:hAnsi="Times New Roman" w:cs="Times New Roman"/>
          <w:sz w:val="24"/>
          <w:szCs w:val="24"/>
        </w:rPr>
      </w:pPr>
      <w:r>
        <w:rPr>
          <w:rFonts w:ascii="Times New Roman" w:hAnsi="Times New Roman" w:cs="Times New Roman"/>
          <w:sz w:val="24"/>
          <w:szCs w:val="24"/>
        </w:rPr>
        <w:t>В случай на влезли в сила изменения на Европейската или националната нормативна уредба</w:t>
      </w:r>
      <w:r w:rsidRPr="006721BE">
        <w:rPr>
          <w:rFonts w:ascii="Times New Roman" w:hAnsi="Times New Roman" w:cs="Times New Roman"/>
          <w:sz w:val="24"/>
          <w:szCs w:val="24"/>
        </w:rPr>
        <w:t xml:space="preserve"> или изменение в проектите</w:t>
      </w:r>
      <w:r>
        <w:rPr>
          <w:rFonts w:ascii="Times New Roman" w:hAnsi="Times New Roman" w:cs="Times New Roman"/>
          <w:sz w:val="24"/>
          <w:szCs w:val="24"/>
        </w:rPr>
        <w:t xml:space="preserve"> ще бъде извършена допълнителна оценка на мерките за съответствие с правилата за държавните помощи, а при необходимост и изменение на настоящите Условия за кандидатстване.</w:t>
      </w:r>
    </w:p>
    <w:p w14:paraId="0160F357" w14:textId="77D9AAA1" w:rsidR="001D79C3" w:rsidRPr="008D4AB4" w:rsidRDefault="001D79C3" w:rsidP="003F1D1D">
      <w:pPr>
        <w:pStyle w:val="Heading2"/>
        <w:numPr>
          <w:ilvl w:val="0"/>
          <w:numId w:val="1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2" w:name="_Toc136270278"/>
      <w:r w:rsidRPr="008D4AB4">
        <w:rPr>
          <w:rFonts w:ascii="Times New Roman" w:hAnsi="Times New Roman" w:cs="Times New Roman"/>
        </w:rPr>
        <w:t>Хоризонтални политики:</w:t>
      </w:r>
      <w:bookmarkEnd w:id="22"/>
    </w:p>
    <w:p w14:paraId="7F63F41E" w14:textId="06C54C6D" w:rsidR="00CB0F31" w:rsidRPr="008D4AB4" w:rsidRDefault="009A1C99"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При изпълнение на </w:t>
      </w:r>
      <w:r w:rsidR="00D4692B" w:rsidRPr="008D4AB4">
        <w:rPr>
          <w:rFonts w:ascii="Times New Roman" w:eastAsia="Calibri" w:hAnsi="Times New Roman" w:cs="Times New Roman"/>
          <w:sz w:val="24"/>
          <w:szCs w:val="24"/>
        </w:rPr>
        <w:t>проекта</w:t>
      </w:r>
      <w:r w:rsidR="00C3540A" w:rsidRPr="008D4AB4">
        <w:rPr>
          <w:rFonts w:ascii="Times New Roman" w:eastAsia="Calibri" w:hAnsi="Times New Roman" w:cs="Times New Roman"/>
          <w:sz w:val="24"/>
          <w:szCs w:val="24"/>
        </w:rPr>
        <w:t>/</w:t>
      </w:r>
      <w:r w:rsidR="00D4692B"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 xml:space="preserve">финансовия план конкретният бенефициент се задължава да спазва </w:t>
      </w:r>
      <w:r w:rsidR="00CB0F31" w:rsidRPr="008D4AB4">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66743343" w14:textId="5F8869AD"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Хартата на основните права на Европейския съюз;</w:t>
      </w:r>
    </w:p>
    <w:p w14:paraId="12DF88C7"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 ненанасяне на значителни вреди по смисъла на Регламент (ЕС) 2020/852.</w:t>
      </w:r>
    </w:p>
    <w:p w14:paraId="1D580CCE" w14:textId="1717C8B0" w:rsidR="00CB0F31" w:rsidRPr="008D4AB4" w:rsidRDefault="00CB0F31" w:rsidP="003C4E6B">
      <w:pPr>
        <w:contextualSpacing/>
        <w:jc w:val="both"/>
        <w:rPr>
          <w:rFonts w:ascii="Times New Roman" w:eastAsia="Calibri" w:hAnsi="Times New Roman" w:cs="Times New Roman"/>
          <w:sz w:val="24"/>
          <w:szCs w:val="24"/>
          <w:lang w:val="en-US"/>
        </w:rPr>
      </w:pPr>
    </w:p>
    <w:p w14:paraId="6DD53458" w14:textId="615086E7" w:rsidR="004639B8" w:rsidRPr="007A0B0A" w:rsidRDefault="004639B8" w:rsidP="004639B8">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 секция 11 „Допълнителна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p>
    <w:p w14:paraId="2745FED1" w14:textId="77777777" w:rsidR="004639B8" w:rsidRPr="008D4AB4" w:rsidRDefault="004639B8" w:rsidP="004639B8">
      <w:pPr>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на Хартата на основни права на ЕС и Конвенцията на ООН за правата на</w:t>
      </w:r>
      <w:r w:rsidRPr="008D4AB4">
        <w:rPr>
          <w:rFonts w:ascii="Times New Roman" w:eastAsia="Calibri" w:hAnsi="Times New Roman" w:cs="Times New Roman"/>
          <w:sz w:val="24"/>
          <w:szCs w:val="24"/>
        </w:rPr>
        <w:t xml:space="preserve"> хората с увреждания.</w:t>
      </w:r>
    </w:p>
    <w:p w14:paraId="5FE230A6"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79D5A57" w14:textId="5624CEEA" w:rsidR="004639B8"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За целта кандидатът следва Насоки за прилагане на Хартата на основните права на ЕС, </w:t>
      </w:r>
      <w:hyperlink r:id="rId12" w:history="1">
        <w:r w:rsidR="009E4B41" w:rsidRPr="00CC05CB">
          <w:rPr>
            <w:rStyle w:val="Hyperlink"/>
            <w:rFonts w:ascii="Times New Roman" w:eastAsia="Calibri" w:hAnsi="Times New Roman" w:cs="Times New Roman"/>
            <w:sz w:val="24"/>
            <w:szCs w:val="24"/>
          </w:rPr>
          <w:t>https://www.eufunds.bg/bg/node/8223</w:t>
        </w:r>
      </w:hyperlink>
      <w:r w:rsidRPr="008D4AB4">
        <w:rPr>
          <w:rFonts w:ascii="Times New Roman" w:eastAsia="Calibri" w:hAnsi="Times New Roman" w:cs="Times New Roman"/>
          <w:sz w:val="24"/>
          <w:szCs w:val="24"/>
        </w:rPr>
        <w:t xml:space="preserve">, конкретно Приложение 2 и Насоки за прилагане на Конвенцията на ООН за правата на хората с увреждания </w:t>
      </w:r>
      <w:r w:rsidR="00C22640">
        <w:rPr>
          <w:rFonts w:ascii="Times New Roman" w:eastAsia="Calibri" w:hAnsi="Times New Roman" w:cs="Times New Roman"/>
          <w:sz w:val="24"/>
          <w:szCs w:val="24"/>
        </w:rPr>
        <w:t>-</w:t>
      </w:r>
      <w:hyperlink r:id="rId13" w:history="1">
        <w:r w:rsidR="00C22640" w:rsidRPr="00544FA8">
          <w:rPr>
            <w:rStyle w:val="Hyperlink"/>
            <w:rFonts w:ascii="Times New Roman" w:eastAsia="Calibri" w:hAnsi="Times New Roman" w:cs="Times New Roman"/>
            <w:sz w:val="24"/>
            <w:szCs w:val="24"/>
          </w:rPr>
          <w:t>https://www.eufunds.bg/bg/node/8224</w:t>
        </w:r>
      </w:hyperlink>
      <w:r w:rsidRPr="008D4AB4">
        <w:rPr>
          <w:rFonts w:ascii="Times New Roman" w:eastAsia="Calibri" w:hAnsi="Times New Roman" w:cs="Times New Roman"/>
          <w:sz w:val="24"/>
          <w:szCs w:val="24"/>
        </w:rPr>
        <w:t>, конкретно Приложение 2, утвърдени със заповед №В-105 от 19.07.2022 г. на заместник министър – председателя по еврофондовете и министър на финансите.</w:t>
      </w:r>
    </w:p>
    <w:p w14:paraId="1A766EC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67AD3D8" w14:textId="5B44E770" w:rsidR="003C4E6B"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Прилагането на заложените в проекта принципи ще се проследява на етап изпълнение</w:t>
      </w:r>
      <w:r w:rsidR="00583F75"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проектното предложение.</w:t>
      </w:r>
    </w:p>
    <w:p w14:paraId="7D7E204A" w14:textId="77777777" w:rsidR="004639B8" w:rsidRPr="008D4AB4" w:rsidRDefault="004639B8" w:rsidP="004639B8">
      <w:pPr>
        <w:contextualSpacing/>
        <w:jc w:val="both"/>
        <w:rPr>
          <w:rFonts w:ascii="Times New Roman" w:eastAsia="Calibri" w:hAnsi="Times New Roman" w:cs="Times New Roman"/>
          <w:sz w:val="24"/>
          <w:szCs w:val="24"/>
        </w:rPr>
      </w:pPr>
    </w:p>
    <w:p w14:paraId="033F5A4B" w14:textId="6F9E8499"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lastRenderedPageBreak/>
        <w:t>Процедурите се провеждат</w:t>
      </w:r>
      <w:r w:rsidR="004639B8" w:rsidRPr="008D4AB4">
        <w:rPr>
          <w:rFonts w:ascii="Times New Roman" w:eastAsia="Calibri" w:hAnsi="Times New Roman" w:cs="Times New Roman"/>
          <w:sz w:val="24"/>
          <w:szCs w:val="24"/>
        </w:rPr>
        <w:t xml:space="preserve"> при спазване на </w:t>
      </w:r>
      <w:r w:rsidRPr="008D4AB4">
        <w:rPr>
          <w:rFonts w:ascii="Times New Roman" w:eastAsia="Calibri" w:hAnsi="Times New Roman" w:cs="Times New Roman"/>
          <w:sz w:val="24"/>
          <w:szCs w:val="24"/>
        </w:rPr>
        <w:t>принципите на чл. 2, ал. 1 и чл. 43, ал. 1 от ЗУСЕФСУ – свободна и лоялна конкуренция,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равнопоставеност и недопускане на дискриминация, публичност и прозрачност, спазване</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основните права, устойчиво развитие, опазване на околната среда,</w:t>
      </w:r>
      <w:r w:rsidR="004639B8" w:rsidRPr="008D4AB4">
        <w:rPr>
          <w:rFonts w:ascii="Times New Roman" w:eastAsia="Calibri" w:hAnsi="Times New Roman" w:cs="Times New Roman"/>
          <w:sz w:val="24"/>
          <w:szCs w:val="24"/>
        </w:rPr>
        <w:t xml:space="preserve"> на </w:t>
      </w:r>
      <w:r w:rsidRPr="008D4AB4">
        <w:rPr>
          <w:rFonts w:ascii="Times New Roman" w:eastAsia="Calibri" w:hAnsi="Times New Roman" w:cs="Times New Roman"/>
          <w:sz w:val="24"/>
          <w:szCs w:val="24"/>
        </w:rPr>
        <w:t>заложените в ПТС 2021-2027 г. принципи за „ненанасяне на значителни вреди“</w:t>
      </w:r>
      <w:r w:rsidR="004639B8" w:rsidRPr="008D4AB4">
        <w:rPr>
          <w:rFonts w:ascii="Times New Roman" w:eastAsia="Calibri" w:hAnsi="Times New Roman" w:cs="Times New Roman"/>
          <w:sz w:val="24"/>
          <w:szCs w:val="24"/>
        </w:rPr>
        <w:t>.</w:t>
      </w:r>
    </w:p>
    <w:p w14:paraId="3077AF63"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се изпълняват като се избягва всякаква дискриминация, основана на пол, раса,</w:t>
      </w:r>
    </w:p>
    <w:p w14:paraId="58A8399A" w14:textId="19E0A49E"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цвят на кожата, етническа принадлежност или социален произход, генетични</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характеристики, език, религия или убеждения, политически или други мнения, имотно</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състояние, произход, увреждане, възраст или сексуална ориентация.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Няма да се допуска дейностите по проектите, финансирани по ПТС да включват такива,</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свързани с дискриминация, расови предразсъдъци, пристрастия и реч на омразата.</w:t>
      </w:r>
    </w:p>
    <w:p w14:paraId="5A17F1E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48B6ACF9"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С подписването на формуляра за кандидатстване, кандидатът се задължава да спазва</w:t>
      </w:r>
    </w:p>
    <w:p w14:paraId="189707D3" w14:textId="2316B91B" w:rsidR="003C4E6B" w:rsidRPr="008D4AB4" w:rsidRDefault="003C4E6B" w:rsidP="003C4E6B">
      <w:pPr>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посочените по-горе принципи в хода на изпълнение на дейностите по проекта.</w:t>
      </w:r>
    </w:p>
    <w:p w14:paraId="55F00397" w14:textId="3D15B48C" w:rsidR="00BA2E00" w:rsidRPr="008D4AB4" w:rsidRDefault="00964C2F" w:rsidP="003F1D1D">
      <w:pPr>
        <w:pStyle w:val="Heading2"/>
        <w:numPr>
          <w:ilvl w:val="0"/>
          <w:numId w:val="1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3" w:name="_Toc136270279"/>
      <w:r>
        <w:rPr>
          <w:rFonts w:ascii="Times New Roman" w:hAnsi="Times New Roman" w:cs="Times New Roman"/>
        </w:rPr>
        <w:t>Продължителност на процедурите</w:t>
      </w:r>
      <w:r w:rsidR="00BA2E00" w:rsidRPr="008D4AB4">
        <w:rPr>
          <w:rFonts w:ascii="Times New Roman" w:hAnsi="Times New Roman" w:cs="Times New Roman"/>
        </w:rPr>
        <w:t>:</w:t>
      </w:r>
      <w:bookmarkEnd w:id="23"/>
    </w:p>
    <w:p w14:paraId="73C6A001" w14:textId="14692270" w:rsidR="002325A3" w:rsidRDefault="00B443FC" w:rsidP="00FD5383">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и разходите по процедур</w:t>
      </w:r>
      <w:r w:rsidR="00D4692B" w:rsidRPr="008D4AB4">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са допустими</w:t>
      </w:r>
      <w:r w:rsidR="00D4692B" w:rsidRPr="008D4AB4">
        <w:rPr>
          <w:rFonts w:ascii="Times New Roman" w:eastAsia="Calibri" w:hAnsi="Times New Roman" w:cs="Times New Roman"/>
          <w:sz w:val="24"/>
          <w:szCs w:val="24"/>
        </w:rPr>
        <w:t xml:space="preserve"> от 01.01.2021 г.</w:t>
      </w:r>
      <w:r w:rsidRPr="008D4AB4">
        <w:rPr>
          <w:rFonts w:ascii="Times New Roman" w:eastAsia="Calibri" w:hAnsi="Times New Roman" w:cs="Times New Roman"/>
          <w:sz w:val="24"/>
          <w:szCs w:val="24"/>
        </w:rPr>
        <w:t xml:space="preserve"> </w:t>
      </w:r>
      <w:r w:rsidR="00FE12DD" w:rsidRPr="008D4AB4">
        <w:rPr>
          <w:rFonts w:ascii="Times New Roman" w:eastAsia="Calibri" w:hAnsi="Times New Roman" w:cs="Times New Roman"/>
          <w:sz w:val="24"/>
          <w:szCs w:val="24"/>
        </w:rPr>
        <w:t xml:space="preserve">до </w:t>
      </w:r>
      <w:r w:rsidR="00E86E8F" w:rsidRPr="008D4AB4">
        <w:rPr>
          <w:rFonts w:ascii="Times New Roman" w:eastAsia="Calibri" w:hAnsi="Times New Roman" w:cs="Times New Roman"/>
          <w:sz w:val="24"/>
          <w:szCs w:val="24"/>
        </w:rPr>
        <w:t>31.12.</w:t>
      </w:r>
      <w:r w:rsidR="00B25BD8" w:rsidRPr="008D4AB4">
        <w:rPr>
          <w:rFonts w:ascii="Times New Roman" w:eastAsia="Calibri" w:hAnsi="Times New Roman" w:cs="Times New Roman"/>
          <w:sz w:val="24"/>
          <w:szCs w:val="24"/>
        </w:rPr>
        <w:t xml:space="preserve">2029 </w:t>
      </w:r>
      <w:r w:rsidR="00FE12DD" w:rsidRPr="008D4AB4">
        <w:rPr>
          <w:rFonts w:ascii="Times New Roman" w:eastAsia="Calibri" w:hAnsi="Times New Roman" w:cs="Times New Roman"/>
          <w:sz w:val="24"/>
          <w:szCs w:val="24"/>
        </w:rPr>
        <w:t>година.</w:t>
      </w:r>
    </w:p>
    <w:p w14:paraId="205ADFAE" w14:textId="746BF42D" w:rsidR="00FD5383" w:rsidRDefault="00FD5383" w:rsidP="003F1D1D">
      <w:pPr>
        <w:pStyle w:val="Heading2"/>
        <w:numPr>
          <w:ilvl w:val="0"/>
          <w:numId w:val="1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4" w:name="_Toc136270280"/>
      <w:r w:rsidRPr="00FD5383">
        <w:rPr>
          <w:rFonts w:ascii="Times New Roman" w:hAnsi="Times New Roman" w:cs="Times New Roman"/>
        </w:rPr>
        <w:t>Начин на подаване на проектните предложения</w:t>
      </w:r>
      <w:bookmarkEnd w:id="24"/>
      <w:r w:rsidR="00AF4B29">
        <w:rPr>
          <w:rFonts w:ascii="Times New Roman" w:hAnsi="Times New Roman" w:cs="Times New Roman"/>
        </w:rPr>
        <w:t xml:space="preserve"> </w:t>
      </w:r>
    </w:p>
    <w:p w14:paraId="1E488C9B" w14:textId="1E5F00B9" w:rsidR="00FD5383" w:rsidRPr="00A25C54" w:rsidRDefault="00FD5383" w:rsidP="00FD5383">
      <w:pPr>
        <w:spacing w:before="120"/>
        <w:ind w:right="141" w:firstLine="851"/>
        <w:jc w:val="both"/>
        <w:rPr>
          <w:rFonts w:ascii="Times New Roman" w:hAnsi="Times New Roman"/>
          <w:b/>
          <w:sz w:val="24"/>
          <w:szCs w:val="24"/>
        </w:rPr>
      </w:pPr>
      <w:bookmarkStart w:id="25" w:name="_Toc414036200"/>
      <w:r w:rsidRPr="00A25C54">
        <w:rPr>
          <w:rFonts w:ascii="Times New Roman" w:hAnsi="Times New Roman"/>
          <w:sz w:val="24"/>
          <w:szCs w:val="24"/>
        </w:rPr>
        <w:t xml:space="preserve">В процеса на комуникация между конкретните бенефициенти за получаване на безвъзмездна финансова помощ по </w:t>
      </w:r>
      <w:r>
        <w:rPr>
          <w:rFonts w:ascii="Times New Roman" w:hAnsi="Times New Roman"/>
          <w:sz w:val="24"/>
          <w:szCs w:val="24"/>
        </w:rPr>
        <w:t xml:space="preserve">ПТС </w:t>
      </w:r>
      <w:r w:rsidRPr="00A25C54">
        <w:rPr>
          <w:rFonts w:ascii="Times New Roman" w:hAnsi="Times New Roman"/>
          <w:sz w:val="24"/>
          <w:szCs w:val="24"/>
        </w:rPr>
        <w:t xml:space="preserve">се използва Информационната система за управление и наблюдение 2020 „ИСУН 2020“. </w:t>
      </w:r>
    </w:p>
    <w:p w14:paraId="6046D8D8" w14:textId="77777777" w:rsidR="00FD5383" w:rsidRPr="004A3C85" w:rsidRDefault="00FD5383" w:rsidP="004A3C85">
      <w:pPr>
        <w:pStyle w:val="PMnumeric"/>
        <w:numPr>
          <w:ilvl w:val="0"/>
          <w:numId w:val="0"/>
        </w:numPr>
        <w:pBdr>
          <w:top w:val="single" w:sz="4" w:space="1" w:color="auto"/>
          <w:left w:val="single" w:sz="4" w:space="4" w:color="auto"/>
          <w:bottom w:val="single" w:sz="4" w:space="1" w:color="auto"/>
          <w:right w:val="single" w:sz="4" w:space="4" w:color="auto"/>
        </w:pBdr>
        <w:shd w:val="clear" w:color="auto" w:fill="DEEAF6" w:themeFill="accent1" w:themeFillTint="33"/>
        <w:tabs>
          <w:tab w:val="num" w:pos="1020"/>
        </w:tabs>
        <w:spacing w:before="240" w:after="240" w:line="360" w:lineRule="auto"/>
        <w:ind w:right="142"/>
        <w:rPr>
          <w:b/>
          <w:spacing w:val="0"/>
          <w:sz w:val="22"/>
          <w:szCs w:val="22"/>
          <w:lang w:eastAsia="en-US"/>
        </w:rPr>
      </w:pPr>
      <w:r w:rsidRPr="004A3C85">
        <w:rPr>
          <w:b/>
          <w:spacing w:val="0"/>
          <w:sz w:val="22"/>
          <w:szCs w:val="22"/>
          <w:lang w:eastAsia="en-US"/>
        </w:rPr>
        <w:t xml:space="preserve">Важно: Интернет-адресът на модула за електронно кандидатстване на ИСУН 2020 е: </w:t>
      </w:r>
      <w:hyperlink r:id="rId14" w:history="1">
        <w:r w:rsidRPr="004A3C85">
          <w:rPr>
            <w:rStyle w:val="Hyperlink"/>
            <w:rFonts w:eastAsiaTheme="majorEastAsia"/>
            <w:b/>
            <w:color w:val="auto"/>
            <w:spacing w:val="0"/>
            <w:sz w:val="22"/>
            <w:szCs w:val="22"/>
            <w:lang w:eastAsia="en-US"/>
          </w:rPr>
          <w:t>http</w:t>
        </w:r>
        <w:r w:rsidRPr="004A3C85">
          <w:rPr>
            <w:rStyle w:val="Hyperlink"/>
            <w:rFonts w:eastAsiaTheme="majorEastAsia"/>
            <w:b/>
            <w:color w:val="auto"/>
            <w:spacing w:val="0"/>
            <w:sz w:val="22"/>
            <w:szCs w:val="22"/>
            <w:lang w:val="en-US" w:eastAsia="en-US"/>
          </w:rPr>
          <w:t>s</w:t>
        </w:r>
        <w:r w:rsidRPr="004A3C85">
          <w:rPr>
            <w:rStyle w:val="Hyperlink"/>
            <w:rFonts w:eastAsiaTheme="majorEastAsia"/>
            <w:b/>
            <w:color w:val="auto"/>
            <w:spacing w:val="0"/>
            <w:sz w:val="22"/>
            <w:szCs w:val="22"/>
            <w:lang w:eastAsia="en-US"/>
          </w:rPr>
          <w:t>://eumis2020.government.bg/</w:t>
        </w:r>
      </w:hyperlink>
      <w:r w:rsidRPr="004A3C85">
        <w:rPr>
          <w:b/>
          <w:spacing w:val="0"/>
          <w:sz w:val="22"/>
          <w:szCs w:val="22"/>
          <w:lang w:eastAsia="en-US"/>
        </w:rPr>
        <w:t xml:space="preserve">. </w:t>
      </w:r>
    </w:p>
    <w:p w14:paraId="18F9BBB3" w14:textId="31F1AD86" w:rsidR="00FD5383" w:rsidRPr="004A3C85" w:rsidRDefault="00571777" w:rsidP="003F1D1D">
      <w:pPr>
        <w:pStyle w:val="Heading2"/>
        <w:numPr>
          <w:ilvl w:val="1"/>
          <w:numId w:val="2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sz w:val="24"/>
          <w:szCs w:val="24"/>
        </w:rPr>
      </w:pPr>
      <w:bookmarkStart w:id="26" w:name="_Toc28872948"/>
      <w:r>
        <w:rPr>
          <w:rFonts w:ascii="Times New Roman" w:hAnsi="Times New Roman"/>
          <w:sz w:val="24"/>
          <w:szCs w:val="24"/>
        </w:rPr>
        <w:t xml:space="preserve"> </w:t>
      </w:r>
      <w:bookmarkStart w:id="27" w:name="_Toc136270281"/>
      <w:r w:rsidR="00FD5383" w:rsidRPr="004A3C85">
        <w:rPr>
          <w:rFonts w:ascii="Times New Roman" w:hAnsi="Times New Roman"/>
          <w:sz w:val="24"/>
          <w:szCs w:val="24"/>
        </w:rPr>
        <w:t>Подготовка на формуляр за кандидатстване</w:t>
      </w:r>
      <w:bookmarkEnd w:id="26"/>
      <w:bookmarkEnd w:id="27"/>
    </w:p>
    <w:p w14:paraId="02FCE849" w14:textId="11A022CC" w:rsidR="00FD5383" w:rsidRPr="007A0B0A" w:rsidRDefault="00FD5383" w:rsidP="004A3C85">
      <w:pPr>
        <w:spacing w:before="120" w:after="120"/>
        <w:ind w:firstLine="567"/>
        <w:jc w:val="both"/>
        <w:rPr>
          <w:rFonts w:ascii="Times New Roman" w:hAnsi="Times New Roman"/>
          <w:sz w:val="24"/>
          <w:szCs w:val="24"/>
        </w:rPr>
      </w:pPr>
      <w:r w:rsidRPr="007A0B0A">
        <w:rPr>
          <w:rFonts w:ascii="Times New Roman" w:hAnsi="Times New Roman"/>
          <w:sz w:val="24"/>
          <w:szCs w:val="24"/>
        </w:rPr>
        <w:t>Подготовката и подаването на проектно пре</w:t>
      </w:r>
      <w:r w:rsidR="004A3C85" w:rsidRPr="007A0B0A">
        <w:rPr>
          <w:rFonts w:ascii="Times New Roman" w:hAnsi="Times New Roman"/>
          <w:sz w:val="24"/>
          <w:szCs w:val="24"/>
        </w:rPr>
        <w:t xml:space="preserve">дложение се извършва електронно, чрез </w:t>
      </w:r>
      <w:r w:rsidRPr="007A0B0A">
        <w:rPr>
          <w:rFonts w:ascii="Times New Roman" w:hAnsi="Times New Roman"/>
          <w:sz w:val="24"/>
          <w:szCs w:val="24"/>
        </w:rPr>
        <w:t xml:space="preserve">попълване на уеб базиран формуляр за кандидатстване и подаването му от конкретни бенефициенти по </w:t>
      </w:r>
      <w:r w:rsidR="004A3C85" w:rsidRPr="007A0B0A">
        <w:rPr>
          <w:rFonts w:ascii="Times New Roman" w:hAnsi="Times New Roman"/>
          <w:sz w:val="24"/>
          <w:szCs w:val="24"/>
        </w:rPr>
        <w:t>ПТС</w:t>
      </w:r>
      <w:r w:rsidRPr="007A0B0A">
        <w:rPr>
          <w:rFonts w:ascii="Times New Roman" w:hAnsi="Times New Roman"/>
          <w:sz w:val="24"/>
          <w:szCs w:val="24"/>
        </w:rPr>
        <w:t xml:space="preserve">, </w:t>
      </w:r>
      <w:r w:rsidR="004A3C85" w:rsidRPr="007A0B0A">
        <w:rPr>
          <w:rFonts w:ascii="Times New Roman" w:hAnsi="Times New Roman"/>
          <w:sz w:val="24"/>
          <w:szCs w:val="24"/>
        </w:rPr>
        <w:t xml:space="preserve">за което е необходим </w:t>
      </w:r>
      <w:r w:rsidR="00AA0967" w:rsidRPr="007A0B0A">
        <w:rPr>
          <w:rFonts w:ascii="Times New Roman" w:hAnsi="Times New Roman"/>
          <w:sz w:val="24"/>
          <w:szCs w:val="24"/>
        </w:rPr>
        <w:t xml:space="preserve">квалифициран </w:t>
      </w:r>
      <w:r w:rsidR="004A3C85" w:rsidRPr="007A0B0A">
        <w:rPr>
          <w:rFonts w:ascii="Times New Roman" w:hAnsi="Times New Roman"/>
          <w:sz w:val="24"/>
          <w:szCs w:val="24"/>
        </w:rPr>
        <w:t>електронен подпис</w:t>
      </w:r>
      <w:r w:rsidR="00AA0967" w:rsidRPr="007A0B0A">
        <w:rPr>
          <w:rFonts w:ascii="Times New Roman" w:hAnsi="Times New Roman"/>
          <w:sz w:val="24"/>
          <w:szCs w:val="24"/>
        </w:rPr>
        <w:t xml:space="preserve"> (КЕП)</w:t>
      </w:r>
      <w:r w:rsidR="004A3C85" w:rsidRPr="007A0B0A">
        <w:rPr>
          <w:rFonts w:ascii="Times New Roman" w:hAnsi="Times New Roman"/>
          <w:sz w:val="24"/>
          <w:szCs w:val="24"/>
        </w:rPr>
        <w:t xml:space="preserve">. </w:t>
      </w:r>
      <w:r w:rsidRPr="007A0B0A">
        <w:rPr>
          <w:rFonts w:ascii="Times New Roman" w:hAnsi="Times New Roman"/>
          <w:sz w:val="24"/>
          <w:szCs w:val="24"/>
        </w:rPr>
        <w:t>За повече подробности виж указанията публикувани</w:t>
      </w:r>
      <w:r w:rsidR="00AA0967" w:rsidRPr="007A0B0A">
        <w:rPr>
          <w:rFonts w:ascii="Times New Roman" w:hAnsi="Times New Roman"/>
          <w:sz w:val="24"/>
          <w:szCs w:val="24"/>
        </w:rPr>
        <w:t xml:space="preserve"> в ИСУН 2020 на следния интернет адрес:</w:t>
      </w:r>
      <w:r w:rsidRPr="007A0B0A">
        <w:rPr>
          <w:rFonts w:ascii="Times New Roman" w:hAnsi="Times New Roman"/>
          <w:sz w:val="24"/>
          <w:szCs w:val="24"/>
        </w:rPr>
        <w:t xml:space="preserve"> </w:t>
      </w:r>
      <w:hyperlink r:id="rId15" w:history="1">
        <w:r w:rsidR="004A3C85" w:rsidRPr="007A0B0A">
          <w:rPr>
            <w:rStyle w:val="Hyperlink"/>
            <w:rFonts w:ascii="Times New Roman" w:hAnsi="Times New Roman"/>
            <w:sz w:val="24"/>
            <w:szCs w:val="24"/>
          </w:rPr>
          <w:t>https://eumis2020.government.bg/bg/s/Default/Manual</w:t>
        </w:r>
      </w:hyperlink>
      <w:r w:rsidR="004A3C85" w:rsidRPr="007A0B0A">
        <w:rPr>
          <w:rFonts w:ascii="Times New Roman" w:hAnsi="Times New Roman"/>
          <w:sz w:val="24"/>
          <w:szCs w:val="24"/>
        </w:rPr>
        <w:t xml:space="preserve">  </w:t>
      </w:r>
      <w:r w:rsidRPr="007A0B0A">
        <w:rPr>
          <w:rFonts w:ascii="Times New Roman" w:hAnsi="Times New Roman"/>
          <w:sz w:val="24"/>
          <w:szCs w:val="24"/>
        </w:rPr>
        <w:t>в раздел „</w:t>
      </w:r>
      <w:r w:rsidR="004A3C85" w:rsidRPr="007A0B0A">
        <w:rPr>
          <w:rFonts w:ascii="Times New Roman" w:hAnsi="Times New Roman"/>
          <w:sz w:val="24"/>
          <w:szCs w:val="24"/>
        </w:rPr>
        <w:t>Ръководство за работа със системата</w:t>
      </w:r>
      <w:r w:rsidRPr="007A0B0A">
        <w:rPr>
          <w:rFonts w:ascii="Times New Roman" w:hAnsi="Times New Roman"/>
          <w:sz w:val="24"/>
          <w:szCs w:val="24"/>
        </w:rPr>
        <w:t>”.</w:t>
      </w:r>
    </w:p>
    <w:p w14:paraId="32A3C857" w14:textId="64C870C5" w:rsidR="00964C2F" w:rsidRDefault="00964C2F" w:rsidP="00964C2F">
      <w:pPr>
        <w:spacing w:after="120" w:line="240" w:lineRule="auto"/>
        <w:ind w:firstLine="708"/>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След обявяването на процедурите, Управляващият орган изпраща покана до конкретните бенефициенти, посочен в т. 11 от настоящите Условия за кандидатстване, с което ги информира за възможностите за кандидатстване с Формуляр за кандидатстване и финансов план/финансови планове по процедурите.</w:t>
      </w:r>
    </w:p>
    <w:p w14:paraId="2FC51040" w14:textId="77777777" w:rsidR="000F437D" w:rsidRDefault="000F437D" w:rsidP="000F437D">
      <w:pPr>
        <w:spacing w:before="120" w:after="120"/>
        <w:ind w:firstLine="567"/>
        <w:jc w:val="both"/>
        <w:rPr>
          <w:rFonts w:ascii="Times New Roman" w:hAnsi="Times New Roman"/>
          <w:sz w:val="24"/>
          <w:szCs w:val="24"/>
        </w:rPr>
      </w:pPr>
      <w:r w:rsidRPr="00647DA8">
        <w:rPr>
          <w:rFonts w:ascii="Times New Roman" w:hAnsi="Times New Roman"/>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3B67EBEC" w14:textId="77777777" w:rsidR="00FD5383" w:rsidRPr="004A3C85" w:rsidRDefault="00FD5383" w:rsidP="004A3C85">
      <w:pPr>
        <w:pStyle w:val="PMnumeric"/>
        <w:numPr>
          <w:ilvl w:val="0"/>
          <w:numId w:val="0"/>
        </w:numPr>
        <w:shd w:val="clear" w:color="auto" w:fill="DEEAF6" w:themeFill="accent1" w:themeFillTint="33"/>
        <w:tabs>
          <w:tab w:val="num" w:pos="1020"/>
        </w:tabs>
        <w:spacing w:before="0"/>
        <w:ind w:right="142"/>
        <w:rPr>
          <w:b/>
          <w:spacing w:val="0"/>
          <w:lang w:eastAsia="en-US"/>
        </w:rPr>
      </w:pPr>
      <w:r w:rsidRPr="004A3C85">
        <w:rPr>
          <w:b/>
          <w:spacing w:val="0"/>
          <w:lang w:eastAsia="en-US"/>
        </w:rPr>
        <w:t xml:space="preserve">Важно:  Комуникацията с конкретния бенефициент по оценката на формуляра за кандидатстване се извършва, чрез системата ИСУН 2020 като уведомление за </w:t>
      </w:r>
      <w:r w:rsidRPr="004A3C85">
        <w:rPr>
          <w:b/>
          <w:spacing w:val="0"/>
          <w:lang w:eastAsia="en-US"/>
        </w:rPr>
        <w:lastRenderedPageBreak/>
        <w:t xml:space="preserve">изпратени коментари/ бележки в ИСУН 2020 се получават на електронната поща на регистрирания потребител, подал проектното предложение. </w:t>
      </w:r>
    </w:p>
    <w:p w14:paraId="0EAA8DF8" w14:textId="77777777" w:rsidR="00603108" w:rsidRPr="008D4AB4" w:rsidRDefault="00603108" w:rsidP="003F1D1D">
      <w:pPr>
        <w:pStyle w:val="Heading2"/>
        <w:numPr>
          <w:ilvl w:val="1"/>
          <w:numId w:val="2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8" w:name="_Toc136270282"/>
      <w:bookmarkStart w:id="29" w:name="_Toc414036202"/>
      <w:bookmarkStart w:id="30" w:name="_Toc28872951"/>
      <w:bookmarkEnd w:id="25"/>
      <w:r>
        <w:rPr>
          <w:rFonts w:ascii="Times New Roman" w:hAnsi="Times New Roman" w:cs="Times New Roman"/>
        </w:rPr>
        <w:t xml:space="preserve">Изисквания за попълване на ФК </w:t>
      </w:r>
      <w:r w:rsidRPr="008D4AB4">
        <w:rPr>
          <w:rFonts w:ascii="Times New Roman" w:hAnsi="Times New Roman" w:cs="Times New Roman"/>
        </w:rPr>
        <w:t>на проектните предложения:</w:t>
      </w:r>
      <w:bookmarkEnd w:id="28"/>
      <w:r w:rsidRPr="008D4AB4">
        <w:rPr>
          <w:rFonts w:ascii="Times New Roman" w:hAnsi="Times New Roman" w:cs="Times New Roman"/>
        </w:rPr>
        <w:t xml:space="preserve"> </w:t>
      </w:r>
    </w:p>
    <w:p w14:paraId="3BC90EA2" w14:textId="77777777" w:rsidR="00D91987" w:rsidRPr="00D91987" w:rsidRDefault="00D91987" w:rsidP="00D91987">
      <w:pPr>
        <w:jc w:val="both"/>
        <w:rPr>
          <w:rFonts w:ascii="Times New Roman" w:eastAsia="Calibri" w:hAnsi="Times New Roman" w:cs="Times New Roman"/>
          <w:sz w:val="24"/>
          <w:szCs w:val="24"/>
        </w:rPr>
      </w:pPr>
      <w:r w:rsidRPr="00D91987">
        <w:rPr>
          <w:rFonts w:ascii="Times New Roman" w:eastAsia="Calibri" w:hAnsi="Times New Roman" w:cs="Times New Roman"/>
          <w:sz w:val="24"/>
          <w:szCs w:val="24"/>
        </w:rPr>
        <w:t>Критериите за осигуряване на информация за инвестиционни проекти са дадени в Приложение към настоящите Условия за кандидатстване.</w:t>
      </w:r>
    </w:p>
    <w:p w14:paraId="14ADBF92" w14:textId="77777777" w:rsidR="00995702" w:rsidRDefault="00995702" w:rsidP="00995702">
      <w:pPr>
        <w:contextualSpacing/>
        <w:jc w:val="both"/>
        <w:rPr>
          <w:rFonts w:ascii="Times New Roman" w:eastAsia="Calibri" w:hAnsi="Times New Roman" w:cs="Times New Roman"/>
          <w:sz w:val="24"/>
          <w:szCs w:val="24"/>
        </w:rPr>
      </w:pPr>
    </w:p>
    <w:p w14:paraId="689AEE99" w14:textId="77777777" w:rsidR="00995702" w:rsidRPr="00AC1D20" w:rsidRDefault="00995702" w:rsidP="00995702">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попълване на информацията в уеб базирания ФК в ИСУН 2020:</w:t>
      </w:r>
    </w:p>
    <w:p w14:paraId="1AC04404" w14:textId="77777777" w:rsidR="00995702" w:rsidRPr="00B91FBD" w:rsidRDefault="00995702" w:rsidP="003F1D1D">
      <w:pPr>
        <w:pStyle w:val="ListParagraph"/>
        <w:numPr>
          <w:ilvl w:val="0"/>
          <w:numId w:val="15"/>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раздел </w:t>
      </w:r>
      <w:r w:rsidRPr="00B91FBD">
        <w:rPr>
          <w:rFonts w:ascii="Times New Roman" w:eastAsia="Calibri" w:hAnsi="Times New Roman" w:cs="Times New Roman"/>
          <w:b/>
          <w:sz w:val="24"/>
          <w:szCs w:val="24"/>
        </w:rPr>
        <w:t>„Основни данни“</w:t>
      </w:r>
    </w:p>
    <w:p w14:paraId="5CFE1E86" w14:textId="77777777" w:rsidR="00995702" w:rsidRDefault="00995702" w:rsidP="003F1D1D">
      <w:pPr>
        <w:pStyle w:val="ListParagraph"/>
        <w:numPr>
          <w:ilvl w:val="0"/>
          <w:numId w:val="22"/>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„Наименование на проектно предложение“</w:t>
      </w:r>
      <w:r>
        <w:rPr>
          <w:rFonts w:ascii="Times New Roman" w:eastAsia="Calibri" w:hAnsi="Times New Roman" w:cs="Times New Roman"/>
          <w:b/>
          <w:sz w:val="24"/>
          <w:szCs w:val="24"/>
        </w:rPr>
        <w:t>:</w:t>
      </w:r>
    </w:p>
    <w:p w14:paraId="1BE5E90D" w14:textId="77777777" w:rsidR="00995702" w:rsidRPr="00B44F26" w:rsidRDefault="00995702" w:rsidP="00995702">
      <w:pPr>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УО на ПТС препоръчва наименованието на проекта да бъде до 60 символа. Твърде дългите и описателни наименования трудно се побират на билбордове, табели и рекламни материали и за проекти с дълъг срок на изпълнение съществува риск в бъдеще да станат неактуални и неточни, поради позоваване например на конкретни технически параметри, които са се променили.</w:t>
      </w:r>
    </w:p>
    <w:p w14:paraId="5E2A608D" w14:textId="77777777" w:rsidR="00995702" w:rsidRPr="00B44F26" w:rsidRDefault="00995702" w:rsidP="00995702">
      <w:pPr>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В етапа на оценка – оценителната комисия може да предложи промяна на предложеното от конкретните бенефициенти наименование на проекта.</w:t>
      </w:r>
    </w:p>
    <w:p w14:paraId="1AC6F058" w14:textId="77777777" w:rsidR="00995702" w:rsidRPr="007A0B0A" w:rsidRDefault="00995702" w:rsidP="00995702">
      <w:pPr>
        <w:pStyle w:val="ListParagraph"/>
        <w:ind w:left="1440"/>
        <w:jc w:val="both"/>
        <w:rPr>
          <w:rFonts w:ascii="Times New Roman" w:eastAsia="Calibri" w:hAnsi="Times New Roman" w:cs="Times New Roman"/>
          <w:sz w:val="24"/>
          <w:szCs w:val="24"/>
        </w:rPr>
      </w:pPr>
    </w:p>
    <w:p w14:paraId="5CFF21C1" w14:textId="77777777" w:rsidR="00995702" w:rsidRPr="007A0B0A" w:rsidRDefault="00995702" w:rsidP="003F1D1D">
      <w:pPr>
        <w:pStyle w:val="ListParagraph"/>
        <w:numPr>
          <w:ilvl w:val="0"/>
          <w:numId w:val="22"/>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 „</w:t>
      </w:r>
      <w:r w:rsidRPr="00B91FBD">
        <w:rPr>
          <w:rFonts w:ascii="Times New Roman" w:eastAsia="Calibri" w:hAnsi="Times New Roman" w:cs="Times New Roman"/>
          <w:b/>
          <w:sz w:val="24"/>
          <w:szCs w:val="24"/>
        </w:rPr>
        <w:t>Кратко описание“:</w:t>
      </w:r>
    </w:p>
    <w:p w14:paraId="42BED563" w14:textId="77777777" w:rsidR="00995702" w:rsidRPr="00B44F26" w:rsidRDefault="00995702" w:rsidP="00995702">
      <w:pPr>
        <w:shd w:val="clear" w:color="auto" w:fill="FFFFFF"/>
        <w:spacing w:before="120" w:after="0" w:line="240" w:lineRule="auto"/>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 xml:space="preserve">Моля, представете кратко описание на проекта </w:t>
      </w:r>
      <w:r>
        <w:rPr>
          <w:rFonts w:ascii="Times New Roman" w:eastAsia="Calibri" w:hAnsi="Times New Roman" w:cs="Times New Roman"/>
          <w:sz w:val="24"/>
          <w:szCs w:val="24"/>
        </w:rPr>
        <w:t>относно:</w:t>
      </w:r>
      <w:r w:rsidRPr="00B44F26">
        <w:rPr>
          <w:rFonts w:ascii="Times New Roman" w:eastAsia="Calibri" w:hAnsi="Times New Roman" w:cs="Times New Roman"/>
          <w:sz w:val="24"/>
          <w:szCs w:val="24"/>
        </w:rPr>
        <w:t xml:space="preserve"> проектът част ли е от Трансевропейска</w:t>
      </w:r>
      <w:r>
        <w:rPr>
          <w:rFonts w:ascii="Times New Roman" w:eastAsia="Calibri" w:hAnsi="Times New Roman" w:cs="Times New Roman"/>
          <w:sz w:val="24"/>
          <w:szCs w:val="24"/>
        </w:rPr>
        <w:t>та</w:t>
      </w:r>
      <w:r w:rsidRPr="00B44F26">
        <w:rPr>
          <w:rFonts w:ascii="Times New Roman" w:eastAsia="Calibri" w:hAnsi="Times New Roman" w:cs="Times New Roman"/>
          <w:sz w:val="24"/>
          <w:szCs w:val="24"/>
        </w:rPr>
        <w:t xml:space="preserve"> мреж</w:t>
      </w:r>
      <w:r>
        <w:rPr>
          <w:rFonts w:ascii="Times New Roman" w:eastAsia="Calibri" w:hAnsi="Times New Roman" w:cs="Times New Roman"/>
          <w:sz w:val="24"/>
          <w:szCs w:val="24"/>
        </w:rPr>
        <w:t xml:space="preserve">а, </w:t>
      </w:r>
      <w:r w:rsidRPr="00B44F26">
        <w:rPr>
          <w:rFonts w:ascii="Times New Roman" w:eastAsia="Calibri" w:hAnsi="Times New Roman" w:cs="Times New Roman"/>
          <w:sz w:val="24"/>
          <w:szCs w:val="24"/>
        </w:rPr>
        <w:t>неговата цел, съществуващото положение, проблемите, които ще се опита да разреши, съоръженията, които ще бъдат построени и др. и основните компоненти на проекта.</w:t>
      </w:r>
      <w:r>
        <w:rPr>
          <w:rFonts w:ascii="Times New Roman" w:eastAsia="Calibri" w:hAnsi="Times New Roman" w:cs="Times New Roman"/>
          <w:sz w:val="24"/>
          <w:szCs w:val="24"/>
        </w:rPr>
        <w:t xml:space="preserve"> </w:t>
      </w:r>
    </w:p>
    <w:p w14:paraId="2E0CFC80" w14:textId="77777777" w:rsidR="00995702" w:rsidRDefault="00995702" w:rsidP="00995702">
      <w:pPr>
        <w:shd w:val="clear" w:color="auto" w:fill="FFFFFF"/>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B44F26">
        <w:rPr>
          <w:rFonts w:ascii="Times New Roman" w:eastAsia="Calibri" w:hAnsi="Times New Roman" w:cs="Times New Roman"/>
          <w:sz w:val="24"/>
          <w:szCs w:val="24"/>
        </w:rPr>
        <w:t>ледва да бъдат ясно посочени: дата на стартиране на проекта, която може да е дата преди подаване на ФК, когато изпълнението е вече започнало или  бъдеща прогнозна, в случай че дейностите не са стартирали</w:t>
      </w:r>
      <w:r w:rsidRPr="00B44F26">
        <w:rPr>
          <w:rFonts w:ascii="Times New Roman" w:eastAsia="Calibri" w:hAnsi="Times New Roman" w:cs="Times New Roman"/>
          <w:sz w:val="24"/>
          <w:szCs w:val="24"/>
          <w:lang w:val="en-US"/>
        </w:rPr>
        <w:t xml:space="preserve"> </w:t>
      </w:r>
      <w:r w:rsidRPr="00B44F26">
        <w:rPr>
          <w:rFonts w:ascii="Times New Roman" w:eastAsia="Calibri" w:hAnsi="Times New Roman" w:cs="Times New Roman"/>
          <w:sz w:val="24"/>
          <w:szCs w:val="24"/>
        </w:rPr>
        <w:t>все още;</w:t>
      </w:r>
    </w:p>
    <w:p w14:paraId="433F838E" w14:textId="77777777" w:rsidR="00995702" w:rsidRPr="00B44F26" w:rsidRDefault="00995702" w:rsidP="00995702">
      <w:pPr>
        <w:shd w:val="clear" w:color="auto" w:fill="FFFFFF"/>
        <w:spacing w:before="120" w:after="0" w:line="240" w:lineRule="auto"/>
        <w:ind w:firstLine="567"/>
        <w:jc w:val="both"/>
        <w:rPr>
          <w:rFonts w:ascii="Times New Roman" w:eastAsia="Calibri" w:hAnsi="Times New Roman" w:cs="Times New Roman"/>
          <w:sz w:val="24"/>
          <w:szCs w:val="24"/>
        </w:rPr>
      </w:pPr>
    </w:p>
    <w:p w14:paraId="76A6BC3E" w14:textId="77777777" w:rsidR="00995702" w:rsidRPr="00B91FBD" w:rsidRDefault="00995702" w:rsidP="003F1D1D">
      <w:pPr>
        <w:pStyle w:val="ListParagraph"/>
        <w:numPr>
          <w:ilvl w:val="0"/>
          <w:numId w:val="22"/>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„Цел/и на проектното предложение“</w:t>
      </w:r>
      <w:r>
        <w:rPr>
          <w:rFonts w:ascii="Times New Roman" w:eastAsia="Calibri" w:hAnsi="Times New Roman" w:cs="Times New Roman"/>
          <w:b/>
          <w:sz w:val="24"/>
          <w:szCs w:val="24"/>
        </w:rPr>
        <w:t>:</w:t>
      </w:r>
    </w:p>
    <w:p w14:paraId="759098AC"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b/>
          <w:bCs/>
          <w:color w:val="000000"/>
          <w:sz w:val="24"/>
          <w:szCs w:val="24"/>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14:paraId="473DEBF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Кои са основните цели на проекта? Моля, избройте ги тук и дайте кратко описание</w:t>
      </w:r>
    </w:p>
    <w:p w14:paraId="2D91D80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дайте по-подробни разяснения относно съгласуваността на проекта със съответните приоритетни оси на програма</w:t>
      </w:r>
      <w:r>
        <w:rPr>
          <w:rFonts w:ascii="inherit" w:eastAsia="Times New Roman" w:hAnsi="inherit" w:cs="Times New Roman"/>
          <w:i/>
          <w:iCs/>
          <w:color w:val="000000"/>
          <w:sz w:val="24"/>
          <w:szCs w:val="24"/>
        </w:rPr>
        <w:t>та</w:t>
      </w:r>
      <w:r w:rsidRPr="005B30FA">
        <w:rPr>
          <w:rFonts w:ascii="inherit" w:eastAsia="Times New Roman" w:hAnsi="inherit" w:cs="Times New Roman"/>
          <w:i/>
          <w:iCs/>
          <w:color w:val="000000"/>
          <w:sz w:val="24"/>
          <w:szCs w:val="24"/>
        </w:rPr>
        <w:t xml:space="preserve"> и неговия очакв</w:t>
      </w:r>
      <w:r>
        <w:rPr>
          <w:rFonts w:ascii="inherit" w:eastAsia="Times New Roman" w:hAnsi="inherit" w:cs="Times New Roman"/>
          <w:i/>
          <w:iCs/>
          <w:color w:val="000000"/>
          <w:sz w:val="24"/>
          <w:szCs w:val="24"/>
        </w:rPr>
        <w:t>ан принос за постигане на показ</w:t>
      </w:r>
      <w:r w:rsidRPr="005B30FA">
        <w:rPr>
          <w:rFonts w:ascii="inherit" w:eastAsia="Times New Roman" w:hAnsi="inherit" w:cs="Times New Roman"/>
          <w:i/>
          <w:iCs/>
          <w:color w:val="000000"/>
          <w:sz w:val="24"/>
          <w:szCs w:val="24"/>
        </w:rPr>
        <w:t>ателите за резултатите по специфичните цели на тези приоритетни оси</w:t>
      </w:r>
    </w:p>
    <w:p w14:paraId="4F18EC4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обяснете как проектът ще допринесе за социално-икономическото развитие на района, обхванат от програма</w:t>
      </w:r>
    </w:p>
    <w:p w14:paraId="0A2CCC3E" w14:textId="77777777" w:rsidR="00995702" w:rsidRDefault="00995702" w:rsidP="00995702">
      <w:pPr>
        <w:pStyle w:val="ListParagraph"/>
        <w:ind w:left="1440"/>
        <w:jc w:val="both"/>
        <w:rPr>
          <w:rFonts w:ascii="Times New Roman" w:eastAsia="Calibri" w:hAnsi="Times New Roman" w:cs="Times New Roman"/>
          <w:sz w:val="24"/>
          <w:szCs w:val="24"/>
        </w:rPr>
      </w:pPr>
    </w:p>
    <w:p w14:paraId="73A40A56" w14:textId="77777777" w:rsidR="00995702" w:rsidRPr="007A0B0A" w:rsidRDefault="00995702" w:rsidP="003F1D1D">
      <w:pPr>
        <w:pStyle w:val="ListParagraph"/>
        <w:numPr>
          <w:ilvl w:val="0"/>
          <w:numId w:val="15"/>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раздел </w:t>
      </w:r>
      <w:r w:rsidRPr="007A0B0A">
        <w:rPr>
          <w:rFonts w:ascii="Times New Roman" w:eastAsia="Calibri" w:hAnsi="Times New Roman" w:cs="Times New Roman"/>
          <w:b/>
          <w:sz w:val="24"/>
          <w:szCs w:val="24"/>
        </w:rPr>
        <w:t>„Бюджет“</w:t>
      </w:r>
      <w:r w:rsidRPr="007A0B0A">
        <w:rPr>
          <w:rFonts w:ascii="Times New Roman" w:eastAsia="Calibri" w:hAnsi="Times New Roman" w:cs="Times New Roman"/>
          <w:sz w:val="24"/>
          <w:szCs w:val="24"/>
        </w:rPr>
        <w:t xml:space="preserve"> :</w:t>
      </w:r>
    </w:p>
    <w:p w14:paraId="772D7EB3" w14:textId="77777777" w:rsidR="00995702" w:rsidRPr="009451BB" w:rsidRDefault="00995702" w:rsidP="00995702">
      <w:pPr>
        <w:ind w:firstLine="567"/>
        <w:jc w:val="both"/>
        <w:rPr>
          <w:rFonts w:ascii="Times New Roman" w:eastAsia="Calibri" w:hAnsi="Times New Roman" w:cs="Times New Roman"/>
          <w:sz w:val="24"/>
          <w:szCs w:val="24"/>
        </w:rPr>
      </w:pPr>
      <w:r w:rsidRPr="009451BB">
        <w:rPr>
          <w:rFonts w:ascii="Times New Roman" w:eastAsia="Calibri" w:hAnsi="Times New Roman" w:cs="Times New Roman"/>
          <w:sz w:val="24"/>
          <w:szCs w:val="24"/>
        </w:rPr>
        <w:lastRenderedPageBreak/>
        <w:t>Следва да се има предвид, че той ще бъде разходван като се спазват правилата на Закона за обществените поръчки и актовете по неговото прилагане.</w:t>
      </w:r>
    </w:p>
    <w:p w14:paraId="276283CD" w14:textId="77777777" w:rsidR="00995702" w:rsidRPr="00AC1D20" w:rsidRDefault="00995702" w:rsidP="0099570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Бюджетът се представя в лева. Стойностите се закръгляват до втория знак след десетичната запетая.</w:t>
      </w:r>
    </w:p>
    <w:p w14:paraId="0967232C" w14:textId="77777777" w:rsidR="00995702" w:rsidRDefault="00995702" w:rsidP="0099570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В Бюджета не се допуска наличието на разходи, които не са обосновани и 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54BCFE57" w14:textId="77777777" w:rsidR="00995702" w:rsidRDefault="00995702" w:rsidP="0099570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717621A6" w14:textId="77777777" w:rsidR="00995702" w:rsidRDefault="00995702" w:rsidP="0099570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5BF5D989" w14:textId="77777777" w:rsidR="00995702" w:rsidRPr="00AC1D20" w:rsidRDefault="00995702" w:rsidP="0099570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01A73CE8" w14:textId="77777777" w:rsidR="00995702" w:rsidRPr="00AC1D20" w:rsidRDefault="00995702" w:rsidP="0099570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Кандидатът носи цялата отговорност за верността на финансовата информация, представена в „Бюджет“ от Формуляра за кандидатстване.</w:t>
      </w:r>
    </w:p>
    <w:p w14:paraId="07D8457C" w14:textId="77777777" w:rsidR="00995702" w:rsidRPr="00AC1D20" w:rsidRDefault="00995702" w:rsidP="00995702">
      <w:pPr>
        <w:contextualSpacing/>
        <w:jc w:val="both"/>
        <w:rPr>
          <w:rFonts w:ascii="Times New Roman" w:eastAsia="Calibri" w:hAnsi="Times New Roman" w:cs="Times New Roman"/>
          <w:sz w:val="24"/>
          <w:szCs w:val="24"/>
        </w:rPr>
      </w:pPr>
    </w:p>
    <w:p w14:paraId="0EEE582E" w14:textId="77777777" w:rsidR="00995702" w:rsidRPr="00AC1D20" w:rsidRDefault="00995702" w:rsidP="003F1D1D">
      <w:pPr>
        <w:pStyle w:val="ListParagraph"/>
        <w:numPr>
          <w:ilvl w:val="0"/>
          <w:numId w:val="15"/>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раздел</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w:t>
      </w:r>
      <w:r>
        <w:rPr>
          <w:rFonts w:ascii="Times New Roman" w:eastAsia="Calibri" w:hAnsi="Times New Roman" w:cs="Times New Roman"/>
          <w:b/>
          <w:sz w:val="24"/>
          <w:szCs w:val="24"/>
        </w:rPr>
        <w:t>Дейности</w:t>
      </w:r>
      <w:r w:rsidRPr="00AC1D20">
        <w:rPr>
          <w:rFonts w:ascii="Times New Roman" w:eastAsia="Calibri" w:hAnsi="Times New Roman" w:cs="Times New Roman"/>
          <w:b/>
          <w:sz w:val="24"/>
          <w:szCs w:val="24"/>
        </w:rPr>
        <w:t>“</w:t>
      </w:r>
      <w:r w:rsidRPr="00AC1D20">
        <w:rPr>
          <w:rFonts w:ascii="Times New Roman" w:eastAsia="Calibri" w:hAnsi="Times New Roman" w:cs="Times New Roman"/>
          <w:sz w:val="24"/>
          <w:szCs w:val="24"/>
        </w:rPr>
        <w:t xml:space="preserve"> от Формуляра за кандидатстване</w:t>
      </w:r>
    </w:p>
    <w:p w14:paraId="68B9892E" w14:textId="77777777" w:rsidR="00995702" w:rsidRDefault="00995702" w:rsidP="00995702">
      <w:pPr>
        <w:spacing w:after="120" w:line="240" w:lineRule="auto"/>
        <w:ind w:firstLine="708"/>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w:t>
      </w:r>
    </w:p>
    <w:p w14:paraId="30D08F34" w14:textId="77777777" w:rsidR="00995702" w:rsidRDefault="00995702" w:rsidP="0099570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Всяка от д</w:t>
      </w:r>
      <w:r w:rsidRPr="00EE4F3F">
        <w:rPr>
          <w:rFonts w:ascii="Times New Roman" w:eastAsia="Calibri" w:hAnsi="Times New Roman" w:cs="Times New Roman"/>
          <w:sz w:val="24"/>
          <w:szCs w:val="24"/>
        </w:rPr>
        <w:t>ейности</w:t>
      </w:r>
      <w:r>
        <w:rPr>
          <w:rFonts w:ascii="Times New Roman" w:eastAsia="Calibri" w:hAnsi="Times New Roman" w:cs="Times New Roman"/>
          <w:sz w:val="24"/>
          <w:szCs w:val="24"/>
        </w:rPr>
        <w:t>те</w:t>
      </w:r>
      <w:r w:rsidRPr="00EE4F3F">
        <w:rPr>
          <w:rFonts w:ascii="Times New Roman" w:eastAsia="Calibri" w:hAnsi="Times New Roman" w:cs="Times New Roman"/>
          <w:sz w:val="24"/>
          <w:szCs w:val="24"/>
        </w:rPr>
        <w:t xml:space="preserve"> от секция „План за изпълнение / Дейности по проекта” </w:t>
      </w:r>
      <w:r>
        <w:rPr>
          <w:rFonts w:ascii="Times New Roman" w:eastAsia="Calibri" w:hAnsi="Times New Roman" w:cs="Times New Roman"/>
          <w:sz w:val="24"/>
          <w:szCs w:val="24"/>
        </w:rPr>
        <w:t>следва да е</w:t>
      </w:r>
      <w:r w:rsidRPr="00EE4F3F">
        <w:rPr>
          <w:rFonts w:ascii="Times New Roman" w:eastAsia="Calibri" w:hAnsi="Times New Roman" w:cs="Times New Roman"/>
          <w:sz w:val="24"/>
          <w:szCs w:val="24"/>
        </w:rPr>
        <w:t xml:space="preserve"> обвързана с бюджетен ред от секция „Бюджет”.</w:t>
      </w:r>
    </w:p>
    <w:p w14:paraId="4C1285D2" w14:textId="77777777" w:rsidR="00995702" w:rsidRDefault="00995702" w:rsidP="00995702">
      <w:pPr>
        <w:spacing w:after="120" w:line="240" w:lineRule="auto"/>
        <w:ind w:firstLine="708"/>
        <w:jc w:val="both"/>
        <w:rPr>
          <w:rFonts w:ascii="Times New Roman" w:eastAsia="Calibri" w:hAnsi="Times New Roman" w:cs="Times New Roman"/>
          <w:sz w:val="24"/>
          <w:szCs w:val="24"/>
        </w:rPr>
      </w:pPr>
      <w:r w:rsidRPr="00114A3E">
        <w:rPr>
          <w:rFonts w:ascii="Times New Roman" w:eastAsia="Calibri" w:hAnsi="Times New Roman" w:cs="Times New Roman"/>
          <w:sz w:val="24"/>
          <w:szCs w:val="24"/>
        </w:rPr>
        <w:t xml:space="preserve">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7DA4B183" w14:textId="77777777" w:rsidR="00995702" w:rsidRDefault="00995702" w:rsidP="0099570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w:t>
      </w:r>
      <w:r>
        <w:rPr>
          <w:rFonts w:ascii="Times New Roman" w:eastAsia="Calibri" w:hAnsi="Times New Roman" w:cs="Times New Roman"/>
          <w:sz w:val="24"/>
          <w:szCs w:val="24"/>
        </w:rPr>
        <w:t xml:space="preserve"> по </w:t>
      </w:r>
      <w:r w:rsidRPr="009220CB">
        <w:rPr>
          <w:rFonts w:ascii="Times New Roman" w:eastAsia="Calibri" w:hAnsi="Times New Roman" w:cs="Times New Roman"/>
          <w:sz w:val="24"/>
          <w:szCs w:val="24"/>
        </w:rPr>
        <w:t>Чл. 58а.</w:t>
      </w:r>
      <w:r>
        <w:rPr>
          <w:rFonts w:ascii="Times New Roman" w:eastAsia="Calibri" w:hAnsi="Times New Roman" w:cs="Times New Roman"/>
          <w:sz w:val="24"/>
          <w:szCs w:val="24"/>
        </w:rPr>
        <w:t xml:space="preserve"> от </w:t>
      </w:r>
      <w:r w:rsidRPr="009220CB">
        <w:rPr>
          <w:rFonts w:ascii="Times New Roman" w:eastAsia="Calibri" w:hAnsi="Times New Roman" w:cs="Times New Roman"/>
          <w:sz w:val="24"/>
          <w:szCs w:val="24"/>
        </w:rPr>
        <w:t>Закон за електронното управление</w:t>
      </w:r>
      <w:r>
        <w:rPr>
          <w:rFonts w:ascii="Times New Roman" w:eastAsia="Calibri" w:hAnsi="Times New Roman" w:cs="Times New Roman"/>
          <w:sz w:val="24"/>
          <w:szCs w:val="24"/>
        </w:rPr>
        <w:t>.</w:t>
      </w:r>
    </w:p>
    <w:p w14:paraId="323AE1D5" w14:textId="1B5F8421" w:rsidR="00995702" w:rsidRDefault="00995702" w:rsidP="0099570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 xml:space="preserve">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техническата спецификация е обект на контрол за съответствие по реда на чл. 58б от ЗЕУ. Разписаните правила в тази връзка са налични на следния електронен адрес: </w:t>
      </w:r>
      <w:hyperlink r:id="rId16" w:history="1">
        <w:r w:rsidRPr="00EF61A7">
          <w:rPr>
            <w:rStyle w:val="Hyperlink"/>
            <w:rFonts w:ascii="Times New Roman" w:eastAsia="Calibri" w:hAnsi="Times New Roman" w:cs="Times New Roman"/>
            <w:sz w:val="24"/>
            <w:szCs w:val="24"/>
          </w:rPr>
          <w:t>https://egov.government.bg/wps/portal/ministry-meu/home/budget-project-control/verification-compliance-technical-specifications</w:t>
        </w:r>
      </w:hyperlink>
      <w:r>
        <w:rPr>
          <w:rFonts w:ascii="Times New Roman" w:eastAsia="Calibri" w:hAnsi="Times New Roman" w:cs="Times New Roman"/>
          <w:sz w:val="24"/>
          <w:szCs w:val="24"/>
        </w:rPr>
        <w:t xml:space="preserve"> </w:t>
      </w:r>
    </w:p>
    <w:p w14:paraId="31DDA6B5" w14:textId="77777777" w:rsidR="001F22A8" w:rsidRPr="009220CB" w:rsidRDefault="001F22A8" w:rsidP="001F22A8">
      <w:pPr>
        <w:spacing w:after="120" w:line="240" w:lineRule="auto"/>
        <w:ind w:firstLine="708"/>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Pr>
          <w:rFonts w:ascii="Times New Roman" w:eastAsia="Calibri" w:hAnsi="Times New Roman" w:cs="Times New Roman"/>
          <w:sz w:val="24"/>
          <w:szCs w:val="24"/>
        </w:rPr>
        <w:t xml:space="preserve"> </w:t>
      </w:r>
    </w:p>
    <w:p w14:paraId="3A5C9BB6" w14:textId="77777777" w:rsidR="001F22A8" w:rsidRPr="009220CB" w:rsidRDefault="001F22A8" w:rsidP="00995702">
      <w:pPr>
        <w:spacing w:after="120" w:line="240" w:lineRule="auto"/>
        <w:ind w:firstLine="708"/>
        <w:jc w:val="both"/>
        <w:rPr>
          <w:rFonts w:ascii="Times New Roman" w:eastAsia="Calibri" w:hAnsi="Times New Roman" w:cs="Times New Roman"/>
          <w:sz w:val="24"/>
          <w:szCs w:val="24"/>
        </w:rPr>
      </w:pPr>
    </w:p>
    <w:p w14:paraId="17F669F2" w14:textId="77777777" w:rsidR="00995702" w:rsidRPr="00AC1D20" w:rsidRDefault="00995702" w:rsidP="003F1D1D">
      <w:pPr>
        <w:pStyle w:val="ListParagraph"/>
        <w:numPr>
          <w:ilvl w:val="0"/>
          <w:numId w:val="15"/>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„Екип“</w:t>
      </w:r>
      <w:r w:rsidRPr="00AC1D20">
        <w:rPr>
          <w:rFonts w:ascii="Times New Roman" w:eastAsia="Calibri" w:hAnsi="Times New Roman" w:cs="Times New Roman"/>
          <w:sz w:val="24"/>
          <w:szCs w:val="24"/>
        </w:rPr>
        <w:t xml:space="preserve"> от Формуляра за кандидатстване</w:t>
      </w:r>
    </w:p>
    <w:p w14:paraId="4C3C2266" w14:textId="77777777" w:rsidR="00DE0EA8" w:rsidRPr="00AC1D20" w:rsidRDefault="00995702" w:rsidP="00DE0EA8">
      <w:pPr>
        <w:spacing w:after="120" w:line="240" w:lineRule="auto"/>
        <w:ind w:firstLine="708"/>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относимите към тях разходи, които са посочени във формуляра за кандидатстване. </w:t>
      </w:r>
      <w:r w:rsidR="00DE0EA8">
        <w:rPr>
          <w:rFonts w:ascii="Times New Roman" w:eastAsia="Calibri" w:hAnsi="Times New Roman" w:cs="Times New Roman"/>
          <w:sz w:val="24"/>
          <w:szCs w:val="24"/>
        </w:rPr>
        <w:t xml:space="preserve">Не е допустимо да се дублират едни и същи преки задължения на членове от екипа. </w:t>
      </w:r>
    </w:p>
    <w:p w14:paraId="634B19EA" w14:textId="77777777" w:rsidR="00995702" w:rsidRPr="00AC1D20" w:rsidRDefault="00995702" w:rsidP="00995702">
      <w:pPr>
        <w:spacing w:after="120" w:line="240" w:lineRule="auto"/>
        <w:ind w:firstLine="708"/>
        <w:jc w:val="both"/>
        <w:rPr>
          <w:rFonts w:ascii="Times New Roman" w:eastAsia="Calibri" w:hAnsi="Times New Roman" w:cs="Times New Roman"/>
          <w:sz w:val="24"/>
          <w:szCs w:val="24"/>
        </w:rPr>
      </w:pPr>
    </w:p>
    <w:p w14:paraId="532E1E44" w14:textId="77777777" w:rsidR="00995702" w:rsidRPr="009D24F2" w:rsidRDefault="00995702" w:rsidP="0099570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Следва да се попълни информация относно членовете на екипа за организация, управление и/или изпълнение на проекта при съобразяване с </w:t>
      </w:r>
      <w:r>
        <w:rPr>
          <w:rFonts w:ascii="Times New Roman" w:eastAsia="Calibri" w:hAnsi="Times New Roman" w:cs="Times New Roman"/>
          <w:sz w:val="24"/>
          <w:szCs w:val="24"/>
        </w:rPr>
        <w:t xml:space="preserve">квалификацията, </w:t>
      </w:r>
      <w:r w:rsidRPr="009D24F2">
        <w:rPr>
          <w:rFonts w:ascii="Times New Roman" w:eastAsia="Calibri" w:hAnsi="Times New Roman" w:cs="Times New Roman"/>
          <w:sz w:val="24"/>
          <w:szCs w:val="24"/>
        </w:rPr>
        <w:t>функциите и задълженията, определени за съответната позиция в екипа.</w:t>
      </w:r>
    </w:p>
    <w:p w14:paraId="2B4C0500" w14:textId="77777777" w:rsidR="00995702" w:rsidRPr="00AC1D20" w:rsidRDefault="00995702" w:rsidP="00995702">
      <w:pPr>
        <w:pStyle w:val="ListParagraph"/>
        <w:spacing w:after="120" w:line="240" w:lineRule="auto"/>
        <w:ind w:left="1440"/>
        <w:jc w:val="both"/>
        <w:rPr>
          <w:rFonts w:ascii="Times New Roman" w:eastAsia="Calibri" w:hAnsi="Times New Roman" w:cs="Times New Roman"/>
          <w:sz w:val="24"/>
          <w:szCs w:val="24"/>
        </w:rPr>
      </w:pPr>
    </w:p>
    <w:p w14:paraId="1E6892DD" w14:textId="77777777" w:rsidR="00995702" w:rsidRPr="009D24F2" w:rsidRDefault="00995702" w:rsidP="003F1D1D">
      <w:pPr>
        <w:pStyle w:val="ListParagraph"/>
        <w:numPr>
          <w:ilvl w:val="0"/>
          <w:numId w:val="15"/>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22089E">
        <w:rPr>
          <w:rFonts w:ascii="Times New Roman" w:eastAsia="Calibri" w:hAnsi="Times New Roman" w:cs="Times New Roman"/>
          <w:sz w:val="24"/>
          <w:szCs w:val="24"/>
        </w:rPr>
        <w:t>„</w:t>
      </w:r>
      <w:r w:rsidRPr="009D24F2">
        <w:rPr>
          <w:rFonts w:ascii="Times New Roman" w:eastAsia="Calibri" w:hAnsi="Times New Roman" w:cs="Times New Roman"/>
          <w:sz w:val="24"/>
          <w:szCs w:val="24"/>
        </w:rPr>
        <w:t xml:space="preserve">Индикатори“ </w:t>
      </w:r>
    </w:p>
    <w:p w14:paraId="2CD6F52A" w14:textId="77777777" w:rsidR="00995702" w:rsidRPr="009D24F2" w:rsidRDefault="00995702" w:rsidP="00995702">
      <w:pPr>
        <w:spacing w:after="120" w:line="240" w:lineRule="auto"/>
        <w:jc w:val="both"/>
        <w:rPr>
          <w:rFonts w:ascii="Times New Roman" w:eastAsia="Calibri" w:hAnsi="Times New Roman" w:cs="Times New Roman"/>
          <w:sz w:val="24"/>
          <w:szCs w:val="24"/>
        </w:rPr>
      </w:pPr>
    </w:p>
    <w:p w14:paraId="4D880DAB" w14:textId="77777777" w:rsidR="00995702" w:rsidRPr="009D24F2" w:rsidRDefault="00995702" w:rsidP="0099570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Индикаторите по настоящата процедура се избират от падащо меню в ИСУН 2020.</w:t>
      </w:r>
    </w:p>
    <w:p w14:paraId="778148E9" w14:textId="77777777" w:rsidR="00995702" w:rsidRPr="009D24F2" w:rsidRDefault="00995702" w:rsidP="0099570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съотносим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35D71326" w14:textId="77777777" w:rsidR="00995702" w:rsidRDefault="00995702" w:rsidP="00995702">
      <w:pPr>
        <w:pStyle w:val="ListParagraph"/>
        <w:spacing w:after="120" w:line="240" w:lineRule="auto"/>
        <w:ind w:left="1440"/>
        <w:jc w:val="both"/>
        <w:rPr>
          <w:rFonts w:ascii="Times New Roman" w:eastAsia="Calibri" w:hAnsi="Times New Roman" w:cs="Times New Roman"/>
          <w:b/>
          <w:sz w:val="24"/>
          <w:szCs w:val="24"/>
        </w:rPr>
      </w:pPr>
    </w:p>
    <w:p w14:paraId="17066010" w14:textId="77777777" w:rsidR="00995702" w:rsidRDefault="00995702" w:rsidP="003F1D1D">
      <w:pPr>
        <w:pStyle w:val="ListParagraph"/>
        <w:numPr>
          <w:ilvl w:val="0"/>
          <w:numId w:val="15"/>
        </w:numPr>
        <w:spacing w:after="120" w:line="240" w:lineRule="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Раздел</w:t>
      </w:r>
      <w:r>
        <w:rPr>
          <w:rFonts w:ascii="Times New Roman" w:eastAsia="Calibri" w:hAnsi="Times New Roman" w:cs="Times New Roman"/>
          <w:b/>
          <w:sz w:val="24"/>
          <w:szCs w:val="24"/>
          <w:u w:val="single"/>
          <w:lang w:val="en-US"/>
        </w:rPr>
        <w:t xml:space="preserve"> </w:t>
      </w:r>
      <w:r w:rsidRPr="004A635D">
        <w:rPr>
          <w:rFonts w:ascii="Times New Roman" w:eastAsia="Calibri" w:hAnsi="Times New Roman" w:cs="Times New Roman"/>
          <w:b/>
          <w:sz w:val="24"/>
          <w:szCs w:val="24"/>
          <w:u w:val="single"/>
        </w:rPr>
        <w:t xml:space="preserve"> 9. План за външно възлагане</w:t>
      </w:r>
    </w:p>
    <w:p w14:paraId="6AA015AF" w14:textId="77777777" w:rsidR="00995702" w:rsidRPr="004A635D" w:rsidRDefault="00995702" w:rsidP="00995702">
      <w:pPr>
        <w:pStyle w:val="ListParagraph"/>
        <w:spacing w:after="120" w:line="240" w:lineRule="auto"/>
        <w:ind w:left="1440"/>
        <w:rPr>
          <w:rFonts w:ascii="Times New Roman" w:eastAsia="Calibri" w:hAnsi="Times New Roman" w:cs="Times New Roman"/>
          <w:b/>
          <w:sz w:val="24"/>
          <w:szCs w:val="24"/>
          <w:u w:val="single"/>
        </w:rPr>
      </w:pPr>
    </w:p>
    <w:p w14:paraId="1A6CCC8B" w14:textId="77777777" w:rsidR="00995702" w:rsidRDefault="00995702" w:rsidP="0099570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поръчки, които са обявени</w:t>
      </w:r>
      <w:r>
        <w:rPr>
          <w:rFonts w:ascii="Times New Roman" w:eastAsia="Calibri" w:hAnsi="Times New Roman" w:cs="Times New Roman"/>
          <w:sz w:val="24"/>
          <w:szCs w:val="24"/>
        </w:rPr>
        <w:t xml:space="preserve"> преди</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данните от </w:t>
      </w:r>
      <w:r w:rsidRPr="004A635D">
        <w:rPr>
          <w:rFonts w:ascii="Times New Roman" w:eastAsia="Calibri" w:hAnsi="Times New Roman" w:cs="Times New Roman"/>
          <w:sz w:val="24"/>
          <w:szCs w:val="24"/>
        </w:rPr>
        <w:t>обява</w:t>
      </w:r>
      <w:r>
        <w:rPr>
          <w:rFonts w:ascii="Times New Roman" w:eastAsia="Calibri" w:hAnsi="Times New Roman" w:cs="Times New Roman"/>
          <w:sz w:val="24"/>
          <w:szCs w:val="24"/>
        </w:rPr>
        <w:t>та</w:t>
      </w:r>
      <w:r w:rsidRPr="004A635D">
        <w:rPr>
          <w:rFonts w:ascii="Times New Roman" w:eastAsia="Calibri" w:hAnsi="Times New Roman" w:cs="Times New Roman"/>
          <w:sz w:val="24"/>
          <w:szCs w:val="24"/>
        </w:rPr>
        <w:t xml:space="preserve">, като се </w:t>
      </w:r>
      <w:r>
        <w:rPr>
          <w:rFonts w:ascii="Times New Roman" w:eastAsia="Calibri" w:hAnsi="Times New Roman" w:cs="Times New Roman"/>
          <w:sz w:val="24"/>
          <w:szCs w:val="24"/>
        </w:rPr>
        <w:t>посочва уникалния</w:t>
      </w:r>
      <w:r w:rsidRPr="00B24A32">
        <w:rPr>
          <w:rFonts w:ascii="Times New Roman" w:eastAsia="Calibri" w:hAnsi="Times New Roman" w:cs="Times New Roman"/>
          <w:sz w:val="24"/>
          <w:szCs w:val="24"/>
        </w:rPr>
        <w:t xml:space="preserve"> номер на поръчката</w:t>
      </w:r>
      <w:r>
        <w:rPr>
          <w:rFonts w:ascii="Times New Roman" w:eastAsia="Calibri" w:hAnsi="Times New Roman" w:cs="Times New Roman"/>
          <w:sz w:val="24"/>
          <w:szCs w:val="24"/>
        </w:rPr>
        <w:t xml:space="preserve"> в </w:t>
      </w:r>
      <w:r w:rsidRPr="004A635D">
        <w:rPr>
          <w:rFonts w:ascii="Times New Roman" w:eastAsia="Calibri" w:hAnsi="Times New Roman" w:cs="Times New Roman"/>
          <w:sz w:val="24"/>
          <w:szCs w:val="24"/>
        </w:rPr>
        <w:t>ЦАИС ЕОП</w:t>
      </w:r>
      <w:r>
        <w:rPr>
          <w:rFonts w:ascii="Times New Roman" w:eastAsia="Calibri" w:hAnsi="Times New Roman" w:cs="Times New Roman"/>
          <w:sz w:val="24"/>
          <w:szCs w:val="24"/>
        </w:rPr>
        <w:t>, включително електронен адрес при пазарни консултации</w:t>
      </w:r>
      <w:r w:rsidRPr="004A635D">
        <w:rPr>
          <w:rFonts w:ascii="Times New Roman" w:eastAsia="Calibri" w:hAnsi="Times New Roman" w:cs="Times New Roman"/>
          <w:sz w:val="24"/>
          <w:szCs w:val="24"/>
        </w:rPr>
        <w:t>.</w:t>
      </w:r>
      <w:r>
        <w:rPr>
          <w:rFonts w:ascii="Times New Roman" w:eastAsia="Calibri" w:hAnsi="Times New Roman" w:cs="Times New Roman"/>
          <w:sz w:val="24"/>
          <w:szCs w:val="24"/>
        </w:rPr>
        <w:t xml:space="preserve"> Когато е приложимо се представя информация за </w:t>
      </w:r>
      <w:r w:rsidRPr="00B24A32">
        <w:rPr>
          <w:rFonts w:ascii="Times New Roman" w:eastAsia="Calibri" w:hAnsi="Times New Roman" w:cs="Times New Roman"/>
          <w:sz w:val="24"/>
          <w:szCs w:val="24"/>
        </w:rPr>
        <w:t xml:space="preserve">публикуване </w:t>
      </w:r>
      <w:r>
        <w:rPr>
          <w:rFonts w:ascii="Times New Roman" w:eastAsia="Calibri" w:hAnsi="Times New Roman" w:cs="Times New Roman"/>
          <w:sz w:val="24"/>
          <w:szCs w:val="24"/>
        </w:rPr>
        <w:t>на обявления в „</w:t>
      </w:r>
      <w:hyperlink r:id="rId17" w:history="1">
        <w:r w:rsidRPr="00B24A32">
          <w:rPr>
            <w:rStyle w:val="Hyperlink"/>
            <w:rFonts w:ascii="Times New Roman" w:eastAsia="Calibri" w:hAnsi="Times New Roman" w:cs="Times New Roman"/>
            <w:sz w:val="24"/>
            <w:szCs w:val="24"/>
          </w:rPr>
          <w:t>Официален вестник</w:t>
        </w:r>
      </w:hyperlink>
      <w:r>
        <w:rPr>
          <w:rFonts w:ascii="Times New Roman" w:eastAsia="Calibri" w:hAnsi="Times New Roman" w:cs="Times New Roman"/>
          <w:sz w:val="24"/>
          <w:szCs w:val="24"/>
        </w:rPr>
        <w:t>“</w:t>
      </w:r>
      <w:r w:rsidRPr="00B24A32">
        <w:rPr>
          <w:rFonts w:ascii="Times New Roman" w:eastAsia="Calibri" w:hAnsi="Times New Roman" w:cs="Times New Roman"/>
          <w:sz w:val="24"/>
          <w:szCs w:val="24"/>
        </w:rPr>
        <w:t xml:space="preserve"> на Европейския съюз</w:t>
      </w:r>
      <w:r>
        <w:rPr>
          <w:rFonts w:ascii="Times New Roman" w:eastAsia="Calibri" w:hAnsi="Times New Roman" w:cs="Times New Roman"/>
          <w:sz w:val="24"/>
          <w:szCs w:val="24"/>
        </w:rPr>
        <w:t>.</w:t>
      </w:r>
    </w:p>
    <w:p w14:paraId="5AEFAE89" w14:textId="77777777" w:rsidR="00995702" w:rsidRPr="004A635D" w:rsidRDefault="00995702" w:rsidP="0099570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 xml:space="preserve">поръчки, които са </w:t>
      </w:r>
      <w:r>
        <w:rPr>
          <w:rFonts w:ascii="Times New Roman" w:eastAsia="Calibri" w:hAnsi="Times New Roman" w:cs="Times New Roman"/>
          <w:sz w:val="24"/>
          <w:szCs w:val="24"/>
        </w:rPr>
        <w:t>планирани и ще бъдат обявени след</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прогнозни данни</w:t>
      </w:r>
      <w:r w:rsidRPr="004A635D">
        <w:rPr>
          <w:rFonts w:ascii="Times New Roman" w:eastAsia="Calibri" w:hAnsi="Times New Roman" w:cs="Times New Roman"/>
          <w:sz w:val="24"/>
          <w:szCs w:val="24"/>
        </w:rPr>
        <w:t>.</w:t>
      </w:r>
    </w:p>
    <w:p w14:paraId="3807A6E5" w14:textId="77777777" w:rsidR="00995702" w:rsidRPr="004A635D" w:rsidRDefault="00995702" w:rsidP="00995702">
      <w:pPr>
        <w:pStyle w:val="ListParagraph"/>
        <w:spacing w:after="120" w:line="240" w:lineRule="auto"/>
        <w:ind w:left="1440"/>
        <w:jc w:val="both"/>
        <w:rPr>
          <w:rFonts w:ascii="Times New Roman" w:eastAsia="Calibri" w:hAnsi="Times New Roman" w:cs="Times New Roman"/>
          <w:sz w:val="24"/>
          <w:szCs w:val="24"/>
        </w:rPr>
      </w:pPr>
    </w:p>
    <w:p w14:paraId="189A72F7" w14:textId="77777777" w:rsidR="00995702" w:rsidRDefault="00995702" w:rsidP="00995702">
      <w:pPr>
        <w:pStyle w:val="ListParagraph"/>
        <w:spacing w:after="120" w:line="240" w:lineRule="auto"/>
        <w:ind w:left="1440"/>
        <w:jc w:val="both"/>
        <w:rPr>
          <w:rFonts w:ascii="Times New Roman" w:eastAsia="Calibri" w:hAnsi="Times New Roman" w:cs="Times New Roman"/>
          <w:b/>
          <w:sz w:val="24"/>
          <w:szCs w:val="24"/>
        </w:rPr>
      </w:pPr>
    </w:p>
    <w:p w14:paraId="7839240D" w14:textId="77777777" w:rsidR="00995702" w:rsidRPr="00240BDB" w:rsidRDefault="00995702" w:rsidP="003F1D1D">
      <w:pPr>
        <w:pStyle w:val="ListParagraph"/>
        <w:numPr>
          <w:ilvl w:val="0"/>
          <w:numId w:val="15"/>
        </w:numPr>
        <w:spacing w:after="120" w:line="240" w:lineRule="auto"/>
        <w:jc w:val="both"/>
        <w:rPr>
          <w:rFonts w:ascii="Times New Roman" w:eastAsia="Calibri" w:hAnsi="Times New Roman" w:cs="Times New Roman"/>
          <w:b/>
          <w:sz w:val="24"/>
          <w:szCs w:val="24"/>
        </w:rPr>
      </w:pPr>
      <w:r w:rsidRPr="00240BDB">
        <w:rPr>
          <w:rFonts w:ascii="Times New Roman" w:eastAsia="Calibri" w:hAnsi="Times New Roman" w:cs="Times New Roman"/>
          <w:b/>
          <w:sz w:val="24"/>
          <w:szCs w:val="24"/>
        </w:rPr>
        <w:lastRenderedPageBreak/>
        <w:t>В раздел 11 „Допълнителна информация, необходима за оценка на проектното предложение“</w:t>
      </w:r>
    </w:p>
    <w:p w14:paraId="4328FB03" w14:textId="77777777" w:rsidR="00995702" w:rsidRDefault="00995702" w:rsidP="00995702">
      <w:pPr>
        <w:spacing w:after="120" w:line="240" w:lineRule="auto"/>
        <w:ind w:firstLine="708"/>
        <w:jc w:val="both"/>
        <w:rPr>
          <w:rFonts w:ascii="Times New Roman" w:eastAsia="Calibri" w:hAnsi="Times New Roman" w:cs="Times New Roman"/>
          <w:sz w:val="24"/>
          <w:szCs w:val="24"/>
        </w:rPr>
      </w:pPr>
    </w:p>
    <w:p w14:paraId="16327856" w14:textId="77777777" w:rsidR="00995702" w:rsidRPr="007A0B0A" w:rsidRDefault="00995702" w:rsidP="00995702">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 секция 11 „Допълнителна информация, необходима за оценка на проектното предложение“</w:t>
      </w:r>
      <w:r>
        <w:rPr>
          <w:rFonts w:ascii="Times New Roman" w:eastAsia="Calibri" w:hAnsi="Times New Roman" w:cs="Times New Roman"/>
          <w:sz w:val="24"/>
          <w:szCs w:val="24"/>
        </w:rPr>
        <w:t>:</w:t>
      </w:r>
    </w:p>
    <w:p w14:paraId="293F3158" w14:textId="77777777" w:rsidR="00995702" w:rsidRPr="00BA5A21" w:rsidRDefault="00995702" w:rsidP="003F1D1D">
      <w:pPr>
        <w:pStyle w:val="ListParagraph"/>
        <w:numPr>
          <w:ilvl w:val="0"/>
          <w:numId w:val="17"/>
        </w:numPr>
        <w:jc w:val="both"/>
        <w:rPr>
          <w:rFonts w:ascii="Times New Roman" w:eastAsia="Calibri" w:hAnsi="Times New Roman" w:cs="Times New Roman"/>
          <w:i/>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7A0B0A">
        <w:rPr>
          <w:rFonts w:ascii="Times New Roman" w:eastAsia="Calibri" w:hAnsi="Times New Roman" w:cs="Times New Roman"/>
          <w:sz w:val="24"/>
          <w:szCs w:val="24"/>
        </w:rPr>
        <w:t xml:space="preserve">, </w:t>
      </w:r>
      <w:r w:rsidRPr="00BA5A21">
        <w:rPr>
          <w:rFonts w:ascii="Times New Roman" w:eastAsia="Calibri" w:hAnsi="Times New Roman" w:cs="Times New Roman"/>
          <w:i/>
          <w:sz w:val="24"/>
          <w:szCs w:val="24"/>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7854B5FC" w14:textId="77777777" w:rsidR="00995702" w:rsidRPr="00BA5A21" w:rsidRDefault="00995702" w:rsidP="003F1D1D">
      <w:pPr>
        <w:pStyle w:val="ListParagraph"/>
        <w:numPr>
          <w:ilvl w:val="0"/>
          <w:numId w:val="17"/>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BA5A21">
        <w:rPr>
          <w:rFonts w:ascii="Times New Roman" w:eastAsia="Calibri" w:hAnsi="Times New Roman" w:cs="Times New Roman"/>
          <w:b/>
          <w:sz w:val="24"/>
          <w:szCs w:val="24"/>
        </w:rPr>
        <w:t>„</w:t>
      </w:r>
      <w:r w:rsidRPr="00BA5A21">
        <w:rPr>
          <w:rFonts w:ascii="Times New Roman" w:eastAsia="Times New Roman" w:hAnsi="Times New Roman" w:cs="Times New Roman"/>
          <w:b/>
          <w:bCs/>
          <w:color w:val="000000"/>
          <w:sz w:val="24"/>
          <w:szCs w:val="24"/>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p>
    <w:p w14:paraId="64D68D84" w14:textId="77777777" w:rsidR="00995702" w:rsidRDefault="00995702" w:rsidP="00995702">
      <w:pPr>
        <w:pStyle w:val="ListParagraph"/>
        <w:ind w:left="1287"/>
        <w:jc w:val="both"/>
        <w:rPr>
          <w:rFonts w:ascii="Times New Roman" w:eastAsia="Calibri" w:hAnsi="Times New Roman" w:cs="Times New Roman"/>
          <w:sz w:val="24"/>
          <w:szCs w:val="24"/>
        </w:rPr>
      </w:pPr>
    </w:p>
    <w:p w14:paraId="15FFDC4B" w14:textId="77777777" w:rsidR="00995702" w:rsidRDefault="00995702" w:rsidP="0099570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13B2ECD6" w14:textId="77777777" w:rsidR="00995702"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p>
    <w:p w14:paraId="52347B13" w14:textId="77777777" w:rsidR="00995702" w:rsidRPr="007A0B0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Times New Roman" w:eastAsia="Times New Roman" w:hAnsi="Times New Roman" w:cs="Times New Roman"/>
          <w:color w:val="000000"/>
          <w:sz w:val="24"/>
          <w:szCs w:val="24"/>
        </w:rPr>
        <w:t> </w:t>
      </w:r>
      <w:r w:rsidRPr="007A0B0A">
        <w:rPr>
          <w:rFonts w:ascii="inherit" w:eastAsia="Times New Roman" w:hAnsi="inherit" w:cs="Times New Roman"/>
          <w:i/>
          <w:iCs/>
          <w:color w:val="000000"/>
          <w:sz w:val="24"/>
          <w:szCs w:val="24"/>
        </w:rPr>
        <w:t>Юридически капацитет (като минимална информация, посочете правния статут на бенефициера, който позволява да се изпълни проектът, както и способността му да предприеме правни действия, ако е необходимо).</w:t>
      </w:r>
    </w:p>
    <w:p w14:paraId="42625D9F" w14:textId="77777777" w:rsidR="00995702" w:rsidRPr="007A0B0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52AE6ECF" w14:textId="77777777" w:rsidR="00995702" w:rsidRPr="007A0B0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08DDD112" w14:textId="77777777" w:rsidR="00995702" w:rsidRPr="005357AF" w:rsidRDefault="00995702" w:rsidP="00995702">
      <w:pPr>
        <w:pStyle w:val="ListParagraph"/>
        <w:ind w:left="1287"/>
        <w:jc w:val="both"/>
        <w:rPr>
          <w:rFonts w:ascii="Times New Roman" w:eastAsia="Times New Roman" w:hAnsi="Times New Roman" w:cs="Times New Roman"/>
          <w:b/>
          <w:bCs/>
          <w:color w:val="000000"/>
          <w:sz w:val="24"/>
          <w:szCs w:val="24"/>
        </w:rPr>
      </w:pPr>
    </w:p>
    <w:p w14:paraId="40AA5929" w14:textId="77777777" w:rsidR="00995702" w:rsidRPr="00BA5A21" w:rsidRDefault="00995702" w:rsidP="003F1D1D">
      <w:pPr>
        <w:pStyle w:val="ListParagraph"/>
        <w:numPr>
          <w:ilvl w:val="0"/>
          <w:numId w:val="17"/>
        </w:numPr>
        <w:jc w:val="both"/>
        <w:rPr>
          <w:rFonts w:ascii="Times New Roman" w:eastAsia="Times New Roman" w:hAnsi="Times New Roman" w:cs="Times New Roman"/>
          <w:b/>
          <w:bCs/>
          <w:color w:val="000000"/>
          <w:sz w:val="24"/>
          <w:szCs w:val="24"/>
        </w:rPr>
      </w:pPr>
      <w:r w:rsidRPr="00BA5A21">
        <w:rPr>
          <w:rFonts w:ascii="Times New Roman" w:eastAsia="Calibri" w:hAnsi="Times New Roman" w:cs="Times New Roman"/>
          <w:sz w:val="24"/>
          <w:szCs w:val="24"/>
        </w:rPr>
        <w:t>поле</w:t>
      </w:r>
      <w:r w:rsidRPr="005357AF">
        <w:rPr>
          <w:rFonts w:ascii="Times New Roman" w:eastAsia="Calibri" w:hAnsi="Times New Roman" w:cs="Times New Roman"/>
          <w:i/>
          <w:sz w:val="24"/>
          <w:szCs w:val="24"/>
        </w:rPr>
        <w:t xml:space="preserve"> </w:t>
      </w:r>
      <w:r w:rsidRPr="00BA5A21">
        <w:rPr>
          <w:rFonts w:ascii="Times New Roman" w:eastAsia="Calibri" w:hAnsi="Times New Roman" w:cs="Times New Roman"/>
          <w:b/>
          <w:sz w:val="24"/>
          <w:szCs w:val="24"/>
        </w:rPr>
        <w:t>„Принос на проектното предложение за целите и приоритетите на националната и общоевропейска политика”</w:t>
      </w:r>
    </w:p>
    <w:p w14:paraId="622B4785" w14:textId="77777777" w:rsidR="00995702" w:rsidRPr="00BA5A21" w:rsidRDefault="00995702" w:rsidP="00995702">
      <w:pPr>
        <w:spacing w:after="120" w:line="240" w:lineRule="auto"/>
        <w:ind w:firstLine="708"/>
        <w:jc w:val="both"/>
        <w:rPr>
          <w:rFonts w:ascii="Times New Roman" w:eastAsia="Calibri" w:hAnsi="Times New Roman" w:cs="Times New Roman"/>
          <w:i/>
          <w:sz w:val="24"/>
          <w:szCs w:val="24"/>
        </w:rPr>
      </w:pPr>
      <w:r w:rsidRPr="00BA5A21">
        <w:rPr>
          <w:rFonts w:ascii="Times New Roman" w:eastAsia="Calibri" w:hAnsi="Times New Roman" w:cs="Times New Roman"/>
          <w:i/>
          <w:sz w:val="24"/>
          <w:szCs w:val="24"/>
        </w:rPr>
        <w:t xml:space="preserve">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г.; Регламент (ЕС) № 1315/2013 на Европейския парламент и на Съвета от 11 декември </w:t>
      </w:r>
      <w:r w:rsidRPr="00BA5A21">
        <w:rPr>
          <w:rFonts w:ascii="Times New Roman" w:eastAsia="Calibri" w:hAnsi="Times New Roman" w:cs="Times New Roman"/>
          <w:i/>
          <w:sz w:val="24"/>
          <w:szCs w:val="24"/>
        </w:rPr>
        <w:lastRenderedPageBreak/>
        <w:t>2013 година относно насоките на Съюза за развитието на трансевропейската транспортна мрежа;  Дунавска стратегия; Интегрирана транспортна стратегия в периода до 2030 г., Актуализиран мултимодален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допълняемост на инвестициите по ОПТТИ 2014-2020 (включително фазирани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31639A0D" w14:textId="7922A427" w:rsidR="00995702" w:rsidRPr="007A0B0A" w:rsidRDefault="00995702" w:rsidP="003F1D1D">
      <w:pPr>
        <w:pStyle w:val="ListParagraph"/>
        <w:numPr>
          <w:ilvl w:val="0"/>
          <w:numId w:val="17"/>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поле </w:t>
      </w:r>
      <w:r w:rsidRPr="007A0B0A">
        <w:rPr>
          <w:rFonts w:ascii="inherit" w:eastAsia="Times New Roman" w:hAnsi="inherit" w:cs="Times New Roman"/>
          <w:b/>
          <w:bCs/>
          <w:color w:val="000000"/>
          <w:sz w:val="24"/>
          <w:szCs w:val="24"/>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r w:rsidR="001C2572">
        <w:rPr>
          <w:rFonts w:ascii="inherit" w:eastAsia="Times New Roman" w:hAnsi="inherit" w:cs="Times New Roman"/>
          <w:b/>
          <w:bCs/>
          <w:color w:val="000000"/>
          <w:sz w:val="24"/>
          <w:szCs w:val="24"/>
        </w:rPr>
        <w:t>:</w:t>
      </w:r>
    </w:p>
    <w:p w14:paraId="5519AB4E" w14:textId="77777777" w:rsidR="00995702" w:rsidRDefault="00995702" w:rsidP="0099570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14:paraId="54CDAD38" w14:textId="2AA5B52F" w:rsidR="00995702" w:rsidRPr="00D95DC4" w:rsidRDefault="00995702" w:rsidP="003F1D1D">
      <w:pPr>
        <w:pStyle w:val="ListParagraph"/>
        <w:numPr>
          <w:ilvl w:val="0"/>
          <w:numId w:val="17"/>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поле</w:t>
      </w:r>
      <w:r w:rsidRPr="00D95DC4">
        <w:rPr>
          <w:rFonts w:ascii="inherit" w:eastAsia="Times New Roman" w:hAnsi="inherit" w:cs="Times New Roman"/>
          <w:b/>
          <w:bCs/>
          <w:color w:val="000000"/>
          <w:sz w:val="24"/>
          <w:szCs w:val="24"/>
        </w:rPr>
        <w:t xml:space="preserve"> </w:t>
      </w:r>
      <w:r w:rsidRPr="00D95DC4">
        <w:rPr>
          <w:rFonts w:ascii="inherit" w:eastAsia="Times New Roman" w:hAnsi="inherit" w:cs="Times New Roman" w:hint="eastAsia"/>
          <w:b/>
          <w:bCs/>
          <w:color w:val="000000"/>
          <w:sz w:val="24"/>
          <w:szCs w:val="24"/>
        </w:rPr>
        <w:t>Етап</w:t>
      </w:r>
      <w:r w:rsidRPr="00D95DC4">
        <w:rPr>
          <w:rFonts w:ascii="inherit" w:eastAsia="Times New Roman" w:hAnsi="inherit" w:cs="Times New Roman"/>
          <w:b/>
          <w:bCs/>
          <w:color w:val="000000"/>
          <w:sz w:val="24"/>
          <w:szCs w:val="24"/>
        </w:rPr>
        <w:t xml:space="preserve"> на експлоатация</w:t>
      </w:r>
      <w:r w:rsidR="001C2572">
        <w:rPr>
          <w:rFonts w:ascii="inherit" w:eastAsia="Times New Roman" w:hAnsi="inherit" w:cs="Times New Roman"/>
          <w:b/>
          <w:bCs/>
          <w:color w:val="000000"/>
          <w:sz w:val="24"/>
          <w:szCs w:val="24"/>
        </w:rPr>
        <w:t>:</w:t>
      </w:r>
    </w:p>
    <w:p w14:paraId="717B2E09" w14:textId="77777777" w:rsidR="00995702" w:rsidRDefault="00995702" w:rsidP="0099570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Моля, обяснете какви мерки са планирани/предприети от бенефициера, за да се гарантира оптимално използване на инфраструктурата в етапа на експлоатация</w:t>
      </w:r>
    </w:p>
    <w:p w14:paraId="1DA1F04E" w14:textId="77777777" w:rsidR="00995702" w:rsidRDefault="00995702" w:rsidP="00995702">
      <w:pPr>
        <w:shd w:val="clear" w:color="auto" w:fill="FFFFFF"/>
        <w:spacing w:before="120" w:after="0" w:line="240" w:lineRule="auto"/>
        <w:jc w:val="both"/>
        <w:rPr>
          <w:rFonts w:ascii="inherit" w:eastAsia="Times New Roman" w:hAnsi="inherit" w:cs="Times New Roman"/>
          <w:i/>
          <w:iCs/>
          <w:color w:val="000000"/>
          <w:sz w:val="24"/>
          <w:szCs w:val="24"/>
        </w:rPr>
      </w:pPr>
    </w:p>
    <w:p w14:paraId="688C9C80" w14:textId="64B03E7C" w:rsidR="00995702" w:rsidRDefault="00995702" w:rsidP="003F1D1D">
      <w:pPr>
        <w:pStyle w:val="ListParagraph"/>
        <w:numPr>
          <w:ilvl w:val="0"/>
          <w:numId w:val="17"/>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поле</w:t>
      </w:r>
      <w:r w:rsidRPr="00D95DC4">
        <w:rPr>
          <w:rFonts w:ascii="inherit" w:eastAsia="Times New Roman" w:hAnsi="inherit" w:cs="Times New Roman"/>
          <w:b/>
          <w:bCs/>
          <w:color w:val="000000"/>
          <w:sz w:val="24"/>
          <w:szCs w:val="24"/>
        </w:rPr>
        <w:t xml:space="preserve"> </w:t>
      </w:r>
      <w:r w:rsidRPr="005B30FA">
        <w:rPr>
          <w:rFonts w:ascii="inherit" w:eastAsia="Times New Roman" w:hAnsi="inherit" w:cs="Times New Roman"/>
          <w:b/>
          <w:bCs/>
          <w:color w:val="000000"/>
          <w:sz w:val="24"/>
          <w:szCs w:val="24"/>
        </w:rPr>
        <w:t>Проверка на спазването н</w:t>
      </w:r>
      <w:r w:rsidR="001C2572">
        <w:rPr>
          <w:rFonts w:ascii="inherit" w:eastAsia="Times New Roman" w:hAnsi="inherit" w:cs="Times New Roman"/>
          <w:b/>
          <w:bCs/>
          <w:color w:val="000000"/>
          <w:sz w:val="24"/>
          <w:szCs w:val="24"/>
        </w:rPr>
        <w:t>а правилата за държавната помощ:</w:t>
      </w:r>
    </w:p>
    <w:p w14:paraId="755CD53B" w14:textId="77777777" w:rsidR="00995702" w:rsidRDefault="00995702" w:rsidP="00995702">
      <w:pPr>
        <w:shd w:val="clear" w:color="auto" w:fill="FFFFFF"/>
        <w:spacing w:before="120" w:after="0" w:line="240" w:lineRule="auto"/>
        <w:jc w:val="both"/>
        <w:rPr>
          <w:rFonts w:ascii="inherit" w:eastAsia="Times New Roman" w:hAnsi="inherit" w:cs="Times New Roman"/>
          <w:i/>
          <w:iCs/>
          <w:color w:val="000000"/>
          <w:sz w:val="24"/>
          <w:szCs w:val="24"/>
        </w:rPr>
      </w:pPr>
      <w:r w:rsidRPr="0089086C">
        <w:rPr>
          <w:rFonts w:ascii="inherit" w:eastAsia="Times New Roman" w:hAnsi="inherit" w:cs="Times New Roman"/>
          <w:i/>
          <w:iCs/>
          <w:color w:val="000000"/>
          <w:sz w:val="24"/>
          <w:szCs w:val="24"/>
        </w:rPr>
        <w:t>Считате ли, че този проект включва предоставянето на държавна помощ?</w:t>
      </w:r>
    </w:p>
    <w:p w14:paraId="056D2682" w14:textId="77777777" w:rsidR="00995702" w:rsidRPr="00BA5A21" w:rsidRDefault="00995702" w:rsidP="00995702">
      <w:pPr>
        <w:spacing w:before="60" w:after="60" w:line="240" w:lineRule="auto"/>
        <w:ind w:right="195"/>
        <w:jc w:val="both"/>
        <w:rPr>
          <w:rFonts w:ascii="inherit" w:eastAsia="Times New Roman" w:hAnsi="inherit" w:cs="Times New Roman"/>
          <w:i/>
          <w:iCs/>
          <w:color w:val="000000"/>
          <w:sz w:val="24"/>
          <w:szCs w:val="24"/>
        </w:rPr>
      </w:pPr>
      <w:r w:rsidRPr="00BA5A21">
        <w:rPr>
          <w:rFonts w:ascii="Times New Roman" w:eastAsia="Times New Roman" w:hAnsi="Times New Roman" w:cs="Times New Roman"/>
          <w:i/>
          <w:color w:val="000000"/>
          <w:sz w:val="24"/>
          <w:szCs w:val="24"/>
        </w:rPr>
        <w:t xml:space="preserve">Ако отговорът е утвърдителен, </w:t>
      </w:r>
      <w:r>
        <w:rPr>
          <w:rFonts w:ascii="Times New Roman" w:eastAsia="Times New Roman" w:hAnsi="Times New Roman" w:cs="Times New Roman"/>
          <w:i/>
          <w:color w:val="000000"/>
          <w:sz w:val="24"/>
          <w:szCs w:val="24"/>
        </w:rPr>
        <w:t>то този проект не е допустим за финансиране по настоящата процедура.</w:t>
      </w:r>
    </w:p>
    <w:p w14:paraId="179939D3" w14:textId="77777777" w:rsidR="00375286" w:rsidRDefault="00375286" w:rsidP="00375286">
      <w:pPr>
        <w:shd w:val="clear" w:color="auto" w:fill="FFFFFF"/>
        <w:spacing w:before="120" w:after="0" w:line="240" w:lineRule="auto"/>
        <w:jc w:val="both"/>
        <w:rPr>
          <w:rFonts w:ascii="Times New Roman" w:eastAsia="Times New Roman" w:hAnsi="Times New Roman" w:cs="Times New Roman"/>
          <w:i/>
          <w:color w:val="000000"/>
          <w:sz w:val="24"/>
          <w:szCs w:val="24"/>
        </w:rPr>
      </w:pPr>
      <w:r>
        <w:rPr>
          <w:rFonts w:ascii="inherit" w:eastAsia="Times New Roman" w:hAnsi="inherit" w:cs="Times New Roman"/>
          <w:b/>
          <w:bCs/>
          <w:i/>
          <w:color w:val="000000"/>
          <w:sz w:val="24"/>
          <w:szCs w:val="24"/>
        </w:rPr>
        <w:t>Ако отговорът е отрицателен,</w:t>
      </w:r>
      <w:r>
        <w:rPr>
          <w:rFonts w:ascii="Times New Roman" w:eastAsia="Times New Roman" w:hAnsi="Times New Roman" w:cs="Times New Roman"/>
          <w:i/>
          <w:color w:val="000000"/>
          <w:sz w:val="24"/>
          <w:szCs w:val="24"/>
        </w:rPr>
        <w:t> моля, подробно обяснете основанията за заключението, че проектът не включва държавна помощ. Моля, предоставете оценка на липсата на  държавната помощ на отделни нива: собственик/предприемач, оператор, крайни получатели (например в случай на инфраструктури — за собственика, строителната организация, стопанисващия и за ползвателите на дадена инфраструктура).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получателят(ите)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получателят(ите) упражнява(т) дейност в други сектори).</w:t>
      </w:r>
    </w:p>
    <w:p w14:paraId="6D76222F" w14:textId="77777777" w:rsidR="00995702" w:rsidRDefault="00995702" w:rsidP="00995702">
      <w:pPr>
        <w:spacing w:after="120" w:line="240" w:lineRule="auto"/>
        <w:ind w:firstLine="708"/>
        <w:jc w:val="both"/>
        <w:rPr>
          <w:rFonts w:ascii="Times New Roman" w:eastAsia="Calibri" w:hAnsi="Times New Roman" w:cs="Times New Roman"/>
          <w:sz w:val="24"/>
          <w:szCs w:val="24"/>
        </w:rPr>
      </w:pPr>
      <w:bookmarkStart w:id="31" w:name="_GoBack"/>
      <w:bookmarkEnd w:id="31"/>
    </w:p>
    <w:p w14:paraId="680A479A" w14:textId="52DE7B48" w:rsidR="00995702" w:rsidRPr="0089086C" w:rsidRDefault="00995702" w:rsidP="003F1D1D">
      <w:pPr>
        <w:pStyle w:val="ListParagraph"/>
        <w:numPr>
          <w:ilvl w:val="0"/>
          <w:numId w:val="17"/>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поле</w:t>
      </w:r>
      <w:r w:rsidRPr="0089086C">
        <w:rPr>
          <w:rFonts w:ascii="Times New Roman" w:eastAsia="Calibri" w:hAnsi="Times New Roman" w:cs="Times New Roman"/>
          <w:sz w:val="24"/>
          <w:szCs w:val="24"/>
        </w:rPr>
        <w:t xml:space="preserve"> </w:t>
      </w:r>
      <w:r w:rsidRPr="0089086C">
        <w:rPr>
          <w:rFonts w:ascii="Times New Roman" w:eastAsia="Calibri" w:hAnsi="Times New Roman" w:cs="Times New Roman"/>
          <w:b/>
          <w:sz w:val="24"/>
          <w:szCs w:val="24"/>
        </w:rPr>
        <w:t>Извършени предпроектни проучвания, включително анализ на вариантите на</w:t>
      </w:r>
      <w:r w:rsidRPr="0089086C">
        <w:rPr>
          <w:rFonts w:ascii="Times New Roman" w:eastAsia="Times New Roman" w:hAnsi="Times New Roman" w:cs="Times New Roman"/>
          <w:b/>
          <w:bCs/>
          <w:color w:val="000000"/>
          <w:sz w:val="24"/>
          <w:szCs w:val="24"/>
        </w:rPr>
        <w:t xml:space="preserve"> действие, и съответните резултати</w:t>
      </w:r>
    </w:p>
    <w:p w14:paraId="6D69D9C0" w14:textId="77777777" w:rsidR="00995702" w:rsidRPr="00A46ABF" w:rsidRDefault="00995702" w:rsidP="00995702">
      <w:pPr>
        <w:shd w:val="clear" w:color="auto" w:fill="FFFFFF"/>
        <w:spacing w:before="120" w:after="0" w:line="240" w:lineRule="auto"/>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Моля, представете резюме на анализа на търсенето, включително предвидения ръст на търсенето В него трябва да се съдържа поне следната информация:</w:t>
      </w:r>
    </w:p>
    <w:p w14:paraId="10D38FCB" w14:textId="77777777" w:rsidR="00995702" w:rsidRPr="00A46ABF" w:rsidRDefault="00995702" w:rsidP="0099570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w:t>
      </w:r>
      <w:r w:rsidRPr="00A46ABF">
        <w:rPr>
          <w:rFonts w:ascii="Times New Roman" w:eastAsia="Times New Roman" w:hAnsi="Times New Roman" w:cs="Times New Roman"/>
          <w:i/>
          <w:color w:val="000000"/>
          <w:sz w:val="24"/>
          <w:szCs w:val="24"/>
        </w:rPr>
        <w:tab/>
        <w:t>методология за изготвянето на прогнози;</w:t>
      </w:r>
    </w:p>
    <w:p w14:paraId="1F4007BC" w14:textId="77777777" w:rsidR="00995702" w:rsidRPr="00A46ABF" w:rsidRDefault="00995702" w:rsidP="0099570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w:t>
      </w:r>
      <w:r w:rsidRPr="00A46ABF">
        <w:rPr>
          <w:rFonts w:ascii="Times New Roman" w:eastAsia="Times New Roman" w:hAnsi="Times New Roman" w:cs="Times New Roman"/>
          <w:i/>
          <w:color w:val="000000"/>
          <w:sz w:val="24"/>
          <w:szCs w:val="24"/>
        </w:rPr>
        <w:tab/>
        <w:t>предположения и базов сценарий (напр. трафик в миналото, очакван бъдещ трафик без проекта);</w:t>
      </w:r>
    </w:p>
    <w:p w14:paraId="7675787B" w14:textId="77777777" w:rsidR="00995702" w:rsidRPr="00A46ABF" w:rsidRDefault="00995702" w:rsidP="0099570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iii)</w:t>
      </w:r>
      <w:r w:rsidRPr="00A46ABF">
        <w:rPr>
          <w:rFonts w:ascii="Times New Roman" w:eastAsia="Times New Roman" w:hAnsi="Times New Roman" w:cs="Times New Roman"/>
          <w:i/>
          <w:color w:val="000000"/>
          <w:sz w:val="24"/>
          <w:szCs w:val="24"/>
        </w:rPr>
        <w:tab/>
        <w:t>прогнози за избраните варианти, ако е приложимо;</w:t>
      </w:r>
    </w:p>
    <w:p w14:paraId="139C07F0" w14:textId="77777777" w:rsidR="00995702" w:rsidRPr="00A46ABF" w:rsidRDefault="00995702" w:rsidP="003F1D1D">
      <w:pPr>
        <w:pStyle w:val="ListParagraph"/>
        <w:numPr>
          <w:ilvl w:val="0"/>
          <w:numId w:val="10"/>
        </w:numPr>
        <w:shd w:val="clear" w:color="auto" w:fill="FFFFFF"/>
        <w:spacing w:before="120" w:after="0" w:line="240" w:lineRule="auto"/>
        <w:ind w:left="709" w:firstLine="142"/>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аспекти на предлагането, включително анализ на съществуващото предлагане и очакваното бъдещо развитие (на инфраструктурата);</w:t>
      </w:r>
    </w:p>
    <w:p w14:paraId="63E94266" w14:textId="77777777" w:rsidR="00995702" w:rsidRPr="0089086C" w:rsidRDefault="00995702" w:rsidP="00995702">
      <w:pPr>
        <w:shd w:val="clear" w:color="auto" w:fill="FFFFFF"/>
        <w:spacing w:before="240" w:after="120" w:line="240" w:lineRule="auto"/>
        <w:ind w:left="360"/>
        <w:jc w:val="both"/>
        <w:rPr>
          <w:rFonts w:ascii="Times New Roman" w:eastAsia="Times New Roman" w:hAnsi="Times New Roman" w:cs="Times New Roman"/>
          <w:b/>
          <w:bCs/>
          <w:color w:val="000000"/>
          <w:sz w:val="24"/>
          <w:szCs w:val="24"/>
        </w:rPr>
      </w:pPr>
      <w:r w:rsidRPr="0089086C">
        <w:rPr>
          <w:rFonts w:ascii="inherit" w:eastAsia="Times New Roman" w:hAnsi="inherit" w:cs="Times New Roman"/>
          <w:b/>
          <w:bCs/>
          <w:color w:val="000000"/>
          <w:sz w:val="24"/>
          <w:szCs w:val="24"/>
        </w:rPr>
        <w:t>Анализ на вариантите</w:t>
      </w:r>
    </w:p>
    <w:p w14:paraId="54AF5F2F" w14:textId="77777777" w:rsidR="00B61555" w:rsidRPr="00BA5A21" w:rsidRDefault="00B61555" w:rsidP="00B61555">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опишете накратко разгледаните варианти в предпроектните проучвания</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в съответствие с подхода, изложен в приложение </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Методология за извършване н</w:t>
      </w:r>
      <w:r>
        <w:rPr>
          <w:rFonts w:ascii="inherit" w:eastAsia="Times New Roman" w:hAnsi="inherit" w:cs="Times New Roman"/>
          <w:i/>
          <w:iCs/>
          <w:color w:val="000000"/>
          <w:sz w:val="24"/>
          <w:szCs w:val="24"/>
        </w:rPr>
        <w:t>а анализ на разходите и ползите</w:t>
      </w:r>
      <w:r w:rsidRPr="00BA5A21">
        <w:rPr>
          <w:rFonts w:ascii="inherit" w:eastAsia="Times New Roman" w:hAnsi="inherit" w:cs="Times New Roman"/>
          <w:i/>
          <w:iCs/>
          <w:color w:val="000000"/>
          <w:sz w:val="24"/>
          <w:szCs w:val="24"/>
        </w:rPr>
        <w:t>. Това кратко описание трябва да съдържа поне следната информация:</w:t>
      </w:r>
    </w:p>
    <w:p w14:paraId="5F735A64"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общия размер на инвестиционните разходи и оперативните разходи по отношение на разгледаните варианти;</w:t>
      </w:r>
    </w:p>
    <w:p w14:paraId="675F8937"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571FE97B"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p w14:paraId="7E4D001A"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ab/>
      </w:r>
    </w:p>
    <w:p w14:paraId="6B09DF47"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iii)</w:t>
      </w:r>
      <w:r w:rsidRPr="0089086C">
        <w:rPr>
          <w:rFonts w:ascii="Times New Roman" w:eastAsia="Times New Roman" w:hAnsi="Times New Roman" w:cs="Times New Roman"/>
          <w:color w:val="000000"/>
          <w:sz w:val="24"/>
          <w:szCs w:val="24"/>
        </w:rPr>
        <w:tab/>
        <w:t>технологични варианти по компоненти и по системи;</w:t>
      </w:r>
    </w:p>
    <w:p w14:paraId="74C78E1E"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6A40152"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 xml:space="preserve"> </w:t>
      </w:r>
      <w:r w:rsidRPr="0089086C">
        <w:rPr>
          <w:rFonts w:ascii="Times New Roman" w:eastAsia="Times New Roman" w:hAnsi="Times New Roman" w:cs="Times New Roman"/>
          <w:color w:val="000000"/>
          <w:sz w:val="24"/>
          <w:szCs w:val="24"/>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p w14:paraId="7CD37A55"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5808FD06"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икономически показатели за разгледанит</w:t>
      </w:r>
      <w:r>
        <w:rPr>
          <w:rFonts w:ascii="Times New Roman" w:eastAsia="Times New Roman" w:hAnsi="Times New Roman" w:cs="Times New Roman"/>
          <w:color w:val="000000"/>
          <w:sz w:val="24"/>
          <w:szCs w:val="24"/>
        </w:rPr>
        <w:t>е варианти, ако е приложимо</w:t>
      </w:r>
      <w:r w:rsidRPr="0089086C">
        <w:rPr>
          <w:rFonts w:ascii="Times New Roman" w:eastAsia="Times New Roman" w:hAnsi="Times New Roman" w:cs="Times New Roman"/>
          <w:color w:val="000000"/>
          <w:sz w:val="24"/>
          <w:szCs w:val="24"/>
        </w:rPr>
        <w:t>;</w:t>
      </w:r>
      <w:r w:rsidRPr="0089086C">
        <w:rPr>
          <w:rFonts w:ascii="Times New Roman" w:eastAsia="Times New Roman" w:hAnsi="Times New Roman" w:cs="Times New Roman"/>
          <w:color w:val="000000"/>
          <w:sz w:val="24"/>
          <w:szCs w:val="24"/>
        </w:rPr>
        <w:cr/>
      </w:r>
    </w:p>
    <w:p w14:paraId="6BDFA99E"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обобщена таблица, която съдържа всички предимства и недостатъци за всички разгледани варианти.</w:t>
      </w:r>
    </w:p>
    <w:p w14:paraId="7E7AF573" w14:textId="77777777" w:rsidR="00995702" w:rsidRPr="0089086C" w:rsidRDefault="00995702" w:rsidP="0099570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4E274213" w14:textId="77777777" w:rsidR="00995702" w:rsidRPr="00BA5A21" w:rsidRDefault="00995702" w:rsidP="00995702">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и изложете накратко основанията за избрания вариант.</w:t>
      </w:r>
    </w:p>
    <w:p w14:paraId="5BA4BD62"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Осъществимост на избрания вариант</w:t>
      </w:r>
    </w:p>
    <w:p w14:paraId="5A023C2E" w14:textId="77777777" w:rsidR="00995702"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w:t>
      </w:r>
      <w:r>
        <w:rPr>
          <w:rFonts w:ascii="Times New Roman" w:eastAsia="Times New Roman" w:hAnsi="Times New Roman" w:cs="Times New Roman"/>
          <w:color w:val="000000"/>
          <w:sz w:val="24"/>
          <w:szCs w:val="24"/>
        </w:rPr>
        <w:t>овете на съответните документи.</w:t>
      </w:r>
    </w:p>
    <w:p w14:paraId="22CB99EA" w14:textId="77777777" w:rsidR="00995702" w:rsidRPr="00BA5A21"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b/>
          <w:bCs/>
          <w:color w:val="000000"/>
          <w:sz w:val="24"/>
          <w:szCs w:val="24"/>
        </w:rPr>
        <w:lastRenderedPageBreak/>
        <w:t>  </w:t>
      </w:r>
      <w:r w:rsidRPr="005B30FA">
        <w:rPr>
          <w:rFonts w:ascii="inherit" w:eastAsia="Times New Roman" w:hAnsi="inherit" w:cs="Times New Roman"/>
          <w:b/>
          <w:bCs/>
          <w:i/>
          <w:iCs/>
          <w:color w:val="000000"/>
          <w:sz w:val="24"/>
          <w:szCs w:val="24"/>
        </w:rPr>
        <w:t>Институционален аспект</w:t>
      </w:r>
    </w:p>
    <w:p w14:paraId="77DC5A61" w14:textId="77777777" w:rsidR="00995702" w:rsidRPr="001C2572" w:rsidRDefault="00995702" w:rsidP="0099570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1C2572">
        <w:rPr>
          <w:rFonts w:ascii="inherit" w:eastAsia="Times New Roman" w:hAnsi="inherit" w:cs="Times New Roman"/>
          <w:bCs/>
          <w:i/>
          <w:iCs/>
          <w:color w:val="000000"/>
          <w:sz w:val="24"/>
          <w:szCs w:val="24"/>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14:paraId="5B843A2A"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i/>
          <w:iCs/>
          <w:color w:val="000000"/>
          <w:sz w:val="24"/>
          <w:szCs w:val="24"/>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14:paraId="7AB85211"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Други аспекти</w:t>
      </w:r>
    </w:p>
    <w:p w14:paraId="0C315D33" w14:textId="77777777" w:rsidR="00995702" w:rsidRPr="005E2E76" w:rsidRDefault="00995702" w:rsidP="00995702">
      <w:pPr>
        <w:shd w:val="clear" w:color="auto" w:fill="FFFFFF"/>
        <w:spacing w:before="240" w:after="120" w:line="240" w:lineRule="auto"/>
        <w:ind w:firstLine="708"/>
        <w:jc w:val="both"/>
        <w:rPr>
          <w:rFonts w:ascii="Times New Roman" w:eastAsia="Times New Roman" w:hAnsi="Times New Roman" w:cs="Times New Roman"/>
          <w:b/>
          <w:bCs/>
          <w:color w:val="000000"/>
          <w:sz w:val="24"/>
          <w:szCs w:val="24"/>
        </w:rPr>
      </w:pPr>
      <w:bookmarkStart w:id="32" w:name="_Toc135995224"/>
      <w:r>
        <w:rPr>
          <w:rFonts w:ascii="Times New Roman" w:eastAsia="Times New Roman" w:hAnsi="Times New Roman" w:cs="Times New Roman"/>
          <w:bCs/>
          <w:color w:val="000000"/>
          <w:sz w:val="24"/>
          <w:szCs w:val="24"/>
        </w:rPr>
        <w:t xml:space="preserve">• </w:t>
      </w:r>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разходите и ползите</w:t>
      </w:r>
      <w:bookmarkEnd w:id="32"/>
    </w:p>
    <w:p w14:paraId="5CD12D4A" w14:textId="77777777" w:rsidR="00995702" w:rsidRDefault="00995702" w:rsidP="00995702">
      <w:pPr>
        <w:shd w:val="clear" w:color="auto" w:fill="FFFFFF"/>
        <w:spacing w:after="0" w:line="240" w:lineRule="auto"/>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 xml:space="preserve">Освен обобщените елементи, които трябва да се представят, като допълнение към настоящото </w:t>
      </w:r>
      <w:r>
        <w:rPr>
          <w:rFonts w:ascii="inherit" w:eastAsia="Times New Roman" w:hAnsi="inherit" w:cs="Times New Roman"/>
          <w:i/>
          <w:iCs/>
          <w:color w:val="000000"/>
          <w:sz w:val="24"/>
          <w:szCs w:val="24"/>
        </w:rPr>
        <w:t>проектно предложение</w:t>
      </w:r>
      <w:r w:rsidRPr="005B30FA">
        <w:rPr>
          <w:rFonts w:ascii="inherit" w:eastAsia="Times New Roman" w:hAnsi="inherit" w:cs="Times New Roman"/>
          <w:i/>
          <w:iCs/>
          <w:color w:val="000000"/>
          <w:sz w:val="24"/>
          <w:szCs w:val="24"/>
        </w:rPr>
        <w:t xml:space="preserve"> се предоставя и </w:t>
      </w:r>
      <w:r>
        <w:rPr>
          <w:rFonts w:ascii="inherit" w:eastAsia="Times New Roman" w:hAnsi="inherit" w:cs="Times New Roman"/>
          <w:i/>
          <w:iCs/>
          <w:color w:val="000000"/>
          <w:sz w:val="24"/>
          <w:szCs w:val="24"/>
        </w:rPr>
        <w:t xml:space="preserve">изчислителните данни и резултати от </w:t>
      </w:r>
      <w:r w:rsidRPr="005B30FA">
        <w:rPr>
          <w:rFonts w:ascii="inherit" w:eastAsia="Times New Roman" w:hAnsi="inherit" w:cs="Times New Roman" w:hint="eastAsia"/>
          <w:i/>
          <w:iCs/>
          <w:color w:val="000000"/>
          <w:sz w:val="24"/>
          <w:szCs w:val="24"/>
        </w:rPr>
        <w:t>Анализ</w:t>
      </w:r>
      <w:r w:rsidRPr="005B30FA">
        <w:rPr>
          <w:rFonts w:ascii="inherit" w:eastAsia="Times New Roman" w:hAnsi="inherit" w:cs="Times New Roman"/>
          <w:i/>
          <w:iCs/>
          <w:color w:val="000000"/>
          <w:sz w:val="24"/>
          <w:szCs w:val="24"/>
        </w:rPr>
        <w:t xml:space="preserve"> на разходите и ползите.</w:t>
      </w:r>
    </w:p>
    <w:p w14:paraId="5FC35FD3"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Финансов анализ</w:t>
      </w:r>
    </w:p>
    <w:p w14:paraId="654009BA" w14:textId="77777777" w:rsidR="00995702" w:rsidRPr="001C2572" w:rsidRDefault="00995702" w:rsidP="0099570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5B30FA">
        <w:rPr>
          <w:rFonts w:ascii="Times New Roman" w:eastAsia="Times New Roman" w:hAnsi="Times New Roman" w:cs="Times New Roman"/>
          <w:b/>
          <w:bCs/>
          <w:color w:val="000000"/>
          <w:sz w:val="24"/>
          <w:szCs w:val="24"/>
        </w:rPr>
        <w:t> </w:t>
      </w:r>
      <w:r w:rsidRPr="001C2572">
        <w:rPr>
          <w:rFonts w:ascii="inherit" w:eastAsia="Times New Roman" w:hAnsi="inherit" w:cs="Times New Roman"/>
          <w:bCs/>
          <w:i/>
          <w:iCs/>
          <w:color w:val="000000"/>
          <w:sz w:val="24"/>
          <w:szCs w:val="24"/>
        </w:rPr>
        <w:t>Основни показатели за финансовия анализ на разходите и ползите в съответствие с документа с анализа на разходите и ползите</w:t>
      </w:r>
    </w:p>
    <w:tbl>
      <w:tblPr>
        <w:tblW w:w="508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81"/>
        <w:gridCol w:w="1705"/>
        <w:gridCol w:w="962"/>
        <w:gridCol w:w="1625"/>
        <w:gridCol w:w="974"/>
        <w:gridCol w:w="2638"/>
      </w:tblGrid>
      <w:tr w:rsidR="00995702" w:rsidRPr="005B30FA" w14:paraId="47E1E46F"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C209DF"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01A009"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Без подкрепа от Съюза</w:t>
            </w:r>
          </w:p>
          <w:p w14:paraId="70651B96"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E02AAC"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 помощ от Съюза</w:t>
            </w:r>
          </w:p>
          <w:p w14:paraId="3FD20FE1"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78B80D44"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995702" w:rsidRPr="005B30FA" w14:paraId="1D26AA7F"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995702" w:rsidRPr="005B30FA" w14:paraId="5256021C" w14:textId="77777777" w:rsidTr="001D1A3C">
              <w:trPr>
                <w:tblCellSpacing w:w="0" w:type="dxa"/>
              </w:trPr>
              <w:tc>
                <w:tcPr>
                  <w:tcW w:w="0" w:type="auto"/>
                  <w:hideMark/>
                </w:tcPr>
                <w:p w14:paraId="4005648B"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29EF09C1"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Финансова норма на възвръщаемост (%)</w:t>
                  </w:r>
                </w:p>
              </w:tc>
            </w:tr>
          </w:tbl>
          <w:p w14:paraId="489BD393" w14:textId="77777777" w:rsidR="00995702" w:rsidRPr="005B30FA" w:rsidRDefault="00995702" w:rsidP="001D1A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107B5B" w14:textId="77777777" w:rsidR="00995702" w:rsidRPr="005B30FA" w:rsidRDefault="00995702" w:rsidP="001D1A3C">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591A71"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 xml:space="preserve">ФНВ(C)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2158265D" w14:textId="77777777" w:rsidR="00995702" w:rsidRPr="005B30FA" w:rsidRDefault="00995702" w:rsidP="001D1A3C">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C471EF"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ФНВ(K)</w:t>
            </w:r>
            <w:hyperlink r:id="rId18" w:anchor="ntr34-L_2015038BG.01001101-E0034" w:history="1">
              <w:r w:rsidRPr="005B30FA">
                <w:rPr>
                  <w:rFonts w:ascii="inherit" w:eastAsia="Times New Roman" w:hAnsi="inherit" w:cs="Times New Roman"/>
                  <w:color w:val="0000FF"/>
                  <w:u w:val="single"/>
                </w:rPr>
                <w:t> </w:t>
              </w:r>
            </w:hyperlink>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0453C7DA" w14:textId="77777777" w:rsidR="00995702" w:rsidRPr="005B30FA" w:rsidRDefault="00995702" w:rsidP="001D1A3C">
            <w:pPr>
              <w:spacing w:before="60" w:after="60" w:line="240" w:lineRule="auto"/>
              <w:rPr>
                <w:rFonts w:ascii="inherit" w:eastAsia="Times New Roman" w:hAnsi="inherit" w:cs="Times New Roman"/>
              </w:rPr>
            </w:pPr>
          </w:p>
        </w:tc>
      </w:tr>
      <w:tr w:rsidR="00995702" w:rsidRPr="005B30FA" w14:paraId="6E386857"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995702" w:rsidRPr="005B30FA" w14:paraId="29885E31" w14:textId="77777777" w:rsidTr="001D1A3C">
              <w:trPr>
                <w:tblCellSpacing w:w="0" w:type="dxa"/>
              </w:trPr>
              <w:tc>
                <w:tcPr>
                  <w:tcW w:w="0" w:type="auto"/>
                  <w:hideMark/>
                </w:tcPr>
                <w:p w14:paraId="6F679BBB"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74CE4DB7"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Pr>
                      <w:rFonts w:ascii="inherit" w:eastAsia="Times New Roman" w:hAnsi="inherit" w:cs="Times New Roman"/>
                      <w:sz w:val="24"/>
                      <w:szCs w:val="24"/>
                    </w:rPr>
                    <w:t>Нетна настояща стойност</w:t>
                  </w:r>
                </w:p>
              </w:tc>
            </w:tr>
          </w:tbl>
          <w:p w14:paraId="6F924940" w14:textId="77777777" w:rsidR="00995702" w:rsidRPr="005B30FA" w:rsidRDefault="00995702" w:rsidP="001D1A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A111914" w14:textId="77777777" w:rsidR="00995702" w:rsidRPr="005B30FA" w:rsidRDefault="00995702" w:rsidP="001D1A3C">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FC05C8"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76AA9D" w14:textId="77777777" w:rsidR="00995702" w:rsidRPr="005B30FA" w:rsidRDefault="00995702" w:rsidP="001D1A3C">
            <w:pPr>
              <w:spacing w:before="60" w:after="60" w:line="240" w:lineRule="auto"/>
              <w:rPr>
                <w:rFonts w:ascii="inherit" w:eastAsia="Times New Roman" w:hAnsi="inherit" w:cs="Times New Roman"/>
              </w:rPr>
            </w:pPr>
            <w:r>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7C2486"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ФННС(K)</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0F91FA34" w14:textId="77777777" w:rsidR="00995702" w:rsidRPr="005B30FA" w:rsidRDefault="00995702" w:rsidP="001D1A3C">
            <w:pPr>
              <w:spacing w:before="60" w:after="60" w:line="240" w:lineRule="auto"/>
              <w:rPr>
                <w:rFonts w:ascii="inherit" w:eastAsia="Times New Roman" w:hAnsi="inherit" w:cs="Times New Roman"/>
              </w:rPr>
            </w:pPr>
          </w:p>
        </w:tc>
      </w:tr>
    </w:tbl>
    <w:p w14:paraId="0507CE71"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даден голям проект показва </w:t>
      </w:r>
      <w:r w:rsidRPr="005B30FA">
        <w:rPr>
          <w:rFonts w:ascii="inherit" w:eastAsia="Times New Roman" w:hAnsi="inherit" w:cs="Times New Roman"/>
          <w:b/>
          <w:bCs/>
          <w:color w:val="000000"/>
          <w:sz w:val="24"/>
          <w:szCs w:val="24"/>
        </w:rPr>
        <w:t>висока финансова рентабилност</w:t>
      </w:r>
      <w:r w:rsidRPr="005B30FA">
        <w:rPr>
          <w:rFonts w:ascii="Times New Roman" w:eastAsia="Times New Roman" w:hAnsi="Times New Roman" w:cs="Times New Roman"/>
          <w:color w:val="000000"/>
          <w:sz w:val="24"/>
          <w:szCs w:val="24"/>
        </w:rPr>
        <w:t>, т.е. ФНВ(C) е значително по-висока от дисконтовата норма, моля, обосновете приноса на Съюза.</w:t>
      </w:r>
    </w:p>
    <w:p w14:paraId="178769D8"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14:paraId="40F43E10" w14:textId="77777777" w:rsidR="00995702" w:rsidRPr="005B30FA" w:rsidRDefault="00995702" w:rsidP="00995702">
      <w:pPr>
        <w:shd w:val="clear" w:color="auto" w:fill="FFFFFF"/>
        <w:spacing w:after="0" w:line="240" w:lineRule="auto"/>
        <w:rPr>
          <w:rFonts w:ascii="Times New Roman" w:eastAsia="Times New Roman" w:hAnsi="Times New Roman" w:cs="Times New Roman"/>
          <w:color w:val="000000"/>
          <w:sz w:val="24"/>
          <w:szCs w:val="24"/>
        </w:rPr>
      </w:pPr>
    </w:p>
    <w:p w14:paraId="74FDC74C"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покриват ли оперативните разходи, включително разходите за поддръжката и за подмяна по проекта?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00BE548E"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D3A67F"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A72197"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C07452"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3B5F29"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0BE88F5"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w:t>
      </w:r>
      <w:r w:rsidRPr="005B30FA">
        <w:rPr>
          <w:rFonts w:ascii="Times New Roman" w:eastAsia="Times New Roman" w:hAnsi="Times New Roman" w:cs="Times New Roman"/>
          <w:color w:val="000000"/>
          <w:sz w:val="24"/>
          <w:szCs w:val="24"/>
        </w:rPr>
        <w:lastRenderedPageBreak/>
        <w:t>източниците на финансиране на необхванатите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14:paraId="4898D7C9" w14:textId="77777777" w:rsidR="00995702" w:rsidRPr="005B30FA" w:rsidRDefault="00995702" w:rsidP="00995702">
      <w:pPr>
        <w:shd w:val="clear" w:color="auto" w:fill="FFFFFF"/>
        <w:spacing w:after="0" w:line="240" w:lineRule="auto"/>
        <w:rPr>
          <w:rFonts w:ascii="Times New Roman" w:eastAsia="Times New Roman" w:hAnsi="Times New Roman" w:cs="Times New Roman"/>
          <w:color w:val="000000"/>
          <w:sz w:val="24"/>
          <w:szCs w:val="24"/>
        </w:rPr>
      </w:pPr>
    </w:p>
    <w:p w14:paraId="2A9B22B2"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0C22A728"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8ED6FD"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DA76F6"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E12870C"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D39C5E"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8735750" w14:textId="77777777" w:rsidR="00995702" w:rsidRPr="005B30FA" w:rsidRDefault="00995702" w:rsidP="00995702">
      <w:pPr>
        <w:shd w:val="clear" w:color="auto" w:fill="FFFFFF"/>
        <w:spacing w:after="0" w:line="240" w:lineRule="auto"/>
        <w:rPr>
          <w:rFonts w:ascii="Times New Roman" w:eastAsia="Times New Roman" w:hAnsi="Times New Roman" w:cs="Times New Roman"/>
          <w:color w:val="000000"/>
          <w:sz w:val="24"/>
          <w:szCs w:val="24"/>
        </w:rPr>
      </w:pPr>
    </w:p>
    <w:p w14:paraId="6BE9713A"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пропорционални ли са на замърсяването, причинено от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2C1C6BCC"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5A99DC0"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715CD4F"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71FB3B"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BFF4BB"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59603DFC" w14:textId="77777777" w:rsidR="00995702" w:rsidRPr="005B30FA" w:rsidRDefault="00995702" w:rsidP="00995702">
      <w:pPr>
        <w:shd w:val="clear" w:color="auto" w:fill="FFFFFF"/>
        <w:spacing w:after="0" w:line="240" w:lineRule="auto"/>
        <w:rPr>
          <w:rFonts w:ascii="Times New Roman" w:eastAsia="Times New Roman" w:hAnsi="Times New Roman" w:cs="Times New Roman"/>
          <w:color w:val="000000"/>
          <w:sz w:val="24"/>
          <w:szCs w:val="24"/>
        </w:rPr>
      </w:pPr>
    </w:p>
    <w:p w14:paraId="5C36D452"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Предвидена ли е достъпността на таксите за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0A58EF55"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7C3D95"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535745"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B47B93F"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99A9529"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0E25484"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Икономически анализ</w:t>
      </w:r>
    </w:p>
    <w:p w14:paraId="55D10E1D"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ако е целесъобразно, представете кратко описание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w:t>
      </w:r>
      <w:r>
        <w:rPr>
          <w:rFonts w:ascii="inherit" w:eastAsia="Times New Roman" w:hAnsi="inherit" w:cs="Times New Roman"/>
          <w:i/>
          <w:iCs/>
          <w:color w:val="000000"/>
          <w:sz w:val="24"/>
          <w:szCs w:val="24"/>
        </w:rPr>
        <w:t>действието върху околната среда</w:t>
      </w:r>
      <w:r w:rsidRPr="005B30FA">
        <w:rPr>
          <w:rFonts w:ascii="inherit" w:eastAsia="Times New Roman" w:hAnsi="inherit" w:cs="Times New Roman"/>
          <w:i/>
          <w:iCs/>
          <w:color w:val="000000"/>
          <w:sz w:val="24"/>
          <w:szCs w:val="24"/>
        </w:rPr>
        <w:t>, ако е целесъобразно:</w:t>
      </w:r>
    </w:p>
    <w:p w14:paraId="50175749"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4"/>
        <w:gridCol w:w="3983"/>
        <w:gridCol w:w="1830"/>
        <w:gridCol w:w="2463"/>
      </w:tblGrid>
      <w:tr w:rsidR="00995702" w:rsidRPr="005B30FA" w14:paraId="31A04492"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7C62D0"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E7907F"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9EFDD3"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447C6F81" w14:textId="11744F07" w:rsidR="00995702" w:rsidRPr="005B30FA" w:rsidRDefault="00995702" w:rsidP="001C2572">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(дисконтирана)</w:t>
            </w:r>
            <w:r w:rsidRPr="005B30FA">
              <w:rPr>
                <w:rFonts w:ascii="inherit" w:eastAsia="Times New Roman" w:hAnsi="inherit" w:cs="Times New Roman"/>
                <w:b/>
                <w:bCs/>
                <w:color w:val="0000FF"/>
                <w:u w:val="single"/>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CE83B9"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ползи</w:t>
            </w:r>
          </w:p>
        </w:tc>
      </w:tr>
      <w:tr w:rsidR="00995702" w:rsidRPr="005B30FA" w14:paraId="31B50E5D"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737253" w14:textId="77777777" w:rsidR="00995702" w:rsidRPr="005B30FA" w:rsidRDefault="00995702" w:rsidP="001D1A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3F5B977" w14:textId="77777777" w:rsidR="00995702" w:rsidRPr="005B30FA" w:rsidRDefault="00995702" w:rsidP="001D1A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D8BF82" w14:textId="77777777" w:rsidR="00995702" w:rsidRPr="005B30FA" w:rsidRDefault="00995702" w:rsidP="001D1A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379753" w14:textId="77777777" w:rsidR="00995702" w:rsidRPr="005B30FA" w:rsidRDefault="00995702" w:rsidP="001D1A3C">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r>
      <w:tr w:rsidR="00995702" w:rsidRPr="005B30FA" w14:paraId="233ACE69"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9F4DD01"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CF3354"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F0C753"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1BA2A1"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995702" w:rsidRPr="005B30FA" w14:paraId="7C4C7107"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0D5668"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B89976"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8E44138"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A6FD34"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r w:rsidR="00995702" w:rsidRPr="005B30FA" w14:paraId="0B312BB9"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B992224"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BF77A6"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5DFA77"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085E74EF" w14:textId="167E379C" w:rsidR="00995702" w:rsidRPr="005B30FA" w:rsidRDefault="00995702" w:rsidP="001C2572">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(дисконтирана)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B8B62A"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разходи</w:t>
            </w:r>
          </w:p>
        </w:tc>
      </w:tr>
      <w:tr w:rsidR="00995702" w:rsidRPr="005B30FA" w14:paraId="0CE04E3C"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67101A" w14:textId="77777777" w:rsidR="00995702" w:rsidRPr="005B30FA" w:rsidRDefault="00995702" w:rsidP="001D1A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E1A29E" w14:textId="77777777" w:rsidR="00995702" w:rsidRPr="005B30FA" w:rsidRDefault="00995702" w:rsidP="001D1A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F2853E6" w14:textId="77777777" w:rsidR="00995702" w:rsidRPr="005B30FA" w:rsidRDefault="00995702" w:rsidP="001D1A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92789DA" w14:textId="77777777" w:rsidR="00995702" w:rsidRPr="005B30FA" w:rsidRDefault="00995702" w:rsidP="001D1A3C">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r>
      <w:tr w:rsidR="00995702" w:rsidRPr="005B30FA" w14:paraId="70DBBE2B"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2605B4"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B57CD2"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824121"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097BB5"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995702" w:rsidRPr="005B30FA" w14:paraId="54D4D617"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1B7BB8"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6624AC"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F99CABA"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031F4F"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bl>
    <w:p w14:paraId="042619A2"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lastRenderedPageBreak/>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41"/>
        <w:gridCol w:w="1298"/>
        <w:gridCol w:w="4541"/>
      </w:tblGrid>
      <w:tr w:rsidR="00995702" w:rsidRPr="005B30FA" w14:paraId="362A0DAF"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4B21732"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F30AD9B"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981085A"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995702" w:rsidRPr="005B30FA" w14:paraId="4C8D95D2"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995702" w:rsidRPr="005B30FA" w14:paraId="766A3812" w14:textId="77777777" w:rsidTr="001D1A3C">
              <w:trPr>
                <w:tblCellSpacing w:w="0" w:type="dxa"/>
              </w:trPr>
              <w:tc>
                <w:tcPr>
                  <w:tcW w:w="0" w:type="auto"/>
                  <w:hideMark/>
                </w:tcPr>
                <w:p w14:paraId="065BB3C4"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070C1ABB"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Социална дисконтова норма (в процентно изражение)</w:t>
                  </w:r>
                </w:p>
              </w:tc>
            </w:tr>
          </w:tbl>
          <w:p w14:paraId="63F5F6F5" w14:textId="77777777" w:rsidR="00995702" w:rsidRPr="005B30FA" w:rsidRDefault="00995702" w:rsidP="001D1A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100EE9" w14:textId="77777777" w:rsidR="00995702" w:rsidRPr="005B30FA" w:rsidRDefault="00995702" w:rsidP="001D1A3C">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18EEC9" w14:textId="77777777" w:rsidR="00995702" w:rsidRPr="005B30FA" w:rsidRDefault="00995702" w:rsidP="001D1A3C">
            <w:pPr>
              <w:spacing w:before="60" w:after="60" w:line="240" w:lineRule="auto"/>
              <w:rPr>
                <w:rFonts w:ascii="inherit" w:eastAsia="Times New Roman" w:hAnsi="inherit" w:cs="Times New Roman"/>
              </w:rPr>
            </w:pPr>
            <w:r>
              <w:rPr>
                <w:rFonts w:ascii="inherit" w:eastAsia="Times New Roman" w:hAnsi="inherit" w:cs="Times New Roman"/>
                <w:i/>
                <w:iCs/>
              </w:rPr>
              <w:t>………………</w:t>
            </w:r>
          </w:p>
        </w:tc>
      </w:tr>
      <w:tr w:rsidR="00995702" w:rsidRPr="005B30FA" w14:paraId="70F0B83A"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995702" w:rsidRPr="005B30FA" w14:paraId="24299961" w14:textId="77777777" w:rsidTr="001D1A3C">
              <w:trPr>
                <w:tblCellSpacing w:w="0" w:type="dxa"/>
              </w:trPr>
              <w:tc>
                <w:tcPr>
                  <w:tcW w:w="0" w:type="auto"/>
                  <w:hideMark/>
                </w:tcPr>
                <w:p w14:paraId="6EB97C6B"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5CE6FA9F"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Икономическа норма на възвращаемост (ИНВ) (в процентно изражение)</w:t>
                  </w:r>
                </w:p>
              </w:tc>
            </w:tr>
          </w:tbl>
          <w:p w14:paraId="6AEDDC20" w14:textId="77777777" w:rsidR="00995702" w:rsidRPr="005B30FA" w:rsidRDefault="00995702" w:rsidP="001D1A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22B92D" w14:textId="77777777" w:rsidR="00995702" w:rsidRPr="005B30FA" w:rsidRDefault="00995702" w:rsidP="001D1A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926CF6F" w14:textId="77777777" w:rsidR="00995702" w:rsidRPr="005B30FA" w:rsidRDefault="00995702" w:rsidP="001D1A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995702" w:rsidRPr="005B30FA" w14:paraId="63D1EA58"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995702" w:rsidRPr="005B30FA" w14:paraId="7A6C3FD3" w14:textId="77777777" w:rsidTr="001D1A3C">
              <w:trPr>
                <w:tblCellSpacing w:w="0" w:type="dxa"/>
              </w:trPr>
              <w:tc>
                <w:tcPr>
                  <w:tcW w:w="0" w:type="auto"/>
                  <w:hideMark/>
                </w:tcPr>
                <w:p w14:paraId="5DD88048"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3.</w:t>
                  </w:r>
                </w:p>
              </w:tc>
              <w:tc>
                <w:tcPr>
                  <w:tcW w:w="0" w:type="auto"/>
                  <w:hideMark/>
                </w:tcPr>
                <w:p w14:paraId="55BE23B2" w14:textId="5F014BDA" w:rsidR="00995702" w:rsidRPr="005B30FA" w:rsidRDefault="00995702" w:rsidP="001C2572">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Нетна </w:t>
                  </w:r>
                  <w:r w:rsidR="001C2572">
                    <w:rPr>
                      <w:rFonts w:ascii="inherit" w:eastAsia="Times New Roman" w:hAnsi="inherit" w:cs="Times New Roman"/>
                      <w:sz w:val="24"/>
                      <w:szCs w:val="24"/>
                    </w:rPr>
                    <w:t xml:space="preserve">настояща икономическа стойност </w:t>
                  </w:r>
                </w:p>
              </w:tc>
            </w:tr>
          </w:tbl>
          <w:p w14:paraId="25D96B87" w14:textId="77777777" w:rsidR="00995702" w:rsidRPr="005B30FA" w:rsidRDefault="00995702" w:rsidP="001D1A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0FEE6D9" w14:textId="77777777" w:rsidR="00995702" w:rsidRPr="005B30FA" w:rsidRDefault="00995702" w:rsidP="001D1A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DEACD46" w14:textId="77777777" w:rsidR="00995702" w:rsidRPr="005B30FA" w:rsidRDefault="00995702" w:rsidP="001D1A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995702" w:rsidRPr="005B30FA" w14:paraId="00C1D7C3"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8"/>
              <w:gridCol w:w="3403"/>
            </w:tblGrid>
            <w:tr w:rsidR="00995702" w:rsidRPr="005B30FA" w14:paraId="02DEA568" w14:textId="77777777" w:rsidTr="001D1A3C">
              <w:trPr>
                <w:tblCellSpacing w:w="0" w:type="dxa"/>
              </w:trPr>
              <w:tc>
                <w:tcPr>
                  <w:tcW w:w="0" w:type="auto"/>
                  <w:hideMark/>
                </w:tcPr>
                <w:p w14:paraId="07180BD0"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4.</w:t>
                  </w:r>
                </w:p>
              </w:tc>
              <w:tc>
                <w:tcPr>
                  <w:tcW w:w="0" w:type="auto"/>
                  <w:hideMark/>
                </w:tcPr>
                <w:p w14:paraId="4089D5DF"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Съотношение ползи/разходи</w:t>
                  </w:r>
                </w:p>
              </w:tc>
            </w:tr>
          </w:tbl>
          <w:p w14:paraId="327C2EA5" w14:textId="77777777" w:rsidR="00995702" w:rsidRPr="005B30FA" w:rsidRDefault="00995702" w:rsidP="001D1A3C">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163BB2" w14:textId="77777777" w:rsidR="00995702" w:rsidRPr="005B30FA" w:rsidRDefault="00995702" w:rsidP="001D1A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FCFEA5" w14:textId="77777777" w:rsidR="00995702" w:rsidRPr="005B30FA" w:rsidRDefault="00995702" w:rsidP="001D1A3C">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bl>
    <w:p w14:paraId="277F02D2" w14:textId="77777777" w:rsidR="00995702" w:rsidRPr="005B30FA" w:rsidRDefault="00995702" w:rsidP="00995702">
      <w:pPr>
        <w:shd w:val="clear" w:color="auto" w:fill="FFFFFF"/>
        <w:spacing w:after="0" w:line="240" w:lineRule="auto"/>
        <w:rPr>
          <w:rFonts w:ascii="Times New Roman" w:eastAsia="Times New Roman" w:hAnsi="Times New Roman" w:cs="Times New Roman"/>
          <w:color w:val="000000"/>
          <w:sz w:val="24"/>
          <w:szCs w:val="24"/>
        </w:rPr>
      </w:pPr>
    </w:p>
    <w:p w14:paraId="4E9C07DC"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Оценка на риска и анализ на чувствителността</w:t>
      </w:r>
    </w:p>
    <w:p w14:paraId="52E65288"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представете кратко описание на използваната методология и обобщение на резултатите, включително основните идентифицирани рискове</w:t>
      </w:r>
    </w:p>
    <w:p w14:paraId="68F91833"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Анализ на чувствителността</w:t>
      </w:r>
    </w:p>
    <w:p w14:paraId="372252D7"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приложената променливост за изпитаните параметри (в процентно изражение):</w:t>
      </w:r>
    </w:p>
    <w:p w14:paraId="3AD0D4AD"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30"/>
        <w:gridCol w:w="2616"/>
        <w:gridCol w:w="2615"/>
        <w:gridCol w:w="2619"/>
      </w:tblGrid>
      <w:tr w:rsidR="00995702" w:rsidRPr="005B30FA" w14:paraId="33F9F21F"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7BD121"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12C87D"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A233A9"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A4A27A" w14:textId="77777777" w:rsidR="00995702" w:rsidRPr="005B30FA" w:rsidRDefault="00995702" w:rsidP="001D1A3C">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икономическа стойност (ННИС) (%)</w:t>
            </w:r>
          </w:p>
        </w:tc>
      </w:tr>
      <w:tr w:rsidR="00995702" w:rsidRPr="005B30FA" w14:paraId="78553D3D"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6CA53E6" w14:textId="77777777" w:rsidR="00995702" w:rsidRPr="005B30FA" w:rsidRDefault="00995702" w:rsidP="001D1A3C">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0160B7" w14:textId="77777777" w:rsidR="00995702" w:rsidRPr="005B30FA" w:rsidRDefault="00995702" w:rsidP="001D1A3C">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E8353B" w14:textId="77777777" w:rsidR="00995702" w:rsidRPr="005B30FA" w:rsidRDefault="00995702" w:rsidP="001D1A3C">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4EEFE1" w14:textId="77777777" w:rsidR="00995702" w:rsidRPr="005B30FA" w:rsidRDefault="00995702" w:rsidP="001D1A3C">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r>
      <w:tr w:rsidR="00995702" w:rsidRPr="005B30FA" w14:paraId="62BA463B"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1B3755"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26A08E"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EA37FB"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729490"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r w:rsidR="00995702" w:rsidRPr="005B30FA" w14:paraId="49211209"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F25312F"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DC9331"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07A4B4"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46686E"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bl>
    <w:p w14:paraId="14BDC77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14:paraId="4F995AFF"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14:paraId="4944C8C5"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Оценка на риска</w:t>
      </w:r>
    </w:p>
    <w:p w14:paraId="6ED70920"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Моля, представете кратко обобщение на оценката на риска, включително списък на рисковете, на които е изложен проектът, матрица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w:t>
      </w:r>
      <w:r w:rsidRPr="005B30FA">
        <w:rPr>
          <w:rFonts w:ascii="Times New Roman" w:eastAsia="Times New Roman" w:hAnsi="Times New Roman" w:cs="Times New Roman"/>
          <w:color w:val="000000"/>
          <w:sz w:val="24"/>
          <w:szCs w:val="24"/>
        </w:rPr>
        <w:lastRenderedPageBreak/>
        <w:t>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14:paraId="4A860F7A"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Извършени допълнителни оценки, ако е приложимо</w:t>
      </w:r>
    </w:p>
    <w:p w14:paraId="140CA918"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14:paraId="44BFB52A" w14:textId="77777777" w:rsidR="00995702" w:rsidRPr="005E2E76" w:rsidRDefault="00995702" w:rsidP="003F1D1D">
      <w:pPr>
        <w:pStyle w:val="ListParagraph"/>
        <w:numPr>
          <w:ilvl w:val="0"/>
          <w:numId w:val="17"/>
        </w:numPr>
        <w:shd w:val="clear" w:color="auto" w:fill="FFFFFF"/>
        <w:spacing w:before="120" w:after="0" w:line="240" w:lineRule="auto"/>
        <w:jc w:val="both"/>
        <w:rPr>
          <w:rFonts w:ascii="Times New Roman" w:eastAsia="Times New Roman" w:hAnsi="Times New Roman" w:cs="Times New Roman"/>
          <w:b/>
          <w:bCs/>
          <w:color w:val="000000"/>
          <w:sz w:val="24"/>
          <w:szCs w:val="24"/>
        </w:rPr>
      </w:pPr>
      <w:bookmarkStart w:id="33" w:name="_Toc135995225"/>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bookmarkEnd w:id="33"/>
    </w:p>
    <w:p w14:paraId="0995F5FC"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Е.1.   </w:t>
      </w:r>
      <w:r w:rsidRPr="005B30FA">
        <w:rPr>
          <w:rFonts w:ascii="inherit" w:eastAsia="Times New Roman" w:hAnsi="inherit" w:cs="Times New Roman"/>
          <w:b/>
          <w:bCs/>
          <w:color w:val="000000"/>
          <w:sz w:val="24"/>
          <w:szCs w:val="24"/>
        </w:rPr>
        <w:t>Съгласуваност на проекта с политиката в областта на околната среда</w:t>
      </w:r>
    </w:p>
    <w:p w14:paraId="590A8356"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Е.1.1   </w:t>
      </w:r>
      <w:r w:rsidRPr="005B30FA">
        <w:rPr>
          <w:rFonts w:ascii="inherit" w:eastAsia="Times New Roman" w:hAnsi="inherit" w:cs="Times New Roman"/>
          <w:i/>
          <w:iCs/>
          <w:color w:val="000000"/>
          <w:sz w:val="24"/>
          <w:szCs w:val="24"/>
        </w:rPr>
        <w:t>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екосистемните услуги, намаляване на емисиите на парникови газове, както и устойчивост по отношение на въздействията на изменението на климата и др.).</w:t>
      </w:r>
    </w:p>
    <w:p w14:paraId="035D5C5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Е.1.2   </w:t>
      </w:r>
      <w:r w:rsidRPr="005B30FA">
        <w:rPr>
          <w:rFonts w:ascii="inherit" w:eastAsia="Times New Roman" w:hAnsi="inherit" w:cs="Times New Roman"/>
          <w:i/>
          <w:iCs/>
          <w:color w:val="000000"/>
          <w:sz w:val="24"/>
          <w:szCs w:val="24"/>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14:paraId="2FABAD14"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Е.2.   </w:t>
      </w:r>
      <w:r w:rsidRPr="005B30FA">
        <w:rPr>
          <w:rFonts w:ascii="inherit" w:eastAsia="Times New Roman" w:hAnsi="inherit" w:cs="Times New Roman"/>
          <w:b/>
          <w:bCs/>
          <w:color w:val="000000"/>
          <w:sz w:val="24"/>
          <w:szCs w:val="24"/>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СЕО“)</w:t>
      </w:r>
    </w:p>
    <w:p w14:paraId="681B9255"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Е.2.1   </w:t>
      </w:r>
      <w:r w:rsidRPr="005B30FA">
        <w:rPr>
          <w:rFonts w:ascii="inherit" w:eastAsia="Times New Roman" w:hAnsi="inherit" w:cs="Times New Roman"/>
          <w:i/>
          <w:iCs/>
          <w:color w:val="000000"/>
          <w:sz w:val="24"/>
          <w:szCs w:val="24"/>
        </w:rPr>
        <w:t xml:space="preserve">Проектът изпълнен ли е в резултат на план или програма, различни от оперативна програма?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15C6DBAC"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C9BE52"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96F16E"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BB8F828"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14DF4A"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8E61B65"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Е.2.2.   </w:t>
      </w:r>
      <w:r w:rsidRPr="005B30FA">
        <w:rPr>
          <w:rFonts w:ascii="inherit" w:eastAsia="Times New Roman" w:hAnsi="inherit" w:cs="Times New Roman"/>
          <w:i/>
          <w:iCs/>
          <w:color w:val="000000"/>
          <w:sz w:val="24"/>
          <w:szCs w:val="24"/>
        </w:rPr>
        <w:t xml:space="preserve">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16A59DA0"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EB5B739"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42F521"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FC2AA5C"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0E6E2D"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A9CBE8A"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9"/>
        <w:gridCol w:w="9177"/>
      </w:tblGrid>
      <w:tr w:rsidR="00995702" w:rsidRPr="005B30FA" w14:paraId="0696858B" w14:textId="77777777" w:rsidTr="001D1A3C">
        <w:trPr>
          <w:tblCellSpacing w:w="0" w:type="dxa"/>
        </w:trPr>
        <w:tc>
          <w:tcPr>
            <w:tcW w:w="0" w:type="auto"/>
            <w:shd w:val="clear" w:color="auto" w:fill="FFFFFF"/>
            <w:hideMark/>
          </w:tcPr>
          <w:p w14:paraId="1A46B5E9"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25BD7633"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представете кратко обяснение:</w:t>
            </w:r>
          </w:p>
          <w:p w14:paraId="706C5219" w14:textId="77777777" w:rsidR="00995702" w:rsidRPr="005B30FA" w:rsidRDefault="00995702" w:rsidP="001D1A3C">
            <w:pPr>
              <w:spacing w:after="0" w:line="240" w:lineRule="auto"/>
              <w:rPr>
                <w:rFonts w:ascii="inherit" w:eastAsia="Times New Roman" w:hAnsi="inherit" w:cs="Times New Roman"/>
                <w:sz w:val="24"/>
                <w:szCs w:val="24"/>
              </w:rPr>
            </w:pPr>
          </w:p>
        </w:tc>
      </w:tr>
    </w:tbl>
    <w:p w14:paraId="578DCDBB"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995702" w:rsidRPr="005B30FA" w14:paraId="6FF9021F" w14:textId="77777777" w:rsidTr="001D1A3C">
        <w:trPr>
          <w:tblCellSpacing w:w="0" w:type="dxa"/>
        </w:trPr>
        <w:tc>
          <w:tcPr>
            <w:tcW w:w="0" w:type="auto"/>
            <w:shd w:val="clear" w:color="auto" w:fill="FFFFFF"/>
            <w:hideMark/>
          </w:tcPr>
          <w:p w14:paraId="761A6D86"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6EE8B1C7"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представете нетехническото резюме</w:t>
            </w:r>
            <w:hyperlink r:id="rId19" w:anchor="ntr41-L_2015038BG.01001101-E0041" w:history="1">
              <w:r w:rsidRPr="005B30FA">
                <w:rPr>
                  <w:rFonts w:ascii="inherit" w:eastAsia="Times New Roman" w:hAnsi="inherit" w:cs="Times New Roman"/>
                  <w:color w:val="0000FF"/>
                  <w:sz w:val="24"/>
                  <w:szCs w:val="24"/>
                  <w:u w:val="single"/>
                </w:rPr>
                <w:t> </w:t>
              </w:r>
            </w:hyperlink>
            <w:r w:rsidRPr="005B30FA">
              <w:rPr>
                <w:rFonts w:ascii="inherit" w:eastAsia="Times New Roman" w:hAnsi="inherit" w:cs="Times New Roman"/>
                <w:sz w:val="24"/>
                <w:szCs w:val="24"/>
              </w:rPr>
              <w:t xml:space="preserve">на доклада относно околната среда, както и информацията, изисквана по член 9, параграф 1, буква б) от посочената директива (или връзка към </w:t>
            </w:r>
            <w:r>
              <w:rPr>
                <w:rFonts w:ascii="inherit" w:eastAsia="Times New Roman" w:hAnsi="inherit" w:cs="Times New Roman"/>
                <w:sz w:val="24"/>
                <w:szCs w:val="24"/>
              </w:rPr>
              <w:t>уебсайт, или електронно копие).</w:t>
            </w:r>
          </w:p>
        </w:tc>
      </w:tr>
    </w:tbl>
    <w:p w14:paraId="3ED34F94"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   </w:t>
      </w:r>
      <w:r w:rsidRPr="005B30FA">
        <w:rPr>
          <w:rFonts w:ascii="inherit" w:eastAsia="Times New Roman" w:hAnsi="inherit" w:cs="Times New Roman"/>
          <w:b/>
          <w:bCs/>
          <w:color w:val="000000"/>
          <w:sz w:val="24"/>
          <w:szCs w:val="24"/>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ОВОС“)</w:t>
      </w:r>
    </w:p>
    <w:p w14:paraId="4BA0C565"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Е.3.2   </w:t>
      </w:r>
      <w:r w:rsidRPr="005B30FA">
        <w:rPr>
          <w:rFonts w:ascii="inherit" w:eastAsia="Times New Roman" w:hAnsi="inherit" w:cs="Times New Roman"/>
          <w:i/>
          <w:iCs/>
          <w:color w:val="000000"/>
          <w:sz w:val="24"/>
          <w:szCs w:val="24"/>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3"/>
        <w:gridCol w:w="9193"/>
      </w:tblGrid>
      <w:tr w:rsidR="00995702" w:rsidRPr="005B30FA" w14:paraId="4EC815E6" w14:textId="77777777" w:rsidTr="001D1A3C">
        <w:trPr>
          <w:tblCellSpacing w:w="0" w:type="dxa"/>
        </w:trPr>
        <w:tc>
          <w:tcPr>
            <w:tcW w:w="0" w:type="auto"/>
            <w:shd w:val="clear" w:color="auto" w:fill="FFFFFF"/>
            <w:hideMark/>
          </w:tcPr>
          <w:p w14:paraId="71C18B5B"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290C0FD5"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 към Директивата за ОВОС (преминете към въпрос Е.3.3)</w:t>
            </w:r>
          </w:p>
        </w:tc>
      </w:tr>
    </w:tbl>
    <w:p w14:paraId="6CFD093F"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96"/>
      </w:tblGrid>
      <w:tr w:rsidR="00995702" w:rsidRPr="005B30FA" w14:paraId="07AA4D4A" w14:textId="77777777" w:rsidTr="001D1A3C">
        <w:trPr>
          <w:tblCellSpacing w:w="0" w:type="dxa"/>
        </w:trPr>
        <w:tc>
          <w:tcPr>
            <w:tcW w:w="0" w:type="auto"/>
            <w:shd w:val="clear" w:color="auto" w:fill="FFFFFF"/>
            <w:hideMark/>
          </w:tcPr>
          <w:p w14:paraId="425896EB"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w:t>
            </w:r>
          </w:p>
        </w:tc>
        <w:tc>
          <w:tcPr>
            <w:tcW w:w="0" w:type="auto"/>
            <w:shd w:val="clear" w:color="auto" w:fill="FFFFFF"/>
            <w:hideMark/>
          </w:tcPr>
          <w:p w14:paraId="5BA297E7"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II към Директивата за ОВОС (преминете към въпрос Е.3.4)</w:t>
            </w:r>
          </w:p>
        </w:tc>
      </w:tr>
    </w:tbl>
    <w:p w14:paraId="2B63D797"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7"/>
        <w:gridCol w:w="9249"/>
      </w:tblGrid>
      <w:tr w:rsidR="00995702" w:rsidRPr="005B30FA" w14:paraId="6783F66F" w14:textId="77777777" w:rsidTr="001D1A3C">
        <w:trPr>
          <w:tblCellSpacing w:w="0" w:type="dxa"/>
        </w:trPr>
        <w:tc>
          <w:tcPr>
            <w:tcW w:w="0" w:type="auto"/>
            <w:shd w:val="clear" w:color="auto" w:fill="FFFFFF"/>
            <w:hideMark/>
          </w:tcPr>
          <w:p w14:paraId="30528F2D"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6A4B8A96"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нито едно от двете приложения (преминете към въпрос Е.4) — моля, пояснете по-долу:</w:t>
            </w:r>
          </w:p>
          <w:p w14:paraId="6F108324" w14:textId="77777777" w:rsidR="00995702" w:rsidRPr="005B30FA" w:rsidRDefault="00995702" w:rsidP="001D1A3C">
            <w:pPr>
              <w:spacing w:after="0" w:line="240" w:lineRule="auto"/>
              <w:rPr>
                <w:rFonts w:ascii="inherit" w:eastAsia="Times New Roman" w:hAnsi="inherit" w:cs="Times New Roman"/>
                <w:sz w:val="24"/>
                <w:szCs w:val="24"/>
              </w:rPr>
            </w:pPr>
          </w:p>
        </w:tc>
      </w:tr>
    </w:tbl>
    <w:p w14:paraId="4C91F1FD"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Е.3.3   </w:t>
      </w:r>
      <w:r w:rsidRPr="005B30FA">
        <w:rPr>
          <w:rFonts w:ascii="inherit" w:eastAsia="Times New Roman" w:hAnsi="inherit" w:cs="Times New Roman"/>
          <w:i/>
          <w:iCs/>
          <w:color w:val="000000"/>
          <w:sz w:val="24"/>
          <w:szCs w:val="24"/>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inherit" w:eastAsia="Times New Roman" w:hAnsi="inherit" w:cs="Times New Roman"/>
          <w:color w:val="0000FF"/>
          <w:sz w:val="24"/>
          <w:szCs w:val="24"/>
          <w:u w:val="single"/>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1"/>
        <w:gridCol w:w="9115"/>
      </w:tblGrid>
      <w:tr w:rsidR="00995702" w:rsidRPr="005B30FA" w14:paraId="28E0EEE7" w14:textId="77777777" w:rsidTr="001D1A3C">
        <w:trPr>
          <w:tblCellSpacing w:w="0" w:type="dxa"/>
        </w:trPr>
        <w:tc>
          <w:tcPr>
            <w:tcW w:w="0" w:type="auto"/>
            <w:shd w:val="clear" w:color="auto" w:fill="FFFFFF"/>
            <w:hideMark/>
          </w:tcPr>
          <w:p w14:paraId="15FD65CF"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shd w:val="clear" w:color="auto" w:fill="FFFFFF"/>
            <w:hideMark/>
          </w:tcPr>
          <w:p w14:paraId="35376315"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Нетехническо резюме на доклада за ОВОС.</w:t>
            </w:r>
          </w:p>
        </w:tc>
      </w:tr>
    </w:tbl>
    <w:p w14:paraId="5839D854"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93"/>
      </w:tblGrid>
      <w:tr w:rsidR="00995702" w:rsidRPr="005B30FA" w14:paraId="30B2D666" w14:textId="77777777" w:rsidTr="001D1A3C">
        <w:trPr>
          <w:tblCellSpacing w:w="0" w:type="dxa"/>
        </w:trPr>
        <w:tc>
          <w:tcPr>
            <w:tcW w:w="0" w:type="auto"/>
            <w:shd w:val="clear" w:color="auto" w:fill="FFFFFF"/>
            <w:hideMark/>
          </w:tcPr>
          <w:p w14:paraId="3E2CE223"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shd w:val="clear" w:color="auto" w:fill="FFFFFF"/>
            <w:hideMark/>
          </w:tcPr>
          <w:p w14:paraId="5AEC2777"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14:paraId="57D7DC8C"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302"/>
      </w:tblGrid>
      <w:tr w:rsidR="00995702" w:rsidRPr="005B30FA" w14:paraId="0E8C5C51" w14:textId="77777777" w:rsidTr="001D1A3C">
        <w:trPr>
          <w:tblCellSpacing w:w="0" w:type="dxa"/>
        </w:trPr>
        <w:tc>
          <w:tcPr>
            <w:tcW w:w="0" w:type="auto"/>
            <w:shd w:val="clear" w:color="auto" w:fill="FFFFFF"/>
            <w:hideMark/>
          </w:tcPr>
          <w:p w14:paraId="0F34CA5E"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0" w:type="auto"/>
            <w:shd w:val="clear" w:color="auto" w:fill="FFFFFF"/>
            <w:hideMark/>
          </w:tcPr>
          <w:p w14:paraId="77443403"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издадено в съответствие с членове 8 и 9 от Директивата за ОВОС, включително информация за това как е било предоставено на разположение на обществеността.</w:t>
            </w:r>
          </w:p>
        </w:tc>
      </w:tr>
    </w:tbl>
    <w:p w14:paraId="39BE4167"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Е.3.4   </w:t>
      </w:r>
      <w:r w:rsidRPr="005B30FA">
        <w:rPr>
          <w:rFonts w:ascii="inherit" w:eastAsia="Times New Roman" w:hAnsi="inherit" w:cs="Times New Roman"/>
          <w:i/>
          <w:iCs/>
          <w:color w:val="000000"/>
          <w:sz w:val="24"/>
          <w:szCs w:val="24"/>
        </w:rPr>
        <w:t xml:space="preserve">Ако проектът е в обхвата на приложение II към Директивата за ОВОС, извършена ли е ОВОС?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03A64EBC"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DFEC2D"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74596E"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97BE0E"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630AE8"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E273DB8"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995702" w:rsidRPr="005B30FA" w14:paraId="06BF2DF7" w14:textId="77777777" w:rsidTr="001D1A3C">
        <w:trPr>
          <w:tblCellSpacing w:w="0" w:type="dxa"/>
        </w:trPr>
        <w:tc>
          <w:tcPr>
            <w:tcW w:w="0" w:type="auto"/>
            <w:shd w:val="clear" w:color="auto" w:fill="FFFFFF"/>
            <w:hideMark/>
          </w:tcPr>
          <w:p w14:paraId="627770E4"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1B32CBBF"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приложете необходимите документи, изброени в точка Е.3.3.</w:t>
            </w:r>
          </w:p>
        </w:tc>
      </w:tr>
    </w:tbl>
    <w:p w14:paraId="6F530C75"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995702" w:rsidRPr="005B30FA" w14:paraId="36FE614F" w14:textId="77777777" w:rsidTr="001D1A3C">
        <w:trPr>
          <w:tblCellSpacing w:w="0" w:type="dxa"/>
        </w:trPr>
        <w:tc>
          <w:tcPr>
            <w:tcW w:w="0" w:type="auto"/>
            <w:shd w:val="clear" w:color="auto" w:fill="FFFFFF"/>
            <w:hideMark/>
          </w:tcPr>
          <w:p w14:paraId="6011D964"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27CDB8F5"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9069"/>
            </w:tblGrid>
            <w:tr w:rsidR="00995702" w:rsidRPr="005B30FA" w14:paraId="4235D0C0" w14:textId="77777777" w:rsidTr="001D1A3C">
              <w:trPr>
                <w:tblCellSpacing w:w="0" w:type="dxa"/>
              </w:trPr>
              <w:tc>
                <w:tcPr>
                  <w:tcW w:w="0" w:type="auto"/>
                  <w:hideMark/>
                </w:tcPr>
                <w:p w14:paraId="1A3D4A80"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3C5FCC85"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определянето, което се изисква в член 4, параграф 4 от Директивата за ОВОС (т.нар. „решение за скрининг“).</w:t>
                  </w:r>
                </w:p>
              </w:tc>
            </w:tr>
          </w:tbl>
          <w:p w14:paraId="259625B3" w14:textId="77777777" w:rsidR="00995702" w:rsidRPr="005B30FA" w:rsidRDefault="00995702" w:rsidP="001D1A3C">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53"/>
            </w:tblGrid>
            <w:tr w:rsidR="00995702" w:rsidRPr="005B30FA" w14:paraId="0165C6CA" w14:textId="77777777" w:rsidTr="001D1A3C">
              <w:trPr>
                <w:tblCellSpacing w:w="0" w:type="dxa"/>
              </w:trPr>
              <w:tc>
                <w:tcPr>
                  <w:tcW w:w="0" w:type="auto"/>
                  <w:hideMark/>
                </w:tcPr>
                <w:p w14:paraId="0C31169A"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523CCBDD"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14:paraId="3887DD45" w14:textId="77777777" w:rsidR="00995702" w:rsidRPr="005B30FA" w:rsidRDefault="00995702" w:rsidP="001D1A3C">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328"/>
              <w:gridCol w:w="8928"/>
            </w:tblGrid>
            <w:tr w:rsidR="00995702" w:rsidRPr="005B30FA" w14:paraId="7653E66B" w14:textId="77777777" w:rsidTr="001D1A3C">
              <w:trPr>
                <w:tblCellSpacing w:w="0" w:type="dxa"/>
              </w:trPr>
              <w:tc>
                <w:tcPr>
                  <w:tcW w:w="177" w:type="pct"/>
                  <w:hideMark/>
                </w:tcPr>
                <w:p w14:paraId="4F406826"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4823" w:type="pct"/>
                  <w:hideMark/>
                </w:tcPr>
                <w:p w14:paraId="74E85510"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14:paraId="10145029" w14:textId="77777777" w:rsidR="00995702" w:rsidRPr="005B30FA" w:rsidRDefault="00995702" w:rsidP="001D1A3C">
                  <w:pPr>
                    <w:spacing w:after="0" w:line="240" w:lineRule="auto"/>
                    <w:rPr>
                      <w:rFonts w:ascii="inherit" w:eastAsia="Times New Roman" w:hAnsi="inherit" w:cs="Times New Roman"/>
                      <w:sz w:val="24"/>
                      <w:szCs w:val="24"/>
                    </w:rPr>
                  </w:pPr>
                </w:p>
              </w:tc>
            </w:tr>
          </w:tbl>
          <w:p w14:paraId="0BBB998D" w14:textId="77777777" w:rsidR="00995702" w:rsidRPr="005B30FA" w:rsidRDefault="00995702" w:rsidP="001D1A3C">
            <w:pPr>
              <w:spacing w:after="0" w:line="240" w:lineRule="auto"/>
              <w:rPr>
                <w:rFonts w:ascii="inherit" w:eastAsia="Times New Roman" w:hAnsi="inherit" w:cs="Times New Roman"/>
                <w:sz w:val="24"/>
                <w:szCs w:val="24"/>
              </w:rPr>
            </w:pPr>
          </w:p>
        </w:tc>
      </w:tr>
    </w:tbl>
    <w:p w14:paraId="57E7D82F"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Е.3.5   </w:t>
      </w:r>
      <w:r w:rsidRPr="005B30FA">
        <w:rPr>
          <w:rFonts w:ascii="inherit" w:eastAsia="Times New Roman" w:hAnsi="inherit" w:cs="Times New Roman"/>
          <w:b/>
          <w:bCs/>
          <w:i/>
          <w:iCs/>
          <w:color w:val="000000"/>
          <w:sz w:val="24"/>
          <w:szCs w:val="24"/>
        </w:rPr>
        <w:t>Разрешение за осъществяване/разрешение за строителство (ако е приложимо)</w:t>
      </w:r>
    </w:p>
    <w:p w14:paraId="745D5DA9"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rPr>
        <w:t xml:space="preserve">?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00"/>
        <w:gridCol w:w="1870"/>
        <w:gridCol w:w="2440"/>
        <w:gridCol w:w="1870"/>
      </w:tblGrid>
      <w:tr w:rsidR="00995702" w:rsidRPr="005B30FA" w14:paraId="0D116EB5"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DF0D63"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116582"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A6FFE33"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577B96D"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0D0BCA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 xml:space="preserve">Е.3.5.2.   Има вече издадено разрешение за осъществяване/разрешение за строителство за този проект (за поне един договор за строителство)?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485"/>
        <w:gridCol w:w="1968"/>
        <w:gridCol w:w="3059"/>
        <w:gridCol w:w="1968"/>
      </w:tblGrid>
      <w:tr w:rsidR="00995702" w:rsidRPr="005B30FA" w14:paraId="670A0C7D"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E1C3D6"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229DB7"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095F6E" w14:textId="27A07974" w:rsidR="00995702" w:rsidRPr="005B30FA" w:rsidRDefault="00995702" w:rsidP="001C2572">
            <w:pPr>
              <w:spacing w:before="60" w:after="60" w:line="240" w:lineRule="auto"/>
              <w:rPr>
                <w:rFonts w:ascii="inherit" w:eastAsia="Times New Roman" w:hAnsi="inherit" w:cs="Times New Roman"/>
              </w:rPr>
            </w:pPr>
            <w:r w:rsidRPr="005B30FA">
              <w:rPr>
                <w:rFonts w:ascii="inherit" w:eastAsia="Times New Roman" w:hAnsi="inherit" w:cs="Times New Roman"/>
              </w:rPr>
              <w:t>Не</w:t>
            </w:r>
            <w:r w:rsidRPr="005B30FA">
              <w:rPr>
                <w:rFonts w:ascii="inherit" w:eastAsia="Times New Roman" w:hAnsi="inherit" w:cs="Times New Roman"/>
                <w:color w:val="0000FF"/>
                <w:u w:val="single"/>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9ED2CF"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78E0795"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Е.3.5.3.   Ако отговорът (на въпрос Е.3.5.2) е утвърдителен, посочете дата</w:t>
      </w:r>
    </w:p>
    <w:p w14:paraId="6EC58F61"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Е.3.5.4.   Ако отговорът (на въпрос Е.3.5.2) е отрицателен, кога е подадено официалното заявление за разрешение за осъществяване?</w:t>
      </w:r>
    </w:p>
    <w:p w14:paraId="2C1A7B8B"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Е.3.5.5.   Ако отговорът (на въпрос Е.3.5.2) е отрицателен, посочете административните стъпки до момента и опишете оставащите:</w:t>
      </w:r>
    </w:p>
    <w:p w14:paraId="0F024E5A"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Е.3.5.6.   До коя дата се очаква окончателното решение (или решения)?</w:t>
      </w:r>
    </w:p>
    <w:p w14:paraId="668497C7"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Е.3.5.7.   Посочете компетентния орган (или органи), които са издали или ще издадат разрешението за осъществяване:</w:t>
      </w:r>
    </w:p>
    <w:p w14:paraId="07BF9945"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Е.4.   </w:t>
      </w:r>
      <w:r w:rsidRPr="005B30FA">
        <w:rPr>
          <w:rFonts w:ascii="inherit" w:eastAsia="Times New Roman" w:hAnsi="inherit" w:cs="Times New Roman"/>
          <w:b/>
          <w:bCs/>
          <w:color w:val="000000"/>
          <w:sz w:val="24"/>
          <w:szCs w:val="24"/>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местообитанията); оценка на въздействието върху обектите по „Натура 2000“</w:t>
      </w:r>
    </w:p>
    <w:p w14:paraId="5C6795BA"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Е.4.1.   </w:t>
      </w:r>
      <w:r w:rsidRPr="005B30FA">
        <w:rPr>
          <w:rFonts w:ascii="inherit" w:eastAsia="Times New Roman" w:hAnsi="inherit" w:cs="Times New Roman"/>
          <w:i/>
          <w:iCs/>
          <w:color w:val="000000"/>
          <w:sz w:val="24"/>
          <w:szCs w:val="24"/>
        </w:rPr>
        <w:t xml:space="preserve">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319A7FF2"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E7DA1D"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5A74056"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5BE6C0"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B046D8"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F2B3897"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Е.4.2   </w:t>
      </w:r>
      <w:r w:rsidRPr="005B30FA">
        <w:rPr>
          <w:rFonts w:ascii="inherit" w:eastAsia="Times New Roman" w:hAnsi="inherit" w:cs="Times New Roman"/>
          <w:i/>
          <w:iCs/>
          <w:color w:val="000000"/>
          <w:sz w:val="24"/>
          <w:szCs w:val="24"/>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995702" w:rsidRPr="005B30FA" w14:paraId="70312144" w14:textId="77777777" w:rsidTr="001D1A3C">
        <w:trPr>
          <w:tblCellSpacing w:w="0" w:type="dxa"/>
        </w:trPr>
        <w:tc>
          <w:tcPr>
            <w:tcW w:w="0" w:type="auto"/>
            <w:shd w:val="clear" w:color="auto" w:fill="FFFFFF"/>
            <w:hideMark/>
          </w:tcPr>
          <w:p w14:paraId="0826ABE3"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shd w:val="clear" w:color="auto" w:fill="FFFFFF"/>
            <w:hideMark/>
          </w:tcPr>
          <w:p w14:paraId="4E9CCB53"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w:t>
            </w:r>
            <w:r w:rsidRPr="005B30FA">
              <w:rPr>
                <w:rFonts w:ascii="inherit" w:eastAsia="Times New Roman" w:hAnsi="inherit" w:cs="Times New Roman"/>
                <w:sz w:val="24"/>
                <w:szCs w:val="24"/>
                <w:u w:val="single"/>
              </w:rPr>
              <w:t>и</w:t>
            </w:r>
            <w:r w:rsidRPr="005B30FA">
              <w:rPr>
                <w:rFonts w:ascii="inherit" w:eastAsia="Times New Roman" w:hAnsi="inherit" w:cs="Times New Roman"/>
                <w:sz w:val="24"/>
                <w:szCs w:val="24"/>
              </w:rPr>
              <w:t> съответната оценка, извършена в съответствие с член 6, параграф 3 от Директивата за местообитанията;</w:t>
            </w:r>
          </w:p>
        </w:tc>
      </w:tr>
    </w:tbl>
    <w:p w14:paraId="27D6200C" w14:textId="77777777" w:rsidR="00995702" w:rsidRPr="005B30FA" w:rsidRDefault="00995702" w:rsidP="0099570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995702" w:rsidRPr="005B30FA" w14:paraId="22661FDF" w14:textId="77777777" w:rsidTr="001D1A3C">
        <w:trPr>
          <w:tblCellSpacing w:w="0" w:type="dxa"/>
        </w:trPr>
        <w:tc>
          <w:tcPr>
            <w:tcW w:w="0" w:type="auto"/>
            <w:shd w:val="clear" w:color="auto" w:fill="FFFFFF"/>
            <w:hideMark/>
          </w:tcPr>
          <w:p w14:paraId="5C982707"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shd w:val="clear" w:color="auto" w:fill="FFFFFF"/>
            <w:hideMark/>
          </w:tcPr>
          <w:p w14:paraId="541E19FF"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9029"/>
            </w:tblGrid>
            <w:tr w:rsidR="00995702" w:rsidRPr="005B30FA" w14:paraId="5F6629D5" w14:textId="77777777" w:rsidTr="001D1A3C">
              <w:trPr>
                <w:tblCellSpacing w:w="0" w:type="dxa"/>
              </w:trPr>
              <w:tc>
                <w:tcPr>
                  <w:tcW w:w="0" w:type="auto"/>
                  <w:hideMark/>
                </w:tcPr>
                <w:p w14:paraId="21D83F67"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00051E40"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Копие от стандартния формуляр за нотификация „Информация до Европейската комисия съгласно член 6, параграф 4 от Директивата за местообитанията, изпратен до Комисията (ГД „Околна среда“) и/или;</w:t>
                  </w:r>
                </w:p>
              </w:tc>
            </w:tr>
          </w:tbl>
          <w:p w14:paraId="6D5FAD24" w14:textId="77777777" w:rsidR="00995702" w:rsidRPr="005B30FA" w:rsidRDefault="00995702" w:rsidP="001D1A3C">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13"/>
            </w:tblGrid>
            <w:tr w:rsidR="00995702" w:rsidRPr="005B30FA" w14:paraId="53B7CC1D" w14:textId="77777777" w:rsidTr="001D1A3C">
              <w:trPr>
                <w:tblCellSpacing w:w="0" w:type="dxa"/>
              </w:trPr>
              <w:tc>
                <w:tcPr>
                  <w:tcW w:w="0" w:type="auto"/>
                  <w:hideMark/>
                </w:tcPr>
                <w:p w14:paraId="0A8220D6"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3D3274CE" w14:textId="77777777" w:rsidR="00995702" w:rsidRPr="005B30FA" w:rsidRDefault="00995702" w:rsidP="001D1A3C">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14:paraId="4D1E671A" w14:textId="77777777" w:rsidR="00995702" w:rsidRPr="005B30FA" w:rsidRDefault="00995702" w:rsidP="001D1A3C">
            <w:pPr>
              <w:spacing w:after="0" w:line="240" w:lineRule="auto"/>
              <w:rPr>
                <w:rFonts w:ascii="inherit" w:eastAsia="Times New Roman" w:hAnsi="inherit" w:cs="Times New Roman"/>
                <w:sz w:val="24"/>
                <w:szCs w:val="24"/>
              </w:rPr>
            </w:pPr>
          </w:p>
        </w:tc>
      </w:tr>
    </w:tbl>
    <w:p w14:paraId="42E1762B"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Е.4.3   </w:t>
      </w:r>
      <w:r w:rsidRPr="005B30FA">
        <w:rPr>
          <w:rFonts w:ascii="inherit" w:eastAsia="Times New Roman" w:hAnsi="inherit" w:cs="Times New Roman"/>
          <w:i/>
          <w:iCs/>
          <w:color w:val="000000"/>
          <w:sz w:val="24"/>
          <w:szCs w:val="24"/>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5E7F2663"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lastRenderedPageBreak/>
        <w:t>Е.5.   </w:t>
      </w:r>
      <w:r w:rsidRPr="005B30FA">
        <w:rPr>
          <w:rFonts w:ascii="inherit" w:eastAsia="Times New Roman" w:hAnsi="inherit" w:cs="Times New Roman"/>
          <w:b/>
          <w:bCs/>
          <w:color w:val="000000"/>
          <w:sz w:val="24"/>
          <w:szCs w:val="24"/>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(„Рамковата директива за водите“); оценка на въздействието върху водните обекти</w:t>
      </w:r>
    </w:p>
    <w:p w14:paraId="4EF08AD7"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   </w:t>
      </w:r>
      <w:r w:rsidRPr="005B30FA">
        <w:rPr>
          <w:rFonts w:ascii="inherit" w:eastAsia="Times New Roman" w:hAnsi="inherit" w:cs="Times New Roman"/>
          <w:i/>
          <w:iCs/>
          <w:color w:val="000000"/>
          <w:sz w:val="24"/>
          <w:szCs w:val="24"/>
        </w:rPr>
        <w:t xml:space="preserve">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022F9855"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D0B4300"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166298"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D123FB"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5E27F4"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6F39C70"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14:paraId="7AC5714B"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14:paraId="03983DB7"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02844583"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Е.5.3   </w:t>
      </w:r>
      <w:r w:rsidRPr="005B30FA">
        <w:rPr>
          <w:rFonts w:ascii="inherit" w:eastAsia="Times New Roman" w:hAnsi="inherit" w:cs="Times New Roman"/>
          <w:i/>
          <w:iCs/>
          <w:color w:val="000000"/>
          <w:sz w:val="24"/>
          <w:szCs w:val="24"/>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14:paraId="276B76A0"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Е.7.   </w:t>
      </w:r>
      <w:r w:rsidRPr="005B30FA">
        <w:rPr>
          <w:rFonts w:ascii="inherit" w:eastAsia="Times New Roman" w:hAnsi="inherit" w:cs="Times New Roman"/>
          <w:b/>
          <w:bCs/>
          <w:color w:val="000000"/>
          <w:sz w:val="24"/>
          <w:szCs w:val="24"/>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14:paraId="60B2AF44" w14:textId="77777777" w:rsidR="00995702" w:rsidRDefault="00995702" w:rsidP="0099570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Times New Roman" w:eastAsia="Times New Roman" w:hAnsi="Times New Roman" w:cs="Times New Roman"/>
          <w:color w:val="000000"/>
          <w:sz w:val="24"/>
          <w:szCs w:val="24"/>
        </w:rPr>
        <w:t>Е.7.1.   </w:t>
      </w:r>
      <w:r w:rsidRPr="005B30FA">
        <w:rPr>
          <w:rFonts w:ascii="inherit" w:eastAsia="Times New Roman" w:hAnsi="inherit" w:cs="Times New Roman"/>
          <w:i/>
          <w:iCs/>
          <w:color w:val="000000"/>
          <w:sz w:val="24"/>
          <w:szCs w:val="24"/>
        </w:rPr>
        <w:t xml:space="preserve">Ако има такива разходи, те включени ли са в анализа на разходите и ползите? </w:t>
      </w:r>
    </w:p>
    <w:p w14:paraId="41FABE10"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995702" w:rsidRPr="005B30FA" w14:paraId="1AE95016"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5A370A"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FE628F"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17DF50"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EDEF853" w14:textId="77777777" w:rsidR="00995702" w:rsidRPr="005B30FA" w:rsidRDefault="00995702" w:rsidP="001D1A3C">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3B21DDC"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Е.7.2.   </w:t>
      </w:r>
      <w:r w:rsidRPr="005B30FA">
        <w:rPr>
          <w:rFonts w:ascii="inherit" w:eastAsia="Times New Roman" w:hAnsi="inherit" w:cs="Times New Roman"/>
          <w:i/>
          <w:iCs/>
          <w:color w:val="000000"/>
          <w:sz w:val="24"/>
          <w:szCs w:val="24"/>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71"/>
        <w:gridCol w:w="8409"/>
      </w:tblGrid>
      <w:tr w:rsidR="00995702" w:rsidRPr="005B30FA" w14:paraId="5DE16FE0" w14:textId="77777777" w:rsidTr="001D1A3C">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30276F" w14:textId="77777777" w:rsidR="00995702" w:rsidRPr="005B30FA" w:rsidRDefault="00995702" w:rsidP="001D1A3C">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4965B51A" w14:textId="77777777" w:rsidR="00995702" w:rsidRPr="005B30FA" w:rsidRDefault="00995702" w:rsidP="001D1A3C">
            <w:pPr>
              <w:spacing w:before="60" w:after="60" w:line="240" w:lineRule="auto"/>
              <w:rPr>
                <w:rFonts w:ascii="inherit" w:eastAsia="Times New Roman" w:hAnsi="inherit" w:cs="Times New Roman"/>
              </w:rPr>
            </w:pPr>
            <w:r>
              <w:rPr>
                <w:rFonts w:ascii="inherit" w:eastAsia="Times New Roman" w:hAnsi="inherit" w:cs="Times New Roman"/>
              </w:rPr>
              <w:t>…………………..</w:t>
            </w:r>
          </w:p>
        </w:tc>
      </w:tr>
    </w:tbl>
    <w:p w14:paraId="2C8DBE8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обяснете накратко мерките</w:t>
      </w:r>
    </w:p>
    <w:p w14:paraId="54D29522" w14:textId="77777777" w:rsidR="00995702" w:rsidRPr="005B30FA" w:rsidRDefault="00995702" w:rsidP="00995702">
      <w:pPr>
        <w:shd w:val="clear" w:color="auto" w:fill="FFFFFF"/>
        <w:spacing w:after="0" w:line="240" w:lineRule="auto"/>
        <w:rPr>
          <w:rFonts w:ascii="Times New Roman" w:eastAsia="Times New Roman" w:hAnsi="Times New Roman" w:cs="Times New Roman"/>
          <w:color w:val="000000"/>
          <w:sz w:val="24"/>
          <w:szCs w:val="24"/>
        </w:rPr>
      </w:pPr>
    </w:p>
    <w:p w14:paraId="2DB0289F" w14:textId="77777777" w:rsidR="00995702" w:rsidRPr="005B30FA" w:rsidRDefault="00995702" w:rsidP="0099570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Е.8.   </w:t>
      </w:r>
      <w:r w:rsidRPr="005B30FA">
        <w:rPr>
          <w:rFonts w:ascii="inherit" w:eastAsia="Times New Roman" w:hAnsi="inherit" w:cs="Times New Roman"/>
          <w:b/>
          <w:bCs/>
          <w:color w:val="000000"/>
          <w:sz w:val="24"/>
          <w:szCs w:val="24"/>
        </w:rPr>
        <w:t>Приспособяване към изменението на климата и смекчаване на последиците от него, както и устойчивост на бедствия</w:t>
      </w:r>
    </w:p>
    <w:p w14:paraId="5A132B7C"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Е.8.1.   </w:t>
      </w:r>
      <w:r w:rsidRPr="005B30FA">
        <w:rPr>
          <w:rFonts w:ascii="inherit" w:eastAsia="Times New Roman" w:hAnsi="inherit" w:cs="Times New Roman"/>
          <w:i/>
          <w:iCs/>
          <w:color w:val="000000"/>
          <w:sz w:val="24"/>
          <w:szCs w:val="24"/>
        </w:rPr>
        <w:t>Обяснете по какъв начин проектът допринася във връзка с борбата с изменението на климата,  като включите информация за разходите, свъ</w:t>
      </w:r>
      <w:r>
        <w:rPr>
          <w:rFonts w:ascii="inherit" w:eastAsia="Times New Roman" w:hAnsi="inherit" w:cs="Times New Roman"/>
          <w:i/>
          <w:iCs/>
          <w:color w:val="000000"/>
          <w:sz w:val="24"/>
          <w:szCs w:val="24"/>
        </w:rPr>
        <w:t>рзани с изменението на климата</w:t>
      </w:r>
    </w:p>
    <w:p w14:paraId="2C781814"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Е.8.2.   </w:t>
      </w:r>
      <w:r w:rsidRPr="005B30FA">
        <w:rPr>
          <w:rFonts w:ascii="inherit" w:eastAsia="Times New Roman" w:hAnsi="inherit" w:cs="Times New Roman"/>
          <w:i/>
          <w:iCs/>
          <w:color w:val="000000"/>
          <w:sz w:val="24"/>
          <w:szCs w:val="24"/>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14:paraId="16407D8D"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 </w:t>
      </w:r>
    </w:p>
    <w:p w14:paraId="431D4C3C"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Е.8.3.   </w:t>
      </w:r>
      <w:r w:rsidRPr="005B30FA">
        <w:rPr>
          <w:rFonts w:ascii="inherit" w:eastAsia="Times New Roman" w:hAnsi="inherit" w:cs="Times New Roman"/>
          <w:i/>
          <w:iCs/>
          <w:color w:val="000000"/>
          <w:sz w:val="24"/>
          <w:szCs w:val="24"/>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14:paraId="5602749C" w14:textId="77777777" w:rsidR="00995702" w:rsidRPr="005B30FA" w:rsidRDefault="00995702" w:rsidP="0099570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14:paraId="37406435" w14:textId="77777777" w:rsidR="00995702" w:rsidRPr="005E2E76" w:rsidRDefault="00995702" w:rsidP="003F1D1D">
      <w:pPr>
        <w:pStyle w:val="ListParagraph"/>
        <w:numPr>
          <w:ilvl w:val="0"/>
          <w:numId w:val="17"/>
        </w:numPr>
        <w:shd w:val="clear" w:color="auto" w:fill="FFFFFF"/>
        <w:spacing w:before="240" w:after="12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в</w:t>
      </w:r>
      <w:r w:rsidRPr="00B45B8A">
        <w:rPr>
          <w:rFonts w:ascii="Times New Roman" w:eastAsia="Times New Roman" w:hAnsi="Times New Roman" w:cs="Times New Roman"/>
          <w:bCs/>
          <w:color w:val="000000"/>
          <w:sz w:val="24"/>
          <w:szCs w:val="24"/>
        </w:rPr>
        <w:t xml:space="preserve"> поле</w:t>
      </w:r>
      <w:r w:rsidRPr="00B45B8A">
        <w:rPr>
          <w:rFonts w:ascii="Times New Roman" w:eastAsia="Times New Roman" w:hAnsi="Times New Roman" w:cs="Times New Roman"/>
          <w:b/>
          <w:bCs/>
          <w:color w:val="000000"/>
          <w:sz w:val="24"/>
          <w:szCs w:val="24"/>
        </w:rPr>
        <w:t xml:space="preserve"> </w:t>
      </w:r>
      <w:r w:rsidRPr="005E2E76">
        <w:rPr>
          <w:rFonts w:ascii="inherit" w:eastAsia="Times New Roman" w:hAnsi="inherit" w:cs="Times New Roman"/>
          <w:b/>
          <w:bCs/>
          <w:iCs/>
          <w:color w:val="000000"/>
          <w:sz w:val="24"/>
          <w:szCs w:val="24"/>
        </w:rPr>
        <w:t>Годишен план на общите допустими разходи за деклариране пред Комисията (финансов показател за мониторинг на напредъка)</w:t>
      </w:r>
      <w:r>
        <w:rPr>
          <w:rFonts w:ascii="inherit" w:eastAsia="Times New Roman" w:hAnsi="inherit" w:cs="Times New Roman"/>
          <w:b/>
          <w:bCs/>
          <w:iCs/>
          <w:color w:val="000000"/>
          <w:sz w:val="24"/>
          <w:szCs w:val="24"/>
        </w:rPr>
        <w:t>:</w:t>
      </w:r>
    </w:p>
    <w:p w14:paraId="3C510F6F" w14:textId="77777777" w:rsidR="00995702" w:rsidRPr="005E2E76" w:rsidRDefault="00995702" w:rsidP="0099570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Times New Roman" w:eastAsia="Times New Roman" w:hAnsi="Times New Roman" w:cs="Times New Roman"/>
          <w:i/>
          <w:color w:val="000000"/>
          <w:sz w:val="24"/>
          <w:szCs w:val="24"/>
        </w:rPr>
        <w:t>Общият размер на допустимите разходи, които следва да бъдат декларирани пред Комисията се представя по отношение на годишния дял (ориентировъчен).</w:t>
      </w:r>
    </w:p>
    <w:p w14:paraId="0CC9E86C" w14:textId="77777777" w:rsidR="00995702" w:rsidRPr="00AD29DC" w:rsidRDefault="00995702" w:rsidP="003F1D1D">
      <w:pPr>
        <w:pStyle w:val="ListParagraph"/>
        <w:numPr>
          <w:ilvl w:val="0"/>
          <w:numId w:val="17"/>
        </w:numPr>
        <w:shd w:val="clear" w:color="auto" w:fill="FFFFFF"/>
        <w:spacing w:before="240" w:after="120" w:line="240" w:lineRule="auto"/>
        <w:jc w:val="both"/>
        <w:rPr>
          <w:rFonts w:ascii="Times New Roman" w:eastAsia="Times New Roman" w:hAnsi="Times New Roman" w:cs="Times New Roman"/>
          <w:b/>
          <w:color w:val="000000"/>
          <w:sz w:val="24"/>
          <w:szCs w:val="24"/>
        </w:rPr>
      </w:pPr>
      <w:bookmarkStart w:id="34" w:name="_Toc135995226"/>
      <w:r>
        <w:rPr>
          <w:rFonts w:ascii="Times New Roman" w:eastAsia="Times New Roman" w:hAnsi="Times New Roman" w:cs="Times New Roman"/>
          <w:bCs/>
          <w:color w:val="000000"/>
          <w:sz w:val="24"/>
          <w:szCs w:val="24"/>
        </w:rPr>
        <w:t xml:space="preserve">в </w:t>
      </w:r>
      <w:r w:rsidRPr="00AD29DC">
        <w:rPr>
          <w:rFonts w:ascii="Times New Roman" w:eastAsia="Times New Roman" w:hAnsi="Times New Roman" w:cs="Times New Roman"/>
          <w:bCs/>
          <w:color w:val="000000"/>
          <w:sz w:val="24"/>
          <w:szCs w:val="24"/>
        </w:rPr>
        <w:t>поле</w:t>
      </w:r>
      <w:r w:rsidRPr="00AD29DC">
        <w:rPr>
          <w:rFonts w:ascii="Times New Roman" w:eastAsia="Times New Roman" w:hAnsi="Times New Roman" w:cs="Times New Roman"/>
          <w:b/>
          <w:color w:val="000000"/>
          <w:sz w:val="24"/>
          <w:szCs w:val="24"/>
        </w:rPr>
        <w:t>   Участие на JASPERS в подготовката на проекта</w:t>
      </w:r>
      <w:bookmarkEnd w:id="34"/>
    </w:p>
    <w:p w14:paraId="38E63B92" w14:textId="6E35EB42" w:rsidR="00995702" w:rsidRDefault="00995702" w:rsidP="00995702">
      <w:pPr>
        <w:shd w:val="clear" w:color="auto" w:fill="FFFFFF"/>
        <w:spacing w:before="120" w:after="0" w:line="240" w:lineRule="auto"/>
        <w:jc w:val="both"/>
        <w:rPr>
          <w:rFonts w:ascii="inherit" w:eastAsia="Times New Roman" w:hAnsi="inherit" w:cs="Times New Roman"/>
          <w:bCs/>
          <w:i/>
          <w:color w:val="000000"/>
          <w:sz w:val="24"/>
          <w:szCs w:val="24"/>
        </w:rPr>
      </w:pPr>
      <w:r w:rsidRPr="005E2E76">
        <w:rPr>
          <w:rFonts w:ascii="inherit" w:eastAsia="Times New Roman" w:hAnsi="inherit" w:cs="Times New Roman"/>
          <w:bCs/>
          <w:i/>
          <w:color w:val="000000"/>
          <w:sz w:val="24"/>
          <w:szCs w:val="24"/>
        </w:rPr>
        <w:t>Да се опишат елементите на проекта, за които Jaspers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 – когато е приложимо.</w:t>
      </w:r>
    </w:p>
    <w:p w14:paraId="258F42BB" w14:textId="486432B3" w:rsidR="001C2572" w:rsidRDefault="001C2572" w:rsidP="00995702">
      <w:pPr>
        <w:shd w:val="clear" w:color="auto" w:fill="FFFFFF"/>
        <w:spacing w:before="120" w:after="0" w:line="240" w:lineRule="auto"/>
        <w:jc w:val="both"/>
        <w:rPr>
          <w:rFonts w:ascii="inherit" w:eastAsia="Times New Roman" w:hAnsi="inherit" w:cs="Times New Roman"/>
          <w:bCs/>
          <w:i/>
          <w:color w:val="000000"/>
          <w:sz w:val="24"/>
          <w:szCs w:val="24"/>
        </w:rPr>
      </w:pPr>
    </w:p>
    <w:p w14:paraId="608E3B84" w14:textId="77777777" w:rsidR="00964C2F" w:rsidRPr="007A0B0A" w:rsidRDefault="00964C2F" w:rsidP="00603108">
      <w:pPr>
        <w:spacing w:after="120" w:line="240" w:lineRule="auto"/>
        <w:ind w:firstLine="708"/>
        <w:jc w:val="both"/>
        <w:rPr>
          <w:rFonts w:ascii="Times New Roman" w:eastAsia="Calibri" w:hAnsi="Times New Roman" w:cs="Times New Roman"/>
          <w:sz w:val="24"/>
          <w:szCs w:val="24"/>
        </w:rPr>
      </w:pPr>
    </w:p>
    <w:p w14:paraId="4F62BF66" w14:textId="0626BF8B" w:rsidR="00603108" w:rsidRPr="007A0B0A" w:rsidRDefault="00603108" w:rsidP="003F1D1D">
      <w:pPr>
        <w:pStyle w:val="Heading2"/>
        <w:numPr>
          <w:ilvl w:val="1"/>
          <w:numId w:val="2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35" w:name="_Toc136270283"/>
      <w:r w:rsidRPr="007A0B0A">
        <w:rPr>
          <w:rFonts w:ascii="Times New Roman" w:hAnsi="Times New Roman" w:cs="Times New Roman"/>
        </w:rPr>
        <w:t>Изисквания за фазирани проекти</w:t>
      </w:r>
      <w:bookmarkEnd w:id="35"/>
    </w:p>
    <w:p w14:paraId="0401BE68"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p>
    <w:p w14:paraId="43B09F68" w14:textId="19CB5FE2"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 xml:space="preserve">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–настоящия проект. Ако проектът е </w:t>
      </w:r>
      <w:r w:rsidRPr="007A0B0A">
        <w:rPr>
          <w:rFonts w:ascii="inherit" w:eastAsia="Times New Roman" w:hAnsi="inherit" w:cs="Times New Roman"/>
          <w:i/>
          <w:iCs/>
          <w:color w:val="000000"/>
          <w:sz w:val="24"/>
          <w:szCs w:val="24"/>
        </w:rPr>
        <w:lastRenderedPageBreak/>
        <w:t>съфинансиран от повече от една програма, посочете съответните части, финансирани от различните програми, заедно с процентното разпределение на финансирането.</w:t>
      </w:r>
    </w:p>
    <w:p w14:paraId="2A2A33A3" w14:textId="77777777" w:rsidR="00C44FFB" w:rsidRPr="007A0B0A" w:rsidRDefault="00C44FFB" w:rsidP="00C44FFB">
      <w:pPr>
        <w:pStyle w:val="ListParagraph"/>
        <w:shd w:val="clear" w:color="auto" w:fill="FFFFFF"/>
        <w:spacing w:before="120" w:after="0" w:line="240" w:lineRule="auto"/>
        <w:ind w:left="360"/>
        <w:jc w:val="both"/>
        <w:rPr>
          <w:rFonts w:ascii="Times New Roman" w:eastAsia="Times New Roman" w:hAnsi="Times New Roman" w:cs="Times New Roman"/>
          <w:color w:val="000000"/>
          <w:sz w:val="24"/>
          <w:szCs w:val="24"/>
        </w:rPr>
      </w:pPr>
    </w:p>
    <w:p w14:paraId="27BA4FF2" w14:textId="77777777" w:rsidR="00446969" w:rsidRPr="00B44F26" w:rsidRDefault="00446969" w:rsidP="00446969">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B44F26">
        <w:rPr>
          <w:rFonts w:ascii="Times New Roman" w:eastAsia="Times New Roman" w:hAnsi="Times New Roman" w:cs="Times New Roman"/>
          <w:iCs/>
          <w:color w:val="000000"/>
          <w:sz w:val="24"/>
          <w:szCs w:val="24"/>
          <w:lang w:val="en-US"/>
        </w:rPr>
        <w:t>Моля п</w:t>
      </w:r>
      <w:r w:rsidRPr="00B44F26">
        <w:rPr>
          <w:rFonts w:ascii="Times New Roman" w:eastAsia="Times New Roman" w:hAnsi="Times New Roman" w:cs="Times New Roman"/>
          <w:iCs/>
          <w:color w:val="000000"/>
          <w:sz w:val="24"/>
          <w:szCs w:val="24"/>
        </w:rPr>
        <w:t>осочете референтния номер (CCI) на одобрения проект.</w:t>
      </w:r>
      <w:r>
        <w:rPr>
          <w:rFonts w:ascii="Times New Roman" w:eastAsia="Times New Roman" w:hAnsi="Times New Roman" w:cs="Times New Roman"/>
          <w:iCs/>
          <w:color w:val="000000"/>
          <w:sz w:val="24"/>
          <w:szCs w:val="24"/>
        </w:rPr>
        <w:t xml:space="preserve"> </w:t>
      </w:r>
      <w:r w:rsidRPr="005B30FA">
        <w:rPr>
          <w:rFonts w:ascii="Times New Roman" w:eastAsia="Times New Roman" w:hAnsi="Times New Roman" w:cs="Times New Roman"/>
          <w:color w:val="000000"/>
          <w:sz w:val="24"/>
          <w:szCs w:val="24"/>
        </w:rPr>
        <w:t>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r>
        <w:rPr>
          <w:rFonts w:ascii="Times New Roman" w:eastAsia="Times New Roman" w:hAnsi="Times New Roman" w:cs="Times New Roman"/>
          <w:color w:val="000000"/>
          <w:sz w:val="24"/>
          <w:szCs w:val="24"/>
        </w:rPr>
        <w:t>.</w:t>
      </w:r>
    </w:p>
    <w:p w14:paraId="3199C37E" w14:textId="77777777" w:rsidR="00446969" w:rsidRPr="007A0B0A" w:rsidRDefault="00446969" w:rsidP="00446969">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5D5990B3" w14:textId="77777777" w:rsidR="00C44FFB" w:rsidRPr="007A0B0A" w:rsidRDefault="00C44FFB" w:rsidP="00C44FFB">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3596E5E5" w14:textId="6FB15578" w:rsidR="00665511" w:rsidRPr="007A0B0A" w:rsidRDefault="00665511"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Член 118 от Регламент 2021/1060</w:t>
      </w:r>
    </w:p>
    <w:p w14:paraId="11E2D20A" w14:textId="2F218FD0"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Операцията, подбрана за подкрепа съгласно Регламент (ЕС) № 1303/2013, има два етапа, които могат да бъдат установени от финансова гледна точка, с отделни одитни следи; </w:t>
      </w:r>
    </w:p>
    <w:p w14:paraId="4A728200" w14:textId="1C846614" w:rsidR="00603108" w:rsidRPr="007A0B0A" w:rsidRDefault="00603108" w:rsidP="000F2A00">
      <w:pPr>
        <w:shd w:val="clear" w:color="auto" w:fill="FFFFFF"/>
        <w:spacing w:before="60" w:after="120" w:line="312" w:lineRule="atLeast"/>
        <w:ind w:firstLine="851"/>
        <w:rPr>
          <w:rFonts w:ascii="Times New Roman" w:eastAsia="Times New Roman" w:hAnsi="Times New Roman" w:cs="Times New Roman"/>
          <w:b/>
          <w:bCs/>
          <w:color w:val="333333"/>
          <w:sz w:val="27"/>
          <w:szCs w:val="27"/>
          <w:lang w:eastAsia="bg-BG"/>
        </w:rPr>
      </w:pPr>
      <w:r w:rsidRPr="007A0B0A">
        <w:rPr>
          <w:rFonts w:ascii="Times New Roman" w:eastAsia="Calibri" w:hAnsi="Times New Roman" w:cs="Times New Roman"/>
          <w:sz w:val="24"/>
          <w:szCs w:val="24"/>
        </w:rPr>
        <w:t>Общите разходи за операцията, посочена в буква а), надхвърлят 5 000 000 EUR</w:t>
      </w:r>
    </w:p>
    <w:p w14:paraId="407CAA0B" w14:textId="6CA702CD"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Разходите, включени в заявление за плащане по отношение на първия етап, не са включени в друго заявление за плащане по отношение на втория етап;</w:t>
      </w:r>
    </w:p>
    <w:p w14:paraId="15E574FB" w14:textId="6015C495"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Вторият етап на операцията съответства на приложимото право и е допустим за подкрепа от ЕФРР, Кохезионния фонд съгласно разпоредбите на Регламент 1060/2021 или на Регламент 1058/2021;</w:t>
      </w:r>
    </w:p>
    <w:p w14:paraId="178EF730" w14:textId="63FDB246" w:rsidR="00603108" w:rsidRPr="007A0B0A" w:rsidRDefault="00603108" w:rsidP="000F2A00">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Разпоредбите на </w:t>
      </w:r>
      <w:r w:rsidR="0031646E" w:rsidRPr="007A0B0A">
        <w:rPr>
          <w:rFonts w:ascii="Times New Roman" w:eastAsia="Calibri" w:hAnsi="Times New Roman" w:cs="Times New Roman"/>
          <w:sz w:val="24"/>
          <w:szCs w:val="24"/>
        </w:rPr>
        <w:t xml:space="preserve">Регламент 1060/2021 </w:t>
      </w:r>
      <w:r w:rsidRPr="007A0B0A">
        <w:rPr>
          <w:rFonts w:ascii="Times New Roman" w:eastAsia="Calibri" w:hAnsi="Times New Roman" w:cs="Times New Roman"/>
          <w:sz w:val="24"/>
          <w:szCs w:val="24"/>
        </w:rPr>
        <w:t>се прилагат към втория етап на операцията.</w:t>
      </w:r>
    </w:p>
    <w:p w14:paraId="16AD11FB" w14:textId="2FA21B89" w:rsidR="0031646E" w:rsidRPr="007A0B0A" w:rsidRDefault="0031646E" w:rsidP="0031646E">
      <w:pPr>
        <w:spacing w:after="120" w:line="240" w:lineRule="auto"/>
        <w:jc w:val="both"/>
        <w:rPr>
          <w:rFonts w:ascii="Times New Roman" w:eastAsia="Calibri" w:hAnsi="Times New Roman" w:cs="Times New Roman"/>
          <w:sz w:val="24"/>
          <w:szCs w:val="24"/>
        </w:rPr>
      </w:pPr>
    </w:p>
    <w:p w14:paraId="199BEBD7" w14:textId="77777777" w:rsidR="00A826C0" w:rsidRPr="00603108" w:rsidRDefault="00A826C0" w:rsidP="00A826C0">
      <w:pPr>
        <w:pStyle w:val="Heading2"/>
        <w:numPr>
          <w:ilvl w:val="1"/>
          <w:numId w:val="2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36" w:name="_Toc28872962"/>
      <w:bookmarkStart w:id="37" w:name="_Toc136270284"/>
      <w:r w:rsidRPr="00A826C0">
        <w:rPr>
          <w:rFonts w:ascii="Times New Roman" w:hAnsi="Times New Roman"/>
          <w:sz w:val="24"/>
          <w:szCs w:val="24"/>
        </w:rPr>
        <w:t>Минимални</w:t>
      </w:r>
      <w:r w:rsidRPr="00603108">
        <w:rPr>
          <w:rFonts w:ascii="Times New Roman" w:hAnsi="Times New Roman" w:cs="Times New Roman"/>
        </w:rPr>
        <w:t xml:space="preserve"> изисквания за </w:t>
      </w:r>
      <w:bookmarkEnd w:id="36"/>
      <w:r w:rsidRPr="0084009B">
        <w:rPr>
          <w:rFonts w:ascii="Times New Roman" w:hAnsi="Times New Roman" w:cs="Times New Roman"/>
        </w:rPr>
        <w:t>видимост, прозрачност и комуникация</w:t>
      </w:r>
      <w:bookmarkEnd w:id="37"/>
    </w:p>
    <w:p w14:paraId="0DB35E4A" w14:textId="77777777" w:rsidR="00A826C0" w:rsidRPr="00AC1D20" w:rsidRDefault="00A826C0" w:rsidP="00A826C0">
      <w:pPr>
        <w:spacing w:after="0"/>
        <w:ind w:firstLine="851"/>
        <w:jc w:val="both"/>
        <w:rPr>
          <w:rFonts w:ascii="Times New Roman" w:hAnsi="Times New Roman"/>
          <w:sz w:val="24"/>
          <w:szCs w:val="24"/>
          <w:lang w:eastAsia="bg-BG"/>
        </w:rPr>
      </w:pPr>
    </w:p>
    <w:p w14:paraId="353505CA" w14:textId="7E68E95B" w:rsidR="00A826C0" w:rsidRDefault="00A826C0" w:rsidP="00A826C0">
      <w:pPr>
        <w:spacing w:after="0"/>
        <w:ind w:firstLine="851"/>
        <w:jc w:val="both"/>
        <w:rPr>
          <w:rFonts w:ascii="Times New Roman" w:hAnsi="Times New Roman" w:cs="Times New Roman"/>
          <w:sz w:val="24"/>
          <w:szCs w:val="24"/>
        </w:rPr>
      </w:pPr>
      <w:r w:rsidRPr="009220CB">
        <w:rPr>
          <w:rFonts w:ascii="Times New Roman" w:hAnsi="Times New Roman" w:cs="Times New Roman"/>
          <w:sz w:val="24"/>
          <w:szCs w:val="24"/>
        </w:rPr>
        <w:t>В рамките на проекта задължително се изпълнява</w:t>
      </w:r>
      <w:r>
        <w:rPr>
          <w:rFonts w:ascii="Times New Roman" w:hAnsi="Times New Roman" w:cs="Times New Roman"/>
          <w:sz w:val="24"/>
          <w:szCs w:val="24"/>
        </w:rPr>
        <w:t>т</w:t>
      </w:r>
      <w:r w:rsidRPr="009220CB">
        <w:rPr>
          <w:rFonts w:ascii="Times New Roman" w:hAnsi="Times New Roman" w:cs="Times New Roman"/>
          <w:sz w:val="24"/>
          <w:szCs w:val="24"/>
        </w:rPr>
        <w:t xml:space="preserve"> дейност</w:t>
      </w:r>
      <w:r>
        <w:rPr>
          <w:rFonts w:ascii="Times New Roman" w:hAnsi="Times New Roman" w:cs="Times New Roman"/>
          <w:sz w:val="24"/>
          <w:szCs w:val="24"/>
        </w:rPr>
        <w:t>и</w:t>
      </w:r>
      <w:r w:rsidRPr="009220CB">
        <w:rPr>
          <w:rFonts w:ascii="Times New Roman" w:hAnsi="Times New Roman" w:cs="Times New Roman"/>
          <w:sz w:val="24"/>
          <w:szCs w:val="24"/>
        </w:rPr>
        <w:t xml:space="preserve"> за видимост, прозрачност и комуникация. Конкретният бенефициент </w:t>
      </w:r>
      <w:r>
        <w:rPr>
          <w:rFonts w:ascii="Times New Roman" w:hAnsi="Times New Roman" w:cs="Times New Roman"/>
          <w:sz w:val="24"/>
          <w:szCs w:val="24"/>
        </w:rPr>
        <w:t xml:space="preserve"> подготвя план за изпълнение на комуникационните дейности (</w:t>
      </w:r>
      <w:r w:rsidRPr="0084009B">
        <w:rPr>
          <w:rFonts w:ascii="Times New Roman" w:hAnsi="Times New Roman" w:cs="Times New Roman"/>
          <w:b/>
          <w:sz w:val="24"/>
          <w:szCs w:val="24"/>
        </w:rPr>
        <w:t>комуникационен план</w:t>
      </w:r>
      <w:r>
        <w:rPr>
          <w:rFonts w:ascii="Times New Roman" w:hAnsi="Times New Roman" w:cs="Times New Roman"/>
          <w:sz w:val="24"/>
          <w:szCs w:val="24"/>
        </w:rPr>
        <w:t>) по приложен образец</w:t>
      </w:r>
      <w:r w:rsidRPr="009220CB">
        <w:rPr>
          <w:rFonts w:ascii="Times New Roman" w:hAnsi="Times New Roman" w:cs="Times New Roman"/>
          <w:sz w:val="24"/>
          <w:szCs w:val="24"/>
        </w:rPr>
        <w:t>, а с подписването на формуляра за кандидатстване се задължава да ги изпълнява.</w:t>
      </w:r>
      <w:r>
        <w:rPr>
          <w:rFonts w:ascii="Times New Roman" w:hAnsi="Times New Roman" w:cs="Times New Roman"/>
          <w:sz w:val="24"/>
          <w:szCs w:val="24"/>
        </w:rPr>
        <w:t xml:space="preserve"> При подготовката на </w:t>
      </w:r>
      <w:r w:rsidRPr="009220CB">
        <w:rPr>
          <w:rFonts w:ascii="Times New Roman" w:hAnsi="Times New Roman" w:cs="Times New Roman"/>
          <w:sz w:val="24"/>
          <w:szCs w:val="24"/>
        </w:rPr>
        <w:t xml:space="preserve"> </w:t>
      </w:r>
      <w:r>
        <w:rPr>
          <w:rFonts w:ascii="Times New Roman" w:hAnsi="Times New Roman" w:cs="Times New Roman"/>
          <w:sz w:val="24"/>
          <w:szCs w:val="24"/>
        </w:rPr>
        <w:t xml:space="preserve">комуникационния план се взима предвид вида на проекта, съответно дали е  операция от стратегическо значение или не. В зависимост от вида на проекта се съобразяват и дейностите по </w:t>
      </w:r>
      <w:r w:rsidRPr="009220CB">
        <w:rPr>
          <w:rFonts w:ascii="Times New Roman" w:hAnsi="Times New Roman" w:cs="Times New Roman"/>
          <w:sz w:val="24"/>
          <w:szCs w:val="24"/>
        </w:rPr>
        <w:t>видимост, прозрачност и комуникация</w:t>
      </w:r>
      <w:r>
        <w:rPr>
          <w:rFonts w:ascii="Times New Roman" w:hAnsi="Times New Roman" w:cs="Times New Roman"/>
          <w:sz w:val="24"/>
          <w:szCs w:val="24"/>
        </w:rPr>
        <w:t xml:space="preserve">, които трябва да се заложат в плана. </w:t>
      </w:r>
    </w:p>
    <w:p w14:paraId="4E2BE61B" w14:textId="77777777" w:rsidR="00A826C0" w:rsidRDefault="00A826C0" w:rsidP="00A826C0">
      <w:pPr>
        <w:spacing w:after="0"/>
        <w:ind w:firstLine="851"/>
        <w:jc w:val="both"/>
        <w:rPr>
          <w:rFonts w:ascii="Times New Roman" w:hAnsi="Times New Roman" w:cs="Times New Roman"/>
          <w:sz w:val="24"/>
          <w:szCs w:val="24"/>
        </w:rPr>
      </w:pPr>
      <w:r w:rsidRPr="0084009B">
        <w:rPr>
          <w:rFonts w:ascii="Times New Roman" w:hAnsi="Times New Roman" w:cs="Times New Roman"/>
          <w:sz w:val="24"/>
          <w:szCs w:val="24"/>
        </w:rPr>
        <w:t>Комуникационен експерт или негов заместник от страна на бенефициента изготвя и/или съгласува този</w:t>
      </w:r>
      <w:r>
        <w:rPr>
          <w:rFonts w:ascii="Times New Roman" w:hAnsi="Times New Roman" w:cs="Times New Roman"/>
          <w:sz w:val="24"/>
          <w:szCs w:val="24"/>
        </w:rPr>
        <w:t xml:space="preserve"> план</w:t>
      </w:r>
      <w:r w:rsidRPr="0049534D">
        <w:rPr>
          <w:rFonts w:ascii="Times New Roman" w:hAnsi="Times New Roman" w:cs="Times New Roman"/>
          <w:sz w:val="24"/>
          <w:szCs w:val="24"/>
        </w:rPr>
        <w:t xml:space="preserve"> </w:t>
      </w:r>
      <w:r>
        <w:rPr>
          <w:rFonts w:ascii="Times New Roman" w:hAnsi="Times New Roman" w:cs="Times New Roman"/>
          <w:sz w:val="24"/>
          <w:szCs w:val="24"/>
        </w:rPr>
        <w:t xml:space="preserve">по електронен път с отдел „Информация, комуникация и техническа помощ“ в УО на ПТС. </w:t>
      </w:r>
      <w:r w:rsidRPr="009220CB">
        <w:rPr>
          <w:rFonts w:ascii="Times New Roman" w:hAnsi="Times New Roman" w:cs="Times New Roman"/>
          <w:sz w:val="24"/>
          <w:szCs w:val="24"/>
        </w:rPr>
        <w:t xml:space="preserve">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r>
        <w:rPr>
          <w:rFonts w:ascii="Times New Roman" w:hAnsi="Times New Roman" w:cs="Times New Roman"/>
          <w:sz w:val="24"/>
          <w:szCs w:val="24"/>
        </w:rPr>
        <w:t>адрес:</w:t>
      </w:r>
    </w:p>
    <w:p w14:paraId="05277DD7" w14:textId="38055153" w:rsidR="00A826C0" w:rsidRDefault="00375286" w:rsidP="00A826C0">
      <w:pPr>
        <w:spacing w:after="0"/>
        <w:ind w:firstLine="851"/>
        <w:jc w:val="both"/>
        <w:rPr>
          <w:rFonts w:ascii="Times New Roman" w:hAnsi="Times New Roman" w:cs="Times New Roman"/>
          <w:sz w:val="24"/>
          <w:szCs w:val="24"/>
        </w:rPr>
      </w:pPr>
      <w:hyperlink r:id="rId20" w:history="1">
        <w:r w:rsidR="001C2572" w:rsidRPr="00450B85">
          <w:rPr>
            <w:rStyle w:val="Hyperlink"/>
            <w:rFonts w:ascii="Times New Roman" w:hAnsi="Times New Roman" w:cs="Times New Roman"/>
            <w:sz w:val="24"/>
            <w:szCs w:val="24"/>
          </w:rPr>
          <w:t>https://ec.europa.eu/regional_policy/information-sources/logo-download-center_en</w:t>
        </w:r>
      </w:hyperlink>
      <w:r w:rsidR="00A826C0" w:rsidRPr="009220CB">
        <w:rPr>
          <w:rFonts w:ascii="Times New Roman" w:hAnsi="Times New Roman" w:cs="Times New Roman"/>
          <w:sz w:val="24"/>
          <w:szCs w:val="24"/>
        </w:rPr>
        <w:t xml:space="preserve"> .</w:t>
      </w:r>
    </w:p>
    <w:p w14:paraId="57136763" w14:textId="77777777" w:rsidR="00A826C0" w:rsidRPr="00760CBD" w:rsidRDefault="00A826C0" w:rsidP="00A826C0">
      <w:pPr>
        <w:spacing w:after="0"/>
        <w:ind w:firstLine="851"/>
        <w:jc w:val="both"/>
        <w:rPr>
          <w:rFonts w:ascii="Times New Roman" w:hAnsi="Times New Roman" w:cs="Times New Roman"/>
          <w:sz w:val="24"/>
          <w:szCs w:val="24"/>
        </w:rPr>
      </w:pPr>
      <w:r w:rsidRPr="00760CBD">
        <w:rPr>
          <w:rStyle w:val="Hyperlink"/>
        </w:rPr>
        <w:t xml:space="preserve"> </w:t>
      </w:r>
      <w:hyperlink r:id="rId21" w:history="1">
        <w:r w:rsidRPr="00760CBD">
          <w:rPr>
            <w:rStyle w:val="Hyperlink"/>
            <w:rFonts w:ascii="Times New Roman" w:hAnsi="Times New Roman" w:cs="Times New Roman"/>
            <w:sz w:val="24"/>
            <w:szCs w:val="24"/>
          </w:rPr>
          <w:t>https://ec.europa.eu/regional_policy/policy/communication/how-to-communicate_en</w:t>
        </w:r>
      </w:hyperlink>
    </w:p>
    <w:p w14:paraId="1E722958" w14:textId="77777777" w:rsidR="00A826C0" w:rsidRPr="00760CBD" w:rsidRDefault="00375286" w:rsidP="00A826C0">
      <w:pPr>
        <w:spacing w:after="0"/>
        <w:ind w:firstLine="851"/>
        <w:jc w:val="both"/>
        <w:rPr>
          <w:rFonts w:ascii="Times New Roman" w:hAnsi="Times New Roman" w:cs="Times New Roman"/>
          <w:sz w:val="24"/>
          <w:szCs w:val="24"/>
        </w:rPr>
      </w:pPr>
      <w:hyperlink r:id="rId22" w:history="1">
        <w:r w:rsidR="00A826C0" w:rsidRPr="00760CBD">
          <w:rPr>
            <w:rStyle w:val="Hyperlink"/>
            <w:rFonts w:ascii="Times New Roman" w:hAnsi="Times New Roman" w:cs="Times New Roman"/>
            <w:sz w:val="24"/>
            <w:szCs w:val="24"/>
          </w:rPr>
          <w:t>https://ec.europa.eu/regional_policy/policy/communication/online-generator_en</w:t>
        </w:r>
      </w:hyperlink>
    </w:p>
    <w:p w14:paraId="1CA8C96C" w14:textId="77777777" w:rsidR="00A826C0" w:rsidRPr="009220CB" w:rsidRDefault="00A826C0" w:rsidP="00A826C0">
      <w:pPr>
        <w:spacing w:after="0"/>
        <w:ind w:firstLine="851"/>
        <w:jc w:val="both"/>
        <w:rPr>
          <w:rFonts w:ascii="Times New Roman" w:hAnsi="Times New Roman" w:cs="Times New Roman"/>
          <w:sz w:val="24"/>
          <w:szCs w:val="24"/>
        </w:rPr>
      </w:pPr>
    </w:p>
    <w:p w14:paraId="1243ED68" w14:textId="77777777" w:rsidR="00A826C0" w:rsidRPr="004C6CE3" w:rsidRDefault="00A826C0" w:rsidP="00A826C0">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4C6CE3">
        <w:rPr>
          <w:rFonts w:ascii="Times New Roman" w:eastAsia="Times New Roman" w:hAnsi="Times New Roman" w:cs="Times New Roman"/>
          <w:color w:val="333333"/>
          <w:sz w:val="24"/>
          <w:szCs w:val="24"/>
          <w:lang w:eastAsia="bg-BG"/>
        </w:rPr>
        <w:t>Бенефицие</w:t>
      </w:r>
      <w:r w:rsidRPr="009220CB">
        <w:rPr>
          <w:rFonts w:ascii="Times New Roman" w:eastAsia="Times New Roman" w:hAnsi="Times New Roman" w:cs="Times New Roman"/>
          <w:color w:val="333333"/>
          <w:sz w:val="24"/>
          <w:szCs w:val="24"/>
          <w:lang w:eastAsia="bg-BG"/>
        </w:rPr>
        <w:t>нт</w:t>
      </w:r>
      <w:r w:rsidRPr="004C6CE3">
        <w:rPr>
          <w:rFonts w:ascii="Times New Roman" w:eastAsia="Times New Roman" w:hAnsi="Times New Roman" w:cs="Times New Roman"/>
          <w:color w:val="333333"/>
          <w:sz w:val="24"/>
          <w:szCs w:val="24"/>
          <w:lang w:eastAsia="bg-BG"/>
        </w:rPr>
        <w:t>ите обявяват подкрепата от фондовете за операцията</w:t>
      </w:r>
      <w:r w:rsidRPr="009220CB">
        <w:rPr>
          <w:rFonts w:ascii="Times New Roman" w:eastAsia="Times New Roman" w:hAnsi="Times New Roman" w:cs="Times New Roman"/>
          <w:color w:val="333333"/>
          <w:sz w:val="24"/>
          <w:szCs w:val="24"/>
          <w:lang w:eastAsia="bg-BG"/>
        </w:rPr>
        <w:t xml:space="preserve"> (ЕФРР/КФ)</w:t>
      </w:r>
      <w:r w:rsidRPr="004C6CE3">
        <w:rPr>
          <w:rFonts w:ascii="Times New Roman" w:eastAsia="Times New Roman" w:hAnsi="Times New Roman" w:cs="Times New Roman"/>
          <w:color w:val="333333"/>
          <w:sz w:val="24"/>
          <w:szCs w:val="24"/>
          <w:lang w:eastAsia="bg-BG"/>
        </w:rPr>
        <w:t>, като:</w:t>
      </w:r>
    </w:p>
    <w:p w14:paraId="52F778F6" w14:textId="77777777" w:rsidR="00A826C0" w:rsidRDefault="00A826C0" w:rsidP="00A826C0">
      <w:pPr>
        <w:shd w:val="clear" w:color="auto" w:fill="FFFFFF"/>
        <w:spacing w:before="120" w:after="0" w:line="312" w:lineRule="atLeast"/>
        <w:ind w:firstLine="709"/>
        <w:jc w:val="both"/>
        <w:rPr>
          <w:iCs/>
          <w:sz w:val="24"/>
          <w:szCs w:val="24"/>
        </w:rPr>
      </w:pPr>
      <w:r w:rsidRPr="009220CB">
        <w:rPr>
          <w:rFonts w:ascii="Times New Roman" w:eastAsia="Times New Roman" w:hAnsi="Times New Roman" w:cs="Times New Roman"/>
          <w:color w:val="333333"/>
          <w:sz w:val="24"/>
          <w:szCs w:val="24"/>
          <w:lang w:eastAsia="bg-BG"/>
        </w:rPr>
        <w:lastRenderedPageBreak/>
        <w:t xml:space="preserve">а) включват на </w:t>
      </w:r>
      <w:r w:rsidRPr="0084009B">
        <w:rPr>
          <w:rFonts w:ascii="Times New Roman" w:eastAsia="Times New Roman" w:hAnsi="Times New Roman" w:cs="Times New Roman"/>
          <w:b/>
          <w:color w:val="333333"/>
          <w:sz w:val="24"/>
          <w:szCs w:val="24"/>
          <w:lang w:eastAsia="bg-BG"/>
        </w:rPr>
        <w:t>официалния уебсайт</w:t>
      </w:r>
      <w:r w:rsidRPr="009220CB">
        <w:rPr>
          <w:rFonts w:ascii="Times New Roman" w:eastAsia="Times New Roman" w:hAnsi="Times New Roman" w:cs="Times New Roman"/>
          <w:color w:val="333333"/>
          <w:sz w:val="24"/>
          <w:szCs w:val="24"/>
          <w:lang w:eastAsia="bg-BG"/>
        </w:rPr>
        <w:t xml:space="preserve"> на бенефициента, ако има такъв, и на сайтове в социални медии кратко описание на операцията, в което се посочват нейните цели и резултатите от нея</w:t>
      </w:r>
      <w:r>
        <w:rPr>
          <w:rFonts w:ascii="Times New Roman" w:eastAsia="Times New Roman" w:hAnsi="Times New Roman" w:cs="Times New Roman"/>
          <w:color w:val="333333"/>
          <w:sz w:val="24"/>
          <w:szCs w:val="24"/>
          <w:lang w:eastAsia="bg-BG"/>
        </w:rPr>
        <w:t>,</w:t>
      </w:r>
      <w:r w:rsidRPr="009220CB">
        <w:rPr>
          <w:rFonts w:ascii="Times New Roman" w:eastAsia="Times New Roman" w:hAnsi="Times New Roman" w:cs="Times New Roman"/>
          <w:color w:val="333333"/>
          <w:sz w:val="24"/>
          <w:szCs w:val="24"/>
          <w:lang w:eastAsia="bg-BG"/>
        </w:rPr>
        <w:t xml:space="preserve"> и се откроява финансовата подкрепа от </w:t>
      </w:r>
      <w:r>
        <w:rPr>
          <w:rFonts w:ascii="Times New Roman" w:eastAsia="Times New Roman" w:hAnsi="Times New Roman" w:cs="Times New Roman"/>
          <w:color w:val="333333"/>
          <w:sz w:val="24"/>
          <w:szCs w:val="24"/>
          <w:lang w:eastAsia="bg-BG"/>
        </w:rPr>
        <w:t>Европейския с</w:t>
      </w:r>
      <w:r w:rsidRPr="009220CB">
        <w:rPr>
          <w:rFonts w:ascii="Times New Roman" w:eastAsia="Times New Roman" w:hAnsi="Times New Roman" w:cs="Times New Roman"/>
          <w:color w:val="333333"/>
          <w:sz w:val="24"/>
          <w:szCs w:val="24"/>
          <w:lang w:eastAsia="bg-BG"/>
        </w:rPr>
        <w:t>ъюз;</w:t>
      </w:r>
    </w:p>
    <w:p w14:paraId="7AE84876" w14:textId="77777777" w:rsidR="00A826C0" w:rsidRPr="0084009B" w:rsidRDefault="00A826C0" w:rsidP="00A826C0">
      <w:pPr>
        <w:shd w:val="clear" w:color="auto" w:fill="FFFFFF"/>
        <w:spacing w:before="120" w:after="0" w:line="312" w:lineRule="atLeast"/>
        <w:ind w:firstLine="709"/>
        <w:jc w:val="both"/>
        <w:rPr>
          <w:rFonts w:ascii="Times New Roman" w:hAnsi="Times New Roman" w:cs="Times New Roman"/>
          <w:sz w:val="24"/>
          <w:szCs w:val="24"/>
        </w:rPr>
      </w:pPr>
      <w:r>
        <w:rPr>
          <w:iCs/>
          <w:sz w:val="24"/>
          <w:szCs w:val="24"/>
        </w:rPr>
        <w:t>б</w:t>
      </w:r>
      <w:r w:rsidRPr="0084009B">
        <w:rPr>
          <w:rFonts w:ascii="Times New Roman" w:hAnsi="Times New Roman" w:cs="Times New Roman"/>
          <w:sz w:val="24"/>
          <w:szCs w:val="24"/>
        </w:rPr>
        <w:t xml:space="preserve">) задължително включване на </w:t>
      </w:r>
      <w:r w:rsidRPr="0084009B">
        <w:rPr>
          <w:rFonts w:ascii="Times New Roman" w:hAnsi="Times New Roman" w:cs="Times New Roman"/>
          <w:b/>
          <w:sz w:val="24"/>
          <w:szCs w:val="24"/>
        </w:rPr>
        <w:t>логото на Европейския съюз</w:t>
      </w:r>
      <w:r w:rsidRPr="0084009B">
        <w:rPr>
          <w:rFonts w:ascii="Times New Roman" w:hAnsi="Times New Roman" w:cs="Times New Roman"/>
          <w:sz w:val="24"/>
          <w:szCs w:val="24"/>
        </w:rPr>
        <w:t>, както и на текст, символ/ емблема, подчертаващи подкрепата от ЕС във всички документи и комуникационни материали, свързани с изпълнението на проекта по видим начин</w:t>
      </w:r>
      <w:r>
        <w:rPr>
          <w:rFonts w:ascii="Times New Roman" w:hAnsi="Times New Roman" w:cs="Times New Roman"/>
          <w:sz w:val="24"/>
          <w:szCs w:val="24"/>
        </w:rPr>
        <w:t>;</w:t>
      </w:r>
    </w:p>
    <w:p w14:paraId="3C30C191" w14:textId="77777777" w:rsidR="00A826C0" w:rsidRPr="009220CB" w:rsidRDefault="00A826C0" w:rsidP="00A826C0">
      <w:pPr>
        <w:shd w:val="clear" w:color="auto" w:fill="FFFFFF"/>
        <w:spacing w:before="120" w:after="0" w:line="312" w:lineRule="atLeast"/>
        <w:ind w:firstLine="709"/>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в) поставят </w:t>
      </w:r>
      <w:r w:rsidRPr="0084009B">
        <w:rPr>
          <w:rFonts w:ascii="Times New Roman" w:eastAsia="Times New Roman" w:hAnsi="Times New Roman" w:cs="Times New Roman"/>
          <w:b/>
          <w:color w:val="333333"/>
          <w:sz w:val="24"/>
          <w:szCs w:val="24"/>
          <w:lang w:eastAsia="bg-BG"/>
        </w:rPr>
        <w:t>устойчиви табели или табла</w:t>
      </w:r>
      <w:r w:rsidRPr="009220CB">
        <w:rPr>
          <w:rFonts w:ascii="Times New Roman" w:eastAsia="Times New Roman" w:hAnsi="Times New Roman" w:cs="Times New Roman"/>
          <w:color w:val="333333"/>
          <w:sz w:val="24"/>
          <w:szCs w:val="24"/>
          <w:lang w:eastAsia="bg-BG"/>
        </w:rPr>
        <w:t>,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операциите, включващи физически инвестиции, или инсталирането на закупеното оборудване за операциите, получаващи подкрепа от ЕФРР и Кохезионния фонд, с общ размер на разходите над 500 000 EUR;</w:t>
      </w:r>
    </w:p>
    <w:p w14:paraId="357EA454" w14:textId="77777777" w:rsidR="00A826C0" w:rsidRPr="009220CB" w:rsidRDefault="00A826C0" w:rsidP="00A826C0">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4009B">
        <w:rPr>
          <w:rFonts w:ascii="Times New Roman" w:eastAsia="Times New Roman" w:hAnsi="Times New Roman" w:cs="Times New Roman"/>
          <w:color w:val="333333"/>
          <w:sz w:val="24"/>
          <w:szCs w:val="24"/>
          <w:lang w:eastAsia="bg-BG"/>
        </w:rPr>
        <w:t xml:space="preserve">г) за операции, които не попадат в обхвата на буква в), поставят на място, ясно видимо за обществеността, поне един </w:t>
      </w:r>
      <w:r w:rsidRPr="0084009B">
        <w:rPr>
          <w:rFonts w:ascii="Times New Roman" w:eastAsia="Times New Roman" w:hAnsi="Times New Roman" w:cs="Times New Roman"/>
          <w:b/>
          <w:color w:val="333333"/>
          <w:sz w:val="24"/>
          <w:szCs w:val="24"/>
          <w:lang w:eastAsia="bg-BG"/>
        </w:rPr>
        <w:t>хартиен плакат с минимален размер А3</w:t>
      </w:r>
      <w:r w:rsidRPr="0084009B">
        <w:rPr>
          <w:rFonts w:ascii="Times New Roman" w:eastAsia="Times New Roman" w:hAnsi="Times New Roman" w:cs="Times New Roman"/>
          <w:color w:val="333333"/>
          <w:sz w:val="24"/>
          <w:szCs w:val="24"/>
          <w:lang w:eastAsia="bg-BG"/>
        </w:rPr>
        <w:t xml:space="preserve"> или еквивалентен електронен екран с информация за операцията, подчертаващ подкрепата на Европейския съюз;</w:t>
      </w:r>
    </w:p>
    <w:p w14:paraId="5672FD63" w14:textId="77777777" w:rsidR="00A826C0" w:rsidRPr="004C6CE3" w:rsidRDefault="00A826C0" w:rsidP="00A826C0">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д) за </w:t>
      </w:r>
      <w:r w:rsidRPr="0084009B">
        <w:rPr>
          <w:rFonts w:ascii="Times New Roman" w:eastAsia="Times New Roman" w:hAnsi="Times New Roman" w:cs="Times New Roman"/>
          <w:b/>
          <w:color w:val="333333"/>
          <w:sz w:val="24"/>
          <w:szCs w:val="24"/>
          <w:lang w:eastAsia="bg-BG"/>
        </w:rPr>
        <w:t>операции от стратегическо значение</w:t>
      </w:r>
      <w:r w:rsidRPr="009220CB">
        <w:rPr>
          <w:rFonts w:ascii="Times New Roman" w:eastAsia="Times New Roman" w:hAnsi="Times New Roman" w:cs="Times New Roman"/>
          <w:color w:val="333333"/>
          <w:sz w:val="24"/>
          <w:szCs w:val="24"/>
          <w:lang w:eastAsia="bg-BG"/>
        </w:rPr>
        <w:t xml:space="preserve"> и операции с общ размер на разходите над 10 000 000 EUR — организират според случая комуникационна проява или дейност и </w:t>
      </w:r>
      <w:r>
        <w:rPr>
          <w:rFonts w:ascii="Times New Roman" w:eastAsia="Times New Roman" w:hAnsi="Times New Roman" w:cs="Times New Roman"/>
          <w:color w:val="333333"/>
          <w:sz w:val="24"/>
          <w:szCs w:val="24"/>
          <w:lang w:eastAsia="bg-BG"/>
        </w:rPr>
        <w:t xml:space="preserve">канят за участие поне 3 месеца по-рано представители на </w:t>
      </w:r>
      <w:r w:rsidRPr="009220CB">
        <w:rPr>
          <w:rFonts w:ascii="Times New Roman" w:eastAsia="Times New Roman" w:hAnsi="Times New Roman" w:cs="Times New Roman"/>
          <w:color w:val="333333"/>
          <w:sz w:val="24"/>
          <w:szCs w:val="24"/>
          <w:lang w:eastAsia="bg-BG"/>
        </w:rPr>
        <w:t>У</w:t>
      </w:r>
      <w:r>
        <w:rPr>
          <w:rFonts w:ascii="Times New Roman" w:eastAsia="Times New Roman" w:hAnsi="Times New Roman" w:cs="Times New Roman"/>
          <w:color w:val="333333"/>
          <w:sz w:val="24"/>
          <w:szCs w:val="24"/>
          <w:lang w:eastAsia="bg-BG"/>
        </w:rPr>
        <w:t xml:space="preserve">правляващия орган </w:t>
      </w:r>
      <w:r w:rsidRPr="009220CB">
        <w:rPr>
          <w:rFonts w:ascii="Times New Roman" w:eastAsia="Times New Roman" w:hAnsi="Times New Roman" w:cs="Times New Roman"/>
          <w:color w:val="333333"/>
          <w:sz w:val="24"/>
          <w:szCs w:val="24"/>
          <w:lang w:eastAsia="bg-BG"/>
        </w:rPr>
        <w:t>на ПТС</w:t>
      </w:r>
      <w:r>
        <w:rPr>
          <w:rFonts w:ascii="Times New Roman" w:eastAsia="Times New Roman" w:hAnsi="Times New Roman" w:cs="Times New Roman"/>
          <w:color w:val="333333"/>
          <w:sz w:val="24"/>
          <w:szCs w:val="24"/>
          <w:lang w:eastAsia="bg-BG"/>
        </w:rPr>
        <w:t xml:space="preserve"> и на Европейската комисия.</w:t>
      </w:r>
      <w:r w:rsidRPr="009220CB">
        <w:rPr>
          <w:rFonts w:ascii="Times New Roman" w:eastAsia="Times New Roman" w:hAnsi="Times New Roman" w:cs="Times New Roman"/>
          <w:color w:val="333333"/>
          <w:sz w:val="24"/>
          <w:szCs w:val="24"/>
          <w:lang w:eastAsia="bg-BG"/>
        </w:rPr>
        <w:t xml:space="preserve"> </w:t>
      </w:r>
    </w:p>
    <w:p w14:paraId="146F94C3" w14:textId="77777777" w:rsidR="00A826C0" w:rsidRPr="004C6CE3" w:rsidRDefault="00A826C0" w:rsidP="00A826C0">
      <w:pPr>
        <w:shd w:val="clear" w:color="auto" w:fill="FFFFFF"/>
        <w:spacing w:before="120" w:after="0" w:line="312" w:lineRule="atLeast"/>
        <w:ind w:firstLine="708"/>
        <w:jc w:val="both"/>
        <w:rPr>
          <w:rFonts w:ascii="Times New Roman" w:eastAsia="Times New Roman" w:hAnsi="Times New Roman" w:cs="Times New Roman"/>
          <w:sz w:val="24"/>
          <w:szCs w:val="24"/>
          <w:lang w:eastAsia="bg-BG"/>
        </w:rPr>
      </w:pPr>
      <w:r w:rsidRPr="004C6CE3">
        <w:rPr>
          <w:rFonts w:ascii="Times New Roman" w:eastAsia="Times New Roman" w:hAnsi="Times New Roman" w:cs="Times New Roman"/>
          <w:sz w:val="24"/>
          <w:szCs w:val="24"/>
          <w:lang w:eastAsia="bg-BG"/>
        </w:rPr>
        <w:t>По отношение на фондовете за малки проекти бенефицие</w:t>
      </w:r>
      <w:r w:rsidRPr="009220CB">
        <w:rPr>
          <w:rFonts w:ascii="Times New Roman" w:eastAsia="Times New Roman" w:hAnsi="Times New Roman" w:cs="Times New Roman"/>
          <w:sz w:val="24"/>
          <w:szCs w:val="24"/>
          <w:lang w:eastAsia="bg-BG"/>
        </w:rPr>
        <w:t>нтът</w:t>
      </w:r>
      <w:r w:rsidRPr="004C6CE3">
        <w:rPr>
          <w:rFonts w:ascii="Times New Roman" w:eastAsia="Times New Roman" w:hAnsi="Times New Roman" w:cs="Times New Roman"/>
          <w:sz w:val="24"/>
          <w:szCs w:val="24"/>
          <w:lang w:eastAsia="bg-BG"/>
        </w:rPr>
        <w:t xml:space="preserve"> спазва изискванията, предвидени в член 36, параграф 5 от </w:t>
      </w:r>
      <w:r w:rsidRPr="009220CB">
        <w:rPr>
          <w:rFonts w:ascii="Times New Roman" w:eastAsia="Times New Roman" w:hAnsi="Times New Roman" w:cs="Times New Roman"/>
          <w:sz w:val="24"/>
          <w:szCs w:val="24"/>
          <w:lang w:eastAsia="bg-BG"/>
        </w:rPr>
        <w:t>Регламент (ЕС) 2021/1059 на Европейския парламент и на Съвета от 24 юни 2021 година относно специалните разпоредби за цел „Европейско териториално сътрудничество“ (Interreg), подкрепяна от Европейския фонд за регионално развитие и инструменти за външно финансиране (</w:t>
      </w:r>
      <w:r w:rsidRPr="004C6CE3">
        <w:rPr>
          <w:rFonts w:ascii="Times New Roman" w:eastAsia="Times New Roman" w:hAnsi="Times New Roman" w:cs="Times New Roman"/>
          <w:sz w:val="24"/>
          <w:szCs w:val="24"/>
          <w:lang w:eastAsia="bg-BG"/>
        </w:rPr>
        <w:t>Регламента за Interreg</w:t>
      </w:r>
      <w:r w:rsidRPr="009220CB">
        <w:rPr>
          <w:rFonts w:ascii="Times New Roman" w:eastAsia="Times New Roman" w:hAnsi="Times New Roman" w:cs="Times New Roman"/>
          <w:sz w:val="24"/>
          <w:szCs w:val="24"/>
          <w:lang w:eastAsia="bg-BG"/>
        </w:rPr>
        <w:t>)</w:t>
      </w:r>
      <w:r w:rsidRPr="004C6CE3">
        <w:rPr>
          <w:rFonts w:ascii="Times New Roman" w:eastAsia="Times New Roman" w:hAnsi="Times New Roman" w:cs="Times New Roman"/>
          <w:sz w:val="24"/>
          <w:szCs w:val="24"/>
          <w:lang w:eastAsia="bg-BG"/>
        </w:rPr>
        <w:t>.</w:t>
      </w:r>
    </w:p>
    <w:p w14:paraId="17AAAF7F" w14:textId="77777777" w:rsidR="00A826C0" w:rsidRPr="004C6CE3" w:rsidRDefault="00A826C0" w:rsidP="00A826C0">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sz w:val="24"/>
          <w:szCs w:val="24"/>
          <w:lang w:eastAsia="bg-BG"/>
        </w:rPr>
        <w:t>Когато бенефициентът</w:t>
      </w:r>
      <w:r w:rsidRPr="004C6CE3">
        <w:rPr>
          <w:rFonts w:ascii="Times New Roman" w:eastAsia="Times New Roman" w:hAnsi="Times New Roman" w:cs="Times New Roman"/>
          <w:sz w:val="24"/>
          <w:szCs w:val="24"/>
          <w:lang w:eastAsia="bg-BG"/>
        </w:rPr>
        <w:t xml:space="preserve"> не изпълнява задълженията си по член 47</w:t>
      </w:r>
      <w:r w:rsidRPr="009220CB">
        <w:rPr>
          <w:rFonts w:ascii="Times New Roman" w:eastAsia="Times New Roman" w:hAnsi="Times New Roman" w:cs="Times New Roman"/>
          <w:sz w:val="24"/>
          <w:szCs w:val="24"/>
          <w:lang w:eastAsia="bg-BG"/>
        </w:rPr>
        <w:t xml:space="preserve">, относно емблемата на Съюза или параграфи 1 и 2, на чл. 50 </w:t>
      </w:r>
      <w:r w:rsidRPr="004C6CE3">
        <w:rPr>
          <w:rFonts w:ascii="Times New Roman" w:eastAsia="Times New Roman" w:hAnsi="Times New Roman" w:cs="Times New Roman"/>
          <w:sz w:val="24"/>
          <w:szCs w:val="24"/>
          <w:lang w:eastAsia="bg-BG"/>
        </w:rPr>
        <w:t xml:space="preserve">от </w:t>
      </w:r>
      <w:r w:rsidRPr="009220CB">
        <w:rPr>
          <w:rFonts w:ascii="Times New Roman" w:eastAsia="Times New Roman" w:hAnsi="Times New Roman" w:cs="Times New Roman"/>
          <w:sz w:val="24"/>
          <w:szCs w:val="24"/>
          <w:lang w:eastAsia="bg-BG"/>
        </w:rPr>
        <w:t>Регламент 2021/1060</w:t>
      </w:r>
      <w:r w:rsidRPr="004C6CE3">
        <w:rPr>
          <w:rFonts w:ascii="Times New Roman" w:eastAsia="Times New Roman" w:hAnsi="Times New Roman" w:cs="Times New Roman"/>
          <w:sz w:val="24"/>
          <w:szCs w:val="24"/>
          <w:lang w:eastAsia="bg-BG"/>
        </w:rPr>
        <w:t xml:space="preserve"> и не са предприети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r w:rsidRPr="004C6CE3">
        <w:rPr>
          <w:rFonts w:ascii="Times New Roman" w:eastAsia="Times New Roman" w:hAnsi="Times New Roman" w:cs="Times New Roman"/>
          <w:color w:val="333333"/>
          <w:sz w:val="24"/>
          <w:szCs w:val="24"/>
          <w:lang w:eastAsia="bg-BG"/>
        </w:rPr>
        <w:t>.</w:t>
      </w:r>
    </w:p>
    <w:p w14:paraId="0A1B4686" w14:textId="77777777" w:rsidR="00A826C0" w:rsidRPr="00AC1D20" w:rsidRDefault="00A826C0" w:rsidP="00A826C0">
      <w:pPr>
        <w:spacing w:after="0"/>
        <w:jc w:val="both"/>
        <w:rPr>
          <w:sz w:val="24"/>
          <w:szCs w:val="24"/>
        </w:rPr>
      </w:pPr>
    </w:p>
    <w:p w14:paraId="536D3CAC" w14:textId="71C8A8C0" w:rsidR="00A826C0" w:rsidRDefault="00A826C0" w:rsidP="00A826C0">
      <w:pPr>
        <w:spacing w:after="0"/>
        <w:ind w:firstLine="851"/>
        <w:jc w:val="both"/>
        <w:rPr>
          <w:rFonts w:ascii="Times New Roman" w:hAnsi="Times New Roman"/>
          <w:sz w:val="24"/>
          <w:szCs w:val="24"/>
          <w:lang w:eastAsia="bg-BG"/>
        </w:rPr>
      </w:pPr>
      <w:r w:rsidRPr="00C155C2">
        <w:rPr>
          <w:rFonts w:ascii="Times New Roman" w:hAnsi="Times New Roman"/>
          <w:sz w:val="24"/>
          <w:szCs w:val="24"/>
          <w:lang w:eastAsia="bg-BG"/>
        </w:rPr>
        <w:t>Ясни насоки за изпълнение на дейности за комуникация и видимост са дадени в</w:t>
      </w:r>
      <w:r>
        <w:rPr>
          <w:rFonts w:ascii="Times New Roman" w:hAnsi="Times New Roman"/>
          <w:sz w:val="24"/>
          <w:szCs w:val="24"/>
          <w:lang w:eastAsia="bg-BG"/>
        </w:rPr>
        <w:t xml:space="preserve"> следните документи:</w:t>
      </w:r>
    </w:p>
    <w:p w14:paraId="20BD82F4" w14:textId="77777777" w:rsidR="00A826C0" w:rsidRDefault="00A826C0" w:rsidP="00A826C0">
      <w:pPr>
        <w:pStyle w:val="ListParagraph"/>
        <w:numPr>
          <w:ilvl w:val="0"/>
          <w:numId w:val="24"/>
        </w:numPr>
        <w:spacing w:after="0"/>
        <w:jc w:val="both"/>
        <w:rPr>
          <w:rFonts w:ascii="Times New Roman" w:hAnsi="Times New Roman"/>
          <w:sz w:val="24"/>
          <w:szCs w:val="24"/>
          <w:lang w:eastAsia="bg-BG"/>
        </w:rPr>
      </w:pPr>
      <w:r w:rsidRPr="008C5CD1">
        <w:rPr>
          <w:rFonts w:ascii="Times New Roman" w:hAnsi="Times New Roman"/>
          <w:sz w:val="24"/>
          <w:szCs w:val="24"/>
          <w:lang w:eastAsia="bg-BG"/>
        </w:rPr>
        <w:t>„Национална комуникационна стратегия 2021 -2027“ и приложения към нея, в това число Единен наръчник на бенефициента за прилагане на правилата за информация и комуникация 2021-2027 г</w:t>
      </w:r>
      <w:r>
        <w:rPr>
          <w:rFonts w:ascii="Times New Roman" w:hAnsi="Times New Roman"/>
          <w:sz w:val="24"/>
          <w:szCs w:val="24"/>
          <w:lang w:eastAsia="bg-BG"/>
        </w:rPr>
        <w:t>.</w:t>
      </w:r>
      <w:r>
        <w:rPr>
          <w:rStyle w:val="FootnoteReference"/>
          <w:rFonts w:ascii="Times New Roman" w:hAnsi="Times New Roman"/>
          <w:sz w:val="24"/>
          <w:szCs w:val="24"/>
          <w:lang w:eastAsia="bg-BG"/>
        </w:rPr>
        <w:footnoteReference w:id="3"/>
      </w:r>
    </w:p>
    <w:p w14:paraId="215596C5" w14:textId="77777777" w:rsidR="00A826C0" w:rsidRPr="001173E1" w:rsidRDefault="00A826C0" w:rsidP="00A826C0">
      <w:pPr>
        <w:pStyle w:val="ListParagraph"/>
        <w:numPr>
          <w:ilvl w:val="0"/>
          <w:numId w:val="24"/>
        </w:numPr>
        <w:spacing w:after="0"/>
        <w:jc w:val="both"/>
        <w:rPr>
          <w:rFonts w:ascii="Times New Roman" w:hAnsi="Times New Roman"/>
          <w:sz w:val="24"/>
          <w:szCs w:val="24"/>
          <w:lang w:eastAsia="bg-BG"/>
        </w:rPr>
      </w:pPr>
      <w:r w:rsidRPr="001173E1">
        <w:rPr>
          <w:rFonts w:ascii="Times New Roman" w:hAnsi="Times New Roman"/>
          <w:sz w:val="24"/>
          <w:szCs w:val="24"/>
          <w:lang w:eastAsia="bg-BG"/>
        </w:rPr>
        <w:t xml:space="preserve">„Правилата за комуникация и видимост“  на финансираните  от Европейския съюз програми за периода 2021—2027 г. </w:t>
      </w:r>
    </w:p>
    <w:p w14:paraId="6B85CC05" w14:textId="77777777" w:rsidR="00A826C0" w:rsidRPr="007D0996" w:rsidRDefault="00375286" w:rsidP="00A826C0">
      <w:pPr>
        <w:pStyle w:val="oj-ti-art"/>
        <w:numPr>
          <w:ilvl w:val="0"/>
          <w:numId w:val="24"/>
        </w:numPr>
        <w:shd w:val="clear" w:color="auto" w:fill="FFFFFF"/>
        <w:spacing w:line="312" w:lineRule="atLeast"/>
        <w:jc w:val="both"/>
        <w:rPr>
          <w:rStyle w:val="Hyperlink"/>
          <w:color w:val="auto"/>
        </w:rPr>
      </w:pPr>
      <w:hyperlink r:id="rId23" w:history="1">
        <w:r w:rsidR="00A826C0" w:rsidRPr="007D0996">
          <w:rPr>
            <w:rStyle w:val="Hyperlink"/>
            <w:color w:val="auto"/>
          </w:rPr>
          <w:t>https://ec.europa.eu/regional_policy/sources/policy/communication/support_kit_visibility_2127_en.pdf</w:t>
        </w:r>
      </w:hyperlink>
    </w:p>
    <w:p w14:paraId="06F0CE76" w14:textId="77777777" w:rsidR="00A826C0" w:rsidRPr="00447574" w:rsidRDefault="00375286" w:rsidP="00A826C0">
      <w:pPr>
        <w:pStyle w:val="oj-ti-art"/>
        <w:numPr>
          <w:ilvl w:val="0"/>
          <w:numId w:val="24"/>
        </w:numPr>
        <w:shd w:val="clear" w:color="auto" w:fill="FFFFFF"/>
        <w:spacing w:line="312" w:lineRule="atLeast"/>
        <w:jc w:val="both"/>
        <w:rPr>
          <w:rStyle w:val="Hyperlink"/>
          <w:color w:val="auto"/>
          <w:u w:val="none"/>
        </w:rPr>
      </w:pPr>
      <w:hyperlink r:id="rId24" w:history="1">
        <w:r w:rsidR="00A826C0" w:rsidRPr="007D0996">
          <w:rPr>
            <w:rStyle w:val="Hyperlink"/>
            <w:color w:val="auto"/>
          </w:rPr>
          <w:t>https://commission.europa.eu/resources-partners/european-commission-visual-identity_en</w:t>
        </w:r>
      </w:hyperlink>
    </w:p>
    <w:p w14:paraId="5F2D350B" w14:textId="77777777" w:rsidR="00A826C0" w:rsidRPr="00447574" w:rsidRDefault="00375286" w:rsidP="00A826C0">
      <w:pPr>
        <w:pStyle w:val="ListParagraph"/>
        <w:numPr>
          <w:ilvl w:val="0"/>
          <w:numId w:val="24"/>
        </w:numPr>
        <w:rPr>
          <w:color w:val="1F497D"/>
          <w:lang w:val="en-US"/>
        </w:rPr>
      </w:pPr>
      <w:hyperlink r:id="rId25" w:history="1">
        <w:r w:rsidR="00A826C0">
          <w:rPr>
            <w:rStyle w:val="Hyperlink"/>
          </w:rPr>
          <w:t>https://commission.europa.eu/funding-tenders/managing-your-project/communicating-and-raising-eu-visibility_en</w:t>
        </w:r>
      </w:hyperlink>
      <w:r w:rsidR="00A826C0" w:rsidRPr="00447574">
        <w:rPr>
          <w:color w:val="1F497D"/>
        </w:rPr>
        <w:t xml:space="preserve"> </w:t>
      </w:r>
    </w:p>
    <w:p w14:paraId="6458DF54" w14:textId="77777777" w:rsidR="00A826C0" w:rsidRPr="00447574" w:rsidRDefault="00375286" w:rsidP="00A826C0">
      <w:pPr>
        <w:pStyle w:val="ListParagraph"/>
        <w:numPr>
          <w:ilvl w:val="0"/>
          <w:numId w:val="24"/>
        </w:numPr>
        <w:rPr>
          <w:color w:val="1F497D"/>
        </w:rPr>
      </w:pPr>
      <w:hyperlink r:id="rId26" w:history="1">
        <w:r w:rsidR="00A826C0">
          <w:rPr>
            <w:rStyle w:val="Hyperlink"/>
          </w:rPr>
          <w:t>https://ec.europa.eu/regional_policy/policy/communication/how-to-communicate_en</w:t>
        </w:r>
      </w:hyperlink>
    </w:p>
    <w:p w14:paraId="407C8EC7" w14:textId="77777777" w:rsidR="00A826C0" w:rsidRDefault="00A826C0" w:rsidP="00A826C0">
      <w:pPr>
        <w:pStyle w:val="oj-ti-art"/>
        <w:shd w:val="clear" w:color="auto" w:fill="FFFFFF"/>
        <w:spacing w:before="360" w:after="120" w:line="312" w:lineRule="atLeast"/>
        <w:ind w:firstLine="708"/>
        <w:jc w:val="both"/>
      </w:pPr>
      <w:r w:rsidRPr="009220CB">
        <w:t xml:space="preserve">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към Регламент № 2021/1060. </w:t>
      </w:r>
    </w:p>
    <w:p w14:paraId="52F6FBED" w14:textId="61C87BDB" w:rsidR="00F704ED" w:rsidRPr="007A0B0A" w:rsidRDefault="00A826C0" w:rsidP="003F1D1D">
      <w:pPr>
        <w:pStyle w:val="Heading2"/>
        <w:numPr>
          <w:ilvl w:val="1"/>
          <w:numId w:val="2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sz w:val="24"/>
          <w:szCs w:val="24"/>
        </w:rPr>
      </w:pPr>
      <w:r>
        <w:rPr>
          <w:rFonts w:ascii="Times New Roman" w:hAnsi="Times New Roman"/>
          <w:sz w:val="24"/>
          <w:szCs w:val="24"/>
          <w:lang w:val="en-US"/>
        </w:rPr>
        <w:t xml:space="preserve"> </w:t>
      </w:r>
      <w:bookmarkStart w:id="38" w:name="_Toc136270285"/>
      <w:r w:rsidR="00F704ED" w:rsidRPr="007A0B0A">
        <w:rPr>
          <w:rFonts w:ascii="Times New Roman" w:hAnsi="Times New Roman"/>
          <w:sz w:val="24"/>
          <w:szCs w:val="24"/>
        </w:rPr>
        <w:t>Съпътстващи документи към ФК</w:t>
      </w:r>
      <w:bookmarkEnd w:id="29"/>
      <w:bookmarkEnd w:id="30"/>
      <w:bookmarkEnd w:id="38"/>
    </w:p>
    <w:p w14:paraId="56202163" w14:textId="77777777" w:rsidR="00134AB6" w:rsidRPr="007A0B0A" w:rsidRDefault="00134AB6" w:rsidP="00134AB6">
      <w:pPr>
        <w:ind w:right="141" w:firstLine="851"/>
        <w:jc w:val="both"/>
        <w:rPr>
          <w:rFonts w:ascii="Times New Roman" w:hAnsi="Times New Roman"/>
          <w:sz w:val="24"/>
          <w:szCs w:val="24"/>
          <w:lang w:eastAsia="bg-BG"/>
        </w:rPr>
      </w:pPr>
      <w:bookmarkStart w:id="39" w:name="_Toc136270286"/>
      <w:r w:rsidRPr="007A0B0A">
        <w:rPr>
          <w:rFonts w:ascii="Times New Roman" w:hAnsi="Times New Roman"/>
          <w:sz w:val="24"/>
          <w:szCs w:val="24"/>
          <w:lang w:eastAsia="bg-BG"/>
        </w:rPr>
        <w:t>Съпътстващите документи, които в зависимост от типа на проектното предложение следва да бъдат представени с подаването на ФК са както следва:</w:t>
      </w:r>
    </w:p>
    <w:p w14:paraId="29ADAE14" w14:textId="77777777" w:rsidR="00134AB6" w:rsidRPr="007A0B0A"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Извършените проучвания за осъществимост, включително и анализ на вариантите, както и резултатите, включително оценка на необходимостта от предварителни съгласувателни действия във връзка с възможни пресичания с друга вече изградена или в проект на изграждане инфраструктура за избрания вариант (приложимо само за инвестиционни проекти);</w:t>
      </w:r>
    </w:p>
    <w:p w14:paraId="06FC0A50" w14:textId="6CC5129A" w:rsidR="00134AB6" w:rsidRPr="004310C0"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val="en-US" w:eastAsia="bg-BG"/>
        </w:rPr>
      </w:pPr>
      <w:r w:rsidRPr="004310C0">
        <w:rPr>
          <w:rFonts w:ascii="Times New Roman" w:hAnsi="Times New Roman"/>
          <w:sz w:val="24"/>
          <w:szCs w:val="24"/>
          <w:lang w:eastAsia="bg-BG"/>
        </w:rPr>
        <w:t>Анализ „разходи-ползи” (АРП), включително икономически и финансов анализ и оценка на риска, като се вземат предвид нуждите във връзка с приспособяването към изменението на климата и смекчаване на последиците от него и устойчивостта на бедствия. Изготвянето на пълен АРП е задължителен за инвестиционни проекти над 50 млн. евро (</w:t>
      </w:r>
      <w:r w:rsidRPr="004310C0">
        <w:rPr>
          <w:rFonts w:ascii="Times New Roman" w:hAnsi="Times New Roman"/>
          <w:b/>
          <w:i/>
          <w:sz w:val="24"/>
          <w:szCs w:val="24"/>
          <w:lang w:eastAsia="bg-BG"/>
        </w:rPr>
        <w:t xml:space="preserve">Приложение </w:t>
      </w:r>
      <w:r w:rsidRPr="004310C0">
        <w:rPr>
          <w:rFonts w:ascii="Times New Roman" w:hAnsi="Times New Roman"/>
          <w:i/>
          <w:sz w:val="24"/>
          <w:szCs w:val="24"/>
          <w:lang w:eastAsia="bg-BG"/>
        </w:rPr>
        <w:t>Методология за извършване на анализ на разходите и ползите</w:t>
      </w:r>
      <w:r w:rsidRPr="004310C0">
        <w:rPr>
          <w:rFonts w:ascii="Times New Roman" w:hAnsi="Times New Roman"/>
          <w:sz w:val="24"/>
          <w:szCs w:val="24"/>
          <w:lang w:eastAsia="bg-BG"/>
        </w:rPr>
        <w:t>. За останалите инвестиционни проекти АРП е задължително изготвянето на финансов анализ, анализ на риска и чувствителността (приложимо само за инвестиционни проекти). Изчисленията в обхвата на АРП следва да б</w:t>
      </w:r>
      <w:r>
        <w:rPr>
          <w:rFonts w:ascii="Times New Roman" w:hAnsi="Times New Roman"/>
          <w:sz w:val="24"/>
          <w:szCs w:val="24"/>
          <w:lang w:eastAsia="bg-BG"/>
        </w:rPr>
        <w:t xml:space="preserve">ъдат представени във формат </w:t>
      </w:r>
      <w:r>
        <w:rPr>
          <w:rFonts w:ascii="Times New Roman" w:hAnsi="Times New Roman"/>
          <w:sz w:val="24"/>
          <w:szCs w:val="24"/>
          <w:lang w:eastAsia="bg-BG"/>
        </w:rPr>
        <w:tab/>
        <w:t xml:space="preserve">на </w:t>
      </w:r>
      <w:r w:rsidRPr="004310C0">
        <w:rPr>
          <w:rFonts w:ascii="Times New Roman" w:hAnsi="Times New Roman"/>
          <w:sz w:val="24"/>
          <w:szCs w:val="24"/>
          <w:lang w:eastAsia="bg-BG"/>
        </w:rPr>
        <w:t xml:space="preserve">Adobe Reader и </w:t>
      </w:r>
      <w:r w:rsidRPr="004310C0">
        <w:rPr>
          <w:rFonts w:ascii="Times New Roman" w:hAnsi="Times New Roman"/>
          <w:sz w:val="24"/>
          <w:szCs w:val="24"/>
        </w:rPr>
        <w:t xml:space="preserve">MS </w:t>
      </w:r>
      <w:r w:rsidRPr="004310C0">
        <w:rPr>
          <w:rFonts w:ascii="Times New Roman" w:hAnsi="Times New Roman"/>
          <w:sz w:val="24"/>
          <w:szCs w:val="24"/>
          <w:lang w:eastAsia="bg-BG"/>
        </w:rPr>
        <w:t>Excel</w:t>
      </w:r>
      <w:r>
        <w:rPr>
          <w:rFonts w:ascii="Times New Roman" w:hAnsi="Times New Roman"/>
          <w:sz w:val="24"/>
          <w:szCs w:val="24"/>
          <w:lang w:eastAsia="bg-BG"/>
        </w:rPr>
        <w:t>.</w:t>
      </w:r>
      <w:r>
        <w:rPr>
          <w:rFonts w:ascii="Times New Roman" w:hAnsi="Times New Roman"/>
          <w:sz w:val="24"/>
          <w:szCs w:val="24"/>
          <w:lang w:val="en-US" w:eastAsia="bg-BG"/>
        </w:rPr>
        <w:t xml:space="preserve"> </w:t>
      </w:r>
      <w:r>
        <w:rPr>
          <w:rFonts w:ascii="Times New Roman" w:hAnsi="Times New Roman"/>
          <w:sz w:val="24"/>
          <w:szCs w:val="24"/>
          <w:lang w:eastAsia="bg-BG"/>
        </w:rPr>
        <w:t>З</w:t>
      </w:r>
      <w:r w:rsidRPr="004310C0">
        <w:rPr>
          <w:rFonts w:ascii="Times New Roman" w:hAnsi="Times New Roman"/>
          <w:sz w:val="24"/>
          <w:szCs w:val="24"/>
          <w:lang w:eastAsia="bg-BG"/>
        </w:rPr>
        <w:t>а проекти за информационни системи в транспорта: интелигентни транспортни системи (</w:t>
      </w:r>
      <w:r w:rsidRPr="004310C0">
        <w:rPr>
          <w:rFonts w:ascii="Times New Roman" w:hAnsi="Times New Roman"/>
          <w:sz w:val="24"/>
          <w:szCs w:val="24"/>
          <w:lang w:val="en-US" w:eastAsia="bg-BG"/>
        </w:rPr>
        <w:t>ITS</w:t>
      </w:r>
      <w:r w:rsidRPr="004310C0">
        <w:rPr>
          <w:rFonts w:ascii="Times New Roman" w:hAnsi="Times New Roman"/>
          <w:sz w:val="24"/>
          <w:szCs w:val="24"/>
          <w:lang w:eastAsia="bg-BG"/>
        </w:rPr>
        <w:t>), системи за управление на железопътното движение: (</w:t>
      </w:r>
      <w:r w:rsidRPr="004310C0">
        <w:rPr>
          <w:rFonts w:ascii="Times New Roman" w:hAnsi="Times New Roman"/>
          <w:sz w:val="24"/>
          <w:szCs w:val="24"/>
          <w:lang w:val="en-US" w:eastAsia="bg-BG"/>
        </w:rPr>
        <w:t>ERTMS, ETCS</w:t>
      </w:r>
      <w:r w:rsidRPr="004310C0">
        <w:rPr>
          <w:rFonts w:ascii="Times New Roman" w:hAnsi="Times New Roman"/>
          <w:sz w:val="24"/>
          <w:szCs w:val="24"/>
          <w:lang w:eastAsia="bg-BG"/>
        </w:rPr>
        <w:t xml:space="preserve">, </w:t>
      </w:r>
      <w:r w:rsidRPr="004310C0">
        <w:rPr>
          <w:rFonts w:ascii="Times New Roman" w:hAnsi="Times New Roman"/>
          <w:sz w:val="24"/>
          <w:szCs w:val="24"/>
          <w:lang w:val="en-US" w:eastAsia="bg-BG"/>
        </w:rPr>
        <w:t>GSM-R)</w:t>
      </w:r>
      <w:r>
        <w:rPr>
          <w:rFonts w:ascii="Times New Roman" w:hAnsi="Times New Roman"/>
          <w:sz w:val="24"/>
          <w:szCs w:val="24"/>
          <w:lang w:val="en-US" w:eastAsia="bg-BG"/>
        </w:rPr>
        <w:t xml:space="preserve"> </w:t>
      </w:r>
      <w:r w:rsidRPr="004310C0">
        <w:rPr>
          <w:rFonts w:ascii="Times New Roman" w:hAnsi="Times New Roman"/>
          <w:sz w:val="24"/>
          <w:szCs w:val="24"/>
          <w:lang w:eastAsia="bg-BG"/>
        </w:rPr>
        <w:t>не е задължително изготвянето на АРП, когато се прилага Анализ на ефективността на разходите</w:t>
      </w:r>
      <w:r w:rsidRPr="004310C0">
        <w:rPr>
          <w:rFonts w:ascii="Times New Roman" w:hAnsi="Times New Roman"/>
          <w:sz w:val="24"/>
          <w:szCs w:val="24"/>
          <w:lang w:val="en-US" w:eastAsia="bg-BG"/>
        </w:rPr>
        <w:t xml:space="preserve"> (</w:t>
      </w:r>
      <w:r w:rsidRPr="004310C0">
        <w:rPr>
          <w:rFonts w:ascii="Times New Roman" w:hAnsi="Times New Roman"/>
          <w:sz w:val="24"/>
          <w:szCs w:val="24"/>
          <w:lang w:eastAsia="bg-BG"/>
        </w:rPr>
        <w:t>АЕР</w:t>
      </w:r>
      <w:r w:rsidRPr="004310C0">
        <w:rPr>
          <w:rFonts w:ascii="Times New Roman" w:hAnsi="Times New Roman"/>
          <w:sz w:val="24"/>
          <w:szCs w:val="24"/>
          <w:lang w:val="en-US" w:eastAsia="bg-BG"/>
        </w:rPr>
        <w:t>)</w:t>
      </w:r>
      <w:r w:rsidRPr="004310C0">
        <w:rPr>
          <w:rFonts w:ascii="Times New Roman" w:hAnsi="Times New Roman"/>
          <w:sz w:val="24"/>
          <w:szCs w:val="24"/>
          <w:lang w:eastAsia="bg-BG"/>
        </w:rPr>
        <w:t>. АЕР е предназначен за използване, когато конкретен резултат или цел вече е дефиниран и се сравнят доколко ефективно различните варианти отговарят на тази цел.</w:t>
      </w:r>
    </w:p>
    <w:p w14:paraId="0E2458C3" w14:textId="77777777" w:rsidR="00134AB6"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4310C0">
        <w:rPr>
          <w:rFonts w:ascii="Times New Roman" w:hAnsi="Times New Roman"/>
          <w:sz w:val="24"/>
          <w:szCs w:val="24"/>
          <w:lang w:eastAsia="bg-BG"/>
        </w:rPr>
        <w:t>Документация във връзка с ОВОС: нетехническо резюме на доклада за ОВОС; 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 Решението на компетентния орган, издадено в съответствие с членове 8 и 9 от Директивата за ОВОС за приключили процедури по реда на глава шеста от ЗООС и/или чл. 31 от ЗБР с влязъл в сила краен административен акт, издадени във връзка с изпълнението на инвестиционния проект (приложимо само за инвестиционни проекти);</w:t>
      </w:r>
    </w:p>
    <w:p w14:paraId="236DDF13" w14:textId="77777777" w:rsidR="00134AB6" w:rsidRPr="00980C01" w:rsidRDefault="00134AB6" w:rsidP="00134AB6">
      <w:pPr>
        <w:pStyle w:val="ListParagraph"/>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AD4DC6">
        <w:rPr>
          <w:rFonts w:ascii="Times New Roman" w:hAnsi="Times New Roman"/>
          <w:sz w:val="24"/>
          <w:szCs w:val="24"/>
          <w:lang w:eastAsia="bg-BG"/>
        </w:rPr>
        <w:t>Разработ</w:t>
      </w:r>
      <w:r>
        <w:rPr>
          <w:rFonts w:ascii="Times New Roman" w:hAnsi="Times New Roman"/>
          <w:sz w:val="24"/>
          <w:szCs w:val="24"/>
          <w:lang w:eastAsia="bg-BG"/>
        </w:rPr>
        <w:t>ени и одобрени</w:t>
      </w:r>
      <w:r w:rsidRPr="00AD4DC6">
        <w:rPr>
          <w:rFonts w:ascii="Times New Roman" w:hAnsi="Times New Roman"/>
          <w:sz w:val="24"/>
          <w:szCs w:val="24"/>
          <w:lang w:eastAsia="bg-BG"/>
        </w:rPr>
        <w:t xml:space="preserve"> специфични за </w:t>
      </w:r>
      <w:r>
        <w:rPr>
          <w:rFonts w:ascii="Times New Roman" w:hAnsi="Times New Roman"/>
          <w:sz w:val="24"/>
          <w:szCs w:val="24"/>
          <w:lang w:eastAsia="bg-BG"/>
        </w:rPr>
        <w:t xml:space="preserve">съответните </w:t>
      </w:r>
      <w:r w:rsidRPr="00AD4DC6">
        <w:rPr>
          <w:rFonts w:ascii="Times New Roman" w:hAnsi="Times New Roman"/>
          <w:sz w:val="24"/>
          <w:szCs w:val="24"/>
          <w:lang w:eastAsia="bg-BG"/>
        </w:rPr>
        <w:t xml:space="preserve">защитени зони подробни природозащитни цели </w:t>
      </w:r>
      <w:r>
        <w:rPr>
          <w:rFonts w:ascii="Times New Roman" w:hAnsi="Times New Roman"/>
          <w:sz w:val="24"/>
          <w:szCs w:val="24"/>
          <w:lang w:eastAsia="bg-BG"/>
        </w:rPr>
        <w:t>в съответствие с</w:t>
      </w:r>
      <w:r w:rsidRPr="00AD4DC6">
        <w:rPr>
          <w:rFonts w:ascii="Times New Roman" w:hAnsi="Times New Roman"/>
          <w:sz w:val="24"/>
          <w:szCs w:val="24"/>
          <w:lang w:eastAsia="bg-BG"/>
        </w:rPr>
        <w:t xml:space="preserve"> изискванията Директива 92/43/ЕИО за опазване на природните местообитания и на дивата флора и фауна - Директива за местообитанията и </w:t>
      </w:r>
      <w:r w:rsidRPr="00AD4DC6">
        <w:rPr>
          <w:rFonts w:ascii="Times New Roman" w:hAnsi="Times New Roman"/>
          <w:sz w:val="24"/>
          <w:szCs w:val="24"/>
          <w:lang w:eastAsia="bg-BG"/>
        </w:rPr>
        <w:lastRenderedPageBreak/>
        <w:t>Директива 2009/147/ЕО относно опазването на дивите птици - Директива за птиците</w:t>
      </w:r>
      <w:r>
        <w:rPr>
          <w:rFonts w:ascii="Times New Roman" w:hAnsi="Times New Roman"/>
          <w:sz w:val="24"/>
          <w:szCs w:val="24"/>
          <w:lang w:eastAsia="bg-BG"/>
        </w:rPr>
        <w:t xml:space="preserve"> </w:t>
      </w:r>
      <w:r>
        <w:rPr>
          <w:rFonts w:ascii="Times New Roman" w:hAnsi="Times New Roman"/>
          <w:sz w:val="24"/>
          <w:szCs w:val="24"/>
          <w:lang w:val="en-US" w:eastAsia="bg-BG"/>
        </w:rPr>
        <w:t>(</w:t>
      </w:r>
      <w:r>
        <w:rPr>
          <w:rFonts w:ascii="Times New Roman" w:hAnsi="Times New Roman"/>
          <w:sz w:val="24"/>
          <w:szCs w:val="24"/>
          <w:lang w:eastAsia="bg-BG"/>
        </w:rPr>
        <w:t>когато е приложимо</w:t>
      </w:r>
      <w:r>
        <w:rPr>
          <w:rFonts w:ascii="Times New Roman" w:hAnsi="Times New Roman"/>
          <w:sz w:val="24"/>
          <w:szCs w:val="24"/>
          <w:lang w:val="en-US" w:eastAsia="bg-BG"/>
        </w:rPr>
        <w:t>)</w:t>
      </w:r>
      <w:r>
        <w:rPr>
          <w:rFonts w:ascii="Times New Roman" w:hAnsi="Times New Roman"/>
          <w:sz w:val="24"/>
          <w:szCs w:val="24"/>
          <w:lang w:eastAsia="bg-BG"/>
        </w:rPr>
        <w:t>.</w:t>
      </w:r>
    </w:p>
    <w:p w14:paraId="49139226" w14:textId="77777777" w:rsidR="00134AB6" w:rsidRPr="007A0B0A"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Техническа спецификация от документация/и за обществена/и поръчка/и (когато е налична);</w:t>
      </w:r>
    </w:p>
    <w:p w14:paraId="0EDAA921" w14:textId="77777777" w:rsidR="00134AB6" w:rsidRPr="007A0B0A"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 xml:space="preserve">Техническа документация – например идеен проект, </w:t>
      </w:r>
      <w:r>
        <w:rPr>
          <w:rFonts w:ascii="Times New Roman" w:hAnsi="Times New Roman"/>
          <w:sz w:val="24"/>
          <w:szCs w:val="24"/>
          <w:lang w:eastAsia="bg-BG"/>
        </w:rPr>
        <w:t xml:space="preserve">технически проект, </w:t>
      </w:r>
      <w:r w:rsidRPr="007A0B0A">
        <w:rPr>
          <w:rFonts w:ascii="Times New Roman" w:hAnsi="Times New Roman"/>
          <w:sz w:val="24"/>
          <w:szCs w:val="24"/>
          <w:lang w:eastAsia="bg-BG"/>
        </w:rPr>
        <w:t>ПУП и др. (когато е приложимо);</w:t>
      </w:r>
    </w:p>
    <w:p w14:paraId="75970AFC" w14:textId="77777777" w:rsidR="00134AB6" w:rsidRPr="007A0B0A"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Картен материал, определящ местонахождението на проекта/ обекта (когато е приложимо);</w:t>
      </w:r>
    </w:p>
    <w:p w14:paraId="3E8D67FF" w14:textId="77777777" w:rsidR="00134AB6" w:rsidRPr="007A0B0A"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Заверени копия от разрешителни (когато е приложимо);</w:t>
      </w:r>
    </w:p>
    <w:p w14:paraId="51DB849E" w14:textId="77777777" w:rsidR="00134AB6" w:rsidRPr="007A0B0A" w:rsidRDefault="00134AB6" w:rsidP="00134AB6">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Декларации, свързани с дейностите по проекта – например приложените към ФК за инвестиционен проект  „Декларация на органа, отговарящ за мониторинга на обектите НАТУРА 2000“, „Декларация на компетентния орган, отговарящ за управлението на Водите“, декларация за двойно финансиране (когато е приложимо);</w:t>
      </w:r>
    </w:p>
    <w:p w14:paraId="49B6CBB9" w14:textId="1E8E5893" w:rsidR="00772CB7" w:rsidRDefault="00772CB7" w:rsidP="00772CB7">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72CB7">
        <w:rPr>
          <w:rFonts w:ascii="Times New Roman" w:hAnsi="Times New Roman"/>
          <w:sz w:val="24"/>
          <w:szCs w:val="24"/>
          <w:lang w:eastAsia="bg-BG"/>
        </w:rPr>
        <w:t>Оценителни въпросници за извършена самооценка от бенефициента на проектно предложение</w:t>
      </w:r>
      <w:r>
        <w:rPr>
          <w:rFonts w:ascii="Times New Roman" w:hAnsi="Times New Roman"/>
          <w:sz w:val="24"/>
          <w:szCs w:val="24"/>
          <w:lang w:eastAsia="bg-BG"/>
        </w:rPr>
        <w:t xml:space="preserve"> за инвестиционен проект</w:t>
      </w:r>
      <w:r w:rsidRPr="00772CB7">
        <w:rPr>
          <w:rFonts w:ascii="Times New Roman" w:hAnsi="Times New Roman"/>
          <w:sz w:val="24"/>
          <w:szCs w:val="24"/>
          <w:lang w:eastAsia="bg-BG"/>
        </w:rPr>
        <w:t>.</w:t>
      </w:r>
    </w:p>
    <w:p w14:paraId="11D5008A" w14:textId="5C4477DA" w:rsidR="00772CB7" w:rsidRPr="007A0B0A" w:rsidRDefault="00772CB7" w:rsidP="00772CB7">
      <w:pPr>
        <w:numPr>
          <w:ilvl w:val="1"/>
          <w:numId w:val="14"/>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Допълнителна информация от бенефициента и/или други институции/компетентни органи (когато е приложимо).</w:t>
      </w:r>
    </w:p>
    <w:p w14:paraId="6D7B7936" w14:textId="529B8675" w:rsidR="00134AB6" w:rsidRPr="007A0B0A" w:rsidRDefault="00134AB6" w:rsidP="00134AB6">
      <w:pPr>
        <w:pStyle w:val="PMnumeric"/>
        <w:numPr>
          <w:ilvl w:val="0"/>
          <w:numId w:val="0"/>
        </w:numPr>
        <w:tabs>
          <w:tab w:val="num" w:pos="851"/>
        </w:tabs>
        <w:ind w:right="141" w:firstLine="709"/>
        <w:rPr>
          <w:spacing w:val="0"/>
        </w:rPr>
      </w:pPr>
      <w:r w:rsidRPr="007A0B0A">
        <w:rPr>
          <w:spacing w:val="0"/>
        </w:rPr>
        <w:t xml:space="preserve">След финализиране на ФК и преди подаването му, бенефициента извършва самооценка на качеството на ФК, като попълва </w:t>
      </w:r>
      <w:r>
        <w:rPr>
          <w:spacing w:val="0"/>
        </w:rPr>
        <w:t xml:space="preserve">с мотиви по всеки въпрос </w:t>
      </w:r>
      <w:r w:rsidRPr="007A0B0A">
        <w:rPr>
          <w:spacing w:val="0"/>
        </w:rPr>
        <w:t>и прилага към ФК оценителн</w:t>
      </w:r>
      <w:r>
        <w:rPr>
          <w:spacing w:val="0"/>
        </w:rPr>
        <w:t>и</w:t>
      </w:r>
      <w:r w:rsidRPr="007A0B0A">
        <w:rPr>
          <w:spacing w:val="0"/>
        </w:rPr>
        <w:t xml:space="preserve"> </w:t>
      </w:r>
      <w:r>
        <w:rPr>
          <w:spacing w:val="0"/>
        </w:rPr>
        <w:t>въпросници</w:t>
      </w:r>
      <w:r w:rsidRPr="007A0B0A">
        <w:rPr>
          <w:spacing w:val="0"/>
        </w:rPr>
        <w:t xml:space="preserve"> за извършена самооценка</w:t>
      </w:r>
      <w:r w:rsidR="00772CB7">
        <w:rPr>
          <w:spacing w:val="0"/>
        </w:rPr>
        <w:t xml:space="preserve"> на инвестиционен проект</w:t>
      </w:r>
      <w:r w:rsidRPr="007A0B0A">
        <w:rPr>
          <w:spacing w:val="0"/>
        </w:rPr>
        <w:t xml:space="preserve">. </w:t>
      </w:r>
    </w:p>
    <w:p w14:paraId="77DA2DCB" w14:textId="77777777" w:rsidR="00134AB6" w:rsidRPr="00C247E3" w:rsidRDefault="00134AB6" w:rsidP="00134AB6">
      <w:pPr>
        <w:pStyle w:val="PMnumeric"/>
        <w:numPr>
          <w:ilvl w:val="0"/>
          <w:numId w:val="0"/>
        </w:numPr>
        <w:tabs>
          <w:tab w:val="num" w:pos="851"/>
        </w:tabs>
        <w:ind w:right="141"/>
        <w:rPr>
          <w:spacing w:val="0"/>
        </w:rPr>
      </w:pPr>
      <w:r w:rsidRPr="00C247E3">
        <w:rPr>
          <w:b/>
          <w:spacing w:val="0"/>
          <w:lang w:eastAsia="en-US"/>
        </w:rPr>
        <w:t xml:space="preserve">Важно: </w:t>
      </w:r>
      <w:r w:rsidRPr="00C247E3">
        <w:rPr>
          <w:spacing w:val="0"/>
          <w:lang w:eastAsia="en-US"/>
        </w:rPr>
        <w:t xml:space="preserve">АРП се извършва възможно най-рано на етапа на изготвяне на проекта, обикновено в края на предварителния етап на проектиране на проекта.  </w:t>
      </w:r>
    </w:p>
    <w:p w14:paraId="450B6A8C" w14:textId="0BD5F513" w:rsidR="00AF4B29" w:rsidRPr="007A0B0A" w:rsidRDefault="002325A3" w:rsidP="003F1D1D">
      <w:pPr>
        <w:pStyle w:val="Heading2"/>
        <w:numPr>
          <w:ilvl w:val="0"/>
          <w:numId w:val="19"/>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r w:rsidRPr="007A0B0A">
        <w:rPr>
          <w:rFonts w:ascii="Times New Roman" w:hAnsi="Times New Roman" w:cs="Times New Roman"/>
        </w:rPr>
        <w:t xml:space="preserve">Критерии </w:t>
      </w:r>
      <w:r w:rsidR="005B7309" w:rsidRPr="007A0B0A">
        <w:rPr>
          <w:rFonts w:ascii="Times New Roman" w:hAnsi="Times New Roman" w:cs="Times New Roman"/>
        </w:rPr>
        <w:t xml:space="preserve">и методика </w:t>
      </w:r>
      <w:r w:rsidRPr="007A0B0A">
        <w:rPr>
          <w:rFonts w:ascii="Times New Roman" w:hAnsi="Times New Roman" w:cs="Times New Roman"/>
        </w:rPr>
        <w:t>за оценка на проектните предложения:</w:t>
      </w:r>
      <w:bookmarkEnd w:id="39"/>
    </w:p>
    <w:p w14:paraId="0ED596E6" w14:textId="4038B701" w:rsidR="00AF4B29" w:rsidRPr="007A0B0A" w:rsidRDefault="00571777" w:rsidP="003F1D1D">
      <w:pPr>
        <w:pStyle w:val="Heading2"/>
        <w:numPr>
          <w:ilvl w:val="1"/>
          <w:numId w:val="21"/>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r>
        <w:rPr>
          <w:rFonts w:ascii="Times New Roman" w:hAnsi="Times New Roman" w:cs="Times New Roman"/>
        </w:rPr>
        <w:t xml:space="preserve"> </w:t>
      </w:r>
      <w:bookmarkStart w:id="40" w:name="_Toc136270287"/>
      <w:r w:rsidR="00685833" w:rsidRPr="007A0B0A">
        <w:rPr>
          <w:rFonts w:ascii="Times New Roman" w:hAnsi="Times New Roman" w:cs="Times New Roman"/>
        </w:rPr>
        <w:t xml:space="preserve">Критерии </w:t>
      </w:r>
      <w:r w:rsidR="00AF4B29" w:rsidRPr="007A0B0A">
        <w:rPr>
          <w:rFonts w:ascii="Times New Roman" w:hAnsi="Times New Roman" w:cs="Times New Roman"/>
        </w:rPr>
        <w:t xml:space="preserve">за </w:t>
      </w:r>
      <w:r w:rsidR="00685833" w:rsidRPr="007A0B0A">
        <w:rPr>
          <w:rFonts w:ascii="Times New Roman" w:hAnsi="Times New Roman" w:cs="Times New Roman"/>
        </w:rPr>
        <w:t>оценка</w:t>
      </w:r>
      <w:r w:rsidR="00AF4B29" w:rsidRPr="007A0B0A">
        <w:rPr>
          <w:rFonts w:ascii="Times New Roman" w:hAnsi="Times New Roman" w:cs="Times New Roman"/>
        </w:rPr>
        <w:t xml:space="preserve"> на проектните предложения:</w:t>
      </w:r>
      <w:bookmarkEnd w:id="40"/>
      <w:r w:rsidR="00AF4B29" w:rsidRPr="007A0B0A">
        <w:rPr>
          <w:rFonts w:ascii="Times New Roman" w:hAnsi="Times New Roman" w:cs="Times New Roman"/>
        </w:rPr>
        <w:t xml:space="preserve"> </w:t>
      </w:r>
    </w:p>
    <w:p w14:paraId="0B88B8BE" w14:textId="75EC3960"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t>В процеса на подготовка на Програма „Транспортна свързаност“  2021-2027 г. (ПТС) е извършен подбор на операциите, с което е опреден индикативен списък на инвестиционните проекти за финансиране по съответния приоритет на ПТС.</w:t>
      </w:r>
    </w:p>
    <w:p w14:paraId="32225047" w14:textId="77777777" w:rsidR="009D631B" w:rsidRPr="007A0B0A" w:rsidRDefault="009D631B" w:rsidP="009D631B">
      <w:pPr>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Подготовката и оценката на проектните предложения, подадени за финансиране по ПТС се </w:t>
      </w:r>
      <w:r w:rsidRPr="007A0B0A">
        <w:rPr>
          <w:rFonts w:ascii="Times New Roman" w:hAnsi="Times New Roman" w:cs="Times New Roman"/>
          <w:sz w:val="24"/>
          <w:szCs w:val="24"/>
        </w:rPr>
        <w:t>изпълнява</w:t>
      </w:r>
      <w:r w:rsidRPr="007A0B0A">
        <w:rPr>
          <w:rFonts w:ascii="Times New Roman" w:eastAsia="Calibri" w:hAnsi="Times New Roman" w:cs="Times New Roman"/>
          <w:sz w:val="24"/>
          <w:szCs w:val="24"/>
        </w:rPr>
        <w:t xml:space="preserve"> при стриктно спазване на процедурите, правилата и указанията, разписани в настоящите Насоки по ПТС.</w:t>
      </w:r>
    </w:p>
    <w:p w14:paraId="38D9E7D1" w14:textId="0187EB52" w:rsidR="00685833" w:rsidRPr="007A0B0A" w:rsidRDefault="00685833" w:rsidP="009D631B">
      <w:pPr>
        <w:ind w:firstLine="567"/>
        <w:jc w:val="both"/>
        <w:rPr>
          <w:rFonts w:ascii="Times New Roman" w:hAnsi="Times New Roman" w:cs="Times New Roman"/>
          <w:sz w:val="24"/>
          <w:szCs w:val="24"/>
        </w:rPr>
      </w:pPr>
      <w:r w:rsidRPr="007A0B0A">
        <w:rPr>
          <w:rFonts w:ascii="Times New Roman" w:hAnsi="Times New Roman" w:cs="Times New Roman"/>
          <w:sz w:val="24"/>
          <w:szCs w:val="24"/>
        </w:rPr>
        <w:t>Методът, който ще бъде използван е проектите да бъдат оценявани един по един след получаването и регистрирането им в системата ИСУН 2020, и те да бъдат сравнявани единствено с одобрените критерии за оценка на проекти от Комитета за наблюдение на ПТС.</w:t>
      </w:r>
    </w:p>
    <w:p w14:paraId="06FDE411" w14:textId="3138F129" w:rsidR="009D631B" w:rsidRPr="007A0B0A"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w:t>
      </w:r>
    </w:p>
    <w:p w14:paraId="70889087" w14:textId="77777777" w:rsidR="009D631B" w:rsidRPr="007A0B0A" w:rsidRDefault="009D631B" w:rsidP="009D631B">
      <w:pPr>
        <w:ind w:firstLine="567"/>
        <w:contextualSpacing/>
        <w:jc w:val="both"/>
        <w:rPr>
          <w:rFonts w:ascii="Times New Roman" w:eastAsia="Calibri" w:hAnsi="Times New Roman" w:cs="Times New Roman"/>
          <w:sz w:val="24"/>
          <w:szCs w:val="24"/>
        </w:rPr>
      </w:pPr>
    </w:p>
    <w:p w14:paraId="55231E4A" w14:textId="11D5B06D" w:rsidR="009D631B" w:rsidRDefault="009D631B" w:rsidP="009D631B">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 време на оценка на проекта, в случай че се у</w:t>
      </w:r>
      <w:r w:rsidRPr="009D631B">
        <w:rPr>
          <w:rFonts w:ascii="Times New Roman" w:eastAsia="Calibri" w:hAnsi="Times New Roman" w:cs="Times New Roman"/>
          <w:sz w:val="24"/>
          <w:szCs w:val="24"/>
        </w:rPr>
        <w:t xml:space="preserve">становят нередовности, непълноти и/или несъответствия на представените документи, оценителната комисия има право да изиска от кандидата да представи допълнителни писмени разяснения по представеният от него проект/финансов план или да изискат преработване на определени компоненти от проекта/ финансовия план. Кандидатът следва да представи допълнителни разяснения или преработен формуляр за кандидатстване/ финансов план в рамките на определения срок, който не може да бъде по-кратък от една седмица от датата на получаване на искането. </w:t>
      </w:r>
    </w:p>
    <w:p w14:paraId="4DDE0C6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3F4DECFA" w14:textId="77777777" w:rsidR="009D631B" w:rsidRPr="009D631B"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В случай че, кандидатът продължава да не отговаря на критериите за оценка, проекта/финансовият план може да се отхвърли. Предходното изречение не се прилага ако по преценка на оценителите пропуските са незначителни и могат да бъдат отстранени чрез служебни корекции в/във проекта/финансовия план.</w:t>
      </w:r>
    </w:p>
    <w:p w14:paraId="2B890278" w14:textId="77777777" w:rsidR="009D631B" w:rsidRPr="009D631B" w:rsidRDefault="009D631B" w:rsidP="009D631B">
      <w:pPr>
        <w:ind w:firstLine="567"/>
        <w:contextualSpacing/>
        <w:jc w:val="both"/>
        <w:rPr>
          <w:rFonts w:ascii="Times New Roman" w:eastAsia="Calibri" w:hAnsi="Times New Roman" w:cs="Times New Roman"/>
          <w:sz w:val="24"/>
          <w:szCs w:val="24"/>
        </w:rPr>
      </w:pPr>
    </w:p>
    <w:p w14:paraId="423092A8" w14:textId="2BFD5031" w:rsidR="009D631B" w:rsidRPr="00685833" w:rsidRDefault="009D631B" w:rsidP="009D631B">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w:t>
      </w:r>
      <w:r w:rsidRPr="007A0B0A">
        <w:rPr>
          <w:rFonts w:ascii="Times New Roman" w:eastAsia="Calibri" w:hAnsi="Times New Roman" w:cs="Times New Roman"/>
          <w:sz w:val="24"/>
          <w:szCs w:val="24"/>
        </w:rPr>
        <w:t>бенефициент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 (</w:t>
      </w:r>
      <w:hyperlink r:id="rId27" w:history="1">
        <w:r w:rsidR="00B61555" w:rsidRPr="00450B85">
          <w:rPr>
            <w:rStyle w:val="Hyperlink"/>
            <w:rFonts w:ascii="Times New Roman" w:eastAsia="Calibri" w:hAnsi="Times New Roman" w:cs="Times New Roman"/>
            <w:sz w:val="24"/>
            <w:szCs w:val="24"/>
          </w:rPr>
          <w:t>https://eumis2020.government.bg/bg/s/Help/Index</w:t>
        </w:r>
      </w:hyperlink>
      <w:r w:rsidR="00B61555">
        <w:rPr>
          <w:rFonts w:ascii="Times New Roman" w:eastAsia="Calibri" w:hAnsi="Times New Roman" w:cs="Times New Roman"/>
          <w:sz w:val="24"/>
          <w:szCs w:val="24"/>
        </w:rPr>
        <w:t xml:space="preserve"> </w:t>
      </w:r>
      <w:r w:rsidRPr="007A0B0A">
        <w:rPr>
          <w:rFonts w:ascii="Times New Roman" w:eastAsia="Calibri" w:hAnsi="Times New Roman" w:cs="Times New Roman"/>
          <w:sz w:val="24"/>
          <w:szCs w:val="24"/>
        </w:rPr>
        <w:t>).</w:t>
      </w:r>
    </w:p>
    <w:p w14:paraId="565B5F43" w14:textId="77777777" w:rsidR="009D631B" w:rsidRPr="00685833" w:rsidRDefault="009D631B" w:rsidP="009D631B">
      <w:pPr>
        <w:ind w:firstLine="567"/>
        <w:jc w:val="both"/>
        <w:rPr>
          <w:rFonts w:ascii="Times New Roman" w:hAnsi="Times New Roman" w:cs="Times New Roman"/>
          <w:sz w:val="24"/>
          <w:szCs w:val="24"/>
        </w:rPr>
      </w:pPr>
    </w:p>
    <w:p w14:paraId="24FF9AB8" w14:textId="007C0800" w:rsidR="00685833" w:rsidRPr="008D4AB4" w:rsidRDefault="00571777" w:rsidP="003F1D1D">
      <w:pPr>
        <w:pStyle w:val="Heading2"/>
        <w:numPr>
          <w:ilvl w:val="1"/>
          <w:numId w:val="21"/>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r>
        <w:rPr>
          <w:rFonts w:ascii="Times New Roman" w:hAnsi="Times New Roman" w:cs="Times New Roman"/>
        </w:rPr>
        <w:t xml:space="preserve"> </w:t>
      </w:r>
      <w:bookmarkStart w:id="41" w:name="_Toc136270288"/>
      <w:r w:rsidR="00810D84">
        <w:rPr>
          <w:rFonts w:ascii="Times New Roman" w:hAnsi="Times New Roman" w:cs="Times New Roman"/>
        </w:rPr>
        <w:t>Методика</w:t>
      </w:r>
      <w:r w:rsidR="00810D84" w:rsidRPr="008D4AB4">
        <w:rPr>
          <w:rFonts w:ascii="Times New Roman" w:hAnsi="Times New Roman" w:cs="Times New Roman"/>
        </w:rPr>
        <w:t xml:space="preserve"> </w:t>
      </w:r>
      <w:r w:rsidR="00685833" w:rsidRPr="008D4AB4">
        <w:rPr>
          <w:rFonts w:ascii="Times New Roman" w:hAnsi="Times New Roman" w:cs="Times New Roman"/>
        </w:rPr>
        <w:t>за оценяване на проектните предложения:</w:t>
      </w:r>
      <w:bookmarkEnd w:id="41"/>
      <w:r w:rsidR="00685833" w:rsidRPr="008D4AB4">
        <w:rPr>
          <w:rFonts w:ascii="Times New Roman" w:hAnsi="Times New Roman" w:cs="Times New Roman"/>
        </w:rPr>
        <w:t xml:space="preserve"> </w:t>
      </w:r>
    </w:p>
    <w:p w14:paraId="05925E1C" w14:textId="77777777" w:rsidR="00685833" w:rsidRPr="00685833" w:rsidRDefault="00685833" w:rsidP="00685833"/>
    <w:p w14:paraId="3B339D52" w14:textId="77777777" w:rsidR="00685833" w:rsidRPr="00685833" w:rsidRDefault="00685833" w:rsidP="00622EE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Процесът на  оценка на проектните предложения протича на следните етапи – „проверка за административно съответствие и допустимост“ и „техническа и финансова оценка“. 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оценителен лист. Преминаването от един в друг етап на оценка се осъществява след решение на оценителната комисия, взето с мнозинство. Изключение прави оценката на бюджетните линии, която включва единствено проверка за административно съответствие и оценка за допустимост.</w:t>
      </w:r>
    </w:p>
    <w:p w14:paraId="694F77C2" w14:textId="3D437892" w:rsidR="00685833" w:rsidRDefault="00685833" w:rsidP="00622EE0">
      <w:pPr>
        <w:ind w:firstLine="567"/>
        <w:contextualSpacing/>
        <w:jc w:val="both"/>
        <w:rPr>
          <w:rFonts w:ascii="Times New Roman" w:eastAsia="Calibri" w:hAnsi="Times New Roman" w:cs="Times New Roman"/>
          <w:sz w:val="24"/>
          <w:szCs w:val="24"/>
        </w:rPr>
      </w:pPr>
    </w:p>
    <w:p w14:paraId="1488EBB8" w14:textId="35A8A4DA" w:rsidR="009D631B" w:rsidRDefault="009D631B" w:rsidP="00622EE0">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Оценката на Формуляра за кандидатстване и</w:t>
      </w:r>
      <w:r>
        <w:rPr>
          <w:rFonts w:ascii="Times New Roman" w:eastAsia="Calibri" w:hAnsi="Times New Roman" w:cs="Times New Roman"/>
          <w:sz w:val="24"/>
          <w:szCs w:val="24"/>
        </w:rPr>
        <w:t>ли</w:t>
      </w:r>
      <w:r w:rsidRPr="008D4AB4">
        <w:rPr>
          <w:rFonts w:ascii="Times New Roman" w:eastAsia="Calibri" w:hAnsi="Times New Roman" w:cs="Times New Roman"/>
          <w:sz w:val="24"/>
          <w:szCs w:val="24"/>
        </w:rPr>
        <w:t xml:space="preserve"> финансовия план по настоящ</w:t>
      </w:r>
      <w:r>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на БФП</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 ПТС</w:t>
      </w:r>
      <w:r w:rsidRPr="008D4AB4">
        <w:rPr>
          <w:rFonts w:ascii="Times New Roman" w:eastAsia="Calibri" w:hAnsi="Times New Roman" w:cs="Times New Roman"/>
          <w:sz w:val="24"/>
          <w:szCs w:val="24"/>
        </w:rPr>
        <w:t xml:space="preserve">, се извършва от </w:t>
      </w:r>
      <w:r>
        <w:rPr>
          <w:rFonts w:ascii="Times New Roman" w:eastAsia="Calibri" w:hAnsi="Times New Roman" w:cs="Times New Roman"/>
          <w:sz w:val="24"/>
          <w:szCs w:val="24"/>
        </w:rPr>
        <w:t xml:space="preserve">оценителна комисия, сформирана от председател и </w:t>
      </w:r>
      <w:r w:rsidRPr="008D4AB4">
        <w:rPr>
          <w:rFonts w:ascii="Times New Roman" w:eastAsia="Calibri" w:hAnsi="Times New Roman" w:cs="Times New Roman"/>
          <w:sz w:val="24"/>
          <w:szCs w:val="24"/>
        </w:rPr>
        <w:t xml:space="preserve">минимум двама </w:t>
      </w:r>
      <w:r>
        <w:rPr>
          <w:rFonts w:ascii="Times New Roman" w:eastAsia="Calibri" w:hAnsi="Times New Roman" w:cs="Times New Roman"/>
          <w:sz w:val="24"/>
          <w:szCs w:val="24"/>
        </w:rPr>
        <w:t>членове</w:t>
      </w:r>
      <w:r w:rsidRPr="008D4AB4">
        <w:rPr>
          <w:rFonts w:ascii="Times New Roman" w:eastAsia="Calibri" w:hAnsi="Times New Roman" w:cs="Times New Roman"/>
          <w:sz w:val="24"/>
          <w:szCs w:val="24"/>
        </w:rPr>
        <w:t>, определени с Решение на Ръководителя на Управляващия орган</w:t>
      </w:r>
      <w:r>
        <w:rPr>
          <w:rFonts w:ascii="Times New Roman" w:eastAsia="Calibri" w:hAnsi="Times New Roman" w:cs="Times New Roman"/>
          <w:sz w:val="24"/>
          <w:szCs w:val="24"/>
        </w:rPr>
        <w:t xml:space="preserve"> на ПТС</w:t>
      </w:r>
      <w:r w:rsidRPr="008D4AB4">
        <w:rPr>
          <w:rFonts w:ascii="Times New Roman" w:eastAsia="Calibri" w:hAnsi="Times New Roman" w:cs="Times New Roman"/>
          <w:sz w:val="24"/>
          <w:szCs w:val="24"/>
        </w:rPr>
        <w:t xml:space="preserve">. </w:t>
      </w:r>
    </w:p>
    <w:p w14:paraId="63C7BD5F" w14:textId="77777777" w:rsidR="009D631B" w:rsidRDefault="009D631B" w:rsidP="00622EE0">
      <w:pPr>
        <w:ind w:firstLine="567"/>
        <w:contextualSpacing/>
        <w:jc w:val="both"/>
        <w:rPr>
          <w:rFonts w:ascii="Times New Roman" w:eastAsia="Calibri" w:hAnsi="Times New Roman" w:cs="Times New Roman"/>
          <w:sz w:val="24"/>
          <w:szCs w:val="24"/>
        </w:rPr>
      </w:pPr>
    </w:p>
    <w:p w14:paraId="00B8C2F4" w14:textId="77777777" w:rsidR="009D631B" w:rsidRPr="00E17A3E"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оценителна таблица.  Преминаването от един в друг етап на оценка се осъществява след решение на оценителната комисия, взето с мнозинство. Изключение прави оценката на финансовия план, която включва единствено проверка за административно съответствие и оценка за допустимост.</w:t>
      </w:r>
    </w:p>
    <w:p w14:paraId="4B1BAB29" w14:textId="4D6FD267" w:rsidR="009D631B"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Оценката на проектните предложения, включваща оценка на „административното съответствие и допустимостта“ и „техническа и финансова“ оценка се извършва в срок до  три месеца от датата на подаването им.</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В случай на бюджетни линии оценката на финансовия план се извършва в срок до един месец от датата на подаването му.</w:t>
      </w:r>
    </w:p>
    <w:p w14:paraId="55E78731" w14:textId="77777777" w:rsidR="00622EE0" w:rsidRPr="00E17A3E" w:rsidRDefault="00622EE0" w:rsidP="00622EE0">
      <w:pPr>
        <w:ind w:firstLine="567"/>
        <w:contextualSpacing/>
        <w:jc w:val="both"/>
        <w:rPr>
          <w:rFonts w:ascii="Times New Roman" w:eastAsia="Calibri" w:hAnsi="Times New Roman" w:cs="Times New Roman"/>
          <w:sz w:val="24"/>
          <w:szCs w:val="24"/>
        </w:rPr>
      </w:pPr>
    </w:p>
    <w:p w14:paraId="3CC45D8E" w14:textId="753A3E2B"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9D631B">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w:t>
      </w:r>
    </w:p>
    <w:p w14:paraId="5445EB2C" w14:textId="77777777" w:rsidR="009D631B" w:rsidRPr="00E17A3E"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p>
    <w:p w14:paraId="195BE7FB" w14:textId="77777777"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lastRenderedPageBreak/>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C914DF2" w14:textId="77777777" w:rsidR="009D631B" w:rsidRDefault="009D631B" w:rsidP="009D631B">
      <w:pPr>
        <w:contextualSpacing/>
        <w:jc w:val="both"/>
        <w:rPr>
          <w:rFonts w:ascii="Times New Roman" w:eastAsia="Calibri" w:hAnsi="Times New Roman" w:cs="Times New Roman"/>
          <w:sz w:val="24"/>
          <w:szCs w:val="24"/>
        </w:rPr>
      </w:pPr>
    </w:p>
    <w:p w14:paraId="28B22AEA" w14:textId="1E482154" w:rsidR="00685833" w:rsidRPr="00685833" w:rsidRDefault="00685833" w:rsidP="003F1D1D">
      <w:pPr>
        <w:pStyle w:val="ListParagraph"/>
        <w:numPr>
          <w:ilvl w:val="1"/>
          <w:numId w:val="12"/>
        </w:numPr>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и допустимост</w:t>
      </w:r>
    </w:p>
    <w:p w14:paraId="685F1339" w14:textId="1CC7975C"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w:t>
      </w:r>
      <w:r w:rsidR="00135216">
        <w:rPr>
          <w:rFonts w:ascii="Times New Roman" w:eastAsia="Calibri" w:hAnsi="Times New Roman" w:cs="Times New Roman"/>
          <w:sz w:val="24"/>
          <w:szCs w:val="24"/>
        </w:rPr>
        <w:t xml:space="preserve"> за </w:t>
      </w:r>
      <w:r w:rsidRPr="00685833">
        <w:rPr>
          <w:rFonts w:ascii="Times New Roman" w:eastAsia="Calibri" w:hAnsi="Times New Roman" w:cs="Times New Roman"/>
          <w:sz w:val="24"/>
          <w:szCs w:val="24"/>
        </w:rPr>
        <w:t>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27151EB"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Всички критерии за оценка на административното съответствие  се оценяват с отговор „ДА“ или „НЕ“, което се отразява в зависимост от вида на проектното предложение в оценителни таблици.</w:t>
      </w:r>
    </w:p>
    <w:p w14:paraId="70606089"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За да се премине на следващия етап  на оценка по всички критерии трябва да е получена положителна оценка „ДА“.  В случай, че по някой от критериите  е получена отрицателна оценка „НЕ“, ФК може да бъде върнат за ревизиране или отхвърлен.</w:t>
      </w:r>
    </w:p>
    <w:p w14:paraId="3760963D" w14:textId="77777777" w:rsidR="00685833" w:rsidRDefault="00685833" w:rsidP="00685833">
      <w:pPr>
        <w:ind w:firstLine="708"/>
        <w:contextualSpacing/>
        <w:jc w:val="both"/>
        <w:rPr>
          <w:rFonts w:ascii="Times New Roman" w:eastAsia="Calibri" w:hAnsi="Times New Roman" w:cs="Times New Roman"/>
          <w:sz w:val="24"/>
          <w:szCs w:val="24"/>
        </w:rPr>
      </w:pPr>
    </w:p>
    <w:p w14:paraId="7223B6B7" w14:textId="2440BA34"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След проверката за административното съответствие на проектното предложение, оценителната комисия извършва проверка за допустимост. </w:t>
      </w:r>
    </w:p>
    <w:p w14:paraId="662A043F" w14:textId="77777777" w:rsid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 за допустимост на проектното предложение се прилага при оценката на всички подадени проектни предложения. Проверката за допустимост е важен етап от оценката на проекта. Отговорите на въпросите за допустимост са или „ДА” или „НЕ”. </w:t>
      </w:r>
    </w:p>
    <w:p w14:paraId="1DEBB02C" w14:textId="77777777" w:rsidR="00685833" w:rsidRDefault="00685833" w:rsidP="00685833">
      <w:pPr>
        <w:ind w:firstLine="708"/>
        <w:contextualSpacing/>
        <w:jc w:val="both"/>
        <w:rPr>
          <w:rFonts w:ascii="Times New Roman" w:eastAsia="Calibri" w:hAnsi="Times New Roman" w:cs="Times New Roman"/>
          <w:sz w:val="24"/>
          <w:szCs w:val="24"/>
        </w:rPr>
      </w:pPr>
    </w:p>
    <w:p w14:paraId="5F259219" w14:textId="278D9B66"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Проверката протича в съответствие с Глава пета „Финансово </w:t>
      </w:r>
      <w:r w:rsidRPr="007A0B0A">
        <w:rPr>
          <w:rFonts w:ascii="Times New Roman" w:eastAsia="Calibri" w:hAnsi="Times New Roman" w:cs="Times New Roman"/>
          <w:sz w:val="24"/>
          <w:szCs w:val="24"/>
        </w:rPr>
        <w:t>управление и контрол“, Раздел I. „Общи условия и допустимост на разходите“ от ЗУСЕФСУ и т. 14.2.</w:t>
      </w:r>
    </w:p>
    <w:p w14:paraId="3F62C098" w14:textId="759A17BC"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случай, че всички изисквания са изцяло удовлетворени, се преминава към следващия втори етап – техническа и финансова оценка на предложението. За да се премине на следващия етап на оценка, по всички критерии трябва да е получена положителна оценка „ДА“.  </w:t>
      </w:r>
    </w:p>
    <w:p w14:paraId="4A835631"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случай, че по някой от критериите  е получена отрицателна оценка „НЕ“ ФК може да бъде върнат за ревизиране или отхвърлен.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2B8E80E0" w14:textId="77777777" w:rsidR="00685833" w:rsidRPr="007A0B0A" w:rsidRDefault="00685833" w:rsidP="007A0B0A">
      <w:pPr>
        <w:shd w:val="clear" w:color="auto" w:fill="FFFFFF" w:themeFill="background1"/>
        <w:contextualSpacing/>
        <w:jc w:val="both"/>
        <w:rPr>
          <w:rFonts w:ascii="Times New Roman" w:eastAsia="Calibri" w:hAnsi="Times New Roman" w:cs="Times New Roman"/>
          <w:sz w:val="24"/>
          <w:szCs w:val="24"/>
        </w:rPr>
      </w:pPr>
    </w:p>
    <w:p w14:paraId="14F2DA82" w14:textId="1E58207E" w:rsidR="00685833" w:rsidRPr="007A0B0A" w:rsidRDefault="00685833" w:rsidP="003F1D1D">
      <w:pPr>
        <w:pStyle w:val="ListParagraph"/>
        <w:numPr>
          <w:ilvl w:val="1"/>
          <w:numId w:val="12"/>
        </w:numPr>
        <w:shd w:val="clear" w:color="auto" w:fill="FFFFFF" w:themeFill="background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Техническа и финансова оценка</w:t>
      </w:r>
    </w:p>
    <w:p w14:paraId="43B56B7E" w14:textId="77777777" w:rsidR="00685833" w:rsidRPr="007A0B0A" w:rsidRDefault="00685833" w:rsidP="00551B93">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Този етап включва детайлна техническа и финансова оценка на проектното предложение. Всички критерии за техническа и финансова оценка се оценяват с отговор „ДА“, „НЕ“, а където са предвидени ограничения на приложимостта на даден критерий с „НЕПРИЛОЖИМО“, като резултатите се отразяват в оценителен лист.</w:t>
      </w:r>
    </w:p>
    <w:p w14:paraId="59D06B48" w14:textId="77777777" w:rsidR="00AC0437" w:rsidRPr="007A0B0A" w:rsidRDefault="00AC0437" w:rsidP="00551B93">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някои от критериите, относно анализ на търсенето, процедури по ОВОС/ОС, предпроектни проучвания, финансов анализ, икономически анализ,  безопасност, оценка на </w:t>
      </w:r>
      <w:r w:rsidRPr="007A0B0A">
        <w:rPr>
          <w:rFonts w:ascii="Times New Roman" w:eastAsia="Calibri" w:hAnsi="Times New Roman" w:cs="Times New Roman"/>
          <w:sz w:val="24"/>
          <w:szCs w:val="24"/>
        </w:rPr>
        <w:lastRenderedPageBreak/>
        <w:t xml:space="preserve">риска, климатична устойчивост, </w:t>
      </w:r>
      <w:r w:rsidRPr="007A0B0A">
        <w:rPr>
          <w:rFonts w:ascii="Times New Roman" w:eastAsia="Calibri" w:hAnsi="Times New Roman" w:cs="Times New Roman"/>
          <w:sz w:val="24"/>
          <w:szCs w:val="24"/>
          <w:lang w:val="en-US"/>
        </w:rPr>
        <w:t>DNSH</w:t>
      </w:r>
      <w:r w:rsidRPr="007A0B0A">
        <w:rPr>
          <w:rFonts w:ascii="Times New Roman" w:eastAsia="Calibri" w:hAnsi="Times New Roman" w:cs="Times New Roman"/>
          <w:sz w:val="24"/>
          <w:szCs w:val="24"/>
        </w:rPr>
        <w:t xml:space="preserve"> ще се изисква от бенефициента осигуряване на подробна информация, като изискванията </w:t>
      </w:r>
      <w:r>
        <w:rPr>
          <w:rFonts w:ascii="Times New Roman" w:eastAsia="Calibri" w:hAnsi="Times New Roman" w:cs="Times New Roman"/>
          <w:sz w:val="24"/>
          <w:szCs w:val="24"/>
        </w:rPr>
        <w:t>са</w:t>
      </w:r>
      <w:r w:rsidRPr="007A0B0A">
        <w:rPr>
          <w:rFonts w:ascii="Times New Roman" w:eastAsia="Calibri" w:hAnsi="Times New Roman" w:cs="Times New Roman"/>
          <w:sz w:val="24"/>
          <w:szCs w:val="24"/>
        </w:rPr>
        <w:t xml:space="preserve"> приложени към </w:t>
      </w:r>
      <w:r>
        <w:rPr>
          <w:rFonts w:ascii="Times New Roman" w:eastAsia="Calibri" w:hAnsi="Times New Roman" w:cs="Times New Roman"/>
          <w:sz w:val="24"/>
          <w:szCs w:val="24"/>
        </w:rPr>
        <w:t>настоящите условия</w:t>
      </w:r>
      <w:r w:rsidRPr="007A0B0A">
        <w:rPr>
          <w:rFonts w:ascii="Times New Roman" w:eastAsia="Calibri" w:hAnsi="Times New Roman" w:cs="Times New Roman"/>
          <w:sz w:val="24"/>
          <w:szCs w:val="24"/>
        </w:rPr>
        <w:t>.</w:t>
      </w:r>
    </w:p>
    <w:p w14:paraId="532F9C03" w14:textId="52E9376C" w:rsidR="00551B93" w:rsidRPr="00EF1AC0" w:rsidRDefault="00551B93" w:rsidP="00551B93">
      <w:pPr>
        <w:shd w:val="clear" w:color="auto" w:fill="FFFFFF" w:themeFill="background1"/>
        <w:ind w:firstLine="567"/>
        <w:contextualSpacing/>
        <w:jc w:val="both"/>
        <w:rPr>
          <w:rFonts w:ascii="Times New Roman" w:eastAsia="Calibri" w:hAnsi="Times New Roman" w:cs="Times New Roman"/>
          <w:sz w:val="24"/>
          <w:szCs w:val="24"/>
        </w:rPr>
      </w:pPr>
      <w:r w:rsidRPr="004A5E6C">
        <w:rPr>
          <w:rFonts w:ascii="Times New Roman" w:eastAsia="Calibri" w:hAnsi="Times New Roman" w:cs="Times New Roman"/>
          <w:sz w:val="24"/>
          <w:szCs w:val="24"/>
        </w:rPr>
        <w:t xml:space="preserve">Предложението за изпълнение на инвестиция </w:t>
      </w:r>
      <w:r>
        <w:rPr>
          <w:rFonts w:ascii="Times New Roman" w:eastAsia="Calibri" w:hAnsi="Times New Roman" w:cs="Times New Roman"/>
          <w:sz w:val="24"/>
          <w:szCs w:val="24"/>
        </w:rPr>
        <w:t xml:space="preserve">следва </w:t>
      </w:r>
      <w:r w:rsidRPr="004A5E6C">
        <w:rPr>
          <w:rFonts w:ascii="Times New Roman" w:eastAsia="Calibri" w:hAnsi="Times New Roman" w:cs="Times New Roman"/>
          <w:sz w:val="24"/>
          <w:szCs w:val="24"/>
        </w:rPr>
        <w:t xml:space="preserve">съблюдава принципа за „ненанасяне на значителни вреди“ </w:t>
      </w:r>
      <w:r>
        <w:rPr>
          <w:rFonts w:ascii="Times New Roman" w:eastAsia="Calibri" w:hAnsi="Times New Roman" w:cs="Times New Roman"/>
          <w:sz w:val="24"/>
          <w:szCs w:val="24"/>
        </w:rPr>
        <w:t>(</w:t>
      </w:r>
      <w:r w:rsidRPr="007A0B0A">
        <w:rPr>
          <w:rFonts w:ascii="Times New Roman" w:eastAsia="Calibri" w:hAnsi="Times New Roman" w:cs="Times New Roman"/>
          <w:sz w:val="24"/>
          <w:szCs w:val="24"/>
          <w:lang w:val="en-US"/>
        </w:rPr>
        <w:t>DNSH</w:t>
      </w:r>
      <w:r>
        <w:rPr>
          <w:rFonts w:ascii="Times New Roman" w:eastAsia="Calibri" w:hAnsi="Times New Roman" w:cs="Times New Roman"/>
          <w:sz w:val="24"/>
          <w:szCs w:val="24"/>
        </w:rPr>
        <w:t xml:space="preserve">) </w:t>
      </w:r>
      <w:r w:rsidRPr="004A5E6C">
        <w:rPr>
          <w:rFonts w:ascii="Times New Roman" w:eastAsia="Calibri" w:hAnsi="Times New Roman" w:cs="Times New Roman"/>
          <w:sz w:val="24"/>
          <w:szCs w:val="24"/>
        </w:rPr>
        <w:t>по отношение на всяка от шестте екологични цели, определени в член 9 на Регламент (ЕС) 2020/852 за създаване на рамка за улесняване на 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„Ненанасяне на значителни вреди“ (2021/C58/01)</w:t>
      </w:r>
      <w:r>
        <w:rPr>
          <w:rFonts w:ascii="Times New Roman" w:eastAsia="Calibri" w:hAnsi="Times New Roman" w:cs="Times New Roman"/>
          <w:sz w:val="24"/>
          <w:szCs w:val="24"/>
        </w:rPr>
        <w:t xml:space="preserve">. При извършване на самооценката за съответствие на този принцип може да се използва подхода </w:t>
      </w:r>
      <w:r w:rsidR="007E7A4F">
        <w:rPr>
          <w:rFonts w:ascii="Times New Roman" w:eastAsia="Calibri" w:hAnsi="Times New Roman" w:cs="Times New Roman"/>
          <w:sz w:val="24"/>
          <w:szCs w:val="24"/>
        </w:rPr>
        <w:t xml:space="preserve">и указанията, разработени на национално ниво </w:t>
      </w:r>
      <w:r>
        <w:rPr>
          <w:rFonts w:ascii="Times New Roman" w:eastAsia="Calibri" w:hAnsi="Times New Roman" w:cs="Times New Roman"/>
          <w:sz w:val="24"/>
          <w:szCs w:val="24"/>
        </w:rPr>
        <w:t xml:space="preserve">по ПВУ </w:t>
      </w:r>
      <w:hyperlink r:id="rId28" w:history="1">
        <w:r w:rsidRPr="00245469">
          <w:rPr>
            <w:rStyle w:val="Hyperlink"/>
            <w:rFonts w:ascii="Times New Roman" w:eastAsia="Calibri" w:hAnsi="Times New Roman" w:cs="Times New Roman"/>
            <w:sz w:val="24"/>
            <w:szCs w:val="24"/>
          </w:rPr>
          <w:t>https://www.minfin.bg/bg/1579</w:t>
        </w:r>
      </w:hyperlink>
      <w:r>
        <w:rPr>
          <w:rFonts w:ascii="Times New Roman" w:eastAsia="Calibri" w:hAnsi="Times New Roman" w:cs="Times New Roman"/>
          <w:sz w:val="24"/>
          <w:szCs w:val="24"/>
        </w:rPr>
        <w:t>.</w:t>
      </w:r>
    </w:p>
    <w:p w14:paraId="6480F1A9" w14:textId="77777777" w:rsidR="00551B93" w:rsidRDefault="00551B93" w:rsidP="00551B93">
      <w:pPr>
        <w:shd w:val="clear" w:color="auto" w:fill="FFFFFF" w:themeFill="background1"/>
        <w:spacing w:after="120" w:line="276" w:lineRule="auto"/>
        <w:ind w:firstLine="567"/>
        <w:jc w:val="both"/>
        <w:rPr>
          <w:rFonts w:ascii="Times New Roman" w:eastAsia="Calibri" w:hAnsi="Times New Roman" w:cs="Times New Roman"/>
          <w:sz w:val="24"/>
          <w:szCs w:val="24"/>
        </w:rPr>
      </w:pPr>
      <w:r w:rsidRPr="007A0B0A">
        <w:rPr>
          <w:rFonts w:ascii="Times New Roman" w:hAnsi="Times New Roman"/>
          <w:sz w:val="24"/>
          <w:szCs w:val="24"/>
        </w:rPr>
        <w:t>Всички бенефициенти по настоящ</w:t>
      </w:r>
      <w:r w:rsidRPr="007A0B0A">
        <w:rPr>
          <w:sz w:val="24"/>
          <w:szCs w:val="24"/>
        </w:rPr>
        <w:t xml:space="preserve">ите </w:t>
      </w:r>
      <w:r w:rsidRPr="007A0B0A">
        <w:rPr>
          <w:rFonts w:ascii="Times New Roman" w:hAnsi="Times New Roman"/>
          <w:sz w:val="24"/>
          <w:szCs w:val="24"/>
        </w:rPr>
        <w:t>процедур</w:t>
      </w:r>
      <w:r w:rsidRPr="007A0B0A">
        <w:rPr>
          <w:sz w:val="24"/>
          <w:szCs w:val="24"/>
        </w:rPr>
        <w:t>и</w:t>
      </w:r>
      <w:r w:rsidRPr="007A0B0A">
        <w:rPr>
          <w:rFonts w:ascii="Times New Roman" w:hAnsi="Times New Roman"/>
          <w:sz w:val="24"/>
          <w:szCs w:val="24"/>
        </w:rPr>
        <w:t xml:space="preserve"> се задължават да спазват принципа за ненанасяне на значителна вреда, което се </w:t>
      </w:r>
      <w:r w:rsidRPr="007A0B0A">
        <w:rPr>
          <w:rFonts w:ascii="Times New Roman" w:eastAsia="Calibri" w:hAnsi="Times New Roman" w:cs="Times New Roman"/>
          <w:sz w:val="24"/>
          <w:szCs w:val="24"/>
        </w:rPr>
        <w:t>удостоверява и с декларация, приложена към формуляра за кандидатстване.</w:t>
      </w:r>
    </w:p>
    <w:p w14:paraId="1989EE76" w14:textId="77777777" w:rsidR="00685833" w:rsidRPr="00685833" w:rsidRDefault="00685833" w:rsidP="00551B93">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Най-значимият елемент на оценката на проекта е техническата оценка. Основен аналитичен инструмент, който ще бъде използван при оценката за вземане на решение за финансиране на инвестиционните проекти е Анализа „разходи-ползи“ („АРП“). Целта на АРП  е да допринесе за оценяването на инвестиционните проекти, за да се определи дали инвестиционният проект заслужава да бъде съфинансиран от финансова и от икономическа гледна точка.</w:t>
      </w:r>
    </w:p>
    <w:p w14:paraId="07B60439" w14:textId="6CCCBF85" w:rsidR="0066341B" w:rsidRPr="00685833" w:rsidRDefault="00685833" w:rsidP="0066341B">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АРП се счита за елемент от ФК за инвестиционен проект, който трябва да бъде взет под внимание в съчетание с други документи, изготвяни във връзка с инвестиционните проекти.</w:t>
      </w:r>
      <w:r w:rsidR="0066341B" w:rsidRPr="0066341B">
        <w:rPr>
          <w:rFonts w:ascii="Times New Roman" w:eastAsia="Calibri" w:hAnsi="Times New Roman" w:cs="Times New Roman"/>
          <w:sz w:val="24"/>
          <w:szCs w:val="24"/>
        </w:rPr>
        <w:t xml:space="preserve"> </w:t>
      </w:r>
      <w:r w:rsidR="0066341B" w:rsidRPr="00685833">
        <w:rPr>
          <w:rFonts w:ascii="Times New Roman" w:eastAsia="Calibri" w:hAnsi="Times New Roman" w:cs="Times New Roman"/>
          <w:sz w:val="24"/>
          <w:szCs w:val="24"/>
        </w:rPr>
        <w:t>АРП</w:t>
      </w:r>
      <w:r w:rsidR="0066341B" w:rsidRPr="00DF4CD2">
        <w:rPr>
          <w:rFonts w:ascii="Times New Roman" w:eastAsia="Calibri" w:hAnsi="Times New Roman" w:cs="Times New Roman"/>
          <w:sz w:val="24"/>
          <w:szCs w:val="24"/>
        </w:rPr>
        <w:t xml:space="preserve"> се изготвя в съответствие с</w:t>
      </w:r>
      <w:r w:rsidR="0066341B">
        <w:t xml:space="preserve"> </w:t>
      </w:r>
      <w:hyperlink r:id="rId29" w:history="1">
        <w:r w:rsidR="0066341B" w:rsidRPr="00C522BF">
          <w:rPr>
            <w:rStyle w:val="Hyperlink"/>
            <w:rFonts w:ascii="Times New Roman" w:eastAsia="Calibri" w:hAnsi="Times New Roman" w:cs="Times New Roman"/>
            <w:sz w:val="24"/>
            <w:szCs w:val="24"/>
          </w:rPr>
          <w:t>Методология</w:t>
        </w:r>
        <w:r w:rsidR="0066341B">
          <w:rPr>
            <w:rStyle w:val="Hyperlink"/>
            <w:rFonts w:ascii="Times New Roman" w:eastAsia="Calibri" w:hAnsi="Times New Roman" w:cs="Times New Roman"/>
            <w:sz w:val="24"/>
            <w:szCs w:val="24"/>
          </w:rPr>
          <w:t>та</w:t>
        </w:r>
        <w:r w:rsidR="0066341B" w:rsidRPr="00C522BF">
          <w:rPr>
            <w:rStyle w:val="Hyperlink"/>
            <w:rFonts w:ascii="Times New Roman" w:eastAsia="Calibri" w:hAnsi="Times New Roman" w:cs="Times New Roman"/>
            <w:sz w:val="24"/>
            <w:szCs w:val="24"/>
          </w:rPr>
          <w:t xml:space="preserve"> за извършване на анализ на разходите и ползите</w:t>
        </w:r>
      </w:hyperlink>
      <w:r w:rsidR="0066341B" w:rsidRPr="007A0B0A">
        <w:rPr>
          <w:rFonts w:ascii="Times New Roman" w:eastAsia="Calibri" w:hAnsi="Times New Roman" w:cs="Times New Roman"/>
          <w:sz w:val="24"/>
          <w:szCs w:val="24"/>
          <w:lang w:val="en-US"/>
        </w:rPr>
        <w:t xml:space="preserve"> </w:t>
      </w:r>
      <w:r w:rsidR="0066341B">
        <w:rPr>
          <w:rFonts w:ascii="Times New Roman" w:eastAsia="Calibri" w:hAnsi="Times New Roman" w:cs="Times New Roman"/>
          <w:sz w:val="24"/>
          <w:szCs w:val="24"/>
        </w:rPr>
        <w:t xml:space="preserve">и </w:t>
      </w:r>
      <w:hyperlink r:id="rId30" w:history="1">
        <w:r w:rsidR="0066341B" w:rsidRPr="00C522BF">
          <w:rPr>
            <w:rStyle w:val="Hyperlink"/>
            <w:rFonts w:ascii="Times New Roman" w:eastAsia="Calibri" w:hAnsi="Times New Roman" w:cs="Times New Roman"/>
            <w:sz w:val="24"/>
            <w:szCs w:val="24"/>
          </w:rPr>
          <w:t>Критерии</w:t>
        </w:r>
        <w:r w:rsidR="0066341B">
          <w:rPr>
            <w:rStyle w:val="Hyperlink"/>
            <w:rFonts w:ascii="Times New Roman" w:eastAsia="Calibri" w:hAnsi="Times New Roman" w:cs="Times New Roman"/>
            <w:sz w:val="24"/>
            <w:szCs w:val="24"/>
          </w:rPr>
          <w:t>те</w:t>
        </w:r>
        <w:r w:rsidR="0066341B" w:rsidRPr="00C522BF">
          <w:rPr>
            <w:rStyle w:val="Hyperlink"/>
            <w:rFonts w:ascii="Times New Roman" w:eastAsia="Calibri" w:hAnsi="Times New Roman" w:cs="Times New Roman"/>
            <w:sz w:val="24"/>
            <w:szCs w:val="24"/>
          </w:rPr>
          <w:t xml:space="preserve"> за осигуряване на информация за инвестиционни проекти</w:t>
        </w:r>
      </w:hyperlink>
      <w:r w:rsidR="0066341B">
        <w:rPr>
          <w:rStyle w:val="Hyperlink"/>
          <w:rFonts w:ascii="Times New Roman" w:eastAsia="Calibri" w:hAnsi="Times New Roman" w:cs="Times New Roman"/>
          <w:sz w:val="24"/>
          <w:szCs w:val="24"/>
        </w:rPr>
        <w:t xml:space="preserve">, </w:t>
      </w:r>
      <w:r w:rsidR="0066341B">
        <w:rPr>
          <w:rFonts w:ascii="Times New Roman" w:eastAsia="Calibri" w:hAnsi="Times New Roman" w:cs="Times New Roman"/>
          <w:sz w:val="24"/>
          <w:szCs w:val="24"/>
        </w:rPr>
        <w:t>приложени</w:t>
      </w:r>
      <w:r w:rsidR="0066341B" w:rsidRPr="007A0B0A">
        <w:rPr>
          <w:rFonts w:ascii="Times New Roman" w:eastAsia="Calibri" w:hAnsi="Times New Roman" w:cs="Times New Roman"/>
          <w:sz w:val="24"/>
          <w:szCs w:val="24"/>
        </w:rPr>
        <w:t xml:space="preserve"> към настоящите </w:t>
      </w:r>
      <w:r w:rsidR="0066341B">
        <w:rPr>
          <w:rFonts w:ascii="Times New Roman" w:eastAsia="Calibri" w:hAnsi="Times New Roman" w:cs="Times New Roman"/>
          <w:sz w:val="24"/>
          <w:szCs w:val="24"/>
        </w:rPr>
        <w:t>Условия за кандидатстване.</w:t>
      </w:r>
    </w:p>
    <w:p w14:paraId="4DC85372" w14:textId="0BAF30E8"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При оценката на този етап не е задължително по всички критерии да бъде получена положителна оценка „ДА“, възможно е по един или няколко критерии оценката да  бъде „НЕПРИЛОЖИМО“, като в този случай проектното предложение  може да бъде одобрено. В случай, че поне по един от критериите е получена отрицателна  оценка „НЕ“, ФК може да бъде върнат за ревизиране или отхвърлен.</w:t>
      </w:r>
    </w:p>
    <w:p w14:paraId="4EBAED73" w14:textId="77777777" w:rsidR="00BF4F68" w:rsidRDefault="00375286" w:rsidP="00BF4F68">
      <w:pPr>
        <w:shd w:val="clear" w:color="auto" w:fill="FFFFFF" w:themeFill="background1"/>
        <w:ind w:firstLine="708"/>
        <w:contextualSpacing/>
        <w:jc w:val="both"/>
        <w:rPr>
          <w:rFonts w:ascii="Times New Roman" w:eastAsia="Calibri" w:hAnsi="Times New Roman" w:cs="Times New Roman"/>
          <w:sz w:val="24"/>
          <w:szCs w:val="24"/>
        </w:rPr>
      </w:pPr>
      <w:hyperlink r:id="rId31" w:history="1">
        <w:r w:rsidR="00BF4F68" w:rsidRPr="00C522BF">
          <w:rPr>
            <w:rStyle w:val="Hyperlink"/>
            <w:rFonts w:ascii="Times New Roman" w:eastAsia="Calibri" w:hAnsi="Times New Roman" w:cs="Times New Roman"/>
            <w:sz w:val="24"/>
            <w:szCs w:val="24"/>
          </w:rPr>
          <w:t>Методология за извършване на анализ на разходите и ползите</w:t>
        </w:r>
      </w:hyperlink>
      <w:r w:rsidR="00BF4F68" w:rsidRPr="007A0B0A">
        <w:rPr>
          <w:rFonts w:ascii="Times New Roman" w:eastAsia="Calibri" w:hAnsi="Times New Roman" w:cs="Times New Roman"/>
          <w:sz w:val="24"/>
          <w:szCs w:val="24"/>
          <w:lang w:val="en-US"/>
        </w:rPr>
        <w:t xml:space="preserve"> </w:t>
      </w:r>
      <w:r w:rsidR="00BF4F68">
        <w:rPr>
          <w:rFonts w:ascii="Times New Roman" w:eastAsia="Calibri" w:hAnsi="Times New Roman" w:cs="Times New Roman"/>
          <w:sz w:val="24"/>
          <w:szCs w:val="24"/>
        </w:rPr>
        <w:t xml:space="preserve">и </w:t>
      </w:r>
      <w:hyperlink r:id="rId32" w:history="1">
        <w:r w:rsidR="00BF4F68" w:rsidRPr="00C522BF">
          <w:rPr>
            <w:rStyle w:val="Hyperlink"/>
            <w:rFonts w:ascii="Times New Roman" w:eastAsia="Calibri" w:hAnsi="Times New Roman" w:cs="Times New Roman"/>
            <w:sz w:val="24"/>
            <w:szCs w:val="24"/>
          </w:rPr>
          <w:t>Критерии за осигуряване на информация за инвестиционни проекти</w:t>
        </w:r>
      </w:hyperlink>
      <w:r w:rsidR="00BF4F68" w:rsidRPr="003E0B3E">
        <w:rPr>
          <w:rFonts w:ascii="Times New Roman" w:eastAsia="Calibri" w:hAnsi="Times New Roman" w:cs="Times New Roman"/>
          <w:sz w:val="24"/>
          <w:szCs w:val="24"/>
        </w:rPr>
        <w:t xml:space="preserve"> се използват от оценителната комисия при техническата и финансова им оценка </w:t>
      </w:r>
      <w:r w:rsidR="00BF4F68">
        <w:rPr>
          <w:rFonts w:ascii="Times New Roman" w:eastAsia="Calibri" w:hAnsi="Times New Roman" w:cs="Times New Roman"/>
          <w:sz w:val="24"/>
          <w:szCs w:val="24"/>
        </w:rPr>
        <w:t>са</w:t>
      </w:r>
      <w:r w:rsidR="00BF4F68" w:rsidRPr="003E0B3E">
        <w:rPr>
          <w:rFonts w:ascii="Times New Roman" w:eastAsia="Calibri" w:hAnsi="Times New Roman" w:cs="Times New Roman"/>
          <w:sz w:val="24"/>
          <w:szCs w:val="24"/>
        </w:rPr>
        <w:t xml:space="preserve"> </w:t>
      </w:r>
      <w:r w:rsidR="00BF4F68">
        <w:rPr>
          <w:rFonts w:ascii="Times New Roman" w:eastAsia="Calibri" w:hAnsi="Times New Roman" w:cs="Times New Roman"/>
          <w:sz w:val="24"/>
          <w:szCs w:val="24"/>
        </w:rPr>
        <w:t>представени в Приложения</w:t>
      </w:r>
      <w:r w:rsidR="00BF4F68" w:rsidRPr="007A0B0A">
        <w:rPr>
          <w:rFonts w:ascii="Times New Roman" w:eastAsia="Calibri" w:hAnsi="Times New Roman" w:cs="Times New Roman"/>
          <w:sz w:val="24"/>
          <w:szCs w:val="24"/>
        </w:rPr>
        <w:t xml:space="preserve"> към настоящите </w:t>
      </w:r>
      <w:r w:rsidR="00BF4F68">
        <w:rPr>
          <w:rFonts w:ascii="Times New Roman" w:eastAsia="Calibri" w:hAnsi="Times New Roman" w:cs="Times New Roman"/>
          <w:sz w:val="24"/>
          <w:szCs w:val="24"/>
        </w:rPr>
        <w:t>Условия за кандидатстване</w:t>
      </w:r>
      <w:r w:rsidR="00BF4F68" w:rsidRPr="007A0B0A">
        <w:rPr>
          <w:rFonts w:ascii="Times New Roman" w:eastAsia="Calibri" w:hAnsi="Times New Roman" w:cs="Times New Roman"/>
          <w:sz w:val="24"/>
          <w:szCs w:val="24"/>
        </w:rPr>
        <w:t>.</w:t>
      </w:r>
    </w:p>
    <w:p w14:paraId="743432BC" w14:textId="77777777" w:rsidR="00BF4F68" w:rsidRDefault="00BF4F68" w:rsidP="00BF4F68">
      <w:pPr>
        <w:shd w:val="clear" w:color="auto" w:fill="FFFFFF" w:themeFill="background1"/>
        <w:ind w:firstLine="708"/>
        <w:contextualSpacing/>
        <w:jc w:val="both"/>
        <w:rPr>
          <w:rFonts w:ascii="Times New Roman" w:eastAsia="Calibri" w:hAnsi="Times New Roman" w:cs="Times New Roman"/>
          <w:sz w:val="24"/>
          <w:szCs w:val="24"/>
        </w:rPr>
      </w:pPr>
      <w:r w:rsidRPr="004711F1">
        <w:rPr>
          <w:rFonts w:ascii="Times New Roman" w:eastAsia="Calibri" w:hAnsi="Times New Roman" w:cs="Times New Roman"/>
          <w:sz w:val="24"/>
          <w:szCs w:val="24"/>
        </w:rPr>
        <w:t>Въпросници за самооценка на качеството на формуляра за кандидатстване за инвестиционен проект</w:t>
      </w:r>
      <w:r>
        <w:rPr>
          <w:rFonts w:ascii="Times New Roman" w:eastAsia="Calibri" w:hAnsi="Times New Roman" w:cs="Times New Roman"/>
          <w:sz w:val="24"/>
          <w:szCs w:val="24"/>
        </w:rPr>
        <w:t xml:space="preserve"> следва да се попълнят мотивирано (с посочване на конкретни данни от приложените документи), а не само с отговор „да – съответства на изискването“.</w:t>
      </w:r>
    </w:p>
    <w:p w14:paraId="712A7A9D" w14:textId="77777777" w:rsidR="00685833" w:rsidRDefault="00685833" w:rsidP="00685833">
      <w:pPr>
        <w:contextualSpacing/>
        <w:jc w:val="both"/>
        <w:rPr>
          <w:rFonts w:ascii="Times New Roman" w:eastAsia="Calibri" w:hAnsi="Times New Roman" w:cs="Times New Roman"/>
          <w:sz w:val="24"/>
          <w:szCs w:val="24"/>
        </w:rPr>
      </w:pPr>
    </w:p>
    <w:p w14:paraId="50ECF938" w14:textId="1BCD4088" w:rsidR="007D15CD" w:rsidRPr="007D15CD" w:rsidRDefault="004A58E5" w:rsidP="00985DF0">
      <w:pPr>
        <w:pStyle w:val="Heading2"/>
        <w:numPr>
          <w:ilvl w:val="0"/>
          <w:numId w:val="19"/>
        </w:numPr>
        <w:pBdr>
          <w:top w:val="single" w:sz="4" w:space="1" w:color="auto"/>
          <w:left w:val="single" w:sz="4" w:space="4" w:color="auto"/>
          <w:bottom w:val="single" w:sz="4" w:space="1" w:color="auto"/>
          <w:right w:val="single" w:sz="4" w:space="4" w:color="auto"/>
        </w:pBdr>
        <w:spacing w:before="120" w:after="120"/>
        <w:ind w:left="360"/>
        <w:rPr>
          <w:rFonts w:ascii="Times New Roman" w:hAnsi="Times New Roman" w:cs="Times New Roman"/>
        </w:rPr>
      </w:pPr>
      <w:bookmarkStart w:id="42" w:name="_Toc136270289"/>
      <w:r w:rsidRPr="007D15CD">
        <w:rPr>
          <w:rFonts w:ascii="Times New Roman" w:hAnsi="Times New Roman" w:cs="Times New Roman"/>
        </w:rPr>
        <w:t>Списък на документите, които се подават на етап кандидатстване:</w:t>
      </w:r>
      <w:bookmarkEnd w:id="42"/>
    </w:p>
    <w:p w14:paraId="492EC3C8" w14:textId="77777777" w:rsidR="00F40731" w:rsidRPr="00F40731" w:rsidRDefault="00F40731" w:rsidP="00F40731">
      <w:pPr>
        <w:spacing w:after="360" w:line="240" w:lineRule="auto"/>
        <w:ind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Кандидатът по настоящите процедури чрез директно предоставяне следва да</w:t>
      </w:r>
      <w:r w:rsidRPr="00F40731">
        <w:rPr>
          <w:rFonts w:ascii="Times New Roman" w:eastAsia="Times New Roman" w:hAnsi="Times New Roman" w:cs="Times New Roman"/>
          <w:snapToGrid w:val="0"/>
          <w:sz w:val="24"/>
          <w:szCs w:val="24"/>
        </w:rPr>
        <w:t xml:space="preserve"> попълни Формуляр за кандидатстване и да </w:t>
      </w:r>
      <w:r w:rsidRPr="00F40731">
        <w:rPr>
          <w:rFonts w:ascii="Times New Roman" w:eastAsia="Calibri" w:hAnsi="Times New Roman" w:cs="Times New Roman"/>
          <w:sz w:val="24"/>
          <w:szCs w:val="24"/>
        </w:rPr>
        <w:t xml:space="preserve">представи следните документи, по електронен път чрез ИСУН 2020: </w:t>
      </w:r>
    </w:p>
    <w:p w14:paraId="2219B842" w14:textId="77777777" w:rsidR="00F40731" w:rsidRPr="00F40731" w:rsidRDefault="00F40731" w:rsidP="00F40731">
      <w:pPr>
        <w:numPr>
          <w:ilvl w:val="0"/>
          <w:numId w:val="16"/>
        </w:numPr>
        <w:tabs>
          <w:tab w:val="left" w:pos="993"/>
        </w:tabs>
        <w:ind w:left="0" w:firstLine="567"/>
        <w:contextualSpacing/>
        <w:rPr>
          <w:rFonts w:ascii="Times New Roman" w:eastAsia="Calibri" w:hAnsi="Times New Roman" w:cs="Times New Roman"/>
          <w:sz w:val="24"/>
          <w:szCs w:val="24"/>
        </w:rPr>
      </w:pPr>
      <w:r w:rsidRPr="00F40731">
        <w:rPr>
          <w:rFonts w:ascii="Times New Roman" w:eastAsia="Calibri" w:hAnsi="Times New Roman" w:cs="Times New Roman"/>
          <w:sz w:val="24"/>
          <w:szCs w:val="24"/>
        </w:rPr>
        <w:lastRenderedPageBreak/>
        <w:t xml:space="preserve">Декларация, че кандидатът е запознат с условията за кандидатстване и условията за изпълнение; </w:t>
      </w:r>
    </w:p>
    <w:p w14:paraId="4FBE8555"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 xml:space="preserve">Документ за оправомощаване на лицето, което подписва с КЕП от името на кандидата на документите за кандидатстване в ИСУН 2020 (в случай че е приложимо) - </w:t>
      </w:r>
      <w:r w:rsidRPr="00F40731">
        <w:rPr>
          <w:rFonts w:ascii="Times New Roman" w:eastAsia="Calibri" w:hAnsi="Times New Roman" w:cs="Times New Roman"/>
          <w:b/>
          <w:sz w:val="24"/>
          <w:szCs w:val="24"/>
        </w:rPr>
        <w:t>прикачена в ИСУН 2020;</w:t>
      </w:r>
    </w:p>
    <w:p w14:paraId="5B0DE10C"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Документация във връзка с ОВОС и Натура 2000;</w:t>
      </w:r>
    </w:p>
    <w:p w14:paraId="3E7F7B07"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 xml:space="preserve">Анализ на </w:t>
      </w:r>
      <w:r w:rsidRPr="00F40731">
        <w:rPr>
          <w:rFonts w:ascii="Times New Roman" w:hAnsi="Times New Roman" w:cs="Times New Roman"/>
          <w:sz w:val="24"/>
          <w:szCs w:val="24"/>
          <w:lang w:val="ro-RO"/>
        </w:rPr>
        <w:t>разходите</w:t>
      </w:r>
      <w:r w:rsidRPr="00F40731">
        <w:rPr>
          <w:rFonts w:ascii="Times New Roman" w:eastAsia="Calibri" w:hAnsi="Times New Roman" w:cs="Times New Roman"/>
          <w:sz w:val="24"/>
          <w:szCs w:val="24"/>
        </w:rPr>
        <w:t xml:space="preserve"> и ползите;</w:t>
      </w:r>
    </w:p>
    <w:p w14:paraId="3B9F8413"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hAnsi="Times New Roman" w:cs="Times New Roman"/>
          <w:sz w:val="24"/>
          <w:szCs w:val="24"/>
          <w:lang w:val="ro-RO"/>
        </w:rPr>
        <w:t>Completion note</w:t>
      </w:r>
      <w:r w:rsidRPr="00F40731">
        <w:rPr>
          <w:rFonts w:ascii="Times New Roman" w:hAnsi="Times New Roman" w:cs="Times New Roman"/>
          <w:sz w:val="24"/>
          <w:szCs w:val="24"/>
        </w:rPr>
        <w:t xml:space="preserve"> от </w:t>
      </w:r>
      <w:r w:rsidRPr="00F40731">
        <w:rPr>
          <w:rFonts w:ascii="Times New Roman" w:hAnsi="Times New Roman" w:cs="Times New Roman"/>
          <w:sz w:val="24"/>
          <w:szCs w:val="24"/>
          <w:lang w:val="ro-RO"/>
        </w:rPr>
        <w:t>JASPERS</w:t>
      </w:r>
      <w:r w:rsidRPr="00F40731">
        <w:rPr>
          <w:rFonts w:ascii="Times New Roman" w:hAnsi="Times New Roman" w:cs="Times New Roman"/>
          <w:sz w:val="24"/>
          <w:szCs w:val="24"/>
        </w:rPr>
        <w:t xml:space="preserve"> </w:t>
      </w:r>
      <w:r w:rsidRPr="00F40731">
        <w:rPr>
          <w:rFonts w:ascii="Times New Roman" w:hAnsi="Times New Roman" w:cs="Times New Roman"/>
          <w:i/>
          <w:sz w:val="24"/>
          <w:szCs w:val="24"/>
        </w:rPr>
        <w:t xml:space="preserve">Когато проектът е подготвян с подкрепа от страна на </w:t>
      </w:r>
      <w:r w:rsidRPr="00F40731">
        <w:rPr>
          <w:rFonts w:ascii="Times New Roman" w:hAnsi="Times New Roman" w:cs="Times New Roman"/>
          <w:i/>
          <w:sz w:val="24"/>
          <w:szCs w:val="24"/>
          <w:lang w:val="ro-RO"/>
        </w:rPr>
        <w:t xml:space="preserve">JASPERS/ </w:t>
      </w:r>
      <w:r w:rsidRPr="00F40731">
        <w:rPr>
          <w:rFonts w:ascii="Times New Roman" w:hAnsi="Times New Roman" w:cs="Times New Roman"/>
          <w:i/>
          <w:sz w:val="24"/>
          <w:szCs w:val="24"/>
        </w:rPr>
        <w:t xml:space="preserve">УО получава подкрепа от страна на </w:t>
      </w:r>
      <w:r w:rsidRPr="00F40731">
        <w:rPr>
          <w:rFonts w:ascii="Times New Roman" w:hAnsi="Times New Roman" w:cs="Times New Roman"/>
          <w:i/>
          <w:sz w:val="24"/>
          <w:szCs w:val="24"/>
          <w:lang w:val="ro-RO"/>
        </w:rPr>
        <w:t>JASPERS</w:t>
      </w:r>
      <w:r w:rsidRPr="00F40731">
        <w:rPr>
          <w:rFonts w:ascii="Times New Roman" w:hAnsi="Times New Roman" w:cs="Times New Roman"/>
          <w:i/>
          <w:sz w:val="24"/>
          <w:szCs w:val="24"/>
        </w:rPr>
        <w:t xml:space="preserve"> за оценката му е наличен  </w:t>
      </w:r>
      <w:r w:rsidRPr="00F40731">
        <w:rPr>
          <w:rFonts w:ascii="Times New Roman" w:hAnsi="Times New Roman" w:cs="Times New Roman"/>
          <w:i/>
          <w:sz w:val="24"/>
          <w:szCs w:val="24"/>
          <w:lang w:val="ro-RO"/>
        </w:rPr>
        <w:t>completion note</w:t>
      </w:r>
      <w:r w:rsidRPr="00F40731">
        <w:rPr>
          <w:rFonts w:ascii="Times New Roman" w:hAnsi="Times New Roman" w:cs="Times New Roman"/>
          <w:i/>
          <w:sz w:val="24"/>
          <w:szCs w:val="24"/>
        </w:rPr>
        <w:t xml:space="preserve"> от </w:t>
      </w:r>
      <w:r w:rsidRPr="00F40731">
        <w:rPr>
          <w:rFonts w:ascii="Times New Roman" w:hAnsi="Times New Roman" w:cs="Times New Roman"/>
          <w:i/>
          <w:sz w:val="24"/>
          <w:szCs w:val="24"/>
          <w:lang w:val="ro-RO"/>
        </w:rPr>
        <w:t xml:space="preserve">JASPERS, </w:t>
      </w:r>
      <w:r w:rsidRPr="00F40731">
        <w:rPr>
          <w:rFonts w:ascii="Times New Roman" w:hAnsi="Times New Roman" w:cs="Times New Roman"/>
          <w:i/>
          <w:sz w:val="24"/>
          <w:szCs w:val="24"/>
        </w:rPr>
        <w:t>който съдържа положителна оценка на качеството на проекта;</w:t>
      </w:r>
    </w:p>
    <w:p w14:paraId="719AA025"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hAnsi="Times New Roman" w:cs="Times New Roman"/>
          <w:sz w:val="24"/>
          <w:szCs w:val="24"/>
        </w:rPr>
        <w:t>Картен</w:t>
      </w:r>
      <w:r w:rsidRPr="00F40731">
        <w:rPr>
          <w:rFonts w:ascii="Times New Roman" w:eastAsia="Calibri" w:hAnsi="Times New Roman" w:cs="Times New Roman"/>
          <w:sz w:val="24"/>
          <w:szCs w:val="24"/>
        </w:rPr>
        <w:t xml:space="preserve"> материал, определящ местонахождението на обекта;</w:t>
      </w:r>
    </w:p>
    <w:p w14:paraId="53FEA413"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Копия от разрешителни;</w:t>
      </w:r>
    </w:p>
    <w:p w14:paraId="6AE957D3"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Техническа документация;</w:t>
      </w:r>
    </w:p>
    <w:p w14:paraId="14DB1B36"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Техническа спецификация;</w:t>
      </w:r>
    </w:p>
    <w:p w14:paraId="34AFAD47"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Проучвания за осъществимост;</w:t>
      </w:r>
    </w:p>
    <w:p w14:paraId="52973B48"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hAnsi="Times New Roman" w:cs="Times New Roman"/>
          <w:sz w:val="24"/>
          <w:szCs w:val="24"/>
        </w:rPr>
        <w:t>Въпросници за самооценка на качеството на формуляра за кандидатстване за инвестиционен проект;</w:t>
      </w:r>
    </w:p>
    <w:p w14:paraId="0ECA25BB"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Комуникационен план за операции от стратегическо значение;</w:t>
      </w:r>
    </w:p>
    <w:p w14:paraId="7C1631F9" w14:textId="77777777" w:rsidR="00F40731" w:rsidRPr="00F40731" w:rsidRDefault="00F40731" w:rsidP="00F40731">
      <w:pPr>
        <w:numPr>
          <w:ilvl w:val="0"/>
          <w:numId w:val="16"/>
        </w:numPr>
        <w:tabs>
          <w:tab w:val="left" w:pos="993"/>
        </w:tabs>
        <w:spacing w:after="360" w:line="240" w:lineRule="auto"/>
        <w:ind w:left="0" w:firstLine="567"/>
        <w:contextualSpacing/>
        <w:jc w:val="both"/>
        <w:rPr>
          <w:rFonts w:ascii="Times New Roman" w:eastAsia="Calibri" w:hAnsi="Times New Roman" w:cs="Times New Roman"/>
          <w:sz w:val="24"/>
          <w:szCs w:val="24"/>
        </w:rPr>
      </w:pPr>
      <w:r w:rsidRPr="00F40731">
        <w:rPr>
          <w:rFonts w:ascii="Times New Roman" w:eastAsia="Calibri" w:hAnsi="Times New Roman" w:cs="Times New Roman"/>
          <w:sz w:val="24"/>
          <w:szCs w:val="24"/>
        </w:rPr>
        <w:t>Комуникационен план.</w:t>
      </w:r>
    </w:p>
    <w:p w14:paraId="7A8822C0" w14:textId="77777777" w:rsidR="00F40731" w:rsidRPr="00F40731" w:rsidRDefault="00F40731" w:rsidP="00F40731">
      <w:pPr>
        <w:spacing w:after="120" w:line="240" w:lineRule="auto"/>
        <w:jc w:val="both"/>
        <w:rPr>
          <w:rFonts w:ascii="Times New Roman" w:hAnsi="Times New Roman" w:cs="Times New Roman"/>
          <w:sz w:val="24"/>
          <w:szCs w:val="24"/>
        </w:rPr>
      </w:pPr>
      <w:r w:rsidRPr="00F40731">
        <w:rPr>
          <w:rFonts w:ascii="Times New Roman" w:hAnsi="Times New Roman" w:cs="Times New Roman"/>
          <w:sz w:val="24"/>
          <w:szCs w:val="24"/>
        </w:rPr>
        <w:t xml:space="preserve">Формулярът за кандидатстване се подписва с КЕП от лицето, представляващо конкретния бенефициент на БФП. </w:t>
      </w:r>
    </w:p>
    <w:p w14:paraId="53AA2559" w14:textId="77777777" w:rsidR="00F40731" w:rsidRPr="00F40731" w:rsidRDefault="00F40731" w:rsidP="00F40731">
      <w:pPr>
        <w:spacing w:after="120" w:line="240" w:lineRule="auto"/>
        <w:jc w:val="both"/>
        <w:rPr>
          <w:rFonts w:ascii="Times New Roman" w:hAnsi="Times New Roman" w:cs="Times New Roman"/>
          <w:sz w:val="24"/>
          <w:szCs w:val="24"/>
        </w:rPr>
      </w:pPr>
      <w:r w:rsidRPr="00F40731">
        <w:rPr>
          <w:rFonts w:ascii="Times New Roman" w:eastAsia="Calibri" w:hAnsi="Times New Roman" w:cs="Times New Roman"/>
          <w:sz w:val="24"/>
          <w:szCs w:val="24"/>
        </w:rPr>
        <w:t xml:space="preserve">Декларацията, че кандидатът е запознат с условията за кандидатстване и условията за изпълнение </w:t>
      </w:r>
      <w:r w:rsidRPr="00F40731">
        <w:rPr>
          <w:rFonts w:ascii="Times New Roman" w:hAnsi="Times New Roman" w:cs="Times New Roman"/>
          <w:sz w:val="24"/>
          <w:szCs w:val="24"/>
        </w:rPr>
        <w:t xml:space="preserve">се подава чрез попълване на т. „E-ДЕКЛАРАЦИИ“ на Формуляра на кандидатстване. </w:t>
      </w:r>
    </w:p>
    <w:p w14:paraId="41679C13" w14:textId="77777777" w:rsidR="00F40731" w:rsidRPr="00F40731" w:rsidRDefault="00F40731" w:rsidP="00F40731">
      <w:pPr>
        <w:spacing w:after="120" w:line="240" w:lineRule="auto"/>
        <w:jc w:val="both"/>
        <w:rPr>
          <w:rFonts w:ascii="Times New Roman" w:eastAsia="Times New Roman" w:hAnsi="Times New Roman" w:cs="Times New Roman"/>
          <w:snapToGrid w:val="0"/>
          <w:sz w:val="24"/>
          <w:szCs w:val="24"/>
        </w:rPr>
      </w:pPr>
      <w:r w:rsidRPr="00F40731">
        <w:rPr>
          <w:rFonts w:ascii="Times New Roman" w:eastAsia="Calibri" w:hAnsi="Times New Roman" w:cs="Times New Roman"/>
          <w:b/>
          <w:sz w:val="24"/>
          <w:szCs w:val="24"/>
        </w:rPr>
        <w:t>ВАЖНО:</w:t>
      </w:r>
      <w:r w:rsidRPr="00F40731">
        <w:rPr>
          <w:rFonts w:ascii="Times New Roman" w:eastAsia="Calibri" w:hAnsi="Times New Roman" w:cs="Times New Roman"/>
          <w:sz w:val="24"/>
          <w:szCs w:val="24"/>
        </w:rPr>
        <w:t xml:space="preserve"> </w:t>
      </w:r>
      <w:r w:rsidRPr="00F40731">
        <w:rPr>
          <w:rFonts w:ascii="Times New Roman" w:eastAsia="Times New Roman" w:hAnsi="Times New Roman" w:cs="Times New Roman"/>
          <w:snapToGrid w:val="0"/>
          <w:sz w:val="24"/>
          <w:szCs w:val="24"/>
        </w:rPr>
        <w:t xml:space="preserve">Кандидатът следва да се увери, че всички документи са представени в изискуемата форма съгласно изискванията на настоящите Условия за кандидатстване. </w:t>
      </w:r>
    </w:p>
    <w:p w14:paraId="3EDB6F73" w14:textId="77777777" w:rsidR="00F40731" w:rsidRPr="00F40731" w:rsidRDefault="00F40731" w:rsidP="00F40731">
      <w:pPr>
        <w:pStyle w:val="Heading2"/>
        <w:numPr>
          <w:ilvl w:val="0"/>
          <w:numId w:val="19"/>
        </w:numPr>
        <w:pBdr>
          <w:top w:val="single" w:sz="4" w:space="1" w:color="auto"/>
          <w:left w:val="single" w:sz="4" w:space="4" w:color="auto"/>
          <w:bottom w:val="single" w:sz="4" w:space="1" w:color="auto"/>
          <w:right w:val="single" w:sz="4" w:space="4" w:color="auto"/>
        </w:pBdr>
        <w:spacing w:before="120" w:after="120"/>
        <w:ind w:left="360"/>
        <w:rPr>
          <w:rFonts w:ascii="Times New Roman" w:hAnsi="Times New Roman" w:cs="Times New Roman"/>
        </w:rPr>
      </w:pPr>
      <w:bookmarkStart w:id="43" w:name="_Toc135995236"/>
      <w:bookmarkStart w:id="44" w:name="_Toc136003719"/>
      <w:bookmarkStart w:id="45" w:name="_Toc136270290"/>
      <w:bookmarkEnd w:id="43"/>
      <w:r w:rsidRPr="00F40731">
        <w:rPr>
          <w:rFonts w:ascii="Times New Roman" w:hAnsi="Times New Roman" w:cs="Times New Roman"/>
        </w:rPr>
        <w:t>Краен срок за подаване на проектните предложения:</w:t>
      </w:r>
      <w:bookmarkEnd w:id="44"/>
      <w:bookmarkEnd w:id="45"/>
      <w:r w:rsidRPr="00F40731" w:rsidDel="0063166B">
        <w:rPr>
          <w:rFonts w:ascii="Times New Roman" w:hAnsi="Times New Roman" w:cs="Times New Roman"/>
        </w:rPr>
        <w:t xml:space="preserve"> </w:t>
      </w:r>
    </w:p>
    <w:p w14:paraId="034F73DC" w14:textId="77777777" w:rsidR="00F40731" w:rsidRPr="00F40731" w:rsidRDefault="00F40731" w:rsidP="00F40731">
      <w:pPr>
        <w:spacing w:before="120" w:after="120" w:line="240" w:lineRule="auto"/>
        <w:jc w:val="both"/>
        <w:rPr>
          <w:rFonts w:ascii="Times New Roman" w:hAnsi="Times New Roman" w:cs="Times New Roman"/>
          <w:b/>
          <w:sz w:val="24"/>
          <w:szCs w:val="24"/>
        </w:rPr>
      </w:pPr>
      <w:r w:rsidRPr="00F40731">
        <w:rPr>
          <w:rFonts w:ascii="Times New Roman" w:hAnsi="Times New Roman" w:cs="Times New Roman"/>
          <w:sz w:val="24"/>
          <w:szCs w:val="24"/>
        </w:rPr>
        <w:t xml:space="preserve">Ще се прилага процедура чрез директно предоставяне с </w:t>
      </w:r>
      <w:r w:rsidRPr="00F40731">
        <w:rPr>
          <w:rFonts w:ascii="Times New Roman" w:hAnsi="Times New Roman" w:cs="Times New Roman"/>
          <w:b/>
          <w:sz w:val="24"/>
          <w:szCs w:val="24"/>
        </w:rPr>
        <w:t>един краен срок за кандидатстване – 17:30 часа на 31.</w:t>
      </w:r>
      <w:r w:rsidRPr="00F40731">
        <w:rPr>
          <w:rFonts w:ascii="Times New Roman" w:hAnsi="Times New Roman" w:cs="Times New Roman"/>
          <w:b/>
          <w:sz w:val="24"/>
          <w:szCs w:val="24"/>
          <w:lang w:val="en-US"/>
        </w:rPr>
        <w:t>10</w:t>
      </w:r>
      <w:r w:rsidRPr="00F40731">
        <w:rPr>
          <w:rFonts w:ascii="Times New Roman" w:hAnsi="Times New Roman" w:cs="Times New Roman"/>
          <w:b/>
          <w:sz w:val="24"/>
          <w:szCs w:val="24"/>
        </w:rPr>
        <w:t xml:space="preserve">.2029 г. </w:t>
      </w:r>
    </w:p>
    <w:p w14:paraId="1A1C73AD" w14:textId="77777777" w:rsidR="00F40731" w:rsidRPr="00F40731" w:rsidRDefault="00F40731" w:rsidP="00F40731">
      <w:pPr>
        <w:pStyle w:val="Heading2"/>
        <w:numPr>
          <w:ilvl w:val="0"/>
          <w:numId w:val="19"/>
        </w:numPr>
        <w:pBdr>
          <w:top w:val="single" w:sz="4" w:space="1" w:color="auto"/>
          <w:left w:val="single" w:sz="4" w:space="4" w:color="auto"/>
          <w:bottom w:val="single" w:sz="4" w:space="1" w:color="auto"/>
          <w:right w:val="single" w:sz="4" w:space="4" w:color="auto"/>
        </w:pBdr>
        <w:spacing w:before="120" w:after="120"/>
        <w:ind w:left="360"/>
        <w:rPr>
          <w:rFonts w:ascii="Times New Roman" w:hAnsi="Times New Roman" w:cs="Times New Roman"/>
        </w:rPr>
      </w:pPr>
      <w:bookmarkStart w:id="46" w:name="_Toc136003720"/>
      <w:bookmarkStart w:id="47" w:name="_Toc136270291"/>
      <w:r w:rsidRPr="00F40731">
        <w:rPr>
          <w:rFonts w:ascii="Times New Roman" w:hAnsi="Times New Roman" w:cs="Times New Roman"/>
        </w:rPr>
        <w:t>Адрес за подаване на проектните предложения/концепциите за проектни предложения:</w:t>
      </w:r>
      <w:bookmarkEnd w:id="46"/>
      <w:bookmarkEnd w:id="47"/>
    </w:p>
    <w:p w14:paraId="508E6288" w14:textId="77777777" w:rsidR="00F40731" w:rsidRPr="00F40731" w:rsidRDefault="00F40731" w:rsidP="00F40731">
      <w:pPr>
        <w:spacing w:after="360" w:line="240" w:lineRule="auto"/>
        <w:contextualSpacing/>
        <w:jc w:val="both"/>
        <w:rPr>
          <w:rFonts w:ascii="Times New Roman" w:hAnsi="Times New Roman" w:cs="Times New Roman"/>
          <w:sz w:val="24"/>
          <w:szCs w:val="24"/>
        </w:rPr>
      </w:pPr>
      <w:r w:rsidRPr="00F40731">
        <w:rPr>
          <w:rFonts w:ascii="Times New Roman" w:hAnsi="Times New Roman" w:cs="Times New Roman"/>
          <w:sz w:val="24"/>
          <w:szCs w:val="24"/>
        </w:rPr>
        <w:t>Формулярът за кандидатстване и финансовият план по настоящата процедура се подават по електронен път чрез ИСУН 2020 на следния интернет адрес:</w:t>
      </w:r>
      <w:r w:rsidRPr="00F40731">
        <w:rPr>
          <w:rFonts w:ascii="Times New Roman" w:hAnsi="Times New Roman" w:cs="Times New Roman"/>
        </w:rPr>
        <w:t xml:space="preserve"> </w:t>
      </w:r>
      <w:hyperlink r:id="rId33" w:history="1">
        <w:r w:rsidRPr="00F40731">
          <w:rPr>
            <w:rFonts w:ascii="Times New Roman" w:hAnsi="Times New Roman" w:cs="Times New Roman"/>
            <w:color w:val="0563C1" w:themeColor="hyperlink"/>
            <w:sz w:val="24"/>
            <w:szCs w:val="24"/>
            <w:u w:val="single"/>
          </w:rPr>
          <w:t>https://eumis2020.government.bg</w:t>
        </w:r>
      </w:hyperlink>
      <w:r w:rsidRPr="00F40731">
        <w:rPr>
          <w:rFonts w:ascii="Times New Roman" w:hAnsi="Times New Roman" w:cs="Times New Roman"/>
          <w:sz w:val="24"/>
          <w:szCs w:val="24"/>
        </w:rPr>
        <w:t>.</w:t>
      </w:r>
    </w:p>
    <w:p w14:paraId="0166CC1C" w14:textId="77777777" w:rsidR="00F40731" w:rsidRPr="00F40731" w:rsidRDefault="00F40731" w:rsidP="00F40731">
      <w:pPr>
        <w:spacing w:after="360" w:line="240" w:lineRule="auto"/>
        <w:contextualSpacing/>
        <w:jc w:val="both"/>
        <w:rPr>
          <w:rFonts w:ascii="Times New Roman" w:hAnsi="Times New Roman" w:cs="Times New Roman"/>
          <w:sz w:val="24"/>
          <w:szCs w:val="24"/>
        </w:rPr>
      </w:pPr>
    </w:p>
    <w:p w14:paraId="5FB0F356" w14:textId="77777777" w:rsidR="00F40731" w:rsidRPr="00F40731" w:rsidRDefault="00F40731" w:rsidP="00F40731">
      <w:pPr>
        <w:pStyle w:val="Heading2"/>
        <w:numPr>
          <w:ilvl w:val="0"/>
          <w:numId w:val="19"/>
        </w:numPr>
        <w:pBdr>
          <w:top w:val="single" w:sz="4" w:space="1" w:color="auto"/>
          <w:left w:val="single" w:sz="4" w:space="4" w:color="auto"/>
          <w:bottom w:val="single" w:sz="4" w:space="1" w:color="auto"/>
          <w:right w:val="single" w:sz="4" w:space="4" w:color="auto"/>
        </w:pBdr>
        <w:spacing w:before="120" w:after="120"/>
        <w:ind w:left="360"/>
        <w:rPr>
          <w:rFonts w:ascii="Times New Roman" w:hAnsi="Times New Roman" w:cs="Times New Roman"/>
        </w:rPr>
      </w:pPr>
      <w:r w:rsidRPr="00F40731">
        <w:rPr>
          <w:rFonts w:ascii="Times New Roman" w:hAnsi="Times New Roman" w:cs="Times New Roman"/>
        </w:rPr>
        <w:t xml:space="preserve"> </w:t>
      </w:r>
      <w:bookmarkStart w:id="48" w:name="_Toc136003721"/>
      <w:bookmarkStart w:id="49" w:name="_Toc136270292"/>
      <w:r w:rsidRPr="00F40731">
        <w:rPr>
          <w:rFonts w:ascii="Times New Roman" w:hAnsi="Times New Roman" w:cs="Times New Roman"/>
        </w:rPr>
        <w:t>Допълнителна информация</w:t>
      </w:r>
      <w:bookmarkEnd w:id="48"/>
      <w:bookmarkEnd w:id="49"/>
    </w:p>
    <w:p w14:paraId="227407AE" w14:textId="77777777" w:rsidR="00F40731" w:rsidRPr="00F40731" w:rsidRDefault="00F40731" w:rsidP="00F40731">
      <w:pPr>
        <w:spacing w:after="360" w:line="240" w:lineRule="auto"/>
        <w:jc w:val="both"/>
        <w:rPr>
          <w:rFonts w:ascii="Times New Roman" w:hAnsi="Times New Roman" w:cs="Times New Roman"/>
          <w:b/>
          <w:sz w:val="24"/>
          <w:szCs w:val="24"/>
        </w:rPr>
      </w:pPr>
      <w:r w:rsidRPr="00F40731">
        <w:rPr>
          <w:rFonts w:ascii="Times New Roman" w:hAnsi="Times New Roman" w:cs="Times New Roman"/>
          <w:sz w:val="24"/>
          <w:szCs w:val="24"/>
        </w:rPr>
        <w:t xml:space="preserve">По настоящите процедури чрез директно предоставяне на БФП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Формуляра за кандидатстване. </w:t>
      </w:r>
    </w:p>
    <w:p w14:paraId="5857708E" w14:textId="77777777" w:rsidR="00F40731" w:rsidRPr="00F40731" w:rsidRDefault="00F40731" w:rsidP="00F40731">
      <w:pPr>
        <w:pStyle w:val="Heading2"/>
        <w:numPr>
          <w:ilvl w:val="0"/>
          <w:numId w:val="19"/>
        </w:numPr>
        <w:pBdr>
          <w:top w:val="single" w:sz="4" w:space="1" w:color="auto"/>
          <w:left w:val="single" w:sz="4" w:space="4" w:color="auto"/>
          <w:bottom w:val="single" w:sz="4" w:space="1" w:color="auto"/>
          <w:right w:val="single" w:sz="4" w:space="4" w:color="auto"/>
        </w:pBdr>
        <w:spacing w:before="120" w:after="120"/>
        <w:ind w:left="360"/>
        <w:rPr>
          <w:rFonts w:ascii="Times New Roman" w:hAnsi="Times New Roman" w:cs="Times New Roman"/>
        </w:rPr>
      </w:pPr>
      <w:bookmarkStart w:id="50" w:name="_Toc136003722"/>
      <w:bookmarkStart w:id="51" w:name="_Toc136270293"/>
      <w:r w:rsidRPr="00F40731">
        <w:rPr>
          <w:rFonts w:ascii="Times New Roman" w:hAnsi="Times New Roman" w:cs="Times New Roman"/>
        </w:rPr>
        <w:lastRenderedPageBreak/>
        <w:t>Приложения към Условията за кандидатстване</w:t>
      </w:r>
      <w:bookmarkEnd w:id="50"/>
      <w:bookmarkEnd w:id="51"/>
    </w:p>
    <w:p w14:paraId="2D85E954" w14:textId="77777777" w:rsidR="00F40731" w:rsidRPr="00F40731" w:rsidRDefault="00F40731" w:rsidP="00F40731"/>
    <w:p w14:paraId="341D5610" w14:textId="77777777" w:rsidR="005C737C" w:rsidRPr="004711F1" w:rsidRDefault="005C737C" w:rsidP="005C737C"/>
    <w:p w14:paraId="647B819F" w14:textId="3ADFEB80" w:rsidR="005C737C" w:rsidRDefault="00375286" w:rsidP="005C737C">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4" w:history="1">
        <w:r w:rsidR="005C737C" w:rsidRPr="00DF4CD2">
          <w:rPr>
            <w:rStyle w:val="Hyperlink"/>
            <w:rFonts w:ascii="Times New Roman" w:eastAsia="Calibri" w:hAnsi="Times New Roman" w:cs="Times New Roman"/>
            <w:sz w:val="24"/>
            <w:szCs w:val="24"/>
          </w:rPr>
          <w:t>Приложение № 1: Образец на Декларация, че кандидатът е запознат с условията за кандидатстване и условията за изпълнение;</w:t>
        </w:r>
      </w:hyperlink>
    </w:p>
    <w:p w14:paraId="71289A7C" w14:textId="22CE0386" w:rsidR="005C737C" w:rsidRPr="005D5426" w:rsidRDefault="005D5426" w:rsidP="005C737C">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HYPERLINK "Приложения/Приложение%202%20Натура%202000.docx" </w:instrText>
      </w:r>
      <w:r>
        <w:rPr>
          <w:rFonts w:ascii="Times New Roman" w:eastAsia="Calibri" w:hAnsi="Times New Roman" w:cs="Times New Roman"/>
          <w:sz w:val="24"/>
          <w:szCs w:val="24"/>
        </w:rPr>
        <w:fldChar w:fldCharType="separate"/>
      </w:r>
      <w:r w:rsidR="005C737C" w:rsidRPr="005D5426">
        <w:rPr>
          <w:rStyle w:val="Hyperlink"/>
          <w:rFonts w:ascii="Times New Roman" w:eastAsia="Calibri" w:hAnsi="Times New Roman" w:cs="Times New Roman"/>
          <w:sz w:val="24"/>
          <w:szCs w:val="24"/>
        </w:rPr>
        <w:t>Приложение № 2: Образец на Декларация на органа, отговарящ за мониторинга на обектите НАТУРА 2000;</w:t>
      </w:r>
    </w:p>
    <w:p w14:paraId="3DBB6C33" w14:textId="1A8918AB" w:rsidR="005C737C" w:rsidRPr="005D5426" w:rsidRDefault="005D5426" w:rsidP="005C737C">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HYPERLINK "Приложения/Приложение%203%20Декларация%20за%20водите.docx" </w:instrText>
      </w:r>
      <w:r>
        <w:rPr>
          <w:rFonts w:ascii="Times New Roman" w:eastAsia="Calibri" w:hAnsi="Times New Roman" w:cs="Times New Roman"/>
          <w:sz w:val="24"/>
          <w:szCs w:val="24"/>
        </w:rPr>
        <w:fldChar w:fldCharType="separate"/>
      </w:r>
      <w:r w:rsidR="005C737C" w:rsidRPr="005D5426">
        <w:rPr>
          <w:rStyle w:val="Hyperlink"/>
          <w:rFonts w:ascii="Times New Roman" w:eastAsia="Calibri" w:hAnsi="Times New Roman" w:cs="Times New Roman"/>
          <w:sz w:val="24"/>
          <w:szCs w:val="24"/>
        </w:rPr>
        <w:t>Приложение № 3: Образец на Декларация на компетентния орган, отговарящ за управлението на водите;</w:t>
      </w:r>
    </w:p>
    <w:p w14:paraId="5A32C2C2" w14:textId="221D50E7" w:rsidR="005C737C" w:rsidRPr="007A2831" w:rsidRDefault="005D5426" w:rsidP="005C737C">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end"/>
      </w:r>
      <w:hyperlink r:id="rId35" w:history="1">
        <w:r w:rsidR="005C737C" w:rsidRPr="00DF4CD2">
          <w:rPr>
            <w:rStyle w:val="Hyperlink"/>
            <w:rFonts w:ascii="Times New Roman" w:eastAsia="Calibri" w:hAnsi="Times New Roman" w:cs="Times New Roman"/>
            <w:sz w:val="24"/>
            <w:szCs w:val="24"/>
          </w:rPr>
          <w:t xml:space="preserve">Приложение № 4: </w:t>
        </w:r>
        <w:r w:rsidR="005C737C" w:rsidRPr="00DF4CD2">
          <w:rPr>
            <w:rStyle w:val="Hyperlink"/>
            <w:rFonts w:ascii="inherit" w:hAnsi="inherit"/>
            <w:bCs/>
            <w:sz w:val="24"/>
            <w:szCs w:val="24"/>
          </w:rPr>
          <w:t>Методология за извършване на анализ на разходите и ползите;</w:t>
        </w:r>
      </w:hyperlink>
    </w:p>
    <w:p w14:paraId="68666B55" w14:textId="77777777" w:rsidR="005C737C" w:rsidRPr="008B1ED5" w:rsidRDefault="00375286" w:rsidP="005C737C">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6" w:history="1">
        <w:r w:rsidR="005C737C" w:rsidRPr="00DF4CD2">
          <w:rPr>
            <w:rStyle w:val="Hyperlink"/>
            <w:rFonts w:ascii="Times New Roman" w:eastAsia="Calibri" w:hAnsi="Times New Roman" w:cs="Times New Roman"/>
            <w:sz w:val="24"/>
            <w:szCs w:val="24"/>
          </w:rPr>
          <w:t>Приложение № 5: Критерии за осигуряване на информация за инфраструктурни проекти;</w:t>
        </w:r>
      </w:hyperlink>
    </w:p>
    <w:p w14:paraId="3C309A6F" w14:textId="77777777" w:rsidR="005C737C" w:rsidRDefault="00375286" w:rsidP="005C737C">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7" w:history="1">
        <w:r w:rsidR="005C737C" w:rsidRPr="00DF4CD2">
          <w:rPr>
            <w:rStyle w:val="Hyperlink"/>
            <w:rFonts w:ascii="Times New Roman" w:eastAsia="Calibri" w:hAnsi="Times New Roman" w:cs="Times New Roman"/>
            <w:sz w:val="24"/>
            <w:szCs w:val="24"/>
          </w:rPr>
          <w:t>Приложение № 6: Критерии за оценка на проектно предложение, одобрени от КН на ПТС;</w:t>
        </w:r>
      </w:hyperlink>
    </w:p>
    <w:p w14:paraId="2FA16626" w14:textId="77777777" w:rsidR="005C737C" w:rsidRPr="004711F1" w:rsidRDefault="00375286" w:rsidP="005C737C">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8" w:history="1">
        <w:r w:rsidR="005C737C" w:rsidRPr="00DF4CD2">
          <w:rPr>
            <w:rStyle w:val="Hyperlink"/>
            <w:rFonts w:ascii="Times New Roman" w:eastAsia="Calibri" w:hAnsi="Times New Roman" w:cs="Times New Roman"/>
            <w:sz w:val="24"/>
            <w:szCs w:val="24"/>
          </w:rPr>
          <w:t>Приложение № 7: Образец на Комуникационен план за операции от стратегическо значение;</w:t>
        </w:r>
      </w:hyperlink>
    </w:p>
    <w:p w14:paraId="5DD880C4" w14:textId="77777777" w:rsidR="005C737C" w:rsidRPr="004711F1" w:rsidRDefault="00375286" w:rsidP="005C737C">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9" w:history="1">
        <w:r w:rsidR="005C737C" w:rsidRPr="00DF4CD2">
          <w:rPr>
            <w:rStyle w:val="Hyperlink"/>
            <w:rFonts w:ascii="Times New Roman" w:eastAsia="Calibri" w:hAnsi="Times New Roman" w:cs="Times New Roman"/>
            <w:sz w:val="24"/>
            <w:szCs w:val="24"/>
          </w:rPr>
          <w:t>Приложение № 8: Образец на Комуникационен план;</w:t>
        </w:r>
      </w:hyperlink>
    </w:p>
    <w:p w14:paraId="55D0CB8C" w14:textId="77777777" w:rsidR="005C737C" w:rsidRPr="004711F1" w:rsidRDefault="00375286" w:rsidP="005C737C">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0" w:history="1">
        <w:r w:rsidR="005C737C" w:rsidRPr="00DF4CD2">
          <w:rPr>
            <w:rStyle w:val="Hyperlink"/>
            <w:rFonts w:ascii="Times New Roman" w:eastAsia="Calibri" w:hAnsi="Times New Roman" w:cs="Times New Roman"/>
            <w:sz w:val="24"/>
            <w:szCs w:val="24"/>
          </w:rPr>
          <w:t>Приложение № 9: Образци на Въпросници за самооценка на качеството на формуляра за кандидатстване за инвестиционен проект;</w:t>
        </w:r>
      </w:hyperlink>
    </w:p>
    <w:p w14:paraId="461DACB9" w14:textId="77777777" w:rsidR="005C737C" w:rsidRPr="004711F1" w:rsidRDefault="005C737C" w:rsidP="005C737C"/>
    <w:p w14:paraId="1BE136BA" w14:textId="77777777" w:rsidR="00F40731" w:rsidRPr="00F40731" w:rsidRDefault="00F40731" w:rsidP="00F40731"/>
    <w:p w14:paraId="2FA70019" w14:textId="24B4563B" w:rsidR="006A2DB8" w:rsidRPr="008D4AB4" w:rsidRDefault="006A2DB8" w:rsidP="00F40731">
      <w:pPr>
        <w:rPr>
          <w:rFonts w:ascii="Times New Roman" w:hAnsi="Times New Roman" w:cs="Times New Roman"/>
        </w:rPr>
      </w:pPr>
    </w:p>
    <w:sectPr w:rsidR="006A2DB8" w:rsidRPr="008D4AB4" w:rsidSect="00C731B2">
      <w:headerReference w:type="default" r:id="rId41"/>
      <w:footerReference w:type="default" r:id="rId42"/>
      <w:pgSz w:w="11906" w:h="16838"/>
      <w:pgMar w:top="851"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EA0CD" w14:textId="77777777" w:rsidR="0052308B" w:rsidRDefault="0052308B" w:rsidP="002325A3">
      <w:pPr>
        <w:spacing w:after="0" w:line="240" w:lineRule="auto"/>
      </w:pPr>
      <w:r>
        <w:separator/>
      </w:r>
    </w:p>
  </w:endnote>
  <w:endnote w:type="continuationSeparator" w:id="0">
    <w:p w14:paraId="30C9B5F2" w14:textId="77777777" w:rsidR="0052308B" w:rsidRDefault="0052308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117F1462" w:rsidR="001D1A3C" w:rsidRDefault="001D1A3C">
        <w:pPr>
          <w:pStyle w:val="Footer"/>
          <w:jc w:val="right"/>
        </w:pPr>
        <w:r>
          <w:fldChar w:fldCharType="begin"/>
        </w:r>
        <w:r>
          <w:instrText xml:space="preserve"> PAGE   \* MERGEFORMAT </w:instrText>
        </w:r>
        <w:r>
          <w:fldChar w:fldCharType="separate"/>
        </w:r>
        <w:r w:rsidR="00375286">
          <w:rPr>
            <w:noProof/>
          </w:rPr>
          <w:t>42</w:t>
        </w:r>
        <w:r>
          <w:rPr>
            <w:noProof/>
          </w:rPr>
          <w:fldChar w:fldCharType="end"/>
        </w:r>
      </w:p>
    </w:sdtContent>
  </w:sdt>
  <w:p w14:paraId="47A8C132" w14:textId="77777777" w:rsidR="001D1A3C" w:rsidRDefault="001D1A3C">
    <w:pPr>
      <w:pStyle w:val="Footer"/>
    </w:pPr>
  </w:p>
  <w:p w14:paraId="69C6DA69" w14:textId="77777777" w:rsidR="001D1A3C" w:rsidRDefault="001D1A3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40019" w14:textId="77777777" w:rsidR="0052308B" w:rsidRDefault="0052308B" w:rsidP="002325A3">
      <w:pPr>
        <w:spacing w:after="0" w:line="240" w:lineRule="auto"/>
      </w:pPr>
      <w:r>
        <w:separator/>
      </w:r>
    </w:p>
  </w:footnote>
  <w:footnote w:type="continuationSeparator" w:id="0">
    <w:p w14:paraId="155632DA" w14:textId="77777777" w:rsidR="0052308B" w:rsidRDefault="0052308B" w:rsidP="002325A3">
      <w:pPr>
        <w:spacing w:after="0" w:line="240" w:lineRule="auto"/>
      </w:pPr>
      <w:r>
        <w:continuationSeparator/>
      </w:r>
    </w:p>
  </w:footnote>
  <w:footnote w:id="1">
    <w:p w14:paraId="21278FC4" w14:textId="6FD41BF4" w:rsidR="001D1A3C" w:rsidRPr="0065728F" w:rsidRDefault="001D1A3C"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IV Списък на държавите членки, подпомагани от Кохезионния фонд на РЕШЕНИЕ ЗА ИЗПЪЛНЕНИЕ (ЕС) 2021/1130 НА КОМИСИЯТА от 5 юли 2021 година за определяне на списъка на регионите, които отговарят на условията за финансиране по Европейския фонд за регионално развитие и Европейския социален фонд плюс, и на държавите членки, които отговарят на условията за финансиране по Кохезионния фонд за периода 2021—2027 г.</w:t>
      </w:r>
    </w:p>
    <w:p w14:paraId="581D6EFF" w14:textId="0C5D47FF" w:rsidR="001D1A3C" w:rsidRPr="0065728F" w:rsidRDefault="001D1A3C">
      <w:pPr>
        <w:pStyle w:val="FootnoteText"/>
        <w:rPr>
          <w:rFonts w:ascii="Times New Roman" w:hAnsi="Times New Roman" w:cs="Times New Roman"/>
        </w:rPr>
      </w:pPr>
    </w:p>
  </w:footnote>
  <w:footnote w:id="2">
    <w:p w14:paraId="76080D4F" w14:textId="22CA3391" w:rsidR="001D1A3C" w:rsidRDefault="001D1A3C">
      <w:pPr>
        <w:pStyle w:val="FootnoteText"/>
      </w:pPr>
      <w:r>
        <w:rPr>
          <w:rStyle w:val="FootnoteReference"/>
        </w:rPr>
        <w:footnoteRef/>
      </w:r>
      <w:r>
        <w:t xml:space="preserve"> виж Указания на МФ № ДНФ № 3 от 2016 г. </w:t>
      </w:r>
      <w:hyperlink r:id="rId1" w:history="1">
        <w:r w:rsidRPr="00EF61A7">
          <w:rPr>
            <w:rStyle w:val="Hyperlink"/>
          </w:rPr>
          <w:t>https://www.minfin.bg/upload/19193/DNF%E2%84%963_23.12.2016.pdf</w:t>
        </w:r>
      </w:hyperlink>
      <w:r>
        <w:t xml:space="preserve"> до издаване на актуализирани за програмен период 2021- 2027 г.</w:t>
      </w:r>
    </w:p>
  </w:footnote>
  <w:footnote w:id="3">
    <w:p w14:paraId="057E4C67" w14:textId="77777777" w:rsidR="00A826C0" w:rsidRDefault="00A826C0" w:rsidP="00A826C0">
      <w:pPr>
        <w:pStyle w:val="FootnoteText"/>
      </w:pPr>
      <w:r>
        <w:rPr>
          <w:rStyle w:val="FootnoteReference"/>
        </w:rPr>
        <w:footnoteRef/>
      </w:r>
      <w:r>
        <w:t xml:space="preserve"> Към момента на откриване на процедурата, НКС са в процес на одобрение от КН за Споразумението за партньорство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1D1A3C" w14:paraId="502C0EC7" w14:textId="77777777" w:rsidTr="00B95EF9">
      <w:tc>
        <w:tcPr>
          <w:tcW w:w="4748" w:type="dxa"/>
        </w:tcPr>
        <w:p w14:paraId="2421303A" w14:textId="77777777" w:rsidR="001D1A3C" w:rsidRDefault="001D1A3C" w:rsidP="00B20C73">
          <w:pPr>
            <w:pStyle w:val="Header"/>
          </w:pPr>
          <w:r w:rsidRPr="00677D4C">
            <w:rPr>
              <w:i/>
              <w:noProof/>
            </w:rPr>
            <w:drawing>
              <wp:inline distT="0" distB="0" distL="0" distR="0" wp14:anchorId="2B6BD9B5" wp14:editId="6249FCC3">
                <wp:extent cx="1272845" cy="295187"/>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08" cy="300582"/>
                        </a:xfrm>
                        <a:prstGeom prst="rect">
                          <a:avLst/>
                        </a:prstGeom>
                        <a:noFill/>
                        <a:ln>
                          <a:noFill/>
                        </a:ln>
                      </pic:spPr>
                    </pic:pic>
                  </a:graphicData>
                </a:graphic>
              </wp:inline>
            </w:drawing>
          </w:r>
        </w:p>
      </w:tc>
      <w:tc>
        <w:tcPr>
          <w:tcW w:w="4748" w:type="dxa"/>
        </w:tcPr>
        <w:p w14:paraId="2843E81B" w14:textId="08F01DBB" w:rsidR="001D1A3C" w:rsidRDefault="001D1A3C" w:rsidP="00B20C73">
          <w:pPr>
            <w:pStyle w:val="Header"/>
            <w:jc w:val="right"/>
          </w:pPr>
        </w:p>
      </w:tc>
    </w:tr>
  </w:tbl>
  <w:p w14:paraId="453FC042" w14:textId="77777777" w:rsidR="001D1A3C" w:rsidRPr="00B90A42" w:rsidRDefault="001D1A3C"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D2D83"/>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8C6CB0"/>
    <w:multiLevelType w:val="multilevel"/>
    <w:tmpl w:val="D132E47A"/>
    <w:lvl w:ilvl="0">
      <w:start w:val="20"/>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A10D8"/>
    <w:multiLevelType w:val="hybridMultilevel"/>
    <w:tmpl w:val="102A8744"/>
    <w:lvl w:ilvl="0" w:tplc="0402000F">
      <w:start w:val="9"/>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15:restartNumberingAfterBreak="0">
    <w:nsid w:val="29222C54"/>
    <w:multiLevelType w:val="multilevel"/>
    <w:tmpl w:val="CD04C40A"/>
    <w:lvl w:ilvl="0">
      <w:start w:val="1"/>
      <w:numFmt w:val="decimal"/>
      <w:lvlText w:val="%1."/>
      <w:lvlJc w:val="left"/>
      <w:pPr>
        <w:ind w:left="644"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4AF6E79"/>
    <w:multiLevelType w:val="multilevel"/>
    <w:tmpl w:val="EDEAB35C"/>
    <w:lvl w:ilvl="0">
      <w:start w:val="19"/>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37A32D43"/>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16"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8"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19"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0"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1"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4"/>
  </w:num>
  <w:num w:numId="2">
    <w:abstractNumId w:val="23"/>
  </w:num>
  <w:num w:numId="3">
    <w:abstractNumId w:val="6"/>
  </w:num>
  <w:num w:numId="4">
    <w:abstractNumId w:val="12"/>
  </w:num>
  <w:num w:numId="5">
    <w:abstractNumId w:val="9"/>
  </w:num>
  <w:num w:numId="6">
    <w:abstractNumId w:val="16"/>
  </w:num>
  <w:num w:numId="7">
    <w:abstractNumId w:val="13"/>
  </w:num>
  <w:num w:numId="8">
    <w:abstractNumId w:val="22"/>
  </w:num>
  <w:num w:numId="9">
    <w:abstractNumId w:val="19"/>
  </w:num>
  <w:num w:numId="10">
    <w:abstractNumId w:val="7"/>
  </w:num>
  <w:num w:numId="11">
    <w:abstractNumId w:val="18"/>
  </w:num>
  <w:num w:numId="12">
    <w:abstractNumId w:val="1"/>
  </w:num>
  <w:num w:numId="13">
    <w:abstractNumId w:val="0"/>
  </w:num>
  <w:num w:numId="14">
    <w:abstractNumId w:val="21"/>
  </w:num>
  <w:num w:numId="15">
    <w:abstractNumId w:val="10"/>
  </w:num>
  <w:num w:numId="16">
    <w:abstractNumId w:val="15"/>
  </w:num>
  <w:num w:numId="17">
    <w:abstractNumId w:val="8"/>
  </w:num>
  <w:num w:numId="18">
    <w:abstractNumId w:val="14"/>
  </w:num>
  <w:num w:numId="19">
    <w:abstractNumId w:val="5"/>
  </w:num>
  <w:num w:numId="20">
    <w:abstractNumId w:val="11"/>
  </w:num>
  <w:num w:numId="21">
    <w:abstractNumId w:val="3"/>
  </w:num>
  <w:num w:numId="22">
    <w:abstractNumId w:val="17"/>
  </w:num>
  <w:num w:numId="23">
    <w:abstractNumId w:val="2"/>
  </w:num>
  <w:num w:numId="24">
    <w:abstractNumId w:val="24"/>
  </w:num>
  <w:num w:numId="25">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oNotTrackFormattin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89"/>
    <w:rsid w:val="000010A3"/>
    <w:rsid w:val="00001633"/>
    <w:rsid w:val="00001D35"/>
    <w:rsid w:val="00002AC7"/>
    <w:rsid w:val="00002C33"/>
    <w:rsid w:val="000032A7"/>
    <w:rsid w:val="000035F1"/>
    <w:rsid w:val="00005803"/>
    <w:rsid w:val="000058C2"/>
    <w:rsid w:val="00007FF9"/>
    <w:rsid w:val="00011168"/>
    <w:rsid w:val="000115A9"/>
    <w:rsid w:val="000116B8"/>
    <w:rsid w:val="00012083"/>
    <w:rsid w:val="0001214B"/>
    <w:rsid w:val="000128B4"/>
    <w:rsid w:val="000138C3"/>
    <w:rsid w:val="00014042"/>
    <w:rsid w:val="00014BC8"/>
    <w:rsid w:val="00016F8F"/>
    <w:rsid w:val="000177A4"/>
    <w:rsid w:val="000179C1"/>
    <w:rsid w:val="00017C55"/>
    <w:rsid w:val="00017F87"/>
    <w:rsid w:val="00020926"/>
    <w:rsid w:val="00020E16"/>
    <w:rsid w:val="00021529"/>
    <w:rsid w:val="00021BB5"/>
    <w:rsid w:val="00021EAE"/>
    <w:rsid w:val="00021FB4"/>
    <w:rsid w:val="00022988"/>
    <w:rsid w:val="00022B77"/>
    <w:rsid w:val="00022DE5"/>
    <w:rsid w:val="00023D73"/>
    <w:rsid w:val="0002458F"/>
    <w:rsid w:val="00024732"/>
    <w:rsid w:val="000252A0"/>
    <w:rsid w:val="000259FC"/>
    <w:rsid w:val="0002620B"/>
    <w:rsid w:val="000278A9"/>
    <w:rsid w:val="00027C95"/>
    <w:rsid w:val="000301F9"/>
    <w:rsid w:val="000308FC"/>
    <w:rsid w:val="00031708"/>
    <w:rsid w:val="00031D4A"/>
    <w:rsid w:val="00033E92"/>
    <w:rsid w:val="0003433D"/>
    <w:rsid w:val="000349EF"/>
    <w:rsid w:val="00035458"/>
    <w:rsid w:val="00035C06"/>
    <w:rsid w:val="00035CCC"/>
    <w:rsid w:val="00036C55"/>
    <w:rsid w:val="000377EF"/>
    <w:rsid w:val="000402A3"/>
    <w:rsid w:val="00040E36"/>
    <w:rsid w:val="0004134D"/>
    <w:rsid w:val="00041D19"/>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000"/>
    <w:rsid w:val="0005411C"/>
    <w:rsid w:val="000544FA"/>
    <w:rsid w:val="000546E4"/>
    <w:rsid w:val="0005483D"/>
    <w:rsid w:val="000553B8"/>
    <w:rsid w:val="00056283"/>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3CBC"/>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77C45"/>
    <w:rsid w:val="00080420"/>
    <w:rsid w:val="000813D7"/>
    <w:rsid w:val="0008198A"/>
    <w:rsid w:val="00081F47"/>
    <w:rsid w:val="000831BC"/>
    <w:rsid w:val="00083545"/>
    <w:rsid w:val="00085084"/>
    <w:rsid w:val="00085E14"/>
    <w:rsid w:val="000861A3"/>
    <w:rsid w:val="000871E2"/>
    <w:rsid w:val="000903E4"/>
    <w:rsid w:val="00090804"/>
    <w:rsid w:val="0009106A"/>
    <w:rsid w:val="0009155E"/>
    <w:rsid w:val="00091DB8"/>
    <w:rsid w:val="00091E13"/>
    <w:rsid w:val="0009213F"/>
    <w:rsid w:val="00092EF9"/>
    <w:rsid w:val="000934BC"/>
    <w:rsid w:val="000940D3"/>
    <w:rsid w:val="000943E0"/>
    <w:rsid w:val="000944BF"/>
    <w:rsid w:val="00095257"/>
    <w:rsid w:val="00096695"/>
    <w:rsid w:val="00096A5C"/>
    <w:rsid w:val="00096DF5"/>
    <w:rsid w:val="00097895"/>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F9F"/>
    <w:rsid w:val="000B3343"/>
    <w:rsid w:val="000B36AF"/>
    <w:rsid w:val="000B3E9B"/>
    <w:rsid w:val="000B4228"/>
    <w:rsid w:val="000B4491"/>
    <w:rsid w:val="000B4497"/>
    <w:rsid w:val="000B4939"/>
    <w:rsid w:val="000B4A17"/>
    <w:rsid w:val="000B5461"/>
    <w:rsid w:val="000B5A80"/>
    <w:rsid w:val="000B5B2F"/>
    <w:rsid w:val="000B5BAC"/>
    <w:rsid w:val="000B6A5D"/>
    <w:rsid w:val="000B6B49"/>
    <w:rsid w:val="000B6DD9"/>
    <w:rsid w:val="000C2AC3"/>
    <w:rsid w:val="000C393A"/>
    <w:rsid w:val="000C3EB2"/>
    <w:rsid w:val="000C4657"/>
    <w:rsid w:val="000C47B7"/>
    <w:rsid w:val="000C55BC"/>
    <w:rsid w:val="000C5FC4"/>
    <w:rsid w:val="000C61AC"/>
    <w:rsid w:val="000C7245"/>
    <w:rsid w:val="000D043C"/>
    <w:rsid w:val="000D1164"/>
    <w:rsid w:val="000D14F4"/>
    <w:rsid w:val="000D1939"/>
    <w:rsid w:val="000D20A0"/>
    <w:rsid w:val="000D29B2"/>
    <w:rsid w:val="000D44EB"/>
    <w:rsid w:val="000D4760"/>
    <w:rsid w:val="000D47ED"/>
    <w:rsid w:val="000D47F1"/>
    <w:rsid w:val="000D4DDB"/>
    <w:rsid w:val="000D4F7C"/>
    <w:rsid w:val="000D50DD"/>
    <w:rsid w:val="000D51A1"/>
    <w:rsid w:val="000D5298"/>
    <w:rsid w:val="000D52E1"/>
    <w:rsid w:val="000D6174"/>
    <w:rsid w:val="000D6960"/>
    <w:rsid w:val="000D7AD3"/>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7B1"/>
    <w:rsid w:val="000F2260"/>
    <w:rsid w:val="000F2A00"/>
    <w:rsid w:val="000F3548"/>
    <w:rsid w:val="000F3D1F"/>
    <w:rsid w:val="000F3F75"/>
    <w:rsid w:val="000F437D"/>
    <w:rsid w:val="000F49DF"/>
    <w:rsid w:val="000F5783"/>
    <w:rsid w:val="000F7381"/>
    <w:rsid w:val="001000AA"/>
    <w:rsid w:val="0010018A"/>
    <w:rsid w:val="00100D65"/>
    <w:rsid w:val="001028C1"/>
    <w:rsid w:val="00102A2D"/>
    <w:rsid w:val="0010326E"/>
    <w:rsid w:val="00103BF2"/>
    <w:rsid w:val="00103CE2"/>
    <w:rsid w:val="00104101"/>
    <w:rsid w:val="00106101"/>
    <w:rsid w:val="00106320"/>
    <w:rsid w:val="0010642B"/>
    <w:rsid w:val="0010652A"/>
    <w:rsid w:val="00106AC1"/>
    <w:rsid w:val="00106E7C"/>
    <w:rsid w:val="001079C6"/>
    <w:rsid w:val="001105E2"/>
    <w:rsid w:val="001108BC"/>
    <w:rsid w:val="0011098D"/>
    <w:rsid w:val="00110EF4"/>
    <w:rsid w:val="00111092"/>
    <w:rsid w:val="001122FB"/>
    <w:rsid w:val="00112A1D"/>
    <w:rsid w:val="0011368E"/>
    <w:rsid w:val="0011443E"/>
    <w:rsid w:val="00114A3E"/>
    <w:rsid w:val="00115432"/>
    <w:rsid w:val="00115659"/>
    <w:rsid w:val="001156E8"/>
    <w:rsid w:val="001158E5"/>
    <w:rsid w:val="00116217"/>
    <w:rsid w:val="00116515"/>
    <w:rsid w:val="001173F0"/>
    <w:rsid w:val="0011751F"/>
    <w:rsid w:val="001203F8"/>
    <w:rsid w:val="00120A4A"/>
    <w:rsid w:val="00120DC2"/>
    <w:rsid w:val="00120E65"/>
    <w:rsid w:val="00121669"/>
    <w:rsid w:val="00121C2A"/>
    <w:rsid w:val="00121C94"/>
    <w:rsid w:val="001220E0"/>
    <w:rsid w:val="00122666"/>
    <w:rsid w:val="0012280A"/>
    <w:rsid w:val="00122997"/>
    <w:rsid w:val="001238FF"/>
    <w:rsid w:val="00123D89"/>
    <w:rsid w:val="00123FCD"/>
    <w:rsid w:val="00124EBE"/>
    <w:rsid w:val="001256C4"/>
    <w:rsid w:val="00125E98"/>
    <w:rsid w:val="001266F5"/>
    <w:rsid w:val="00127FC6"/>
    <w:rsid w:val="00130003"/>
    <w:rsid w:val="00130853"/>
    <w:rsid w:val="0013112E"/>
    <w:rsid w:val="00131D95"/>
    <w:rsid w:val="00134AB6"/>
    <w:rsid w:val="00134DCB"/>
    <w:rsid w:val="00135070"/>
    <w:rsid w:val="00135216"/>
    <w:rsid w:val="001352F8"/>
    <w:rsid w:val="001366D1"/>
    <w:rsid w:val="0013711D"/>
    <w:rsid w:val="00137288"/>
    <w:rsid w:val="001378B1"/>
    <w:rsid w:val="00137AA9"/>
    <w:rsid w:val="00141204"/>
    <w:rsid w:val="0014144C"/>
    <w:rsid w:val="001416B0"/>
    <w:rsid w:val="001417B7"/>
    <w:rsid w:val="00141D90"/>
    <w:rsid w:val="0014264C"/>
    <w:rsid w:val="00142A7B"/>
    <w:rsid w:val="00143367"/>
    <w:rsid w:val="001434A4"/>
    <w:rsid w:val="00143716"/>
    <w:rsid w:val="00144458"/>
    <w:rsid w:val="00144B34"/>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6FC"/>
    <w:rsid w:val="00166081"/>
    <w:rsid w:val="001662B2"/>
    <w:rsid w:val="00166A2F"/>
    <w:rsid w:val="0016797D"/>
    <w:rsid w:val="001714A6"/>
    <w:rsid w:val="00171BAE"/>
    <w:rsid w:val="00172828"/>
    <w:rsid w:val="00172EFC"/>
    <w:rsid w:val="001736FC"/>
    <w:rsid w:val="00173F96"/>
    <w:rsid w:val="00174401"/>
    <w:rsid w:val="00176857"/>
    <w:rsid w:val="001778F6"/>
    <w:rsid w:val="0018150B"/>
    <w:rsid w:val="00181FE0"/>
    <w:rsid w:val="001852CF"/>
    <w:rsid w:val="00185A35"/>
    <w:rsid w:val="001868C4"/>
    <w:rsid w:val="00186DF4"/>
    <w:rsid w:val="001878C1"/>
    <w:rsid w:val="00187BDF"/>
    <w:rsid w:val="00187C86"/>
    <w:rsid w:val="0019140F"/>
    <w:rsid w:val="00191789"/>
    <w:rsid w:val="001932E5"/>
    <w:rsid w:val="00193BF2"/>
    <w:rsid w:val="00195E31"/>
    <w:rsid w:val="0019602D"/>
    <w:rsid w:val="00196555"/>
    <w:rsid w:val="001978CC"/>
    <w:rsid w:val="001A15D4"/>
    <w:rsid w:val="001A1B6D"/>
    <w:rsid w:val="001A2045"/>
    <w:rsid w:val="001A4C47"/>
    <w:rsid w:val="001A4E65"/>
    <w:rsid w:val="001A5A45"/>
    <w:rsid w:val="001A619B"/>
    <w:rsid w:val="001A6457"/>
    <w:rsid w:val="001A65E8"/>
    <w:rsid w:val="001A76D4"/>
    <w:rsid w:val="001B0796"/>
    <w:rsid w:val="001B0BD9"/>
    <w:rsid w:val="001B0D62"/>
    <w:rsid w:val="001B1119"/>
    <w:rsid w:val="001B1DD1"/>
    <w:rsid w:val="001B2159"/>
    <w:rsid w:val="001B2DE8"/>
    <w:rsid w:val="001B4977"/>
    <w:rsid w:val="001B52A8"/>
    <w:rsid w:val="001B52F1"/>
    <w:rsid w:val="001B5708"/>
    <w:rsid w:val="001B67DE"/>
    <w:rsid w:val="001C0BDA"/>
    <w:rsid w:val="001C0F1E"/>
    <w:rsid w:val="001C16CE"/>
    <w:rsid w:val="001C23DD"/>
    <w:rsid w:val="001C2572"/>
    <w:rsid w:val="001C3E80"/>
    <w:rsid w:val="001C40B1"/>
    <w:rsid w:val="001C4E20"/>
    <w:rsid w:val="001C4EB5"/>
    <w:rsid w:val="001C6703"/>
    <w:rsid w:val="001C6A12"/>
    <w:rsid w:val="001C7084"/>
    <w:rsid w:val="001D0921"/>
    <w:rsid w:val="001D0E58"/>
    <w:rsid w:val="001D12D0"/>
    <w:rsid w:val="001D1926"/>
    <w:rsid w:val="001D1A3C"/>
    <w:rsid w:val="001D1D03"/>
    <w:rsid w:val="001D26B8"/>
    <w:rsid w:val="001D2C3B"/>
    <w:rsid w:val="001D3341"/>
    <w:rsid w:val="001D373C"/>
    <w:rsid w:val="001D3E20"/>
    <w:rsid w:val="001D5352"/>
    <w:rsid w:val="001D6560"/>
    <w:rsid w:val="001D6727"/>
    <w:rsid w:val="001D67F7"/>
    <w:rsid w:val="001D68A0"/>
    <w:rsid w:val="001D6CCF"/>
    <w:rsid w:val="001D7406"/>
    <w:rsid w:val="001D79C3"/>
    <w:rsid w:val="001E1769"/>
    <w:rsid w:val="001E1D08"/>
    <w:rsid w:val="001E38BC"/>
    <w:rsid w:val="001E5B9B"/>
    <w:rsid w:val="001E6246"/>
    <w:rsid w:val="001E7C25"/>
    <w:rsid w:val="001F02D2"/>
    <w:rsid w:val="001F09A1"/>
    <w:rsid w:val="001F0B64"/>
    <w:rsid w:val="001F15FC"/>
    <w:rsid w:val="001F22A8"/>
    <w:rsid w:val="001F2D7C"/>
    <w:rsid w:val="001F3D42"/>
    <w:rsid w:val="001F430D"/>
    <w:rsid w:val="001F4813"/>
    <w:rsid w:val="001F4D85"/>
    <w:rsid w:val="001F4ED0"/>
    <w:rsid w:val="001F4F60"/>
    <w:rsid w:val="001F5ED2"/>
    <w:rsid w:val="001F661A"/>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35E"/>
    <w:rsid w:val="002153C8"/>
    <w:rsid w:val="00215C2F"/>
    <w:rsid w:val="00215FC3"/>
    <w:rsid w:val="002170CF"/>
    <w:rsid w:val="00217219"/>
    <w:rsid w:val="00217A63"/>
    <w:rsid w:val="0022067A"/>
    <w:rsid w:val="0022089E"/>
    <w:rsid w:val="0022144A"/>
    <w:rsid w:val="002218CF"/>
    <w:rsid w:val="00222B4D"/>
    <w:rsid w:val="00224156"/>
    <w:rsid w:val="00224209"/>
    <w:rsid w:val="002245BD"/>
    <w:rsid w:val="00224A9A"/>
    <w:rsid w:val="0022567D"/>
    <w:rsid w:val="00225DE5"/>
    <w:rsid w:val="00227375"/>
    <w:rsid w:val="00227FDA"/>
    <w:rsid w:val="0023024A"/>
    <w:rsid w:val="00230395"/>
    <w:rsid w:val="002306CE"/>
    <w:rsid w:val="0023186D"/>
    <w:rsid w:val="002318ED"/>
    <w:rsid w:val="002325A3"/>
    <w:rsid w:val="002336E0"/>
    <w:rsid w:val="00233BF5"/>
    <w:rsid w:val="002342AD"/>
    <w:rsid w:val="00234461"/>
    <w:rsid w:val="002347A2"/>
    <w:rsid w:val="0023606E"/>
    <w:rsid w:val="00236399"/>
    <w:rsid w:val="00236740"/>
    <w:rsid w:val="00237575"/>
    <w:rsid w:val="002375EC"/>
    <w:rsid w:val="002376D5"/>
    <w:rsid w:val="00237E63"/>
    <w:rsid w:val="00240428"/>
    <w:rsid w:val="0024057E"/>
    <w:rsid w:val="002406DA"/>
    <w:rsid w:val="00240BDB"/>
    <w:rsid w:val="00240D17"/>
    <w:rsid w:val="00240E5D"/>
    <w:rsid w:val="00240EE1"/>
    <w:rsid w:val="00241E4C"/>
    <w:rsid w:val="00243229"/>
    <w:rsid w:val="0024378B"/>
    <w:rsid w:val="0024410D"/>
    <w:rsid w:val="0024413F"/>
    <w:rsid w:val="0024416C"/>
    <w:rsid w:val="00245011"/>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4B0B"/>
    <w:rsid w:val="00265019"/>
    <w:rsid w:val="00265735"/>
    <w:rsid w:val="00266599"/>
    <w:rsid w:val="0026796D"/>
    <w:rsid w:val="00270DB1"/>
    <w:rsid w:val="00271D0B"/>
    <w:rsid w:val="00271E97"/>
    <w:rsid w:val="0027239C"/>
    <w:rsid w:val="0027274E"/>
    <w:rsid w:val="002734C5"/>
    <w:rsid w:val="00274F23"/>
    <w:rsid w:val="00275813"/>
    <w:rsid w:val="00275F16"/>
    <w:rsid w:val="00275F89"/>
    <w:rsid w:val="00277932"/>
    <w:rsid w:val="00277FE9"/>
    <w:rsid w:val="00280F8A"/>
    <w:rsid w:val="002810CF"/>
    <w:rsid w:val="0028156C"/>
    <w:rsid w:val="00281B3E"/>
    <w:rsid w:val="0028448B"/>
    <w:rsid w:val="002847BD"/>
    <w:rsid w:val="00284A99"/>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4D82"/>
    <w:rsid w:val="002A69AE"/>
    <w:rsid w:val="002A7923"/>
    <w:rsid w:val="002B01F8"/>
    <w:rsid w:val="002B0A73"/>
    <w:rsid w:val="002B0F5D"/>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451"/>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4"/>
    <w:rsid w:val="002F35A9"/>
    <w:rsid w:val="002F425A"/>
    <w:rsid w:val="002F470D"/>
    <w:rsid w:val="002F4D77"/>
    <w:rsid w:val="002F6644"/>
    <w:rsid w:val="00300324"/>
    <w:rsid w:val="003003DB"/>
    <w:rsid w:val="00300C94"/>
    <w:rsid w:val="00301323"/>
    <w:rsid w:val="00301BC6"/>
    <w:rsid w:val="00301E5A"/>
    <w:rsid w:val="00302132"/>
    <w:rsid w:val="00302774"/>
    <w:rsid w:val="00302C48"/>
    <w:rsid w:val="0030355F"/>
    <w:rsid w:val="00305106"/>
    <w:rsid w:val="00305B7D"/>
    <w:rsid w:val="003068BD"/>
    <w:rsid w:val="003100EA"/>
    <w:rsid w:val="0031062A"/>
    <w:rsid w:val="00310FE1"/>
    <w:rsid w:val="00311082"/>
    <w:rsid w:val="00311110"/>
    <w:rsid w:val="00311D35"/>
    <w:rsid w:val="0031351B"/>
    <w:rsid w:val="00314779"/>
    <w:rsid w:val="003147A3"/>
    <w:rsid w:val="00315704"/>
    <w:rsid w:val="0031587C"/>
    <w:rsid w:val="0031646E"/>
    <w:rsid w:val="00316555"/>
    <w:rsid w:val="00317CD6"/>
    <w:rsid w:val="00317E02"/>
    <w:rsid w:val="00320895"/>
    <w:rsid w:val="003216BD"/>
    <w:rsid w:val="00321C67"/>
    <w:rsid w:val="00323A7D"/>
    <w:rsid w:val="00325414"/>
    <w:rsid w:val="00325B30"/>
    <w:rsid w:val="003263C0"/>
    <w:rsid w:val="00327352"/>
    <w:rsid w:val="00327654"/>
    <w:rsid w:val="00327670"/>
    <w:rsid w:val="00327D58"/>
    <w:rsid w:val="00327E65"/>
    <w:rsid w:val="0033005B"/>
    <w:rsid w:val="00330803"/>
    <w:rsid w:val="00330A41"/>
    <w:rsid w:val="00330E3B"/>
    <w:rsid w:val="00330EA6"/>
    <w:rsid w:val="00331016"/>
    <w:rsid w:val="003315B4"/>
    <w:rsid w:val="003315FE"/>
    <w:rsid w:val="00331901"/>
    <w:rsid w:val="00334417"/>
    <w:rsid w:val="00336831"/>
    <w:rsid w:val="00336E80"/>
    <w:rsid w:val="00341AA2"/>
    <w:rsid w:val="003429B7"/>
    <w:rsid w:val="00342CCB"/>
    <w:rsid w:val="00344277"/>
    <w:rsid w:val="00345916"/>
    <w:rsid w:val="00346133"/>
    <w:rsid w:val="003467C0"/>
    <w:rsid w:val="0034688D"/>
    <w:rsid w:val="0035013C"/>
    <w:rsid w:val="003520EA"/>
    <w:rsid w:val="00353659"/>
    <w:rsid w:val="0035367F"/>
    <w:rsid w:val="00353775"/>
    <w:rsid w:val="00354C2F"/>
    <w:rsid w:val="0035514F"/>
    <w:rsid w:val="003558FF"/>
    <w:rsid w:val="00355EC6"/>
    <w:rsid w:val="00356440"/>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8F1"/>
    <w:rsid w:val="00373F80"/>
    <w:rsid w:val="0037435A"/>
    <w:rsid w:val="00374F0E"/>
    <w:rsid w:val="00375286"/>
    <w:rsid w:val="0037577D"/>
    <w:rsid w:val="00375BC7"/>
    <w:rsid w:val="00375ED8"/>
    <w:rsid w:val="00375FA4"/>
    <w:rsid w:val="00376B48"/>
    <w:rsid w:val="00377CF1"/>
    <w:rsid w:val="00381072"/>
    <w:rsid w:val="003813D2"/>
    <w:rsid w:val="003814B3"/>
    <w:rsid w:val="00382486"/>
    <w:rsid w:val="00382501"/>
    <w:rsid w:val="00382E6E"/>
    <w:rsid w:val="00383791"/>
    <w:rsid w:val="00383F1E"/>
    <w:rsid w:val="0038451C"/>
    <w:rsid w:val="00384611"/>
    <w:rsid w:val="003848CE"/>
    <w:rsid w:val="003849C0"/>
    <w:rsid w:val="00384E47"/>
    <w:rsid w:val="00385318"/>
    <w:rsid w:val="00385C9E"/>
    <w:rsid w:val="00385E35"/>
    <w:rsid w:val="003863DB"/>
    <w:rsid w:val="003871E9"/>
    <w:rsid w:val="00387A8C"/>
    <w:rsid w:val="003910C8"/>
    <w:rsid w:val="003910F6"/>
    <w:rsid w:val="00392DF6"/>
    <w:rsid w:val="00393744"/>
    <w:rsid w:val="00394182"/>
    <w:rsid w:val="00394893"/>
    <w:rsid w:val="00394B8E"/>
    <w:rsid w:val="0039572F"/>
    <w:rsid w:val="003959A9"/>
    <w:rsid w:val="00395D5F"/>
    <w:rsid w:val="0039650D"/>
    <w:rsid w:val="0039696C"/>
    <w:rsid w:val="0039707F"/>
    <w:rsid w:val="00397340"/>
    <w:rsid w:val="003975B2"/>
    <w:rsid w:val="00397780"/>
    <w:rsid w:val="00397783"/>
    <w:rsid w:val="00397B05"/>
    <w:rsid w:val="003A0741"/>
    <w:rsid w:val="003A0855"/>
    <w:rsid w:val="003A0F12"/>
    <w:rsid w:val="003A222A"/>
    <w:rsid w:val="003A2BF7"/>
    <w:rsid w:val="003A2F93"/>
    <w:rsid w:val="003A31D1"/>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C0E"/>
    <w:rsid w:val="003B14A2"/>
    <w:rsid w:val="003B16C1"/>
    <w:rsid w:val="003B30A3"/>
    <w:rsid w:val="003B3D88"/>
    <w:rsid w:val="003B44BA"/>
    <w:rsid w:val="003B6B1B"/>
    <w:rsid w:val="003B6E5E"/>
    <w:rsid w:val="003B7063"/>
    <w:rsid w:val="003B7DE9"/>
    <w:rsid w:val="003C0D9A"/>
    <w:rsid w:val="003C23FE"/>
    <w:rsid w:val="003C253A"/>
    <w:rsid w:val="003C31FA"/>
    <w:rsid w:val="003C3751"/>
    <w:rsid w:val="003C3847"/>
    <w:rsid w:val="003C3B45"/>
    <w:rsid w:val="003C3DC0"/>
    <w:rsid w:val="003C4754"/>
    <w:rsid w:val="003C4E6B"/>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1D1D"/>
    <w:rsid w:val="003F450A"/>
    <w:rsid w:val="003F49F8"/>
    <w:rsid w:val="003F4B54"/>
    <w:rsid w:val="003F4E48"/>
    <w:rsid w:val="003F4E97"/>
    <w:rsid w:val="003F5EBB"/>
    <w:rsid w:val="003F6446"/>
    <w:rsid w:val="003F6462"/>
    <w:rsid w:val="003F6A1B"/>
    <w:rsid w:val="003F706A"/>
    <w:rsid w:val="003F7DBE"/>
    <w:rsid w:val="003F7FFC"/>
    <w:rsid w:val="0040096D"/>
    <w:rsid w:val="004010F1"/>
    <w:rsid w:val="004018C5"/>
    <w:rsid w:val="0040238D"/>
    <w:rsid w:val="0040266A"/>
    <w:rsid w:val="00402C24"/>
    <w:rsid w:val="004031FA"/>
    <w:rsid w:val="00403266"/>
    <w:rsid w:val="004032B3"/>
    <w:rsid w:val="004033B9"/>
    <w:rsid w:val="0040356B"/>
    <w:rsid w:val="004041B6"/>
    <w:rsid w:val="004050F0"/>
    <w:rsid w:val="0040571B"/>
    <w:rsid w:val="00405B1C"/>
    <w:rsid w:val="00406227"/>
    <w:rsid w:val="00407799"/>
    <w:rsid w:val="00407F02"/>
    <w:rsid w:val="004106E3"/>
    <w:rsid w:val="00410D54"/>
    <w:rsid w:val="00410F65"/>
    <w:rsid w:val="00413428"/>
    <w:rsid w:val="0041349B"/>
    <w:rsid w:val="00414730"/>
    <w:rsid w:val="00414ADF"/>
    <w:rsid w:val="00415514"/>
    <w:rsid w:val="00416340"/>
    <w:rsid w:val="00416603"/>
    <w:rsid w:val="0041677D"/>
    <w:rsid w:val="004169FF"/>
    <w:rsid w:val="00416DE9"/>
    <w:rsid w:val="00416E9B"/>
    <w:rsid w:val="00417184"/>
    <w:rsid w:val="004217E2"/>
    <w:rsid w:val="00422AE8"/>
    <w:rsid w:val="004230AE"/>
    <w:rsid w:val="004231CC"/>
    <w:rsid w:val="00425EDF"/>
    <w:rsid w:val="004265F9"/>
    <w:rsid w:val="00427411"/>
    <w:rsid w:val="00427826"/>
    <w:rsid w:val="00427B06"/>
    <w:rsid w:val="00430AB7"/>
    <w:rsid w:val="00430ECE"/>
    <w:rsid w:val="00431575"/>
    <w:rsid w:val="004328CE"/>
    <w:rsid w:val="00433053"/>
    <w:rsid w:val="00433624"/>
    <w:rsid w:val="00434CBE"/>
    <w:rsid w:val="00434D0D"/>
    <w:rsid w:val="0043505E"/>
    <w:rsid w:val="00435AB0"/>
    <w:rsid w:val="00437B46"/>
    <w:rsid w:val="00437DB0"/>
    <w:rsid w:val="00441085"/>
    <w:rsid w:val="00441858"/>
    <w:rsid w:val="00441882"/>
    <w:rsid w:val="00441A9B"/>
    <w:rsid w:val="00442301"/>
    <w:rsid w:val="00442873"/>
    <w:rsid w:val="00442A2C"/>
    <w:rsid w:val="0044385D"/>
    <w:rsid w:val="00443B15"/>
    <w:rsid w:val="00444613"/>
    <w:rsid w:val="004451E9"/>
    <w:rsid w:val="004452A8"/>
    <w:rsid w:val="00446969"/>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1D71"/>
    <w:rsid w:val="00462488"/>
    <w:rsid w:val="00462737"/>
    <w:rsid w:val="00463038"/>
    <w:rsid w:val="004639B8"/>
    <w:rsid w:val="00464F99"/>
    <w:rsid w:val="004654F2"/>
    <w:rsid w:val="004658A0"/>
    <w:rsid w:val="00465F7B"/>
    <w:rsid w:val="00466682"/>
    <w:rsid w:val="00466BBE"/>
    <w:rsid w:val="00467474"/>
    <w:rsid w:val="004674D9"/>
    <w:rsid w:val="0046798F"/>
    <w:rsid w:val="00467A05"/>
    <w:rsid w:val="00467A52"/>
    <w:rsid w:val="004707F6"/>
    <w:rsid w:val="00470BF9"/>
    <w:rsid w:val="0047161F"/>
    <w:rsid w:val="00471BC0"/>
    <w:rsid w:val="004721BF"/>
    <w:rsid w:val="00472A05"/>
    <w:rsid w:val="0047324D"/>
    <w:rsid w:val="00473819"/>
    <w:rsid w:val="00474DB7"/>
    <w:rsid w:val="004759E8"/>
    <w:rsid w:val="00477A31"/>
    <w:rsid w:val="00477ACB"/>
    <w:rsid w:val="00477E9D"/>
    <w:rsid w:val="00477FB1"/>
    <w:rsid w:val="004802D7"/>
    <w:rsid w:val="0048135A"/>
    <w:rsid w:val="0048217D"/>
    <w:rsid w:val="00482337"/>
    <w:rsid w:val="00483926"/>
    <w:rsid w:val="00483C85"/>
    <w:rsid w:val="00484D2C"/>
    <w:rsid w:val="00485879"/>
    <w:rsid w:val="004868FD"/>
    <w:rsid w:val="00486BFE"/>
    <w:rsid w:val="00487069"/>
    <w:rsid w:val="00487CB0"/>
    <w:rsid w:val="004904EB"/>
    <w:rsid w:val="00490610"/>
    <w:rsid w:val="00490683"/>
    <w:rsid w:val="00490EF1"/>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A8E"/>
    <w:rsid w:val="00495BC0"/>
    <w:rsid w:val="00495FF9"/>
    <w:rsid w:val="00496136"/>
    <w:rsid w:val="004966C5"/>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3C85"/>
    <w:rsid w:val="004A5450"/>
    <w:rsid w:val="004A550B"/>
    <w:rsid w:val="004A58E5"/>
    <w:rsid w:val="004A7423"/>
    <w:rsid w:val="004A7762"/>
    <w:rsid w:val="004A7C4D"/>
    <w:rsid w:val="004A7CA6"/>
    <w:rsid w:val="004A7E66"/>
    <w:rsid w:val="004B0B25"/>
    <w:rsid w:val="004B16DF"/>
    <w:rsid w:val="004B1B02"/>
    <w:rsid w:val="004B21A8"/>
    <w:rsid w:val="004B23DF"/>
    <w:rsid w:val="004B3C84"/>
    <w:rsid w:val="004B4422"/>
    <w:rsid w:val="004B47F9"/>
    <w:rsid w:val="004B4B37"/>
    <w:rsid w:val="004B4F94"/>
    <w:rsid w:val="004B5716"/>
    <w:rsid w:val="004B5E03"/>
    <w:rsid w:val="004B6259"/>
    <w:rsid w:val="004B6394"/>
    <w:rsid w:val="004B64A8"/>
    <w:rsid w:val="004B65E7"/>
    <w:rsid w:val="004B6641"/>
    <w:rsid w:val="004B71B6"/>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6CE3"/>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6A6"/>
    <w:rsid w:val="004D6858"/>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3E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1B6C"/>
    <w:rsid w:val="00502033"/>
    <w:rsid w:val="0050271C"/>
    <w:rsid w:val="00502FC6"/>
    <w:rsid w:val="00504BE8"/>
    <w:rsid w:val="005053FA"/>
    <w:rsid w:val="005054A6"/>
    <w:rsid w:val="00505559"/>
    <w:rsid w:val="00505932"/>
    <w:rsid w:val="005063CA"/>
    <w:rsid w:val="00506601"/>
    <w:rsid w:val="00507AB9"/>
    <w:rsid w:val="00507F9F"/>
    <w:rsid w:val="005107B4"/>
    <w:rsid w:val="005109BA"/>
    <w:rsid w:val="00510B7A"/>
    <w:rsid w:val="00510BED"/>
    <w:rsid w:val="005114EC"/>
    <w:rsid w:val="00511739"/>
    <w:rsid w:val="005127CC"/>
    <w:rsid w:val="00513ACA"/>
    <w:rsid w:val="00513E33"/>
    <w:rsid w:val="0051489F"/>
    <w:rsid w:val="00514B5C"/>
    <w:rsid w:val="00516107"/>
    <w:rsid w:val="005162CF"/>
    <w:rsid w:val="005166D8"/>
    <w:rsid w:val="00516A8B"/>
    <w:rsid w:val="00517481"/>
    <w:rsid w:val="005178AA"/>
    <w:rsid w:val="00520771"/>
    <w:rsid w:val="0052177B"/>
    <w:rsid w:val="0052308B"/>
    <w:rsid w:val="00523D0E"/>
    <w:rsid w:val="00524497"/>
    <w:rsid w:val="00524EA5"/>
    <w:rsid w:val="00525FF2"/>
    <w:rsid w:val="0052684E"/>
    <w:rsid w:val="00526FC1"/>
    <w:rsid w:val="005271F8"/>
    <w:rsid w:val="0052720E"/>
    <w:rsid w:val="005277F1"/>
    <w:rsid w:val="005279FA"/>
    <w:rsid w:val="00527B1D"/>
    <w:rsid w:val="00530AD6"/>
    <w:rsid w:val="005321FA"/>
    <w:rsid w:val="00532418"/>
    <w:rsid w:val="00533649"/>
    <w:rsid w:val="00533C98"/>
    <w:rsid w:val="00533D53"/>
    <w:rsid w:val="00534151"/>
    <w:rsid w:val="00534DC1"/>
    <w:rsid w:val="00535728"/>
    <w:rsid w:val="00535DBB"/>
    <w:rsid w:val="00536A86"/>
    <w:rsid w:val="0054004C"/>
    <w:rsid w:val="00540576"/>
    <w:rsid w:val="005420BD"/>
    <w:rsid w:val="00542206"/>
    <w:rsid w:val="005441D7"/>
    <w:rsid w:val="00544288"/>
    <w:rsid w:val="00544F27"/>
    <w:rsid w:val="005451E9"/>
    <w:rsid w:val="00545233"/>
    <w:rsid w:val="005457E4"/>
    <w:rsid w:val="00545EEB"/>
    <w:rsid w:val="005463E4"/>
    <w:rsid w:val="00547322"/>
    <w:rsid w:val="00550036"/>
    <w:rsid w:val="00550147"/>
    <w:rsid w:val="005502FD"/>
    <w:rsid w:val="005508BA"/>
    <w:rsid w:val="00550928"/>
    <w:rsid w:val="005509CB"/>
    <w:rsid w:val="00551601"/>
    <w:rsid w:val="00551B93"/>
    <w:rsid w:val="00552054"/>
    <w:rsid w:val="00552370"/>
    <w:rsid w:val="00552B9A"/>
    <w:rsid w:val="0055341C"/>
    <w:rsid w:val="0055396E"/>
    <w:rsid w:val="005552EE"/>
    <w:rsid w:val="005556F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777"/>
    <w:rsid w:val="00571D49"/>
    <w:rsid w:val="0057246E"/>
    <w:rsid w:val="005724BD"/>
    <w:rsid w:val="00572507"/>
    <w:rsid w:val="00572E6B"/>
    <w:rsid w:val="00572EE0"/>
    <w:rsid w:val="00574B97"/>
    <w:rsid w:val="00574F40"/>
    <w:rsid w:val="00576582"/>
    <w:rsid w:val="00576753"/>
    <w:rsid w:val="0057703A"/>
    <w:rsid w:val="0057720B"/>
    <w:rsid w:val="0057753A"/>
    <w:rsid w:val="005779AA"/>
    <w:rsid w:val="00577CAA"/>
    <w:rsid w:val="00580605"/>
    <w:rsid w:val="005822DD"/>
    <w:rsid w:val="00582B1B"/>
    <w:rsid w:val="00582EDF"/>
    <w:rsid w:val="0058390F"/>
    <w:rsid w:val="00583BE8"/>
    <w:rsid w:val="00583F75"/>
    <w:rsid w:val="005855A9"/>
    <w:rsid w:val="00585FC5"/>
    <w:rsid w:val="00586D3E"/>
    <w:rsid w:val="0058713E"/>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4B3"/>
    <w:rsid w:val="005A2540"/>
    <w:rsid w:val="005A2D64"/>
    <w:rsid w:val="005A3CD7"/>
    <w:rsid w:val="005A5183"/>
    <w:rsid w:val="005A5E7D"/>
    <w:rsid w:val="005A65E0"/>
    <w:rsid w:val="005A6A80"/>
    <w:rsid w:val="005A71A4"/>
    <w:rsid w:val="005B0DA8"/>
    <w:rsid w:val="005B1574"/>
    <w:rsid w:val="005B160C"/>
    <w:rsid w:val="005B2161"/>
    <w:rsid w:val="005B248B"/>
    <w:rsid w:val="005B39DD"/>
    <w:rsid w:val="005B521C"/>
    <w:rsid w:val="005B5519"/>
    <w:rsid w:val="005B5B67"/>
    <w:rsid w:val="005B5FE3"/>
    <w:rsid w:val="005B6B09"/>
    <w:rsid w:val="005B6E43"/>
    <w:rsid w:val="005B71D5"/>
    <w:rsid w:val="005B7309"/>
    <w:rsid w:val="005B772B"/>
    <w:rsid w:val="005C0E4C"/>
    <w:rsid w:val="005C11E6"/>
    <w:rsid w:val="005C1723"/>
    <w:rsid w:val="005C1A05"/>
    <w:rsid w:val="005C1B36"/>
    <w:rsid w:val="005C27D4"/>
    <w:rsid w:val="005C33EA"/>
    <w:rsid w:val="005C3567"/>
    <w:rsid w:val="005C509F"/>
    <w:rsid w:val="005C737C"/>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426"/>
    <w:rsid w:val="005D5547"/>
    <w:rsid w:val="005D5DC7"/>
    <w:rsid w:val="005D5FF6"/>
    <w:rsid w:val="005D621C"/>
    <w:rsid w:val="005D7D7A"/>
    <w:rsid w:val="005E1013"/>
    <w:rsid w:val="005E106B"/>
    <w:rsid w:val="005E1D6A"/>
    <w:rsid w:val="005E1FEC"/>
    <w:rsid w:val="005E20A1"/>
    <w:rsid w:val="005E26DA"/>
    <w:rsid w:val="005E350A"/>
    <w:rsid w:val="005E3931"/>
    <w:rsid w:val="005E5D3B"/>
    <w:rsid w:val="005E60B0"/>
    <w:rsid w:val="005E68E4"/>
    <w:rsid w:val="005E72D3"/>
    <w:rsid w:val="005F0038"/>
    <w:rsid w:val="005F1202"/>
    <w:rsid w:val="005F1555"/>
    <w:rsid w:val="005F1A37"/>
    <w:rsid w:val="005F27FA"/>
    <w:rsid w:val="005F2802"/>
    <w:rsid w:val="005F2967"/>
    <w:rsid w:val="005F2AC9"/>
    <w:rsid w:val="005F45BE"/>
    <w:rsid w:val="005F4715"/>
    <w:rsid w:val="005F4A24"/>
    <w:rsid w:val="005F5803"/>
    <w:rsid w:val="005F5BA5"/>
    <w:rsid w:val="005F5C47"/>
    <w:rsid w:val="005F636E"/>
    <w:rsid w:val="005F6E19"/>
    <w:rsid w:val="005F7CA8"/>
    <w:rsid w:val="006009AE"/>
    <w:rsid w:val="00601040"/>
    <w:rsid w:val="00601AC2"/>
    <w:rsid w:val="006030B1"/>
    <w:rsid w:val="00603108"/>
    <w:rsid w:val="00603DC4"/>
    <w:rsid w:val="00604C89"/>
    <w:rsid w:val="00605080"/>
    <w:rsid w:val="00605E97"/>
    <w:rsid w:val="00607780"/>
    <w:rsid w:val="00607F65"/>
    <w:rsid w:val="006107C9"/>
    <w:rsid w:val="006108E9"/>
    <w:rsid w:val="00610A7D"/>
    <w:rsid w:val="00610ED6"/>
    <w:rsid w:val="00612029"/>
    <w:rsid w:val="006124BB"/>
    <w:rsid w:val="00614CA4"/>
    <w:rsid w:val="006157DD"/>
    <w:rsid w:val="00615891"/>
    <w:rsid w:val="006162C3"/>
    <w:rsid w:val="006165BD"/>
    <w:rsid w:val="00616B78"/>
    <w:rsid w:val="00617001"/>
    <w:rsid w:val="0061760B"/>
    <w:rsid w:val="00617D75"/>
    <w:rsid w:val="00620FBA"/>
    <w:rsid w:val="00621D29"/>
    <w:rsid w:val="00622790"/>
    <w:rsid w:val="00622EE0"/>
    <w:rsid w:val="00623197"/>
    <w:rsid w:val="0062410B"/>
    <w:rsid w:val="0062413C"/>
    <w:rsid w:val="006245D9"/>
    <w:rsid w:val="006249C9"/>
    <w:rsid w:val="006255EF"/>
    <w:rsid w:val="0062590A"/>
    <w:rsid w:val="00626146"/>
    <w:rsid w:val="006264B1"/>
    <w:rsid w:val="0062650E"/>
    <w:rsid w:val="00627B6B"/>
    <w:rsid w:val="00627E73"/>
    <w:rsid w:val="006305E1"/>
    <w:rsid w:val="00630BC7"/>
    <w:rsid w:val="00630D36"/>
    <w:rsid w:val="006313F8"/>
    <w:rsid w:val="0063166B"/>
    <w:rsid w:val="0063344C"/>
    <w:rsid w:val="0063392D"/>
    <w:rsid w:val="00634760"/>
    <w:rsid w:val="00634838"/>
    <w:rsid w:val="00634F61"/>
    <w:rsid w:val="006356B9"/>
    <w:rsid w:val="00635B38"/>
    <w:rsid w:val="00635C4B"/>
    <w:rsid w:val="006367AF"/>
    <w:rsid w:val="00636829"/>
    <w:rsid w:val="00636C48"/>
    <w:rsid w:val="0063705D"/>
    <w:rsid w:val="0064034E"/>
    <w:rsid w:val="00640670"/>
    <w:rsid w:val="00641078"/>
    <w:rsid w:val="00641A22"/>
    <w:rsid w:val="006432D3"/>
    <w:rsid w:val="0064359E"/>
    <w:rsid w:val="00643827"/>
    <w:rsid w:val="00643E17"/>
    <w:rsid w:val="0064519B"/>
    <w:rsid w:val="00645DAD"/>
    <w:rsid w:val="006460D8"/>
    <w:rsid w:val="006501C1"/>
    <w:rsid w:val="00650A0B"/>
    <w:rsid w:val="00651125"/>
    <w:rsid w:val="00652B32"/>
    <w:rsid w:val="0065629A"/>
    <w:rsid w:val="00656636"/>
    <w:rsid w:val="00656D15"/>
    <w:rsid w:val="0065728F"/>
    <w:rsid w:val="006575B4"/>
    <w:rsid w:val="00657789"/>
    <w:rsid w:val="00657AAF"/>
    <w:rsid w:val="006600FA"/>
    <w:rsid w:val="0066186C"/>
    <w:rsid w:val="00662076"/>
    <w:rsid w:val="006633A9"/>
    <w:rsid w:val="0066341B"/>
    <w:rsid w:val="00663477"/>
    <w:rsid w:val="00663A49"/>
    <w:rsid w:val="00665511"/>
    <w:rsid w:val="006657F2"/>
    <w:rsid w:val="00666494"/>
    <w:rsid w:val="006669DC"/>
    <w:rsid w:val="00666A4E"/>
    <w:rsid w:val="006675D5"/>
    <w:rsid w:val="00670723"/>
    <w:rsid w:val="00670835"/>
    <w:rsid w:val="006716EA"/>
    <w:rsid w:val="00672256"/>
    <w:rsid w:val="00672323"/>
    <w:rsid w:val="00672C7C"/>
    <w:rsid w:val="00672CCD"/>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833"/>
    <w:rsid w:val="00685DDE"/>
    <w:rsid w:val="006862D3"/>
    <w:rsid w:val="00686E18"/>
    <w:rsid w:val="00686F3F"/>
    <w:rsid w:val="00686F44"/>
    <w:rsid w:val="0068728A"/>
    <w:rsid w:val="00687410"/>
    <w:rsid w:val="00687CB4"/>
    <w:rsid w:val="00690DB6"/>
    <w:rsid w:val="00694432"/>
    <w:rsid w:val="0069487C"/>
    <w:rsid w:val="00694AA2"/>
    <w:rsid w:val="00694C12"/>
    <w:rsid w:val="006964DF"/>
    <w:rsid w:val="00696803"/>
    <w:rsid w:val="00696A5A"/>
    <w:rsid w:val="006975D2"/>
    <w:rsid w:val="00697890"/>
    <w:rsid w:val="00697DC4"/>
    <w:rsid w:val="00697FCD"/>
    <w:rsid w:val="006A01E9"/>
    <w:rsid w:val="006A0740"/>
    <w:rsid w:val="006A0F8C"/>
    <w:rsid w:val="006A17FC"/>
    <w:rsid w:val="006A1961"/>
    <w:rsid w:val="006A2DB8"/>
    <w:rsid w:val="006A37FA"/>
    <w:rsid w:val="006A3A93"/>
    <w:rsid w:val="006A41E9"/>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573B"/>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A7"/>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A7"/>
    <w:rsid w:val="006F30D1"/>
    <w:rsid w:val="006F35A3"/>
    <w:rsid w:val="006F3818"/>
    <w:rsid w:val="006F4397"/>
    <w:rsid w:val="006F47FB"/>
    <w:rsid w:val="006F4F04"/>
    <w:rsid w:val="006F50C0"/>
    <w:rsid w:val="006F54AF"/>
    <w:rsid w:val="006F5931"/>
    <w:rsid w:val="006F697B"/>
    <w:rsid w:val="006F71C9"/>
    <w:rsid w:val="007000FA"/>
    <w:rsid w:val="0070350E"/>
    <w:rsid w:val="00703791"/>
    <w:rsid w:val="0070451B"/>
    <w:rsid w:val="00704903"/>
    <w:rsid w:val="00704995"/>
    <w:rsid w:val="00704CB6"/>
    <w:rsid w:val="007057A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3C57"/>
    <w:rsid w:val="00714019"/>
    <w:rsid w:val="00714366"/>
    <w:rsid w:val="007149BA"/>
    <w:rsid w:val="00714AB8"/>
    <w:rsid w:val="00714D31"/>
    <w:rsid w:val="00714F2E"/>
    <w:rsid w:val="0071539E"/>
    <w:rsid w:val="00715C2C"/>
    <w:rsid w:val="00716B83"/>
    <w:rsid w:val="00720449"/>
    <w:rsid w:val="007205C5"/>
    <w:rsid w:val="007223C8"/>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999"/>
    <w:rsid w:val="00730A8D"/>
    <w:rsid w:val="007311C2"/>
    <w:rsid w:val="00731872"/>
    <w:rsid w:val="00732D86"/>
    <w:rsid w:val="007341D3"/>
    <w:rsid w:val="00734E89"/>
    <w:rsid w:val="007357F0"/>
    <w:rsid w:val="007362EA"/>
    <w:rsid w:val="00736357"/>
    <w:rsid w:val="007363D2"/>
    <w:rsid w:val="0073684B"/>
    <w:rsid w:val="00736F42"/>
    <w:rsid w:val="007408CB"/>
    <w:rsid w:val="00740C69"/>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2389"/>
    <w:rsid w:val="00762798"/>
    <w:rsid w:val="00763111"/>
    <w:rsid w:val="007635BC"/>
    <w:rsid w:val="00763EB4"/>
    <w:rsid w:val="00763ED7"/>
    <w:rsid w:val="00765069"/>
    <w:rsid w:val="00765482"/>
    <w:rsid w:val="0076665C"/>
    <w:rsid w:val="007672BA"/>
    <w:rsid w:val="0076736D"/>
    <w:rsid w:val="007706CB"/>
    <w:rsid w:val="00770EDA"/>
    <w:rsid w:val="00771C22"/>
    <w:rsid w:val="0077259B"/>
    <w:rsid w:val="00772CB7"/>
    <w:rsid w:val="00772F9F"/>
    <w:rsid w:val="0077302E"/>
    <w:rsid w:val="0077341F"/>
    <w:rsid w:val="00773D46"/>
    <w:rsid w:val="00774305"/>
    <w:rsid w:val="00774564"/>
    <w:rsid w:val="00774B32"/>
    <w:rsid w:val="0077506F"/>
    <w:rsid w:val="00775090"/>
    <w:rsid w:val="00775419"/>
    <w:rsid w:val="007754C6"/>
    <w:rsid w:val="00776F2D"/>
    <w:rsid w:val="007778F7"/>
    <w:rsid w:val="00777DE7"/>
    <w:rsid w:val="00780926"/>
    <w:rsid w:val="00780E3A"/>
    <w:rsid w:val="00780F8B"/>
    <w:rsid w:val="00782EDD"/>
    <w:rsid w:val="007833A6"/>
    <w:rsid w:val="0078358A"/>
    <w:rsid w:val="007835D7"/>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92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0A"/>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B6"/>
    <w:rsid w:val="007B1947"/>
    <w:rsid w:val="007B19A6"/>
    <w:rsid w:val="007B295A"/>
    <w:rsid w:val="007B29C9"/>
    <w:rsid w:val="007B3422"/>
    <w:rsid w:val="007B3CB5"/>
    <w:rsid w:val="007B3F13"/>
    <w:rsid w:val="007B4244"/>
    <w:rsid w:val="007B52DD"/>
    <w:rsid w:val="007B71B9"/>
    <w:rsid w:val="007B742F"/>
    <w:rsid w:val="007B7480"/>
    <w:rsid w:val="007B77DA"/>
    <w:rsid w:val="007B7919"/>
    <w:rsid w:val="007B7B2D"/>
    <w:rsid w:val="007C0422"/>
    <w:rsid w:val="007C069F"/>
    <w:rsid w:val="007C0B35"/>
    <w:rsid w:val="007C0C76"/>
    <w:rsid w:val="007C1CA4"/>
    <w:rsid w:val="007C1CC7"/>
    <w:rsid w:val="007C31E1"/>
    <w:rsid w:val="007C36C8"/>
    <w:rsid w:val="007C3DCF"/>
    <w:rsid w:val="007C45FB"/>
    <w:rsid w:val="007C4649"/>
    <w:rsid w:val="007C4CC0"/>
    <w:rsid w:val="007C5488"/>
    <w:rsid w:val="007C59C5"/>
    <w:rsid w:val="007C64CA"/>
    <w:rsid w:val="007D036B"/>
    <w:rsid w:val="007D0CE6"/>
    <w:rsid w:val="007D0D40"/>
    <w:rsid w:val="007D15AC"/>
    <w:rsid w:val="007D15CD"/>
    <w:rsid w:val="007D23D4"/>
    <w:rsid w:val="007D26E1"/>
    <w:rsid w:val="007D2D80"/>
    <w:rsid w:val="007D3237"/>
    <w:rsid w:val="007D33ED"/>
    <w:rsid w:val="007D392A"/>
    <w:rsid w:val="007D3A65"/>
    <w:rsid w:val="007D5180"/>
    <w:rsid w:val="007D546C"/>
    <w:rsid w:val="007D585C"/>
    <w:rsid w:val="007D63AF"/>
    <w:rsid w:val="007D6834"/>
    <w:rsid w:val="007D6E35"/>
    <w:rsid w:val="007D721A"/>
    <w:rsid w:val="007D72C5"/>
    <w:rsid w:val="007E0911"/>
    <w:rsid w:val="007E1237"/>
    <w:rsid w:val="007E1A49"/>
    <w:rsid w:val="007E2530"/>
    <w:rsid w:val="007E339E"/>
    <w:rsid w:val="007E3A5F"/>
    <w:rsid w:val="007E3BF6"/>
    <w:rsid w:val="007E4500"/>
    <w:rsid w:val="007E52B2"/>
    <w:rsid w:val="007E5756"/>
    <w:rsid w:val="007E5789"/>
    <w:rsid w:val="007E66A5"/>
    <w:rsid w:val="007E69B8"/>
    <w:rsid w:val="007E6D5A"/>
    <w:rsid w:val="007E7810"/>
    <w:rsid w:val="007E7A4F"/>
    <w:rsid w:val="007F04FB"/>
    <w:rsid w:val="007F06D5"/>
    <w:rsid w:val="007F15DE"/>
    <w:rsid w:val="007F3B58"/>
    <w:rsid w:val="007F412B"/>
    <w:rsid w:val="007F53B1"/>
    <w:rsid w:val="007F5577"/>
    <w:rsid w:val="007F5BE2"/>
    <w:rsid w:val="007F5DBD"/>
    <w:rsid w:val="007F5DE5"/>
    <w:rsid w:val="007F5E82"/>
    <w:rsid w:val="007F6398"/>
    <w:rsid w:val="007F65C8"/>
    <w:rsid w:val="007F67E5"/>
    <w:rsid w:val="007F76E6"/>
    <w:rsid w:val="0080007D"/>
    <w:rsid w:val="008005E2"/>
    <w:rsid w:val="00800D3F"/>
    <w:rsid w:val="0080216D"/>
    <w:rsid w:val="008023B4"/>
    <w:rsid w:val="00803CAC"/>
    <w:rsid w:val="00804BC7"/>
    <w:rsid w:val="00804EC3"/>
    <w:rsid w:val="0080531C"/>
    <w:rsid w:val="0080575E"/>
    <w:rsid w:val="00805DD6"/>
    <w:rsid w:val="00806286"/>
    <w:rsid w:val="0080637A"/>
    <w:rsid w:val="00807B39"/>
    <w:rsid w:val="00807CBA"/>
    <w:rsid w:val="00810938"/>
    <w:rsid w:val="00810D84"/>
    <w:rsid w:val="00811435"/>
    <w:rsid w:val="00811644"/>
    <w:rsid w:val="00812A15"/>
    <w:rsid w:val="008153CF"/>
    <w:rsid w:val="008154F0"/>
    <w:rsid w:val="0081603D"/>
    <w:rsid w:val="00816C51"/>
    <w:rsid w:val="008174FC"/>
    <w:rsid w:val="00820060"/>
    <w:rsid w:val="00820D0E"/>
    <w:rsid w:val="00821644"/>
    <w:rsid w:val="00821C32"/>
    <w:rsid w:val="00822BF6"/>
    <w:rsid w:val="008232A1"/>
    <w:rsid w:val="00824A2B"/>
    <w:rsid w:val="00826D24"/>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4884"/>
    <w:rsid w:val="00835891"/>
    <w:rsid w:val="00835A37"/>
    <w:rsid w:val="00835C50"/>
    <w:rsid w:val="0083623A"/>
    <w:rsid w:val="00836ED2"/>
    <w:rsid w:val="00836F7E"/>
    <w:rsid w:val="0083748A"/>
    <w:rsid w:val="00837B34"/>
    <w:rsid w:val="00837FD3"/>
    <w:rsid w:val="00840B61"/>
    <w:rsid w:val="00840CD1"/>
    <w:rsid w:val="008416D0"/>
    <w:rsid w:val="0084189A"/>
    <w:rsid w:val="00841AB3"/>
    <w:rsid w:val="00841D25"/>
    <w:rsid w:val="00841DCB"/>
    <w:rsid w:val="0084205E"/>
    <w:rsid w:val="00842558"/>
    <w:rsid w:val="008427D5"/>
    <w:rsid w:val="00843132"/>
    <w:rsid w:val="008435E3"/>
    <w:rsid w:val="00844FB3"/>
    <w:rsid w:val="00844FD1"/>
    <w:rsid w:val="00844FDD"/>
    <w:rsid w:val="00845CE5"/>
    <w:rsid w:val="00846685"/>
    <w:rsid w:val="008467F6"/>
    <w:rsid w:val="008469DC"/>
    <w:rsid w:val="0084752F"/>
    <w:rsid w:val="0085071E"/>
    <w:rsid w:val="0085099D"/>
    <w:rsid w:val="008513FE"/>
    <w:rsid w:val="00852568"/>
    <w:rsid w:val="00852785"/>
    <w:rsid w:val="008535F4"/>
    <w:rsid w:val="008538A8"/>
    <w:rsid w:val="00853A44"/>
    <w:rsid w:val="00853DCB"/>
    <w:rsid w:val="008540C1"/>
    <w:rsid w:val="0085421B"/>
    <w:rsid w:val="00854FF3"/>
    <w:rsid w:val="008553E4"/>
    <w:rsid w:val="00856427"/>
    <w:rsid w:val="0086020D"/>
    <w:rsid w:val="00860599"/>
    <w:rsid w:val="00860EF8"/>
    <w:rsid w:val="0086104E"/>
    <w:rsid w:val="008610C7"/>
    <w:rsid w:val="008615A3"/>
    <w:rsid w:val="0086290B"/>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05"/>
    <w:rsid w:val="00874559"/>
    <w:rsid w:val="00876393"/>
    <w:rsid w:val="008766B0"/>
    <w:rsid w:val="00877181"/>
    <w:rsid w:val="00880CE8"/>
    <w:rsid w:val="008815CB"/>
    <w:rsid w:val="00881F12"/>
    <w:rsid w:val="008826B9"/>
    <w:rsid w:val="008843DF"/>
    <w:rsid w:val="00884673"/>
    <w:rsid w:val="00886067"/>
    <w:rsid w:val="008861C2"/>
    <w:rsid w:val="00886D98"/>
    <w:rsid w:val="00886EDC"/>
    <w:rsid w:val="00887420"/>
    <w:rsid w:val="00887D3E"/>
    <w:rsid w:val="00887DF4"/>
    <w:rsid w:val="00890269"/>
    <w:rsid w:val="00890653"/>
    <w:rsid w:val="00890E38"/>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A0C8B"/>
    <w:rsid w:val="008A196C"/>
    <w:rsid w:val="008A1B00"/>
    <w:rsid w:val="008A2392"/>
    <w:rsid w:val="008A2719"/>
    <w:rsid w:val="008A307C"/>
    <w:rsid w:val="008A327C"/>
    <w:rsid w:val="008A350A"/>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7245"/>
    <w:rsid w:val="008C0779"/>
    <w:rsid w:val="008C1548"/>
    <w:rsid w:val="008C1C6C"/>
    <w:rsid w:val="008C21D1"/>
    <w:rsid w:val="008C2760"/>
    <w:rsid w:val="008C72F2"/>
    <w:rsid w:val="008C7C89"/>
    <w:rsid w:val="008D029D"/>
    <w:rsid w:val="008D080B"/>
    <w:rsid w:val="008D0EA6"/>
    <w:rsid w:val="008D2952"/>
    <w:rsid w:val="008D2C61"/>
    <w:rsid w:val="008D44E8"/>
    <w:rsid w:val="008D4860"/>
    <w:rsid w:val="008D4AB4"/>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4FD5"/>
    <w:rsid w:val="008E507B"/>
    <w:rsid w:val="008E5DE8"/>
    <w:rsid w:val="008E607E"/>
    <w:rsid w:val="008E6093"/>
    <w:rsid w:val="008E62F0"/>
    <w:rsid w:val="008E630A"/>
    <w:rsid w:val="008E647F"/>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760F"/>
    <w:rsid w:val="008F76AA"/>
    <w:rsid w:val="008F79BF"/>
    <w:rsid w:val="008F7ACF"/>
    <w:rsid w:val="008F7D5D"/>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326"/>
    <w:rsid w:val="009136B4"/>
    <w:rsid w:val="009144C9"/>
    <w:rsid w:val="00914E3E"/>
    <w:rsid w:val="00914ED4"/>
    <w:rsid w:val="00915783"/>
    <w:rsid w:val="00915856"/>
    <w:rsid w:val="00915933"/>
    <w:rsid w:val="009159F6"/>
    <w:rsid w:val="00916077"/>
    <w:rsid w:val="009167FE"/>
    <w:rsid w:val="00916B5A"/>
    <w:rsid w:val="00916BC8"/>
    <w:rsid w:val="0091704C"/>
    <w:rsid w:val="00917BD4"/>
    <w:rsid w:val="00920158"/>
    <w:rsid w:val="009220CB"/>
    <w:rsid w:val="00922777"/>
    <w:rsid w:val="00922ED5"/>
    <w:rsid w:val="00922FE9"/>
    <w:rsid w:val="00925379"/>
    <w:rsid w:val="00925DF8"/>
    <w:rsid w:val="00926C89"/>
    <w:rsid w:val="00930194"/>
    <w:rsid w:val="00930A75"/>
    <w:rsid w:val="00930C7E"/>
    <w:rsid w:val="00931772"/>
    <w:rsid w:val="00931C30"/>
    <w:rsid w:val="009321EF"/>
    <w:rsid w:val="009337B2"/>
    <w:rsid w:val="00933BF6"/>
    <w:rsid w:val="0093416A"/>
    <w:rsid w:val="0093572A"/>
    <w:rsid w:val="00935C09"/>
    <w:rsid w:val="0093625E"/>
    <w:rsid w:val="0093645E"/>
    <w:rsid w:val="009367F6"/>
    <w:rsid w:val="00936859"/>
    <w:rsid w:val="00936BC5"/>
    <w:rsid w:val="009375EE"/>
    <w:rsid w:val="00937D60"/>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E2"/>
    <w:rsid w:val="00957BFA"/>
    <w:rsid w:val="00960D6F"/>
    <w:rsid w:val="00960E67"/>
    <w:rsid w:val="009612A6"/>
    <w:rsid w:val="009615A4"/>
    <w:rsid w:val="00961642"/>
    <w:rsid w:val="00962848"/>
    <w:rsid w:val="009634EF"/>
    <w:rsid w:val="00964761"/>
    <w:rsid w:val="00964C2F"/>
    <w:rsid w:val="00965669"/>
    <w:rsid w:val="00965D12"/>
    <w:rsid w:val="00967478"/>
    <w:rsid w:val="00967FC6"/>
    <w:rsid w:val="009707CB"/>
    <w:rsid w:val="009713A1"/>
    <w:rsid w:val="00973443"/>
    <w:rsid w:val="00973807"/>
    <w:rsid w:val="00973F0D"/>
    <w:rsid w:val="009742DE"/>
    <w:rsid w:val="0097471C"/>
    <w:rsid w:val="00974934"/>
    <w:rsid w:val="00975432"/>
    <w:rsid w:val="00975997"/>
    <w:rsid w:val="00976A0D"/>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38B8"/>
    <w:rsid w:val="00984873"/>
    <w:rsid w:val="00985702"/>
    <w:rsid w:val="00985A96"/>
    <w:rsid w:val="00986A2A"/>
    <w:rsid w:val="009879E3"/>
    <w:rsid w:val="00990214"/>
    <w:rsid w:val="00990BCF"/>
    <w:rsid w:val="00991005"/>
    <w:rsid w:val="00991A5A"/>
    <w:rsid w:val="00991D91"/>
    <w:rsid w:val="00991EFC"/>
    <w:rsid w:val="0099278A"/>
    <w:rsid w:val="00992A3D"/>
    <w:rsid w:val="00992AB9"/>
    <w:rsid w:val="009932A3"/>
    <w:rsid w:val="00994011"/>
    <w:rsid w:val="009941A3"/>
    <w:rsid w:val="00994402"/>
    <w:rsid w:val="00995363"/>
    <w:rsid w:val="00995702"/>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E58"/>
    <w:rsid w:val="009B739A"/>
    <w:rsid w:val="009C0E04"/>
    <w:rsid w:val="009C1565"/>
    <w:rsid w:val="009C1B84"/>
    <w:rsid w:val="009C2DA6"/>
    <w:rsid w:val="009C34FA"/>
    <w:rsid w:val="009C3547"/>
    <w:rsid w:val="009C544A"/>
    <w:rsid w:val="009C56AF"/>
    <w:rsid w:val="009C5918"/>
    <w:rsid w:val="009C65D8"/>
    <w:rsid w:val="009C6768"/>
    <w:rsid w:val="009C7ECB"/>
    <w:rsid w:val="009C7F48"/>
    <w:rsid w:val="009D087D"/>
    <w:rsid w:val="009D198E"/>
    <w:rsid w:val="009D1DB8"/>
    <w:rsid w:val="009D24F2"/>
    <w:rsid w:val="009D2818"/>
    <w:rsid w:val="009D2E92"/>
    <w:rsid w:val="009D3BE8"/>
    <w:rsid w:val="009D631B"/>
    <w:rsid w:val="009D722F"/>
    <w:rsid w:val="009D75B4"/>
    <w:rsid w:val="009D7D38"/>
    <w:rsid w:val="009E0204"/>
    <w:rsid w:val="009E0489"/>
    <w:rsid w:val="009E0CAF"/>
    <w:rsid w:val="009E21BF"/>
    <w:rsid w:val="009E2470"/>
    <w:rsid w:val="009E27A1"/>
    <w:rsid w:val="009E2990"/>
    <w:rsid w:val="009E2EEF"/>
    <w:rsid w:val="009E3660"/>
    <w:rsid w:val="009E4883"/>
    <w:rsid w:val="009E4B41"/>
    <w:rsid w:val="009E5B12"/>
    <w:rsid w:val="009E5ED8"/>
    <w:rsid w:val="009E632E"/>
    <w:rsid w:val="009E6E19"/>
    <w:rsid w:val="009F0003"/>
    <w:rsid w:val="009F05DA"/>
    <w:rsid w:val="009F1B0B"/>
    <w:rsid w:val="009F1DB3"/>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A26"/>
    <w:rsid w:val="00A06B3B"/>
    <w:rsid w:val="00A12C4F"/>
    <w:rsid w:val="00A131F4"/>
    <w:rsid w:val="00A13C26"/>
    <w:rsid w:val="00A13DAE"/>
    <w:rsid w:val="00A1414F"/>
    <w:rsid w:val="00A16533"/>
    <w:rsid w:val="00A179BF"/>
    <w:rsid w:val="00A17E56"/>
    <w:rsid w:val="00A20522"/>
    <w:rsid w:val="00A21369"/>
    <w:rsid w:val="00A21528"/>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4B02"/>
    <w:rsid w:val="00A34DBF"/>
    <w:rsid w:val="00A362A5"/>
    <w:rsid w:val="00A36CD3"/>
    <w:rsid w:val="00A36F41"/>
    <w:rsid w:val="00A37D7B"/>
    <w:rsid w:val="00A40434"/>
    <w:rsid w:val="00A40617"/>
    <w:rsid w:val="00A406B4"/>
    <w:rsid w:val="00A408FD"/>
    <w:rsid w:val="00A409AF"/>
    <w:rsid w:val="00A41551"/>
    <w:rsid w:val="00A41576"/>
    <w:rsid w:val="00A41DF7"/>
    <w:rsid w:val="00A4244A"/>
    <w:rsid w:val="00A426AF"/>
    <w:rsid w:val="00A429DD"/>
    <w:rsid w:val="00A42B36"/>
    <w:rsid w:val="00A43714"/>
    <w:rsid w:val="00A44BFD"/>
    <w:rsid w:val="00A4548A"/>
    <w:rsid w:val="00A4550A"/>
    <w:rsid w:val="00A45BE8"/>
    <w:rsid w:val="00A46011"/>
    <w:rsid w:val="00A46332"/>
    <w:rsid w:val="00A465E7"/>
    <w:rsid w:val="00A46EBC"/>
    <w:rsid w:val="00A50D08"/>
    <w:rsid w:val="00A50ED6"/>
    <w:rsid w:val="00A511EF"/>
    <w:rsid w:val="00A5138F"/>
    <w:rsid w:val="00A515A9"/>
    <w:rsid w:val="00A53361"/>
    <w:rsid w:val="00A5488D"/>
    <w:rsid w:val="00A55167"/>
    <w:rsid w:val="00A5672F"/>
    <w:rsid w:val="00A577D2"/>
    <w:rsid w:val="00A60597"/>
    <w:rsid w:val="00A6064E"/>
    <w:rsid w:val="00A61515"/>
    <w:rsid w:val="00A61D4E"/>
    <w:rsid w:val="00A61E2B"/>
    <w:rsid w:val="00A622E4"/>
    <w:rsid w:val="00A63826"/>
    <w:rsid w:val="00A63BAE"/>
    <w:rsid w:val="00A65456"/>
    <w:rsid w:val="00A65561"/>
    <w:rsid w:val="00A657AB"/>
    <w:rsid w:val="00A65856"/>
    <w:rsid w:val="00A65E90"/>
    <w:rsid w:val="00A66512"/>
    <w:rsid w:val="00A666AB"/>
    <w:rsid w:val="00A66AAD"/>
    <w:rsid w:val="00A6797C"/>
    <w:rsid w:val="00A70070"/>
    <w:rsid w:val="00A71C24"/>
    <w:rsid w:val="00A71F8B"/>
    <w:rsid w:val="00A72309"/>
    <w:rsid w:val="00A73526"/>
    <w:rsid w:val="00A73ED5"/>
    <w:rsid w:val="00A74E3E"/>
    <w:rsid w:val="00A74F06"/>
    <w:rsid w:val="00A7519C"/>
    <w:rsid w:val="00A75DB8"/>
    <w:rsid w:val="00A766AE"/>
    <w:rsid w:val="00A76A96"/>
    <w:rsid w:val="00A77419"/>
    <w:rsid w:val="00A8031D"/>
    <w:rsid w:val="00A80880"/>
    <w:rsid w:val="00A81D41"/>
    <w:rsid w:val="00A81DEC"/>
    <w:rsid w:val="00A81E17"/>
    <w:rsid w:val="00A826C0"/>
    <w:rsid w:val="00A82D29"/>
    <w:rsid w:val="00A83E55"/>
    <w:rsid w:val="00A856D6"/>
    <w:rsid w:val="00A86313"/>
    <w:rsid w:val="00A866B3"/>
    <w:rsid w:val="00A8747C"/>
    <w:rsid w:val="00A87BD0"/>
    <w:rsid w:val="00A90ACA"/>
    <w:rsid w:val="00A91308"/>
    <w:rsid w:val="00A91A02"/>
    <w:rsid w:val="00A91DD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62B"/>
    <w:rsid w:val="00AA0952"/>
    <w:rsid w:val="00AA0967"/>
    <w:rsid w:val="00AA1104"/>
    <w:rsid w:val="00AA1125"/>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18A"/>
    <w:rsid w:val="00AC0418"/>
    <w:rsid w:val="00AC042B"/>
    <w:rsid w:val="00AC0437"/>
    <w:rsid w:val="00AC111B"/>
    <w:rsid w:val="00AC1D20"/>
    <w:rsid w:val="00AC3478"/>
    <w:rsid w:val="00AC495D"/>
    <w:rsid w:val="00AC53C6"/>
    <w:rsid w:val="00AC5812"/>
    <w:rsid w:val="00AC5B29"/>
    <w:rsid w:val="00AC5BE0"/>
    <w:rsid w:val="00AC608A"/>
    <w:rsid w:val="00AC69E5"/>
    <w:rsid w:val="00AC732C"/>
    <w:rsid w:val="00AC762E"/>
    <w:rsid w:val="00AD1276"/>
    <w:rsid w:val="00AD1338"/>
    <w:rsid w:val="00AD19C6"/>
    <w:rsid w:val="00AD1EB9"/>
    <w:rsid w:val="00AD297C"/>
    <w:rsid w:val="00AD369C"/>
    <w:rsid w:val="00AD391A"/>
    <w:rsid w:val="00AD3C15"/>
    <w:rsid w:val="00AD459E"/>
    <w:rsid w:val="00AD5602"/>
    <w:rsid w:val="00AD5A15"/>
    <w:rsid w:val="00AD605D"/>
    <w:rsid w:val="00AE044A"/>
    <w:rsid w:val="00AE0606"/>
    <w:rsid w:val="00AE0BA3"/>
    <w:rsid w:val="00AE0C25"/>
    <w:rsid w:val="00AE104B"/>
    <w:rsid w:val="00AE1E1A"/>
    <w:rsid w:val="00AE37B3"/>
    <w:rsid w:val="00AE3979"/>
    <w:rsid w:val="00AE43EC"/>
    <w:rsid w:val="00AE5040"/>
    <w:rsid w:val="00AE5080"/>
    <w:rsid w:val="00AE54F7"/>
    <w:rsid w:val="00AE561E"/>
    <w:rsid w:val="00AE56D3"/>
    <w:rsid w:val="00AE7211"/>
    <w:rsid w:val="00AE783B"/>
    <w:rsid w:val="00AF0179"/>
    <w:rsid w:val="00AF136D"/>
    <w:rsid w:val="00AF357B"/>
    <w:rsid w:val="00AF377D"/>
    <w:rsid w:val="00AF3AE7"/>
    <w:rsid w:val="00AF4B29"/>
    <w:rsid w:val="00AF519C"/>
    <w:rsid w:val="00AF56B9"/>
    <w:rsid w:val="00AF57B4"/>
    <w:rsid w:val="00AF5E41"/>
    <w:rsid w:val="00AF6250"/>
    <w:rsid w:val="00AF627D"/>
    <w:rsid w:val="00AF66F6"/>
    <w:rsid w:val="00AF67D5"/>
    <w:rsid w:val="00AF6C47"/>
    <w:rsid w:val="00AF6F72"/>
    <w:rsid w:val="00AF7A69"/>
    <w:rsid w:val="00B0080B"/>
    <w:rsid w:val="00B00FBE"/>
    <w:rsid w:val="00B014E5"/>
    <w:rsid w:val="00B02AF0"/>
    <w:rsid w:val="00B02EA3"/>
    <w:rsid w:val="00B037A9"/>
    <w:rsid w:val="00B03E14"/>
    <w:rsid w:val="00B04113"/>
    <w:rsid w:val="00B04A7E"/>
    <w:rsid w:val="00B05033"/>
    <w:rsid w:val="00B05350"/>
    <w:rsid w:val="00B06229"/>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3ACB"/>
    <w:rsid w:val="00B242D7"/>
    <w:rsid w:val="00B244AD"/>
    <w:rsid w:val="00B2480B"/>
    <w:rsid w:val="00B24D6B"/>
    <w:rsid w:val="00B25065"/>
    <w:rsid w:val="00B25B3F"/>
    <w:rsid w:val="00B25BD8"/>
    <w:rsid w:val="00B25FD9"/>
    <w:rsid w:val="00B27371"/>
    <w:rsid w:val="00B27777"/>
    <w:rsid w:val="00B27899"/>
    <w:rsid w:val="00B27A4E"/>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7F"/>
    <w:rsid w:val="00B443FC"/>
    <w:rsid w:val="00B44E92"/>
    <w:rsid w:val="00B45C78"/>
    <w:rsid w:val="00B45D19"/>
    <w:rsid w:val="00B45E77"/>
    <w:rsid w:val="00B467A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1555"/>
    <w:rsid w:val="00B62BB4"/>
    <w:rsid w:val="00B62DC5"/>
    <w:rsid w:val="00B630E1"/>
    <w:rsid w:val="00B6385C"/>
    <w:rsid w:val="00B63E34"/>
    <w:rsid w:val="00B64613"/>
    <w:rsid w:val="00B647AD"/>
    <w:rsid w:val="00B64A40"/>
    <w:rsid w:val="00B65345"/>
    <w:rsid w:val="00B65941"/>
    <w:rsid w:val="00B65CF6"/>
    <w:rsid w:val="00B674BB"/>
    <w:rsid w:val="00B67D9A"/>
    <w:rsid w:val="00B67E08"/>
    <w:rsid w:val="00B71495"/>
    <w:rsid w:val="00B714C0"/>
    <w:rsid w:val="00B724FB"/>
    <w:rsid w:val="00B74253"/>
    <w:rsid w:val="00B746FC"/>
    <w:rsid w:val="00B7659F"/>
    <w:rsid w:val="00B768DA"/>
    <w:rsid w:val="00B7794D"/>
    <w:rsid w:val="00B77A95"/>
    <w:rsid w:val="00B80B60"/>
    <w:rsid w:val="00B8297B"/>
    <w:rsid w:val="00B82D49"/>
    <w:rsid w:val="00B847D5"/>
    <w:rsid w:val="00B8504C"/>
    <w:rsid w:val="00B85F23"/>
    <w:rsid w:val="00B8699A"/>
    <w:rsid w:val="00B87C19"/>
    <w:rsid w:val="00B90A42"/>
    <w:rsid w:val="00B917CD"/>
    <w:rsid w:val="00B919F7"/>
    <w:rsid w:val="00B925C7"/>
    <w:rsid w:val="00B946D3"/>
    <w:rsid w:val="00B95BFC"/>
    <w:rsid w:val="00B95E7A"/>
    <w:rsid w:val="00B95EF9"/>
    <w:rsid w:val="00B9612B"/>
    <w:rsid w:val="00B96BAD"/>
    <w:rsid w:val="00B96D2D"/>
    <w:rsid w:val="00B97951"/>
    <w:rsid w:val="00B97B27"/>
    <w:rsid w:val="00BA01A5"/>
    <w:rsid w:val="00BA090D"/>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944"/>
    <w:rsid w:val="00BB2F58"/>
    <w:rsid w:val="00BB342B"/>
    <w:rsid w:val="00BB347C"/>
    <w:rsid w:val="00BB3FEF"/>
    <w:rsid w:val="00BB428B"/>
    <w:rsid w:val="00BB47BD"/>
    <w:rsid w:val="00BB5790"/>
    <w:rsid w:val="00BB5C5B"/>
    <w:rsid w:val="00BB64F6"/>
    <w:rsid w:val="00BC0525"/>
    <w:rsid w:val="00BC090A"/>
    <w:rsid w:val="00BC1B02"/>
    <w:rsid w:val="00BC2604"/>
    <w:rsid w:val="00BC292E"/>
    <w:rsid w:val="00BC29DA"/>
    <w:rsid w:val="00BC2DEC"/>
    <w:rsid w:val="00BC37D2"/>
    <w:rsid w:val="00BC384B"/>
    <w:rsid w:val="00BC38DB"/>
    <w:rsid w:val="00BC4984"/>
    <w:rsid w:val="00BC52F0"/>
    <w:rsid w:val="00BC5472"/>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5C"/>
    <w:rsid w:val="00BE3DA9"/>
    <w:rsid w:val="00BE479D"/>
    <w:rsid w:val="00BE52A7"/>
    <w:rsid w:val="00BE6013"/>
    <w:rsid w:val="00BE66B6"/>
    <w:rsid w:val="00BE772F"/>
    <w:rsid w:val="00BF02BC"/>
    <w:rsid w:val="00BF037A"/>
    <w:rsid w:val="00BF057E"/>
    <w:rsid w:val="00BF14B1"/>
    <w:rsid w:val="00BF1A49"/>
    <w:rsid w:val="00BF1EB2"/>
    <w:rsid w:val="00BF2122"/>
    <w:rsid w:val="00BF284C"/>
    <w:rsid w:val="00BF466D"/>
    <w:rsid w:val="00BF47C3"/>
    <w:rsid w:val="00BF4F68"/>
    <w:rsid w:val="00BF4FFE"/>
    <w:rsid w:val="00BF5003"/>
    <w:rsid w:val="00BF5479"/>
    <w:rsid w:val="00BF5BE3"/>
    <w:rsid w:val="00BF5C6E"/>
    <w:rsid w:val="00BF64FD"/>
    <w:rsid w:val="00BF71EB"/>
    <w:rsid w:val="00BF7377"/>
    <w:rsid w:val="00BF7976"/>
    <w:rsid w:val="00C003D7"/>
    <w:rsid w:val="00C011F4"/>
    <w:rsid w:val="00C016C6"/>
    <w:rsid w:val="00C01739"/>
    <w:rsid w:val="00C02A75"/>
    <w:rsid w:val="00C02F49"/>
    <w:rsid w:val="00C03116"/>
    <w:rsid w:val="00C03E6F"/>
    <w:rsid w:val="00C040F4"/>
    <w:rsid w:val="00C05188"/>
    <w:rsid w:val="00C05872"/>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7C"/>
    <w:rsid w:val="00C22640"/>
    <w:rsid w:val="00C24494"/>
    <w:rsid w:val="00C25C54"/>
    <w:rsid w:val="00C25D44"/>
    <w:rsid w:val="00C2751D"/>
    <w:rsid w:val="00C305BC"/>
    <w:rsid w:val="00C30747"/>
    <w:rsid w:val="00C3183C"/>
    <w:rsid w:val="00C3211A"/>
    <w:rsid w:val="00C3257C"/>
    <w:rsid w:val="00C3330A"/>
    <w:rsid w:val="00C3540A"/>
    <w:rsid w:val="00C35909"/>
    <w:rsid w:val="00C36B75"/>
    <w:rsid w:val="00C40622"/>
    <w:rsid w:val="00C41316"/>
    <w:rsid w:val="00C41680"/>
    <w:rsid w:val="00C41747"/>
    <w:rsid w:val="00C41EA7"/>
    <w:rsid w:val="00C41FD0"/>
    <w:rsid w:val="00C42492"/>
    <w:rsid w:val="00C42622"/>
    <w:rsid w:val="00C43626"/>
    <w:rsid w:val="00C44FFB"/>
    <w:rsid w:val="00C451BF"/>
    <w:rsid w:val="00C460EF"/>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1B2"/>
    <w:rsid w:val="00C7337C"/>
    <w:rsid w:val="00C74D24"/>
    <w:rsid w:val="00C75331"/>
    <w:rsid w:val="00C75A45"/>
    <w:rsid w:val="00C75FAE"/>
    <w:rsid w:val="00C76B39"/>
    <w:rsid w:val="00C8050C"/>
    <w:rsid w:val="00C8060A"/>
    <w:rsid w:val="00C82798"/>
    <w:rsid w:val="00C8470C"/>
    <w:rsid w:val="00C85283"/>
    <w:rsid w:val="00C85AF4"/>
    <w:rsid w:val="00C86272"/>
    <w:rsid w:val="00C871B1"/>
    <w:rsid w:val="00C87DA8"/>
    <w:rsid w:val="00C90ACA"/>
    <w:rsid w:val="00C910A7"/>
    <w:rsid w:val="00C910E7"/>
    <w:rsid w:val="00C912FB"/>
    <w:rsid w:val="00C92659"/>
    <w:rsid w:val="00C93077"/>
    <w:rsid w:val="00C93287"/>
    <w:rsid w:val="00C940D0"/>
    <w:rsid w:val="00C940DD"/>
    <w:rsid w:val="00C942FC"/>
    <w:rsid w:val="00C94778"/>
    <w:rsid w:val="00C94C01"/>
    <w:rsid w:val="00C950FB"/>
    <w:rsid w:val="00C95C21"/>
    <w:rsid w:val="00C96763"/>
    <w:rsid w:val="00C9772E"/>
    <w:rsid w:val="00C979F7"/>
    <w:rsid w:val="00CA0939"/>
    <w:rsid w:val="00CA0A0F"/>
    <w:rsid w:val="00CA1091"/>
    <w:rsid w:val="00CA12D5"/>
    <w:rsid w:val="00CA18F4"/>
    <w:rsid w:val="00CA2657"/>
    <w:rsid w:val="00CA26BD"/>
    <w:rsid w:val="00CA4039"/>
    <w:rsid w:val="00CA41BF"/>
    <w:rsid w:val="00CA4277"/>
    <w:rsid w:val="00CA4A01"/>
    <w:rsid w:val="00CA545C"/>
    <w:rsid w:val="00CA548D"/>
    <w:rsid w:val="00CA669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C0AE5"/>
    <w:rsid w:val="00CC0C3A"/>
    <w:rsid w:val="00CC2385"/>
    <w:rsid w:val="00CC2D51"/>
    <w:rsid w:val="00CC350D"/>
    <w:rsid w:val="00CC3776"/>
    <w:rsid w:val="00CC39CD"/>
    <w:rsid w:val="00CC5459"/>
    <w:rsid w:val="00CC6D17"/>
    <w:rsid w:val="00CC6E0E"/>
    <w:rsid w:val="00CD022F"/>
    <w:rsid w:val="00CD046B"/>
    <w:rsid w:val="00CD2ECF"/>
    <w:rsid w:val="00CD36A3"/>
    <w:rsid w:val="00CD37FA"/>
    <w:rsid w:val="00CD485C"/>
    <w:rsid w:val="00CD49D8"/>
    <w:rsid w:val="00CD4B74"/>
    <w:rsid w:val="00CD51ED"/>
    <w:rsid w:val="00CD55DF"/>
    <w:rsid w:val="00CD6357"/>
    <w:rsid w:val="00CD6596"/>
    <w:rsid w:val="00CD6614"/>
    <w:rsid w:val="00CD6708"/>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7589"/>
    <w:rsid w:val="00CE75DC"/>
    <w:rsid w:val="00CF0D10"/>
    <w:rsid w:val="00CF0FC6"/>
    <w:rsid w:val="00CF1A4D"/>
    <w:rsid w:val="00CF21C0"/>
    <w:rsid w:val="00CF2360"/>
    <w:rsid w:val="00CF3667"/>
    <w:rsid w:val="00CF4A76"/>
    <w:rsid w:val="00CF4F17"/>
    <w:rsid w:val="00CF51EC"/>
    <w:rsid w:val="00CF5751"/>
    <w:rsid w:val="00CF6E17"/>
    <w:rsid w:val="00CF7C0B"/>
    <w:rsid w:val="00D00165"/>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F75"/>
    <w:rsid w:val="00D1303B"/>
    <w:rsid w:val="00D14B78"/>
    <w:rsid w:val="00D16ECF"/>
    <w:rsid w:val="00D17940"/>
    <w:rsid w:val="00D17D2A"/>
    <w:rsid w:val="00D21457"/>
    <w:rsid w:val="00D21B9F"/>
    <w:rsid w:val="00D2203B"/>
    <w:rsid w:val="00D2328F"/>
    <w:rsid w:val="00D25471"/>
    <w:rsid w:val="00D27175"/>
    <w:rsid w:val="00D30E04"/>
    <w:rsid w:val="00D31BF3"/>
    <w:rsid w:val="00D31CFB"/>
    <w:rsid w:val="00D3233C"/>
    <w:rsid w:val="00D3273B"/>
    <w:rsid w:val="00D32B8F"/>
    <w:rsid w:val="00D33862"/>
    <w:rsid w:val="00D33B86"/>
    <w:rsid w:val="00D33EC8"/>
    <w:rsid w:val="00D344BF"/>
    <w:rsid w:val="00D375D6"/>
    <w:rsid w:val="00D40544"/>
    <w:rsid w:val="00D40CDA"/>
    <w:rsid w:val="00D42EA0"/>
    <w:rsid w:val="00D43834"/>
    <w:rsid w:val="00D4466C"/>
    <w:rsid w:val="00D44FB5"/>
    <w:rsid w:val="00D4569D"/>
    <w:rsid w:val="00D45874"/>
    <w:rsid w:val="00D46010"/>
    <w:rsid w:val="00D46170"/>
    <w:rsid w:val="00D4692B"/>
    <w:rsid w:val="00D47570"/>
    <w:rsid w:val="00D50168"/>
    <w:rsid w:val="00D52E87"/>
    <w:rsid w:val="00D5316A"/>
    <w:rsid w:val="00D53343"/>
    <w:rsid w:val="00D56924"/>
    <w:rsid w:val="00D56A81"/>
    <w:rsid w:val="00D577CA"/>
    <w:rsid w:val="00D608A4"/>
    <w:rsid w:val="00D609A3"/>
    <w:rsid w:val="00D61AB6"/>
    <w:rsid w:val="00D61D94"/>
    <w:rsid w:val="00D62398"/>
    <w:rsid w:val="00D6243D"/>
    <w:rsid w:val="00D632FB"/>
    <w:rsid w:val="00D6385A"/>
    <w:rsid w:val="00D649F2"/>
    <w:rsid w:val="00D64D49"/>
    <w:rsid w:val="00D64D56"/>
    <w:rsid w:val="00D65020"/>
    <w:rsid w:val="00D66649"/>
    <w:rsid w:val="00D67076"/>
    <w:rsid w:val="00D6788A"/>
    <w:rsid w:val="00D703D1"/>
    <w:rsid w:val="00D70922"/>
    <w:rsid w:val="00D7168F"/>
    <w:rsid w:val="00D71E33"/>
    <w:rsid w:val="00D73D31"/>
    <w:rsid w:val="00D740B0"/>
    <w:rsid w:val="00D74384"/>
    <w:rsid w:val="00D74B07"/>
    <w:rsid w:val="00D75AAA"/>
    <w:rsid w:val="00D75ABE"/>
    <w:rsid w:val="00D765D3"/>
    <w:rsid w:val="00D76A3E"/>
    <w:rsid w:val="00D77708"/>
    <w:rsid w:val="00D81754"/>
    <w:rsid w:val="00D8280D"/>
    <w:rsid w:val="00D828B2"/>
    <w:rsid w:val="00D84646"/>
    <w:rsid w:val="00D90636"/>
    <w:rsid w:val="00D9161F"/>
    <w:rsid w:val="00D91987"/>
    <w:rsid w:val="00D92636"/>
    <w:rsid w:val="00D929A4"/>
    <w:rsid w:val="00D93592"/>
    <w:rsid w:val="00D93CD0"/>
    <w:rsid w:val="00D94540"/>
    <w:rsid w:val="00D9467A"/>
    <w:rsid w:val="00D9497A"/>
    <w:rsid w:val="00D951A5"/>
    <w:rsid w:val="00D957F1"/>
    <w:rsid w:val="00D95844"/>
    <w:rsid w:val="00D95E25"/>
    <w:rsid w:val="00D966FA"/>
    <w:rsid w:val="00D96759"/>
    <w:rsid w:val="00D968A6"/>
    <w:rsid w:val="00D97076"/>
    <w:rsid w:val="00D97346"/>
    <w:rsid w:val="00D97A74"/>
    <w:rsid w:val="00DA12AB"/>
    <w:rsid w:val="00DA1F9C"/>
    <w:rsid w:val="00DA2025"/>
    <w:rsid w:val="00DA315D"/>
    <w:rsid w:val="00DA329E"/>
    <w:rsid w:val="00DA3C78"/>
    <w:rsid w:val="00DA456C"/>
    <w:rsid w:val="00DA53DC"/>
    <w:rsid w:val="00DA565A"/>
    <w:rsid w:val="00DA5AF2"/>
    <w:rsid w:val="00DA6779"/>
    <w:rsid w:val="00DA6B49"/>
    <w:rsid w:val="00DA7C7A"/>
    <w:rsid w:val="00DB08CE"/>
    <w:rsid w:val="00DB0F01"/>
    <w:rsid w:val="00DB12C4"/>
    <w:rsid w:val="00DB1562"/>
    <w:rsid w:val="00DB1D18"/>
    <w:rsid w:val="00DB2442"/>
    <w:rsid w:val="00DB2A95"/>
    <w:rsid w:val="00DB2CF4"/>
    <w:rsid w:val="00DB2FE1"/>
    <w:rsid w:val="00DB31B5"/>
    <w:rsid w:val="00DB3364"/>
    <w:rsid w:val="00DB47DA"/>
    <w:rsid w:val="00DB4FFB"/>
    <w:rsid w:val="00DB58A6"/>
    <w:rsid w:val="00DB763B"/>
    <w:rsid w:val="00DC0138"/>
    <w:rsid w:val="00DC0AFB"/>
    <w:rsid w:val="00DC0B0C"/>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E036B"/>
    <w:rsid w:val="00DE0EA8"/>
    <w:rsid w:val="00DE20F7"/>
    <w:rsid w:val="00DE27A9"/>
    <w:rsid w:val="00DE2B51"/>
    <w:rsid w:val="00DE2F80"/>
    <w:rsid w:val="00DE31AF"/>
    <w:rsid w:val="00DE3AEF"/>
    <w:rsid w:val="00DE4078"/>
    <w:rsid w:val="00DE4562"/>
    <w:rsid w:val="00DE50F4"/>
    <w:rsid w:val="00DE661A"/>
    <w:rsid w:val="00DF087C"/>
    <w:rsid w:val="00DF103C"/>
    <w:rsid w:val="00DF188F"/>
    <w:rsid w:val="00DF1DC0"/>
    <w:rsid w:val="00DF1EAA"/>
    <w:rsid w:val="00DF205A"/>
    <w:rsid w:val="00DF2937"/>
    <w:rsid w:val="00DF3B27"/>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FC2"/>
    <w:rsid w:val="00E078F1"/>
    <w:rsid w:val="00E07A47"/>
    <w:rsid w:val="00E100EC"/>
    <w:rsid w:val="00E10973"/>
    <w:rsid w:val="00E13342"/>
    <w:rsid w:val="00E14B2F"/>
    <w:rsid w:val="00E15B41"/>
    <w:rsid w:val="00E1617D"/>
    <w:rsid w:val="00E17052"/>
    <w:rsid w:val="00E172A6"/>
    <w:rsid w:val="00E17949"/>
    <w:rsid w:val="00E17A3E"/>
    <w:rsid w:val="00E17E36"/>
    <w:rsid w:val="00E207AA"/>
    <w:rsid w:val="00E20888"/>
    <w:rsid w:val="00E21649"/>
    <w:rsid w:val="00E21B2E"/>
    <w:rsid w:val="00E21C5F"/>
    <w:rsid w:val="00E22BCD"/>
    <w:rsid w:val="00E23E24"/>
    <w:rsid w:val="00E262F3"/>
    <w:rsid w:val="00E27351"/>
    <w:rsid w:val="00E2773D"/>
    <w:rsid w:val="00E317A8"/>
    <w:rsid w:val="00E31F2F"/>
    <w:rsid w:val="00E325C6"/>
    <w:rsid w:val="00E33002"/>
    <w:rsid w:val="00E3330D"/>
    <w:rsid w:val="00E33D39"/>
    <w:rsid w:val="00E3432D"/>
    <w:rsid w:val="00E34D08"/>
    <w:rsid w:val="00E34DA6"/>
    <w:rsid w:val="00E354A4"/>
    <w:rsid w:val="00E36704"/>
    <w:rsid w:val="00E36AE4"/>
    <w:rsid w:val="00E36D55"/>
    <w:rsid w:val="00E36E28"/>
    <w:rsid w:val="00E37D89"/>
    <w:rsid w:val="00E40C94"/>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6026A"/>
    <w:rsid w:val="00E603B8"/>
    <w:rsid w:val="00E60A61"/>
    <w:rsid w:val="00E60BF4"/>
    <w:rsid w:val="00E61D8D"/>
    <w:rsid w:val="00E621AF"/>
    <w:rsid w:val="00E62212"/>
    <w:rsid w:val="00E62521"/>
    <w:rsid w:val="00E62957"/>
    <w:rsid w:val="00E63270"/>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E8F"/>
    <w:rsid w:val="00E87553"/>
    <w:rsid w:val="00E87DF7"/>
    <w:rsid w:val="00E90441"/>
    <w:rsid w:val="00E909DB"/>
    <w:rsid w:val="00E9238A"/>
    <w:rsid w:val="00E9290C"/>
    <w:rsid w:val="00E92EBE"/>
    <w:rsid w:val="00E93A1E"/>
    <w:rsid w:val="00E94088"/>
    <w:rsid w:val="00E941F4"/>
    <w:rsid w:val="00E94BFE"/>
    <w:rsid w:val="00E9507F"/>
    <w:rsid w:val="00E95492"/>
    <w:rsid w:val="00E9630B"/>
    <w:rsid w:val="00E9657D"/>
    <w:rsid w:val="00E96662"/>
    <w:rsid w:val="00E96672"/>
    <w:rsid w:val="00E96A73"/>
    <w:rsid w:val="00E96CC8"/>
    <w:rsid w:val="00E97256"/>
    <w:rsid w:val="00E979B3"/>
    <w:rsid w:val="00E97E73"/>
    <w:rsid w:val="00EA0847"/>
    <w:rsid w:val="00EA085C"/>
    <w:rsid w:val="00EA11C9"/>
    <w:rsid w:val="00EA1852"/>
    <w:rsid w:val="00EA2C8B"/>
    <w:rsid w:val="00EA32E9"/>
    <w:rsid w:val="00EA37BA"/>
    <w:rsid w:val="00EA45E4"/>
    <w:rsid w:val="00EA475F"/>
    <w:rsid w:val="00EA51A2"/>
    <w:rsid w:val="00EA650D"/>
    <w:rsid w:val="00EA65EF"/>
    <w:rsid w:val="00EA6B2F"/>
    <w:rsid w:val="00EA6B72"/>
    <w:rsid w:val="00EA74C9"/>
    <w:rsid w:val="00EA762C"/>
    <w:rsid w:val="00EA7EF4"/>
    <w:rsid w:val="00EB0447"/>
    <w:rsid w:val="00EB0BA3"/>
    <w:rsid w:val="00EB25F5"/>
    <w:rsid w:val="00EB2CAA"/>
    <w:rsid w:val="00EB2DA1"/>
    <w:rsid w:val="00EB4529"/>
    <w:rsid w:val="00EB4A68"/>
    <w:rsid w:val="00EB51A8"/>
    <w:rsid w:val="00EB572A"/>
    <w:rsid w:val="00EB7490"/>
    <w:rsid w:val="00EB7BBA"/>
    <w:rsid w:val="00EC03CF"/>
    <w:rsid w:val="00EC04FC"/>
    <w:rsid w:val="00EC0579"/>
    <w:rsid w:val="00EC0EFC"/>
    <w:rsid w:val="00EC1460"/>
    <w:rsid w:val="00EC1625"/>
    <w:rsid w:val="00EC1FFE"/>
    <w:rsid w:val="00EC2329"/>
    <w:rsid w:val="00EC2DE2"/>
    <w:rsid w:val="00EC3287"/>
    <w:rsid w:val="00EC3815"/>
    <w:rsid w:val="00EC3B52"/>
    <w:rsid w:val="00EC3E35"/>
    <w:rsid w:val="00EC46E7"/>
    <w:rsid w:val="00EC49A3"/>
    <w:rsid w:val="00EC56E3"/>
    <w:rsid w:val="00EC57ED"/>
    <w:rsid w:val="00EC63CE"/>
    <w:rsid w:val="00ED00B5"/>
    <w:rsid w:val="00ED0835"/>
    <w:rsid w:val="00ED0B00"/>
    <w:rsid w:val="00ED15A0"/>
    <w:rsid w:val="00ED21BF"/>
    <w:rsid w:val="00ED2448"/>
    <w:rsid w:val="00ED3538"/>
    <w:rsid w:val="00ED3B89"/>
    <w:rsid w:val="00ED3C5B"/>
    <w:rsid w:val="00ED4624"/>
    <w:rsid w:val="00ED50A9"/>
    <w:rsid w:val="00ED54FD"/>
    <w:rsid w:val="00ED6709"/>
    <w:rsid w:val="00ED696A"/>
    <w:rsid w:val="00ED6B0C"/>
    <w:rsid w:val="00EE00FE"/>
    <w:rsid w:val="00EE1578"/>
    <w:rsid w:val="00EE28B6"/>
    <w:rsid w:val="00EE2E45"/>
    <w:rsid w:val="00EE3006"/>
    <w:rsid w:val="00EE332B"/>
    <w:rsid w:val="00EE348A"/>
    <w:rsid w:val="00EE356B"/>
    <w:rsid w:val="00EE38B2"/>
    <w:rsid w:val="00EE43F3"/>
    <w:rsid w:val="00EE45FA"/>
    <w:rsid w:val="00EE4767"/>
    <w:rsid w:val="00EE4E54"/>
    <w:rsid w:val="00EE4F3F"/>
    <w:rsid w:val="00EE5795"/>
    <w:rsid w:val="00EE5933"/>
    <w:rsid w:val="00EE599D"/>
    <w:rsid w:val="00EE69D9"/>
    <w:rsid w:val="00EE6A8E"/>
    <w:rsid w:val="00EE76B0"/>
    <w:rsid w:val="00EF07D4"/>
    <w:rsid w:val="00EF0D0C"/>
    <w:rsid w:val="00EF126B"/>
    <w:rsid w:val="00EF1325"/>
    <w:rsid w:val="00EF137F"/>
    <w:rsid w:val="00EF25C2"/>
    <w:rsid w:val="00EF2674"/>
    <w:rsid w:val="00EF2FDB"/>
    <w:rsid w:val="00EF3393"/>
    <w:rsid w:val="00EF37A8"/>
    <w:rsid w:val="00EF3828"/>
    <w:rsid w:val="00EF3998"/>
    <w:rsid w:val="00EF3FB1"/>
    <w:rsid w:val="00EF439A"/>
    <w:rsid w:val="00EF4DC3"/>
    <w:rsid w:val="00EF5017"/>
    <w:rsid w:val="00EF5CF7"/>
    <w:rsid w:val="00EF7BB2"/>
    <w:rsid w:val="00EF7F68"/>
    <w:rsid w:val="00F005AD"/>
    <w:rsid w:val="00F00897"/>
    <w:rsid w:val="00F00EA1"/>
    <w:rsid w:val="00F01332"/>
    <w:rsid w:val="00F0232C"/>
    <w:rsid w:val="00F027EE"/>
    <w:rsid w:val="00F028C1"/>
    <w:rsid w:val="00F029CE"/>
    <w:rsid w:val="00F02B36"/>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9C5"/>
    <w:rsid w:val="00F15BF7"/>
    <w:rsid w:val="00F15E52"/>
    <w:rsid w:val="00F160A1"/>
    <w:rsid w:val="00F16452"/>
    <w:rsid w:val="00F16AE2"/>
    <w:rsid w:val="00F20379"/>
    <w:rsid w:val="00F20CE7"/>
    <w:rsid w:val="00F20FBD"/>
    <w:rsid w:val="00F21A15"/>
    <w:rsid w:val="00F21E5E"/>
    <w:rsid w:val="00F228B5"/>
    <w:rsid w:val="00F229C4"/>
    <w:rsid w:val="00F230A5"/>
    <w:rsid w:val="00F24B3E"/>
    <w:rsid w:val="00F25A7D"/>
    <w:rsid w:val="00F266BA"/>
    <w:rsid w:val="00F26975"/>
    <w:rsid w:val="00F26E9D"/>
    <w:rsid w:val="00F27730"/>
    <w:rsid w:val="00F304CE"/>
    <w:rsid w:val="00F315A1"/>
    <w:rsid w:val="00F32B36"/>
    <w:rsid w:val="00F33D71"/>
    <w:rsid w:val="00F34187"/>
    <w:rsid w:val="00F351E3"/>
    <w:rsid w:val="00F366E3"/>
    <w:rsid w:val="00F367A1"/>
    <w:rsid w:val="00F36D0E"/>
    <w:rsid w:val="00F37BAC"/>
    <w:rsid w:val="00F37C8B"/>
    <w:rsid w:val="00F37ED3"/>
    <w:rsid w:val="00F4031B"/>
    <w:rsid w:val="00F40731"/>
    <w:rsid w:val="00F40FC6"/>
    <w:rsid w:val="00F42E9C"/>
    <w:rsid w:val="00F44FFF"/>
    <w:rsid w:val="00F4515A"/>
    <w:rsid w:val="00F4520B"/>
    <w:rsid w:val="00F4520E"/>
    <w:rsid w:val="00F453EB"/>
    <w:rsid w:val="00F45C8B"/>
    <w:rsid w:val="00F45E7A"/>
    <w:rsid w:val="00F467FE"/>
    <w:rsid w:val="00F471CB"/>
    <w:rsid w:val="00F47278"/>
    <w:rsid w:val="00F47703"/>
    <w:rsid w:val="00F4782C"/>
    <w:rsid w:val="00F500C2"/>
    <w:rsid w:val="00F5011E"/>
    <w:rsid w:val="00F5024D"/>
    <w:rsid w:val="00F51277"/>
    <w:rsid w:val="00F51ABD"/>
    <w:rsid w:val="00F524F5"/>
    <w:rsid w:val="00F52DB8"/>
    <w:rsid w:val="00F536D4"/>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3D"/>
    <w:rsid w:val="00F64E48"/>
    <w:rsid w:val="00F65871"/>
    <w:rsid w:val="00F65DBB"/>
    <w:rsid w:val="00F65E76"/>
    <w:rsid w:val="00F663BA"/>
    <w:rsid w:val="00F66739"/>
    <w:rsid w:val="00F66763"/>
    <w:rsid w:val="00F66818"/>
    <w:rsid w:val="00F66AD7"/>
    <w:rsid w:val="00F67125"/>
    <w:rsid w:val="00F700C2"/>
    <w:rsid w:val="00F704C4"/>
    <w:rsid w:val="00F704ED"/>
    <w:rsid w:val="00F7081E"/>
    <w:rsid w:val="00F70B70"/>
    <w:rsid w:val="00F70DF6"/>
    <w:rsid w:val="00F70FBC"/>
    <w:rsid w:val="00F71496"/>
    <w:rsid w:val="00F718EF"/>
    <w:rsid w:val="00F72380"/>
    <w:rsid w:val="00F725AB"/>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52E1"/>
    <w:rsid w:val="00F8545F"/>
    <w:rsid w:val="00F8583F"/>
    <w:rsid w:val="00F86BA8"/>
    <w:rsid w:val="00F8728E"/>
    <w:rsid w:val="00F873C3"/>
    <w:rsid w:val="00F87885"/>
    <w:rsid w:val="00F879ED"/>
    <w:rsid w:val="00F901DE"/>
    <w:rsid w:val="00F90331"/>
    <w:rsid w:val="00F906D4"/>
    <w:rsid w:val="00F9080E"/>
    <w:rsid w:val="00F90CA6"/>
    <w:rsid w:val="00F90CCE"/>
    <w:rsid w:val="00F92386"/>
    <w:rsid w:val="00F92A2F"/>
    <w:rsid w:val="00F92CBF"/>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F3D"/>
    <w:rsid w:val="00FA6F70"/>
    <w:rsid w:val="00FA776E"/>
    <w:rsid w:val="00FA7FCB"/>
    <w:rsid w:val="00FB0337"/>
    <w:rsid w:val="00FB0F3F"/>
    <w:rsid w:val="00FB12F3"/>
    <w:rsid w:val="00FB18CE"/>
    <w:rsid w:val="00FB1B61"/>
    <w:rsid w:val="00FB1BC4"/>
    <w:rsid w:val="00FB28D2"/>
    <w:rsid w:val="00FB2E9E"/>
    <w:rsid w:val="00FB3C7B"/>
    <w:rsid w:val="00FB4324"/>
    <w:rsid w:val="00FB4BEF"/>
    <w:rsid w:val="00FB553A"/>
    <w:rsid w:val="00FB597F"/>
    <w:rsid w:val="00FB5FA3"/>
    <w:rsid w:val="00FB6E4C"/>
    <w:rsid w:val="00FB74C8"/>
    <w:rsid w:val="00FB7CB2"/>
    <w:rsid w:val="00FB7E69"/>
    <w:rsid w:val="00FC03D4"/>
    <w:rsid w:val="00FC0697"/>
    <w:rsid w:val="00FC0758"/>
    <w:rsid w:val="00FC0EFE"/>
    <w:rsid w:val="00FC16A5"/>
    <w:rsid w:val="00FC1F88"/>
    <w:rsid w:val="00FC22C3"/>
    <w:rsid w:val="00FC305D"/>
    <w:rsid w:val="00FC343B"/>
    <w:rsid w:val="00FC4C6B"/>
    <w:rsid w:val="00FC4D6E"/>
    <w:rsid w:val="00FC72A6"/>
    <w:rsid w:val="00FC7807"/>
    <w:rsid w:val="00FD0788"/>
    <w:rsid w:val="00FD110F"/>
    <w:rsid w:val="00FD1138"/>
    <w:rsid w:val="00FD19D5"/>
    <w:rsid w:val="00FD1FAF"/>
    <w:rsid w:val="00FD26C0"/>
    <w:rsid w:val="00FD2956"/>
    <w:rsid w:val="00FD29FC"/>
    <w:rsid w:val="00FD3359"/>
    <w:rsid w:val="00FD4671"/>
    <w:rsid w:val="00FD4B6D"/>
    <w:rsid w:val="00FD5383"/>
    <w:rsid w:val="00FD53A2"/>
    <w:rsid w:val="00FD559E"/>
    <w:rsid w:val="00FD5775"/>
    <w:rsid w:val="00FD6002"/>
    <w:rsid w:val="00FD7527"/>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82F7D02"/>
  <w15:docId w15:val="{01B812FB-9672-4808-98AA-87CD64AB3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B724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A91A02"/>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A91A02"/>
    <w:pPr>
      <w:numPr>
        <w:numId w:val="1"/>
      </w:numPr>
    </w:pPr>
  </w:style>
  <w:style w:type="table" w:customStyle="1" w:styleId="TableGrid1">
    <w:name w:val="Table Grid1"/>
    <w:basedOn w:val="TableNormal"/>
    <w:next w:val="TableGrid"/>
    <w:uiPriority w:val="59"/>
    <w:rsid w:val="004B65E7"/>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B724FB"/>
    <w:rPr>
      <w:rFonts w:asciiTheme="majorHAnsi" w:eastAsiaTheme="majorEastAsia" w:hAnsiTheme="majorHAnsi" w:cstheme="majorBidi"/>
      <w:color w:val="2E74B5" w:themeColor="accent1" w:themeShade="BF"/>
    </w:r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24378B"/>
  </w:style>
  <w:style w:type="paragraph" w:customStyle="1" w:styleId="oj-normal">
    <w:name w:val="oj-normal"/>
    <w:basedOn w:val="Normal"/>
    <w:rsid w:val="0011565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FD5383"/>
    <w:pPr>
      <w:numPr>
        <w:numId w:val="11"/>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FD5383"/>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FD5383"/>
    <w:pPr>
      <w:numPr>
        <w:numId w:val="13"/>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FD5383"/>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D95844"/>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57720B"/>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E96662"/>
  </w:style>
  <w:style w:type="paragraph" w:customStyle="1" w:styleId="Normal2">
    <w:name w:val="Normal2"/>
    <w:basedOn w:val="Normal"/>
    <w:rsid w:val="001216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121669"/>
  </w:style>
  <w:style w:type="character" w:customStyle="1" w:styleId="super">
    <w:name w:val="super"/>
    <w:basedOn w:val="DefaultParagraphFont"/>
    <w:rsid w:val="00121669"/>
  </w:style>
  <w:style w:type="character" w:customStyle="1" w:styleId="WW8Num9z0">
    <w:name w:val="WW8Num9z0"/>
    <w:rsid w:val="00E325C6"/>
    <w:rPr>
      <w:rFonts w:hint="default"/>
    </w:rPr>
  </w:style>
  <w:style w:type="numbering" w:styleId="111111">
    <w:name w:val="Outline List 2"/>
    <w:basedOn w:val="NoList"/>
    <w:uiPriority w:val="99"/>
    <w:semiHidden/>
    <w:unhideWhenUsed/>
    <w:rsid w:val="00E325C6"/>
    <w:pPr>
      <w:numPr>
        <w:numId w:val="18"/>
      </w:numPr>
    </w:pPr>
  </w:style>
  <w:style w:type="paragraph" w:customStyle="1" w:styleId="norm">
    <w:name w:val="norm"/>
    <w:basedOn w:val="Normal"/>
    <w:rsid w:val="00EE35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EE3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681">
      <w:bodyDiv w:val="1"/>
      <w:marLeft w:val="0"/>
      <w:marRight w:val="0"/>
      <w:marTop w:val="0"/>
      <w:marBottom w:val="0"/>
      <w:divBdr>
        <w:top w:val="none" w:sz="0" w:space="0" w:color="auto"/>
        <w:left w:val="none" w:sz="0" w:space="0" w:color="auto"/>
        <w:bottom w:val="none" w:sz="0" w:space="0" w:color="auto"/>
        <w:right w:val="none" w:sz="0" w:space="0" w:color="auto"/>
      </w:divBdr>
    </w:div>
    <w:div w:id="95903086">
      <w:bodyDiv w:val="1"/>
      <w:marLeft w:val="0"/>
      <w:marRight w:val="0"/>
      <w:marTop w:val="0"/>
      <w:marBottom w:val="0"/>
      <w:divBdr>
        <w:top w:val="none" w:sz="0" w:space="0" w:color="auto"/>
        <w:left w:val="none" w:sz="0" w:space="0" w:color="auto"/>
        <w:bottom w:val="none" w:sz="0" w:space="0" w:color="auto"/>
        <w:right w:val="none" w:sz="0" w:space="0" w:color="auto"/>
      </w:divBdr>
    </w:div>
    <w:div w:id="104233576">
      <w:bodyDiv w:val="1"/>
      <w:marLeft w:val="0"/>
      <w:marRight w:val="0"/>
      <w:marTop w:val="0"/>
      <w:marBottom w:val="0"/>
      <w:divBdr>
        <w:top w:val="none" w:sz="0" w:space="0" w:color="auto"/>
        <w:left w:val="none" w:sz="0" w:space="0" w:color="auto"/>
        <w:bottom w:val="none" w:sz="0" w:space="0" w:color="auto"/>
        <w:right w:val="none" w:sz="0" w:space="0" w:color="auto"/>
      </w:divBdr>
      <w:divsChild>
        <w:div w:id="224492503">
          <w:marLeft w:val="0"/>
          <w:marRight w:val="0"/>
          <w:marTop w:val="0"/>
          <w:marBottom w:val="0"/>
          <w:divBdr>
            <w:top w:val="none" w:sz="0" w:space="0" w:color="auto"/>
            <w:left w:val="none" w:sz="0" w:space="0" w:color="auto"/>
            <w:bottom w:val="none" w:sz="0" w:space="0" w:color="auto"/>
            <w:right w:val="none" w:sz="0" w:space="0" w:color="auto"/>
          </w:divBdr>
          <w:divsChild>
            <w:div w:id="1670323946">
              <w:marLeft w:val="0"/>
              <w:marRight w:val="0"/>
              <w:marTop w:val="0"/>
              <w:marBottom w:val="0"/>
              <w:divBdr>
                <w:top w:val="none" w:sz="0" w:space="0" w:color="auto"/>
                <w:left w:val="none" w:sz="0" w:space="0" w:color="auto"/>
                <w:bottom w:val="none" w:sz="0" w:space="0" w:color="auto"/>
                <w:right w:val="none" w:sz="0" w:space="0" w:color="auto"/>
              </w:divBdr>
              <w:divsChild>
                <w:div w:id="11490876">
                  <w:marLeft w:val="0"/>
                  <w:marRight w:val="0"/>
                  <w:marTop w:val="0"/>
                  <w:marBottom w:val="0"/>
                  <w:divBdr>
                    <w:top w:val="none" w:sz="0" w:space="0" w:color="auto"/>
                    <w:left w:val="none" w:sz="0" w:space="0" w:color="auto"/>
                    <w:bottom w:val="none" w:sz="0" w:space="0" w:color="auto"/>
                    <w:right w:val="none" w:sz="0" w:space="0" w:color="auto"/>
                  </w:divBdr>
                  <w:divsChild>
                    <w:div w:id="1310868831">
                      <w:marLeft w:val="0"/>
                      <w:marRight w:val="0"/>
                      <w:marTop w:val="120"/>
                      <w:marBottom w:val="0"/>
                      <w:divBdr>
                        <w:top w:val="none" w:sz="0" w:space="0" w:color="auto"/>
                        <w:left w:val="none" w:sz="0" w:space="0" w:color="auto"/>
                        <w:bottom w:val="none" w:sz="0" w:space="0" w:color="auto"/>
                        <w:right w:val="none" w:sz="0" w:space="0" w:color="auto"/>
                      </w:divBdr>
                    </w:div>
                    <w:div w:id="1447433778">
                      <w:marLeft w:val="0"/>
                      <w:marRight w:val="0"/>
                      <w:marTop w:val="0"/>
                      <w:marBottom w:val="0"/>
                      <w:divBdr>
                        <w:top w:val="none" w:sz="0" w:space="0" w:color="auto"/>
                        <w:left w:val="none" w:sz="0" w:space="0" w:color="auto"/>
                        <w:bottom w:val="none" w:sz="0" w:space="0" w:color="auto"/>
                        <w:right w:val="none" w:sz="0" w:space="0" w:color="auto"/>
                      </w:divBdr>
                      <w:divsChild>
                        <w:div w:id="146677545">
                          <w:marLeft w:val="0"/>
                          <w:marRight w:val="0"/>
                          <w:marTop w:val="0"/>
                          <w:marBottom w:val="0"/>
                          <w:divBdr>
                            <w:top w:val="none" w:sz="0" w:space="0" w:color="auto"/>
                            <w:left w:val="none" w:sz="0" w:space="0" w:color="auto"/>
                            <w:bottom w:val="none" w:sz="0" w:space="0" w:color="auto"/>
                            <w:right w:val="none" w:sz="0" w:space="0" w:color="auto"/>
                          </w:divBdr>
                          <w:divsChild>
                            <w:div w:id="191384718">
                              <w:marLeft w:val="0"/>
                              <w:marRight w:val="0"/>
                              <w:marTop w:val="0"/>
                              <w:marBottom w:val="0"/>
                              <w:divBdr>
                                <w:top w:val="none" w:sz="0" w:space="0" w:color="auto"/>
                                <w:left w:val="none" w:sz="0" w:space="0" w:color="auto"/>
                                <w:bottom w:val="none" w:sz="0" w:space="0" w:color="auto"/>
                                <w:right w:val="none" w:sz="0" w:space="0" w:color="auto"/>
                              </w:divBdr>
                              <w:divsChild>
                                <w:div w:id="1416853930">
                                  <w:marLeft w:val="0"/>
                                  <w:marRight w:val="0"/>
                                  <w:marTop w:val="120"/>
                                  <w:marBottom w:val="0"/>
                                  <w:divBdr>
                                    <w:top w:val="none" w:sz="0" w:space="0" w:color="auto"/>
                                    <w:left w:val="none" w:sz="0" w:space="0" w:color="auto"/>
                                    <w:bottom w:val="none" w:sz="0" w:space="0" w:color="auto"/>
                                    <w:right w:val="none" w:sz="0" w:space="0" w:color="auto"/>
                                  </w:divBdr>
                                </w:div>
                              </w:divsChild>
                            </w:div>
                            <w:div w:id="1955594772">
                              <w:marLeft w:val="0"/>
                              <w:marRight w:val="0"/>
                              <w:marTop w:val="120"/>
                              <w:marBottom w:val="0"/>
                              <w:divBdr>
                                <w:top w:val="none" w:sz="0" w:space="0" w:color="auto"/>
                                <w:left w:val="none" w:sz="0" w:space="0" w:color="auto"/>
                                <w:bottom w:val="none" w:sz="0" w:space="0" w:color="auto"/>
                                <w:right w:val="none" w:sz="0" w:space="0" w:color="auto"/>
                              </w:divBdr>
                            </w:div>
                          </w:divsChild>
                        </w:div>
                        <w:div w:id="1231236937">
                          <w:marLeft w:val="0"/>
                          <w:marRight w:val="0"/>
                          <w:marTop w:val="0"/>
                          <w:marBottom w:val="0"/>
                          <w:divBdr>
                            <w:top w:val="none" w:sz="0" w:space="0" w:color="auto"/>
                            <w:left w:val="none" w:sz="0" w:space="0" w:color="auto"/>
                            <w:bottom w:val="none" w:sz="0" w:space="0" w:color="auto"/>
                            <w:right w:val="none" w:sz="0" w:space="0" w:color="auto"/>
                          </w:divBdr>
                          <w:divsChild>
                            <w:div w:id="1405949175">
                              <w:marLeft w:val="0"/>
                              <w:marRight w:val="0"/>
                              <w:marTop w:val="0"/>
                              <w:marBottom w:val="0"/>
                              <w:divBdr>
                                <w:top w:val="none" w:sz="0" w:space="0" w:color="auto"/>
                                <w:left w:val="none" w:sz="0" w:space="0" w:color="auto"/>
                                <w:bottom w:val="none" w:sz="0" w:space="0" w:color="auto"/>
                                <w:right w:val="none" w:sz="0" w:space="0" w:color="auto"/>
                              </w:divBdr>
                              <w:divsChild>
                                <w:div w:id="1922986985">
                                  <w:marLeft w:val="0"/>
                                  <w:marRight w:val="0"/>
                                  <w:marTop w:val="120"/>
                                  <w:marBottom w:val="0"/>
                                  <w:divBdr>
                                    <w:top w:val="none" w:sz="0" w:space="0" w:color="auto"/>
                                    <w:left w:val="none" w:sz="0" w:space="0" w:color="auto"/>
                                    <w:bottom w:val="none" w:sz="0" w:space="0" w:color="auto"/>
                                    <w:right w:val="none" w:sz="0" w:space="0" w:color="auto"/>
                                  </w:divBdr>
                                </w:div>
                              </w:divsChild>
                            </w:div>
                            <w:div w:id="1881164107">
                              <w:marLeft w:val="0"/>
                              <w:marRight w:val="0"/>
                              <w:marTop w:val="120"/>
                              <w:marBottom w:val="0"/>
                              <w:divBdr>
                                <w:top w:val="none" w:sz="0" w:space="0" w:color="auto"/>
                                <w:left w:val="none" w:sz="0" w:space="0" w:color="auto"/>
                                <w:bottom w:val="none" w:sz="0" w:space="0" w:color="auto"/>
                                <w:right w:val="none" w:sz="0" w:space="0" w:color="auto"/>
                              </w:divBdr>
                            </w:div>
                          </w:divsChild>
                        </w:div>
                        <w:div w:id="2005931041">
                          <w:marLeft w:val="0"/>
                          <w:marRight w:val="0"/>
                          <w:marTop w:val="0"/>
                          <w:marBottom w:val="0"/>
                          <w:divBdr>
                            <w:top w:val="none" w:sz="0" w:space="0" w:color="auto"/>
                            <w:left w:val="none" w:sz="0" w:space="0" w:color="auto"/>
                            <w:bottom w:val="none" w:sz="0" w:space="0" w:color="auto"/>
                            <w:right w:val="none" w:sz="0" w:space="0" w:color="auto"/>
                          </w:divBdr>
                          <w:divsChild>
                            <w:div w:id="742488149">
                              <w:marLeft w:val="0"/>
                              <w:marRight w:val="0"/>
                              <w:marTop w:val="120"/>
                              <w:marBottom w:val="0"/>
                              <w:divBdr>
                                <w:top w:val="none" w:sz="0" w:space="0" w:color="auto"/>
                                <w:left w:val="none" w:sz="0" w:space="0" w:color="auto"/>
                                <w:bottom w:val="none" w:sz="0" w:space="0" w:color="auto"/>
                                <w:right w:val="none" w:sz="0" w:space="0" w:color="auto"/>
                              </w:divBdr>
                            </w:div>
                            <w:div w:id="2062167280">
                              <w:marLeft w:val="0"/>
                              <w:marRight w:val="0"/>
                              <w:marTop w:val="0"/>
                              <w:marBottom w:val="0"/>
                              <w:divBdr>
                                <w:top w:val="none" w:sz="0" w:space="0" w:color="auto"/>
                                <w:left w:val="none" w:sz="0" w:space="0" w:color="auto"/>
                                <w:bottom w:val="none" w:sz="0" w:space="0" w:color="auto"/>
                                <w:right w:val="none" w:sz="0" w:space="0" w:color="auto"/>
                              </w:divBdr>
                              <w:divsChild>
                                <w:div w:id="2020352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9429203">
                  <w:marLeft w:val="0"/>
                  <w:marRight w:val="0"/>
                  <w:marTop w:val="0"/>
                  <w:marBottom w:val="0"/>
                  <w:divBdr>
                    <w:top w:val="none" w:sz="0" w:space="0" w:color="auto"/>
                    <w:left w:val="none" w:sz="0" w:space="0" w:color="auto"/>
                    <w:bottom w:val="none" w:sz="0" w:space="0" w:color="auto"/>
                    <w:right w:val="none" w:sz="0" w:space="0" w:color="auto"/>
                  </w:divBdr>
                  <w:divsChild>
                    <w:div w:id="458836482">
                      <w:marLeft w:val="0"/>
                      <w:marRight w:val="0"/>
                      <w:marTop w:val="120"/>
                      <w:marBottom w:val="0"/>
                      <w:divBdr>
                        <w:top w:val="none" w:sz="0" w:space="0" w:color="auto"/>
                        <w:left w:val="none" w:sz="0" w:space="0" w:color="auto"/>
                        <w:bottom w:val="none" w:sz="0" w:space="0" w:color="auto"/>
                        <w:right w:val="none" w:sz="0" w:space="0" w:color="auto"/>
                      </w:divBdr>
                    </w:div>
                    <w:div w:id="15422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3385">
          <w:marLeft w:val="0"/>
          <w:marRight w:val="0"/>
          <w:marTop w:val="0"/>
          <w:marBottom w:val="0"/>
          <w:divBdr>
            <w:top w:val="none" w:sz="0" w:space="0" w:color="auto"/>
            <w:left w:val="none" w:sz="0" w:space="0" w:color="auto"/>
            <w:bottom w:val="none" w:sz="0" w:space="0" w:color="auto"/>
            <w:right w:val="none" w:sz="0" w:space="0" w:color="auto"/>
          </w:divBdr>
          <w:divsChild>
            <w:div w:id="1308318359">
              <w:marLeft w:val="0"/>
              <w:marRight w:val="0"/>
              <w:marTop w:val="0"/>
              <w:marBottom w:val="0"/>
              <w:divBdr>
                <w:top w:val="none" w:sz="0" w:space="0" w:color="auto"/>
                <w:left w:val="none" w:sz="0" w:space="0" w:color="auto"/>
                <w:bottom w:val="none" w:sz="0" w:space="0" w:color="auto"/>
                <w:right w:val="none" w:sz="0" w:space="0" w:color="auto"/>
              </w:divBdr>
              <w:divsChild>
                <w:div w:id="36129813">
                  <w:marLeft w:val="0"/>
                  <w:marRight w:val="0"/>
                  <w:marTop w:val="0"/>
                  <w:marBottom w:val="0"/>
                  <w:divBdr>
                    <w:top w:val="none" w:sz="0" w:space="0" w:color="auto"/>
                    <w:left w:val="none" w:sz="0" w:space="0" w:color="auto"/>
                    <w:bottom w:val="none" w:sz="0" w:space="0" w:color="auto"/>
                    <w:right w:val="none" w:sz="0" w:space="0" w:color="auto"/>
                  </w:divBdr>
                  <w:divsChild>
                    <w:div w:id="407654886">
                      <w:marLeft w:val="0"/>
                      <w:marRight w:val="0"/>
                      <w:marTop w:val="120"/>
                      <w:marBottom w:val="0"/>
                      <w:divBdr>
                        <w:top w:val="none" w:sz="0" w:space="0" w:color="auto"/>
                        <w:left w:val="none" w:sz="0" w:space="0" w:color="auto"/>
                        <w:bottom w:val="none" w:sz="0" w:space="0" w:color="auto"/>
                        <w:right w:val="none" w:sz="0" w:space="0" w:color="auto"/>
                      </w:divBdr>
                    </w:div>
                    <w:div w:id="1940092673">
                      <w:marLeft w:val="0"/>
                      <w:marRight w:val="0"/>
                      <w:marTop w:val="0"/>
                      <w:marBottom w:val="0"/>
                      <w:divBdr>
                        <w:top w:val="none" w:sz="0" w:space="0" w:color="auto"/>
                        <w:left w:val="none" w:sz="0" w:space="0" w:color="auto"/>
                        <w:bottom w:val="none" w:sz="0" w:space="0" w:color="auto"/>
                        <w:right w:val="none" w:sz="0" w:space="0" w:color="auto"/>
                      </w:divBdr>
                    </w:div>
                  </w:divsChild>
                </w:div>
                <w:div w:id="218517785">
                  <w:marLeft w:val="0"/>
                  <w:marRight w:val="0"/>
                  <w:marTop w:val="0"/>
                  <w:marBottom w:val="0"/>
                  <w:divBdr>
                    <w:top w:val="none" w:sz="0" w:space="0" w:color="auto"/>
                    <w:left w:val="none" w:sz="0" w:space="0" w:color="auto"/>
                    <w:bottom w:val="none" w:sz="0" w:space="0" w:color="auto"/>
                    <w:right w:val="none" w:sz="0" w:space="0" w:color="auto"/>
                  </w:divBdr>
                  <w:divsChild>
                    <w:div w:id="1165391140">
                      <w:marLeft w:val="0"/>
                      <w:marRight w:val="0"/>
                      <w:marTop w:val="0"/>
                      <w:marBottom w:val="0"/>
                      <w:divBdr>
                        <w:top w:val="none" w:sz="0" w:space="0" w:color="auto"/>
                        <w:left w:val="none" w:sz="0" w:space="0" w:color="auto"/>
                        <w:bottom w:val="none" w:sz="0" w:space="0" w:color="auto"/>
                        <w:right w:val="none" w:sz="0" w:space="0" w:color="auto"/>
                      </w:divBdr>
                    </w:div>
                    <w:div w:id="1707677135">
                      <w:marLeft w:val="0"/>
                      <w:marRight w:val="0"/>
                      <w:marTop w:val="120"/>
                      <w:marBottom w:val="0"/>
                      <w:divBdr>
                        <w:top w:val="none" w:sz="0" w:space="0" w:color="auto"/>
                        <w:left w:val="none" w:sz="0" w:space="0" w:color="auto"/>
                        <w:bottom w:val="none" w:sz="0" w:space="0" w:color="auto"/>
                        <w:right w:val="none" w:sz="0" w:space="0" w:color="auto"/>
                      </w:divBdr>
                    </w:div>
                  </w:divsChild>
                </w:div>
                <w:div w:id="322586931">
                  <w:marLeft w:val="0"/>
                  <w:marRight w:val="0"/>
                  <w:marTop w:val="0"/>
                  <w:marBottom w:val="0"/>
                  <w:divBdr>
                    <w:top w:val="none" w:sz="0" w:space="0" w:color="auto"/>
                    <w:left w:val="none" w:sz="0" w:space="0" w:color="auto"/>
                    <w:bottom w:val="none" w:sz="0" w:space="0" w:color="auto"/>
                    <w:right w:val="none" w:sz="0" w:space="0" w:color="auto"/>
                  </w:divBdr>
                  <w:divsChild>
                    <w:div w:id="952246591">
                      <w:marLeft w:val="0"/>
                      <w:marRight w:val="0"/>
                      <w:marTop w:val="120"/>
                      <w:marBottom w:val="0"/>
                      <w:divBdr>
                        <w:top w:val="none" w:sz="0" w:space="0" w:color="auto"/>
                        <w:left w:val="none" w:sz="0" w:space="0" w:color="auto"/>
                        <w:bottom w:val="none" w:sz="0" w:space="0" w:color="auto"/>
                        <w:right w:val="none" w:sz="0" w:space="0" w:color="auto"/>
                      </w:divBdr>
                    </w:div>
                    <w:div w:id="1987392182">
                      <w:marLeft w:val="0"/>
                      <w:marRight w:val="0"/>
                      <w:marTop w:val="0"/>
                      <w:marBottom w:val="0"/>
                      <w:divBdr>
                        <w:top w:val="none" w:sz="0" w:space="0" w:color="auto"/>
                        <w:left w:val="none" w:sz="0" w:space="0" w:color="auto"/>
                        <w:bottom w:val="none" w:sz="0" w:space="0" w:color="auto"/>
                        <w:right w:val="none" w:sz="0" w:space="0" w:color="auto"/>
                      </w:divBdr>
                    </w:div>
                  </w:divsChild>
                </w:div>
                <w:div w:id="1234773679">
                  <w:marLeft w:val="0"/>
                  <w:marRight w:val="0"/>
                  <w:marTop w:val="0"/>
                  <w:marBottom w:val="0"/>
                  <w:divBdr>
                    <w:top w:val="none" w:sz="0" w:space="0" w:color="auto"/>
                    <w:left w:val="none" w:sz="0" w:space="0" w:color="auto"/>
                    <w:bottom w:val="none" w:sz="0" w:space="0" w:color="auto"/>
                    <w:right w:val="none" w:sz="0" w:space="0" w:color="auto"/>
                  </w:divBdr>
                  <w:divsChild>
                    <w:div w:id="919606727">
                      <w:marLeft w:val="0"/>
                      <w:marRight w:val="0"/>
                      <w:marTop w:val="120"/>
                      <w:marBottom w:val="0"/>
                      <w:divBdr>
                        <w:top w:val="none" w:sz="0" w:space="0" w:color="auto"/>
                        <w:left w:val="none" w:sz="0" w:space="0" w:color="auto"/>
                        <w:bottom w:val="none" w:sz="0" w:space="0" w:color="auto"/>
                        <w:right w:val="none" w:sz="0" w:space="0" w:color="auto"/>
                      </w:divBdr>
                    </w:div>
                    <w:div w:id="1943030077">
                      <w:marLeft w:val="0"/>
                      <w:marRight w:val="0"/>
                      <w:marTop w:val="0"/>
                      <w:marBottom w:val="0"/>
                      <w:divBdr>
                        <w:top w:val="none" w:sz="0" w:space="0" w:color="auto"/>
                        <w:left w:val="none" w:sz="0" w:space="0" w:color="auto"/>
                        <w:bottom w:val="none" w:sz="0" w:space="0" w:color="auto"/>
                        <w:right w:val="none" w:sz="0" w:space="0" w:color="auto"/>
                      </w:divBdr>
                    </w:div>
                  </w:divsChild>
                </w:div>
                <w:div w:id="1752967832">
                  <w:marLeft w:val="0"/>
                  <w:marRight w:val="0"/>
                  <w:marTop w:val="0"/>
                  <w:marBottom w:val="0"/>
                  <w:divBdr>
                    <w:top w:val="none" w:sz="0" w:space="0" w:color="auto"/>
                    <w:left w:val="none" w:sz="0" w:space="0" w:color="auto"/>
                    <w:bottom w:val="none" w:sz="0" w:space="0" w:color="auto"/>
                    <w:right w:val="none" w:sz="0" w:space="0" w:color="auto"/>
                  </w:divBdr>
                  <w:divsChild>
                    <w:div w:id="155074691">
                      <w:marLeft w:val="0"/>
                      <w:marRight w:val="0"/>
                      <w:marTop w:val="120"/>
                      <w:marBottom w:val="0"/>
                      <w:divBdr>
                        <w:top w:val="none" w:sz="0" w:space="0" w:color="auto"/>
                        <w:left w:val="none" w:sz="0" w:space="0" w:color="auto"/>
                        <w:bottom w:val="none" w:sz="0" w:space="0" w:color="auto"/>
                        <w:right w:val="none" w:sz="0" w:space="0" w:color="auto"/>
                      </w:divBdr>
                    </w:div>
                    <w:div w:id="20225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5559">
      <w:bodyDiv w:val="1"/>
      <w:marLeft w:val="0"/>
      <w:marRight w:val="0"/>
      <w:marTop w:val="0"/>
      <w:marBottom w:val="0"/>
      <w:divBdr>
        <w:top w:val="none" w:sz="0" w:space="0" w:color="auto"/>
        <w:left w:val="none" w:sz="0" w:space="0" w:color="auto"/>
        <w:bottom w:val="none" w:sz="0" w:space="0" w:color="auto"/>
        <w:right w:val="none" w:sz="0" w:space="0" w:color="auto"/>
      </w:divBdr>
      <w:divsChild>
        <w:div w:id="882980301">
          <w:marLeft w:val="0"/>
          <w:marRight w:val="0"/>
          <w:marTop w:val="0"/>
          <w:marBottom w:val="0"/>
          <w:divBdr>
            <w:top w:val="none" w:sz="0" w:space="0" w:color="auto"/>
            <w:left w:val="none" w:sz="0" w:space="0" w:color="auto"/>
            <w:bottom w:val="none" w:sz="0" w:space="0" w:color="auto"/>
            <w:right w:val="none" w:sz="0" w:space="0" w:color="auto"/>
          </w:divBdr>
        </w:div>
      </w:divsChild>
    </w:div>
    <w:div w:id="191650846">
      <w:bodyDiv w:val="1"/>
      <w:marLeft w:val="0"/>
      <w:marRight w:val="0"/>
      <w:marTop w:val="0"/>
      <w:marBottom w:val="0"/>
      <w:divBdr>
        <w:top w:val="none" w:sz="0" w:space="0" w:color="auto"/>
        <w:left w:val="none" w:sz="0" w:space="0" w:color="auto"/>
        <w:bottom w:val="none" w:sz="0" w:space="0" w:color="auto"/>
        <w:right w:val="none" w:sz="0" w:space="0" w:color="auto"/>
      </w:divBdr>
    </w:div>
    <w:div w:id="237058962">
      <w:bodyDiv w:val="1"/>
      <w:marLeft w:val="0"/>
      <w:marRight w:val="0"/>
      <w:marTop w:val="0"/>
      <w:marBottom w:val="0"/>
      <w:divBdr>
        <w:top w:val="none" w:sz="0" w:space="0" w:color="auto"/>
        <w:left w:val="none" w:sz="0" w:space="0" w:color="auto"/>
        <w:bottom w:val="none" w:sz="0" w:space="0" w:color="auto"/>
        <w:right w:val="none" w:sz="0" w:space="0" w:color="auto"/>
      </w:divBdr>
    </w:div>
    <w:div w:id="301929974">
      <w:bodyDiv w:val="1"/>
      <w:marLeft w:val="0"/>
      <w:marRight w:val="0"/>
      <w:marTop w:val="0"/>
      <w:marBottom w:val="0"/>
      <w:divBdr>
        <w:top w:val="none" w:sz="0" w:space="0" w:color="auto"/>
        <w:left w:val="none" w:sz="0" w:space="0" w:color="auto"/>
        <w:bottom w:val="none" w:sz="0" w:space="0" w:color="auto"/>
        <w:right w:val="none" w:sz="0" w:space="0" w:color="auto"/>
      </w:divBdr>
      <w:divsChild>
        <w:div w:id="1838299097">
          <w:marLeft w:val="0"/>
          <w:marRight w:val="0"/>
          <w:marTop w:val="0"/>
          <w:marBottom w:val="0"/>
          <w:divBdr>
            <w:top w:val="none" w:sz="0" w:space="0" w:color="auto"/>
            <w:left w:val="none" w:sz="0" w:space="0" w:color="auto"/>
            <w:bottom w:val="none" w:sz="0" w:space="0" w:color="auto"/>
            <w:right w:val="none" w:sz="0" w:space="0" w:color="auto"/>
          </w:divBdr>
        </w:div>
      </w:divsChild>
    </w:div>
    <w:div w:id="345332287">
      <w:bodyDiv w:val="1"/>
      <w:marLeft w:val="0"/>
      <w:marRight w:val="0"/>
      <w:marTop w:val="0"/>
      <w:marBottom w:val="0"/>
      <w:divBdr>
        <w:top w:val="none" w:sz="0" w:space="0" w:color="auto"/>
        <w:left w:val="none" w:sz="0" w:space="0" w:color="auto"/>
        <w:bottom w:val="none" w:sz="0" w:space="0" w:color="auto"/>
        <w:right w:val="none" w:sz="0" w:space="0" w:color="auto"/>
      </w:divBdr>
      <w:divsChild>
        <w:div w:id="2362749">
          <w:marLeft w:val="0"/>
          <w:marRight w:val="0"/>
          <w:marTop w:val="0"/>
          <w:marBottom w:val="0"/>
          <w:divBdr>
            <w:top w:val="none" w:sz="0" w:space="0" w:color="auto"/>
            <w:left w:val="none" w:sz="0" w:space="0" w:color="auto"/>
            <w:bottom w:val="none" w:sz="0" w:space="0" w:color="auto"/>
            <w:right w:val="none" w:sz="0" w:space="0" w:color="auto"/>
          </w:divBdr>
        </w:div>
        <w:div w:id="312219025">
          <w:marLeft w:val="0"/>
          <w:marRight w:val="0"/>
          <w:marTop w:val="0"/>
          <w:marBottom w:val="0"/>
          <w:divBdr>
            <w:top w:val="none" w:sz="0" w:space="0" w:color="auto"/>
            <w:left w:val="none" w:sz="0" w:space="0" w:color="auto"/>
            <w:bottom w:val="none" w:sz="0" w:space="0" w:color="auto"/>
            <w:right w:val="none" w:sz="0" w:space="0" w:color="auto"/>
          </w:divBdr>
        </w:div>
        <w:div w:id="319579146">
          <w:marLeft w:val="0"/>
          <w:marRight w:val="0"/>
          <w:marTop w:val="0"/>
          <w:marBottom w:val="0"/>
          <w:divBdr>
            <w:top w:val="none" w:sz="0" w:space="0" w:color="auto"/>
            <w:left w:val="none" w:sz="0" w:space="0" w:color="auto"/>
            <w:bottom w:val="none" w:sz="0" w:space="0" w:color="auto"/>
            <w:right w:val="none" w:sz="0" w:space="0" w:color="auto"/>
          </w:divBdr>
        </w:div>
        <w:div w:id="396628392">
          <w:marLeft w:val="0"/>
          <w:marRight w:val="0"/>
          <w:marTop w:val="0"/>
          <w:marBottom w:val="0"/>
          <w:divBdr>
            <w:top w:val="none" w:sz="0" w:space="0" w:color="auto"/>
            <w:left w:val="none" w:sz="0" w:space="0" w:color="auto"/>
            <w:bottom w:val="none" w:sz="0" w:space="0" w:color="auto"/>
            <w:right w:val="none" w:sz="0" w:space="0" w:color="auto"/>
          </w:divBdr>
        </w:div>
        <w:div w:id="451898170">
          <w:marLeft w:val="0"/>
          <w:marRight w:val="0"/>
          <w:marTop w:val="0"/>
          <w:marBottom w:val="0"/>
          <w:divBdr>
            <w:top w:val="none" w:sz="0" w:space="0" w:color="auto"/>
            <w:left w:val="none" w:sz="0" w:space="0" w:color="auto"/>
            <w:bottom w:val="none" w:sz="0" w:space="0" w:color="auto"/>
            <w:right w:val="none" w:sz="0" w:space="0" w:color="auto"/>
          </w:divBdr>
        </w:div>
        <w:div w:id="491796942">
          <w:marLeft w:val="0"/>
          <w:marRight w:val="0"/>
          <w:marTop w:val="0"/>
          <w:marBottom w:val="0"/>
          <w:divBdr>
            <w:top w:val="none" w:sz="0" w:space="0" w:color="auto"/>
            <w:left w:val="none" w:sz="0" w:space="0" w:color="auto"/>
            <w:bottom w:val="none" w:sz="0" w:space="0" w:color="auto"/>
            <w:right w:val="none" w:sz="0" w:space="0" w:color="auto"/>
          </w:divBdr>
        </w:div>
        <w:div w:id="552078790">
          <w:marLeft w:val="0"/>
          <w:marRight w:val="0"/>
          <w:marTop w:val="0"/>
          <w:marBottom w:val="0"/>
          <w:divBdr>
            <w:top w:val="none" w:sz="0" w:space="0" w:color="auto"/>
            <w:left w:val="none" w:sz="0" w:space="0" w:color="auto"/>
            <w:bottom w:val="none" w:sz="0" w:space="0" w:color="auto"/>
            <w:right w:val="none" w:sz="0" w:space="0" w:color="auto"/>
          </w:divBdr>
        </w:div>
        <w:div w:id="572859559">
          <w:marLeft w:val="0"/>
          <w:marRight w:val="0"/>
          <w:marTop w:val="0"/>
          <w:marBottom w:val="0"/>
          <w:divBdr>
            <w:top w:val="none" w:sz="0" w:space="0" w:color="auto"/>
            <w:left w:val="none" w:sz="0" w:space="0" w:color="auto"/>
            <w:bottom w:val="none" w:sz="0" w:space="0" w:color="auto"/>
            <w:right w:val="none" w:sz="0" w:space="0" w:color="auto"/>
          </w:divBdr>
        </w:div>
        <w:div w:id="588732253">
          <w:marLeft w:val="0"/>
          <w:marRight w:val="0"/>
          <w:marTop w:val="0"/>
          <w:marBottom w:val="0"/>
          <w:divBdr>
            <w:top w:val="none" w:sz="0" w:space="0" w:color="auto"/>
            <w:left w:val="none" w:sz="0" w:space="0" w:color="auto"/>
            <w:bottom w:val="none" w:sz="0" w:space="0" w:color="auto"/>
            <w:right w:val="none" w:sz="0" w:space="0" w:color="auto"/>
          </w:divBdr>
        </w:div>
        <w:div w:id="700477925">
          <w:marLeft w:val="0"/>
          <w:marRight w:val="0"/>
          <w:marTop w:val="0"/>
          <w:marBottom w:val="0"/>
          <w:divBdr>
            <w:top w:val="none" w:sz="0" w:space="0" w:color="auto"/>
            <w:left w:val="none" w:sz="0" w:space="0" w:color="auto"/>
            <w:bottom w:val="none" w:sz="0" w:space="0" w:color="auto"/>
            <w:right w:val="none" w:sz="0" w:space="0" w:color="auto"/>
          </w:divBdr>
        </w:div>
        <w:div w:id="774787692">
          <w:marLeft w:val="0"/>
          <w:marRight w:val="0"/>
          <w:marTop w:val="0"/>
          <w:marBottom w:val="0"/>
          <w:divBdr>
            <w:top w:val="none" w:sz="0" w:space="0" w:color="auto"/>
            <w:left w:val="none" w:sz="0" w:space="0" w:color="auto"/>
            <w:bottom w:val="none" w:sz="0" w:space="0" w:color="auto"/>
            <w:right w:val="none" w:sz="0" w:space="0" w:color="auto"/>
          </w:divBdr>
        </w:div>
        <w:div w:id="815340619">
          <w:marLeft w:val="0"/>
          <w:marRight w:val="0"/>
          <w:marTop w:val="0"/>
          <w:marBottom w:val="0"/>
          <w:divBdr>
            <w:top w:val="none" w:sz="0" w:space="0" w:color="auto"/>
            <w:left w:val="none" w:sz="0" w:space="0" w:color="auto"/>
            <w:bottom w:val="none" w:sz="0" w:space="0" w:color="auto"/>
            <w:right w:val="none" w:sz="0" w:space="0" w:color="auto"/>
          </w:divBdr>
        </w:div>
        <w:div w:id="974483194">
          <w:marLeft w:val="0"/>
          <w:marRight w:val="0"/>
          <w:marTop w:val="0"/>
          <w:marBottom w:val="0"/>
          <w:divBdr>
            <w:top w:val="none" w:sz="0" w:space="0" w:color="auto"/>
            <w:left w:val="none" w:sz="0" w:space="0" w:color="auto"/>
            <w:bottom w:val="none" w:sz="0" w:space="0" w:color="auto"/>
            <w:right w:val="none" w:sz="0" w:space="0" w:color="auto"/>
          </w:divBdr>
        </w:div>
        <w:div w:id="1024672181">
          <w:marLeft w:val="0"/>
          <w:marRight w:val="0"/>
          <w:marTop w:val="0"/>
          <w:marBottom w:val="0"/>
          <w:divBdr>
            <w:top w:val="none" w:sz="0" w:space="0" w:color="auto"/>
            <w:left w:val="none" w:sz="0" w:space="0" w:color="auto"/>
            <w:bottom w:val="none" w:sz="0" w:space="0" w:color="auto"/>
            <w:right w:val="none" w:sz="0" w:space="0" w:color="auto"/>
          </w:divBdr>
        </w:div>
        <w:div w:id="1174417745">
          <w:marLeft w:val="0"/>
          <w:marRight w:val="0"/>
          <w:marTop w:val="0"/>
          <w:marBottom w:val="0"/>
          <w:divBdr>
            <w:top w:val="none" w:sz="0" w:space="0" w:color="auto"/>
            <w:left w:val="none" w:sz="0" w:space="0" w:color="auto"/>
            <w:bottom w:val="none" w:sz="0" w:space="0" w:color="auto"/>
            <w:right w:val="none" w:sz="0" w:space="0" w:color="auto"/>
          </w:divBdr>
        </w:div>
        <w:div w:id="1324622620">
          <w:marLeft w:val="0"/>
          <w:marRight w:val="0"/>
          <w:marTop w:val="0"/>
          <w:marBottom w:val="0"/>
          <w:divBdr>
            <w:top w:val="none" w:sz="0" w:space="0" w:color="auto"/>
            <w:left w:val="none" w:sz="0" w:space="0" w:color="auto"/>
            <w:bottom w:val="none" w:sz="0" w:space="0" w:color="auto"/>
            <w:right w:val="none" w:sz="0" w:space="0" w:color="auto"/>
          </w:divBdr>
        </w:div>
        <w:div w:id="1360355766">
          <w:marLeft w:val="0"/>
          <w:marRight w:val="0"/>
          <w:marTop w:val="0"/>
          <w:marBottom w:val="0"/>
          <w:divBdr>
            <w:top w:val="none" w:sz="0" w:space="0" w:color="auto"/>
            <w:left w:val="none" w:sz="0" w:space="0" w:color="auto"/>
            <w:bottom w:val="none" w:sz="0" w:space="0" w:color="auto"/>
            <w:right w:val="none" w:sz="0" w:space="0" w:color="auto"/>
          </w:divBdr>
        </w:div>
        <w:div w:id="1407337510">
          <w:marLeft w:val="0"/>
          <w:marRight w:val="0"/>
          <w:marTop w:val="0"/>
          <w:marBottom w:val="0"/>
          <w:divBdr>
            <w:top w:val="none" w:sz="0" w:space="0" w:color="auto"/>
            <w:left w:val="none" w:sz="0" w:space="0" w:color="auto"/>
            <w:bottom w:val="none" w:sz="0" w:space="0" w:color="auto"/>
            <w:right w:val="none" w:sz="0" w:space="0" w:color="auto"/>
          </w:divBdr>
        </w:div>
        <w:div w:id="1427119198">
          <w:marLeft w:val="0"/>
          <w:marRight w:val="0"/>
          <w:marTop w:val="0"/>
          <w:marBottom w:val="0"/>
          <w:divBdr>
            <w:top w:val="none" w:sz="0" w:space="0" w:color="auto"/>
            <w:left w:val="none" w:sz="0" w:space="0" w:color="auto"/>
            <w:bottom w:val="none" w:sz="0" w:space="0" w:color="auto"/>
            <w:right w:val="none" w:sz="0" w:space="0" w:color="auto"/>
          </w:divBdr>
        </w:div>
        <w:div w:id="1487281344">
          <w:marLeft w:val="0"/>
          <w:marRight w:val="0"/>
          <w:marTop w:val="0"/>
          <w:marBottom w:val="0"/>
          <w:divBdr>
            <w:top w:val="none" w:sz="0" w:space="0" w:color="auto"/>
            <w:left w:val="none" w:sz="0" w:space="0" w:color="auto"/>
            <w:bottom w:val="none" w:sz="0" w:space="0" w:color="auto"/>
            <w:right w:val="none" w:sz="0" w:space="0" w:color="auto"/>
          </w:divBdr>
        </w:div>
        <w:div w:id="1588229334">
          <w:marLeft w:val="0"/>
          <w:marRight w:val="0"/>
          <w:marTop w:val="0"/>
          <w:marBottom w:val="0"/>
          <w:divBdr>
            <w:top w:val="none" w:sz="0" w:space="0" w:color="auto"/>
            <w:left w:val="none" w:sz="0" w:space="0" w:color="auto"/>
            <w:bottom w:val="none" w:sz="0" w:space="0" w:color="auto"/>
            <w:right w:val="none" w:sz="0" w:space="0" w:color="auto"/>
          </w:divBdr>
        </w:div>
        <w:div w:id="1601447605">
          <w:marLeft w:val="0"/>
          <w:marRight w:val="0"/>
          <w:marTop w:val="0"/>
          <w:marBottom w:val="0"/>
          <w:divBdr>
            <w:top w:val="none" w:sz="0" w:space="0" w:color="auto"/>
            <w:left w:val="none" w:sz="0" w:space="0" w:color="auto"/>
            <w:bottom w:val="none" w:sz="0" w:space="0" w:color="auto"/>
            <w:right w:val="none" w:sz="0" w:space="0" w:color="auto"/>
          </w:divBdr>
        </w:div>
        <w:div w:id="1633750396">
          <w:marLeft w:val="0"/>
          <w:marRight w:val="0"/>
          <w:marTop w:val="0"/>
          <w:marBottom w:val="0"/>
          <w:divBdr>
            <w:top w:val="none" w:sz="0" w:space="0" w:color="auto"/>
            <w:left w:val="none" w:sz="0" w:space="0" w:color="auto"/>
            <w:bottom w:val="none" w:sz="0" w:space="0" w:color="auto"/>
            <w:right w:val="none" w:sz="0" w:space="0" w:color="auto"/>
          </w:divBdr>
        </w:div>
        <w:div w:id="1637878977">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1904943522">
          <w:marLeft w:val="0"/>
          <w:marRight w:val="0"/>
          <w:marTop w:val="0"/>
          <w:marBottom w:val="0"/>
          <w:divBdr>
            <w:top w:val="none" w:sz="0" w:space="0" w:color="auto"/>
            <w:left w:val="none" w:sz="0" w:space="0" w:color="auto"/>
            <w:bottom w:val="none" w:sz="0" w:space="0" w:color="auto"/>
            <w:right w:val="none" w:sz="0" w:space="0" w:color="auto"/>
          </w:divBdr>
        </w:div>
        <w:div w:id="1920288671">
          <w:marLeft w:val="0"/>
          <w:marRight w:val="0"/>
          <w:marTop w:val="0"/>
          <w:marBottom w:val="0"/>
          <w:divBdr>
            <w:top w:val="none" w:sz="0" w:space="0" w:color="auto"/>
            <w:left w:val="none" w:sz="0" w:space="0" w:color="auto"/>
            <w:bottom w:val="none" w:sz="0" w:space="0" w:color="auto"/>
            <w:right w:val="none" w:sz="0" w:space="0" w:color="auto"/>
          </w:divBdr>
        </w:div>
        <w:div w:id="1922444430">
          <w:marLeft w:val="0"/>
          <w:marRight w:val="0"/>
          <w:marTop w:val="0"/>
          <w:marBottom w:val="0"/>
          <w:divBdr>
            <w:top w:val="none" w:sz="0" w:space="0" w:color="auto"/>
            <w:left w:val="none" w:sz="0" w:space="0" w:color="auto"/>
            <w:bottom w:val="none" w:sz="0" w:space="0" w:color="auto"/>
            <w:right w:val="none" w:sz="0" w:space="0" w:color="auto"/>
          </w:divBdr>
        </w:div>
        <w:div w:id="1941598583">
          <w:marLeft w:val="0"/>
          <w:marRight w:val="0"/>
          <w:marTop w:val="0"/>
          <w:marBottom w:val="0"/>
          <w:divBdr>
            <w:top w:val="none" w:sz="0" w:space="0" w:color="auto"/>
            <w:left w:val="none" w:sz="0" w:space="0" w:color="auto"/>
            <w:bottom w:val="none" w:sz="0" w:space="0" w:color="auto"/>
            <w:right w:val="none" w:sz="0" w:space="0" w:color="auto"/>
          </w:divBdr>
        </w:div>
        <w:div w:id="1944223625">
          <w:marLeft w:val="0"/>
          <w:marRight w:val="0"/>
          <w:marTop w:val="0"/>
          <w:marBottom w:val="0"/>
          <w:divBdr>
            <w:top w:val="none" w:sz="0" w:space="0" w:color="auto"/>
            <w:left w:val="none" w:sz="0" w:space="0" w:color="auto"/>
            <w:bottom w:val="none" w:sz="0" w:space="0" w:color="auto"/>
            <w:right w:val="none" w:sz="0" w:space="0" w:color="auto"/>
          </w:divBdr>
        </w:div>
        <w:div w:id="1954314191">
          <w:marLeft w:val="0"/>
          <w:marRight w:val="0"/>
          <w:marTop w:val="0"/>
          <w:marBottom w:val="0"/>
          <w:divBdr>
            <w:top w:val="none" w:sz="0" w:space="0" w:color="auto"/>
            <w:left w:val="none" w:sz="0" w:space="0" w:color="auto"/>
            <w:bottom w:val="none" w:sz="0" w:space="0" w:color="auto"/>
            <w:right w:val="none" w:sz="0" w:space="0" w:color="auto"/>
          </w:divBdr>
        </w:div>
        <w:div w:id="1962299633">
          <w:marLeft w:val="0"/>
          <w:marRight w:val="0"/>
          <w:marTop w:val="0"/>
          <w:marBottom w:val="0"/>
          <w:divBdr>
            <w:top w:val="none" w:sz="0" w:space="0" w:color="auto"/>
            <w:left w:val="none" w:sz="0" w:space="0" w:color="auto"/>
            <w:bottom w:val="none" w:sz="0" w:space="0" w:color="auto"/>
            <w:right w:val="none" w:sz="0" w:space="0" w:color="auto"/>
          </w:divBdr>
        </w:div>
        <w:div w:id="1970865620">
          <w:marLeft w:val="0"/>
          <w:marRight w:val="0"/>
          <w:marTop w:val="0"/>
          <w:marBottom w:val="0"/>
          <w:divBdr>
            <w:top w:val="none" w:sz="0" w:space="0" w:color="auto"/>
            <w:left w:val="none" w:sz="0" w:space="0" w:color="auto"/>
            <w:bottom w:val="none" w:sz="0" w:space="0" w:color="auto"/>
            <w:right w:val="none" w:sz="0" w:space="0" w:color="auto"/>
          </w:divBdr>
        </w:div>
        <w:div w:id="2042588442">
          <w:marLeft w:val="0"/>
          <w:marRight w:val="0"/>
          <w:marTop w:val="0"/>
          <w:marBottom w:val="0"/>
          <w:divBdr>
            <w:top w:val="none" w:sz="0" w:space="0" w:color="auto"/>
            <w:left w:val="none" w:sz="0" w:space="0" w:color="auto"/>
            <w:bottom w:val="none" w:sz="0" w:space="0" w:color="auto"/>
            <w:right w:val="none" w:sz="0" w:space="0" w:color="auto"/>
          </w:divBdr>
        </w:div>
        <w:div w:id="2069838036">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9570499">
      <w:bodyDiv w:val="1"/>
      <w:marLeft w:val="0"/>
      <w:marRight w:val="0"/>
      <w:marTop w:val="0"/>
      <w:marBottom w:val="0"/>
      <w:divBdr>
        <w:top w:val="none" w:sz="0" w:space="0" w:color="auto"/>
        <w:left w:val="none" w:sz="0" w:space="0" w:color="auto"/>
        <w:bottom w:val="none" w:sz="0" w:space="0" w:color="auto"/>
        <w:right w:val="none" w:sz="0" w:space="0" w:color="auto"/>
      </w:divBdr>
    </w:div>
    <w:div w:id="468866044">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55161746">
      <w:bodyDiv w:val="1"/>
      <w:marLeft w:val="0"/>
      <w:marRight w:val="0"/>
      <w:marTop w:val="0"/>
      <w:marBottom w:val="0"/>
      <w:divBdr>
        <w:top w:val="none" w:sz="0" w:space="0" w:color="auto"/>
        <w:left w:val="none" w:sz="0" w:space="0" w:color="auto"/>
        <w:bottom w:val="none" w:sz="0" w:space="0" w:color="auto"/>
        <w:right w:val="none" w:sz="0" w:space="0" w:color="auto"/>
      </w:divBdr>
    </w:div>
    <w:div w:id="56178948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566504">
      <w:bodyDiv w:val="1"/>
      <w:marLeft w:val="0"/>
      <w:marRight w:val="0"/>
      <w:marTop w:val="0"/>
      <w:marBottom w:val="0"/>
      <w:divBdr>
        <w:top w:val="none" w:sz="0" w:space="0" w:color="auto"/>
        <w:left w:val="none" w:sz="0" w:space="0" w:color="auto"/>
        <w:bottom w:val="none" w:sz="0" w:space="0" w:color="auto"/>
        <w:right w:val="none" w:sz="0" w:space="0" w:color="auto"/>
      </w:divBdr>
      <w:divsChild>
        <w:div w:id="1026055893">
          <w:marLeft w:val="0"/>
          <w:marRight w:val="0"/>
          <w:marTop w:val="0"/>
          <w:marBottom w:val="0"/>
          <w:divBdr>
            <w:top w:val="none" w:sz="0" w:space="0" w:color="auto"/>
            <w:left w:val="none" w:sz="0" w:space="0" w:color="auto"/>
            <w:bottom w:val="none" w:sz="0" w:space="0" w:color="auto"/>
            <w:right w:val="none" w:sz="0" w:space="0" w:color="auto"/>
          </w:divBdr>
          <w:divsChild>
            <w:div w:id="371729509">
              <w:marLeft w:val="0"/>
              <w:marRight w:val="0"/>
              <w:marTop w:val="120"/>
              <w:marBottom w:val="0"/>
              <w:divBdr>
                <w:top w:val="none" w:sz="0" w:space="0" w:color="auto"/>
                <w:left w:val="none" w:sz="0" w:space="0" w:color="auto"/>
                <w:bottom w:val="none" w:sz="0" w:space="0" w:color="auto"/>
                <w:right w:val="none" w:sz="0" w:space="0" w:color="auto"/>
              </w:divBdr>
            </w:div>
            <w:div w:id="1384988444">
              <w:marLeft w:val="0"/>
              <w:marRight w:val="0"/>
              <w:marTop w:val="0"/>
              <w:marBottom w:val="0"/>
              <w:divBdr>
                <w:top w:val="none" w:sz="0" w:space="0" w:color="auto"/>
                <w:left w:val="none" w:sz="0" w:space="0" w:color="auto"/>
                <w:bottom w:val="none" w:sz="0" w:space="0" w:color="auto"/>
                <w:right w:val="none" w:sz="0" w:space="0" w:color="auto"/>
              </w:divBdr>
            </w:div>
          </w:divsChild>
        </w:div>
        <w:div w:id="1194226584">
          <w:marLeft w:val="0"/>
          <w:marRight w:val="0"/>
          <w:marTop w:val="0"/>
          <w:marBottom w:val="0"/>
          <w:divBdr>
            <w:top w:val="none" w:sz="0" w:space="0" w:color="auto"/>
            <w:left w:val="none" w:sz="0" w:space="0" w:color="auto"/>
            <w:bottom w:val="none" w:sz="0" w:space="0" w:color="auto"/>
            <w:right w:val="none" w:sz="0" w:space="0" w:color="auto"/>
          </w:divBdr>
          <w:divsChild>
            <w:div w:id="1038622701">
              <w:marLeft w:val="0"/>
              <w:marRight w:val="0"/>
              <w:marTop w:val="0"/>
              <w:marBottom w:val="0"/>
              <w:divBdr>
                <w:top w:val="none" w:sz="0" w:space="0" w:color="auto"/>
                <w:left w:val="none" w:sz="0" w:space="0" w:color="auto"/>
                <w:bottom w:val="none" w:sz="0" w:space="0" w:color="auto"/>
                <w:right w:val="none" w:sz="0" w:space="0" w:color="auto"/>
              </w:divBdr>
            </w:div>
          </w:divsChild>
        </w:div>
        <w:div w:id="1380936809">
          <w:marLeft w:val="0"/>
          <w:marRight w:val="0"/>
          <w:marTop w:val="0"/>
          <w:marBottom w:val="0"/>
          <w:divBdr>
            <w:top w:val="none" w:sz="0" w:space="0" w:color="auto"/>
            <w:left w:val="none" w:sz="0" w:space="0" w:color="auto"/>
            <w:bottom w:val="none" w:sz="0" w:space="0" w:color="auto"/>
            <w:right w:val="none" w:sz="0" w:space="0" w:color="auto"/>
          </w:divBdr>
          <w:divsChild>
            <w:div w:id="710883464">
              <w:marLeft w:val="0"/>
              <w:marRight w:val="0"/>
              <w:marTop w:val="0"/>
              <w:marBottom w:val="0"/>
              <w:divBdr>
                <w:top w:val="none" w:sz="0" w:space="0" w:color="auto"/>
                <w:left w:val="none" w:sz="0" w:space="0" w:color="auto"/>
                <w:bottom w:val="none" w:sz="0" w:space="0" w:color="auto"/>
                <w:right w:val="none" w:sz="0" w:space="0" w:color="auto"/>
              </w:divBdr>
            </w:div>
          </w:divsChild>
        </w:div>
        <w:div w:id="1583250557">
          <w:marLeft w:val="0"/>
          <w:marRight w:val="0"/>
          <w:marTop w:val="0"/>
          <w:marBottom w:val="0"/>
          <w:divBdr>
            <w:top w:val="none" w:sz="0" w:space="0" w:color="auto"/>
            <w:left w:val="none" w:sz="0" w:space="0" w:color="auto"/>
            <w:bottom w:val="none" w:sz="0" w:space="0" w:color="auto"/>
            <w:right w:val="none" w:sz="0" w:space="0" w:color="auto"/>
          </w:divBdr>
          <w:divsChild>
            <w:div w:id="642468224">
              <w:marLeft w:val="0"/>
              <w:marRight w:val="0"/>
              <w:marTop w:val="120"/>
              <w:marBottom w:val="0"/>
              <w:divBdr>
                <w:top w:val="none" w:sz="0" w:space="0" w:color="auto"/>
                <w:left w:val="none" w:sz="0" w:space="0" w:color="auto"/>
                <w:bottom w:val="none" w:sz="0" w:space="0" w:color="auto"/>
                <w:right w:val="none" w:sz="0" w:space="0" w:color="auto"/>
              </w:divBdr>
            </w:div>
            <w:div w:id="1229725113">
              <w:marLeft w:val="0"/>
              <w:marRight w:val="0"/>
              <w:marTop w:val="0"/>
              <w:marBottom w:val="0"/>
              <w:divBdr>
                <w:top w:val="none" w:sz="0" w:space="0" w:color="auto"/>
                <w:left w:val="none" w:sz="0" w:space="0" w:color="auto"/>
                <w:bottom w:val="none" w:sz="0" w:space="0" w:color="auto"/>
                <w:right w:val="none" w:sz="0" w:space="0" w:color="auto"/>
              </w:divBdr>
            </w:div>
          </w:divsChild>
        </w:div>
        <w:div w:id="1659306211">
          <w:marLeft w:val="0"/>
          <w:marRight w:val="0"/>
          <w:marTop w:val="0"/>
          <w:marBottom w:val="0"/>
          <w:divBdr>
            <w:top w:val="none" w:sz="0" w:space="0" w:color="auto"/>
            <w:left w:val="none" w:sz="0" w:space="0" w:color="auto"/>
            <w:bottom w:val="none" w:sz="0" w:space="0" w:color="auto"/>
            <w:right w:val="none" w:sz="0" w:space="0" w:color="auto"/>
          </w:divBdr>
          <w:divsChild>
            <w:div w:id="1581132288">
              <w:marLeft w:val="0"/>
              <w:marRight w:val="0"/>
              <w:marTop w:val="0"/>
              <w:marBottom w:val="0"/>
              <w:divBdr>
                <w:top w:val="none" w:sz="0" w:space="0" w:color="auto"/>
                <w:left w:val="none" w:sz="0" w:space="0" w:color="auto"/>
                <w:bottom w:val="none" w:sz="0" w:space="0" w:color="auto"/>
                <w:right w:val="none" w:sz="0" w:space="0" w:color="auto"/>
              </w:divBdr>
            </w:div>
            <w:div w:id="1938830502">
              <w:marLeft w:val="0"/>
              <w:marRight w:val="0"/>
              <w:marTop w:val="120"/>
              <w:marBottom w:val="0"/>
              <w:divBdr>
                <w:top w:val="none" w:sz="0" w:space="0" w:color="auto"/>
                <w:left w:val="none" w:sz="0" w:space="0" w:color="auto"/>
                <w:bottom w:val="none" w:sz="0" w:space="0" w:color="auto"/>
                <w:right w:val="none" w:sz="0" w:space="0" w:color="auto"/>
              </w:divBdr>
            </w:div>
          </w:divsChild>
        </w:div>
        <w:div w:id="1780566478">
          <w:marLeft w:val="0"/>
          <w:marRight w:val="0"/>
          <w:marTop w:val="0"/>
          <w:marBottom w:val="0"/>
          <w:divBdr>
            <w:top w:val="none" w:sz="0" w:space="0" w:color="auto"/>
            <w:left w:val="none" w:sz="0" w:space="0" w:color="auto"/>
            <w:bottom w:val="none" w:sz="0" w:space="0" w:color="auto"/>
            <w:right w:val="none" w:sz="0" w:space="0" w:color="auto"/>
          </w:divBdr>
          <w:divsChild>
            <w:div w:id="1611621736">
              <w:marLeft w:val="0"/>
              <w:marRight w:val="0"/>
              <w:marTop w:val="0"/>
              <w:marBottom w:val="0"/>
              <w:divBdr>
                <w:top w:val="none" w:sz="0" w:space="0" w:color="auto"/>
                <w:left w:val="none" w:sz="0" w:space="0" w:color="auto"/>
                <w:bottom w:val="none" w:sz="0" w:space="0" w:color="auto"/>
                <w:right w:val="none" w:sz="0" w:space="0" w:color="auto"/>
              </w:divBdr>
            </w:div>
            <w:div w:id="20556895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70057">
      <w:bodyDiv w:val="1"/>
      <w:marLeft w:val="0"/>
      <w:marRight w:val="0"/>
      <w:marTop w:val="0"/>
      <w:marBottom w:val="0"/>
      <w:divBdr>
        <w:top w:val="none" w:sz="0" w:space="0" w:color="auto"/>
        <w:left w:val="none" w:sz="0" w:space="0" w:color="auto"/>
        <w:bottom w:val="none" w:sz="0" w:space="0" w:color="auto"/>
        <w:right w:val="none" w:sz="0" w:space="0" w:color="auto"/>
      </w:divBdr>
      <w:divsChild>
        <w:div w:id="685906755">
          <w:marLeft w:val="0"/>
          <w:marRight w:val="0"/>
          <w:marTop w:val="0"/>
          <w:marBottom w:val="0"/>
          <w:divBdr>
            <w:top w:val="none" w:sz="0" w:space="0" w:color="auto"/>
            <w:left w:val="none" w:sz="0" w:space="0" w:color="auto"/>
            <w:bottom w:val="none" w:sz="0" w:space="0" w:color="auto"/>
            <w:right w:val="none" w:sz="0" w:space="0" w:color="auto"/>
          </w:divBdr>
        </w:div>
        <w:div w:id="785003249">
          <w:marLeft w:val="0"/>
          <w:marRight w:val="0"/>
          <w:marTop w:val="0"/>
          <w:marBottom w:val="0"/>
          <w:divBdr>
            <w:top w:val="none" w:sz="0" w:space="0" w:color="auto"/>
            <w:left w:val="none" w:sz="0" w:space="0" w:color="auto"/>
            <w:bottom w:val="none" w:sz="0" w:space="0" w:color="auto"/>
            <w:right w:val="none" w:sz="0" w:space="0" w:color="auto"/>
          </w:divBdr>
        </w:div>
        <w:div w:id="1402870178">
          <w:marLeft w:val="0"/>
          <w:marRight w:val="0"/>
          <w:marTop w:val="0"/>
          <w:marBottom w:val="0"/>
          <w:divBdr>
            <w:top w:val="none" w:sz="0" w:space="0" w:color="auto"/>
            <w:left w:val="none" w:sz="0" w:space="0" w:color="auto"/>
            <w:bottom w:val="none" w:sz="0" w:space="0" w:color="auto"/>
            <w:right w:val="none" w:sz="0" w:space="0" w:color="auto"/>
          </w:divBdr>
        </w:div>
        <w:div w:id="1467508004">
          <w:marLeft w:val="0"/>
          <w:marRight w:val="0"/>
          <w:marTop w:val="0"/>
          <w:marBottom w:val="0"/>
          <w:divBdr>
            <w:top w:val="none" w:sz="0" w:space="0" w:color="auto"/>
            <w:left w:val="none" w:sz="0" w:space="0" w:color="auto"/>
            <w:bottom w:val="none" w:sz="0" w:space="0" w:color="auto"/>
            <w:right w:val="none" w:sz="0" w:space="0" w:color="auto"/>
          </w:divBdr>
        </w:div>
        <w:div w:id="1489245607">
          <w:marLeft w:val="0"/>
          <w:marRight w:val="0"/>
          <w:marTop w:val="0"/>
          <w:marBottom w:val="0"/>
          <w:divBdr>
            <w:top w:val="none" w:sz="0" w:space="0" w:color="auto"/>
            <w:left w:val="none" w:sz="0" w:space="0" w:color="auto"/>
            <w:bottom w:val="none" w:sz="0" w:space="0" w:color="auto"/>
            <w:right w:val="none" w:sz="0" w:space="0" w:color="auto"/>
          </w:divBdr>
        </w:div>
        <w:div w:id="1547109555">
          <w:marLeft w:val="0"/>
          <w:marRight w:val="0"/>
          <w:marTop w:val="0"/>
          <w:marBottom w:val="0"/>
          <w:divBdr>
            <w:top w:val="none" w:sz="0" w:space="0" w:color="auto"/>
            <w:left w:val="none" w:sz="0" w:space="0" w:color="auto"/>
            <w:bottom w:val="none" w:sz="0" w:space="0" w:color="auto"/>
            <w:right w:val="none" w:sz="0" w:space="0" w:color="auto"/>
          </w:divBdr>
        </w:div>
        <w:div w:id="1574075296">
          <w:marLeft w:val="0"/>
          <w:marRight w:val="0"/>
          <w:marTop w:val="0"/>
          <w:marBottom w:val="0"/>
          <w:divBdr>
            <w:top w:val="none" w:sz="0" w:space="0" w:color="auto"/>
            <w:left w:val="none" w:sz="0" w:space="0" w:color="auto"/>
            <w:bottom w:val="none" w:sz="0" w:space="0" w:color="auto"/>
            <w:right w:val="none" w:sz="0" w:space="0" w:color="auto"/>
          </w:divBdr>
        </w:div>
        <w:div w:id="2033650638">
          <w:marLeft w:val="0"/>
          <w:marRight w:val="0"/>
          <w:marTop w:val="0"/>
          <w:marBottom w:val="0"/>
          <w:divBdr>
            <w:top w:val="none" w:sz="0" w:space="0" w:color="auto"/>
            <w:left w:val="none" w:sz="0" w:space="0" w:color="auto"/>
            <w:bottom w:val="none" w:sz="0" w:space="0" w:color="auto"/>
            <w:right w:val="none" w:sz="0" w:space="0" w:color="auto"/>
          </w:divBdr>
        </w:div>
        <w:div w:id="2062824193">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8810248">
      <w:bodyDiv w:val="1"/>
      <w:marLeft w:val="0"/>
      <w:marRight w:val="0"/>
      <w:marTop w:val="0"/>
      <w:marBottom w:val="0"/>
      <w:divBdr>
        <w:top w:val="none" w:sz="0" w:space="0" w:color="auto"/>
        <w:left w:val="none" w:sz="0" w:space="0" w:color="auto"/>
        <w:bottom w:val="none" w:sz="0" w:space="0" w:color="auto"/>
        <w:right w:val="none" w:sz="0" w:space="0" w:color="auto"/>
      </w:divBdr>
      <w:divsChild>
        <w:div w:id="480122195">
          <w:marLeft w:val="0"/>
          <w:marRight w:val="0"/>
          <w:marTop w:val="0"/>
          <w:marBottom w:val="0"/>
          <w:divBdr>
            <w:top w:val="none" w:sz="0" w:space="0" w:color="auto"/>
            <w:left w:val="none" w:sz="0" w:space="0" w:color="auto"/>
            <w:bottom w:val="none" w:sz="0" w:space="0" w:color="auto"/>
            <w:right w:val="none" w:sz="0" w:space="0" w:color="auto"/>
          </w:divBdr>
        </w:div>
        <w:div w:id="1109621466">
          <w:marLeft w:val="0"/>
          <w:marRight w:val="0"/>
          <w:marTop w:val="0"/>
          <w:marBottom w:val="0"/>
          <w:divBdr>
            <w:top w:val="none" w:sz="0" w:space="0" w:color="auto"/>
            <w:left w:val="none" w:sz="0" w:space="0" w:color="auto"/>
            <w:bottom w:val="none" w:sz="0" w:space="0" w:color="auto"/>
            <w:right w:val="none" w:sz="0" w:space="0" w:color="auto"/>
          </w:divBdr>
        </w:div>
      </w:divsChild>
    </w:div>
    <w:div w:id="861354829">
      <w:bodyDiv w:val="1"/>
      <w:marLeft w:val="0"/>
      <w:marRight w:val="0"/>
      <w:marTop w:val="0"/>
      <w:marBottom w:val="0"/>
      <w:divBdr>
        <w:top w:val="none" w:sz="0" w:space="0" w:color="auto"/>
        <w:left w:val="none" w:sz="0" w:space="0" w:color="auto"/>
        <w:bottom w:val="none" w:sz="0" w:space="0" w:color="auto"/>
        <w:right w:val="none" w:sz="0" w:space="0" w:color="auto"/>
      </w:divBdr>
      <w:divsChild>
        <w:div w:id="376127046">
          <w:marLeft w:val="0"/>
          <w:marRight w:val="0"/>
          <w:marTop w:val="0"/>
          <w:marBottom w:val="0"/>
          <w:divBdr>
            <w:top w:val="none" w:sz="0" w:space="0" w:color="auto"/>
            <w:left w:val="none" w:sz="0" w:space="0" w:color="auto"/>
            <w:bottom w:val="none" w:sz="0" w:space="0" w:color="auto"/>
            <w:right w:val="none" w:sz="0" w:space="0" w:color="auto"/>
          </w:divBdr>
          <w:divsChild>
            <w:div w:id="1085613296">
              <w:marLeft w:val="0"/>
              <w:marRight w:val="0"/>
              <w:marTop w:val="0"/>
              <w:marBottom w:val="0"/>
              <w:divBdr>
                <w:top w:val="none" w:sz="0" w:space="0" w:color="auto"/>
                <w:left w:val="none" w:sz="0" w:space="0" w:color="auto"/>
                <w:bottom w:val="none" w:sz="0" w:space="0" w:color="auto"/>
                <w:right w:val="none" w:sz="0" w:space="0" w:color="auto"/>
              </w:divBdr>
            </w:div>
            <w:div w:id="1785344675">
              <w:marLeft w:val="0"/>
              <w:marRight w:val="0"/>
              <w:marTop w:val="120"/>
              <w:marBottom w:val="0"/>
              <w:divBdr>
                <w:top w:val="none" w:sz="0" w:space="0" w:color="auto"/>
                <w:left w:val="none" w:sz="0" w:space="0" w:color="auto"/>
                <w:bottom w:val="none" w:sz="0" w:space="0" w:color="auto"/>
                <w:right w:val="none" w:sz="0" w:space="0" w:color="auto"/>
              </w:divBdr>
            </w:div>
          </w:divsChild>
        </w:div>
        <w:div w:id="448207189">
          <w:marLeft w:val="0"/>
          <w:marRight w:val="0"/>
          <w:marTop w:val="0"/>
          <w:marBottom w:val="0"/>
          <w:divBdr>
            <w:top w:val="none" w:sz="0" w:space="0" w:color="auto"/>
            <w:left w:val="none" w:sz="0" w:space="0" w:color="auto"/>
            <w:bottom w:val="none" w:sz="0" w:space="0" w:color="auto"/>
            <w:right w:val="none" w:sz="0" w:space="0" w:color="auto"/>
          </w:divBdr>
          <w:divsChild>
            <w:div w:id="555431377">
              <w:marLeft w:val="0"/>
              <w:marRight w:val="0"/>
              <w:marTop w:val="0"/>
              <w:marBottom w:val="0"/>
              <w:divBdr>
                <w:top w:val="none" w:sz="0" w:space="0" w:color="auto"/>
                <w:left w:val="none" w:sz="0" w:space="0" w:color="auto"/>
                <w:bottom w:val="none" w:sz="0" w:space="0" w:color="auto"/>
                <w:right w:val="none" w:sz="0" w:space="0" w:color="auto"/>
              </w:divBdr>
            </w:div>
            <w:div w:id="1563368964">
              <w:marLeft w:val="0"/>
              <w:marRight w:val="0"/>
              <w:marTop w:val="120"/>
              <w:marBottom w:val="0"/>
              <w:divBdr>
                <w:top w:val="none" w:sz="0" w:space="0" w:color="auto"/>
                <w:left w:val="none" w:sz="0" w:space="0" w:color="auto"/>
                <w:bottom w:val="none" w:sz="0" w:space="0" w:color="auto"/>
                <w:right w:val="none" w:sz="0" w:space="0" w:color="auto"/>
              </w:divBdr>
            </w:div>
          </w:divsChild>
        </w:div>
        <w:div w:id="468941493">
          <w:marLeft w:val="0"/>
          <w:marRight w:val="0"/>
          <w:marTop w:val="0"/>
          <w:marBottom w:val="0"/>
          <w:divBdr>
            <w:top w:val="none" w:sz="0" w:space="0" w:color="auto"/>
            <w:left w:val="none" w:sz="0" w:space="0" w:color="auto"/>
            <w:bottom w:val="none" w:sz="0" w:space="0" w:color="auto"/>
            <w:right w:val="none" w:sz="0" w:space="0" w:color="auto"/>
          </w:divBdr>
          <w:divsChild>
            <w:div w:id="734821696">
              <w:marLeft w:val="0"/>
              <w:marRight w:val="0"/>
              <w:marTop w:val="0"/>
              <w:marBottom w:val="0"/>
              <w:divBdr>
                <w:top w:val="none" w:sz="0" w:space="0" w:color="auto"/>
                <w:left w:val="none" w:sz="0" w:space="0" w:color="auto"/>
                <w:bottom w:val="none" w:sz="0" w:space="0" w:color="auto"/>
                <w:right w:val="none" w:sz="0" w:space="0" w:color="auto"/>
              </w:divBdr>
            </w:div>
            <w:div w:id="1467158183">
              <w:marLeft w:val="0"/>
              <w:marRight w:val="0"/>
              <w:marTop w:val="120"/>
              <w:marBottom w:val="0"/>
              <w:divBdr>
                <w:top w:val="none" w:sz="0" w:space="0" w:color="auto"/>
                <w:left w:val="none" w:sz="0" w:space="0" w:color="auto"/>
                <w:bottom w:val="none" w:sz="0" w:space="0" w:color="auto"/>
                <w:right w:val="none" w:sz="0" w:space="0" w:color="auto"/>
              </w:divBdr>
            </w:div>
          </w:divsChild>
        </w:div>
        <w:div w:id="670959731">
          <w:marLeft w:val="0"/>
          <w:marRight w:val="0"/>
          <w:marTop w:val="0"/>
          <w:marBottom w:val="0"/>
          <w:divBdr>
            <w:top w:val="none" w:sz="0" w:space="0" w:color="auto"/>
            <w:left w:val="none" w:sz="0" w:space="0" w:color="auto"/>
            <w:bottom w:val="none" w:sz="0" w:space="0" w:color="auto"/>
            <w:right w:val="none" w:sz="0" w:space="0" w:color="auto"/>
          </w:divBdr>
          <w:divsChild>
            <w:div w:id="667945799">
              <w:marLeft w:val="0"/>
              <w:marRight w:val="0"/>
              <w:marTop w:val="0"/>
              <w:marBottom w:val="0"/>
              <w:divBdr>
                <w:top w:val="none" w:sz="0" w:space="0" w:color="auto"/>
                <w:left w:val="none" w:sz="0" w:space="0" w:color="auto"/>
                <w:bottom w:val="none" w:sz="0" w:space="0" w:color="auto"/>
                <w:right w:val="none" w:sz="0" w:space="0" w:color="auto"/>
              </w:divBdr>
            </w:div>
          </w:divsChild>
        </w:div>
        <w:div w:id="985087523">
          <w:marLeft w:val="0"/>
          <w:marRight w:val="0"/>
          <w:marTop w:val="0"/>
          <w:marBottom w:val="0"/>
          <w:divBdr>
            <w:top w:val="none" w:sz="0" w:space="0" w:color="auto"/>
            <w:left w:val="none" w:sz="0" w:space="0" w:color="auto"/>
            <w:bottom w:val="none" w:sz="0" w:space="0" w:color="auto"/>
            <w:right w:val="none" w:sz="0" w:space="0" w:color="auto"/>
          </w:divBdr>
          <w:divsChild>
            <w:div w:id="5331028">
              <w:marLeft w:val="0"/>
              <w:marRight w:val="0"/>
              <w:marTop w:val="0"/>
              <w:marBottom w:val="0"/>
              <w:divBdr>
                <w:top w:val="none" w:sz="0" w:space="0" w:color="auto"/>
                <w:left w:val="none" w:sz="0" w:space="0" w:color="auto"/>
                <w:bottom w:val="none" w:sz="0" w:space="0" w:color="auto"/>
                <w:right w:val="none" w:sz="0" w:space="0" w:color="auto"/>
              </w:divBdr>
            </w:div>
            <w:div w:id="212616647">
              <w:marLeft w:val="0"/>
              <w:marRight w:val="0"/>
              <w:marTop w:val="120"/>
              <w:marBottom w:val="0"/>
              <w:divBdr>
                <w:top w:val="none" w:sz="0" w:space="0" w:color="auto"/>
                <w:left w:val="none" w:sz="0" w:space="0" w:color="auto"/>
                <w:bottom w:val="none" w:sz="0" w:space="0" w:color="auto"/>
                <w:right w:val="none" w:sz="0" w:space="0" w:color="auto"/>
              </w:divBdr>
            </w:div>
          </w:divsChild>
        </w:div>
        <w:div w:id="1496874585">
          <w:marLeft w:val="0"/>
          <w:marRight w:val="0"/>
          <w:marTop w:val="0"/>
          <w:marBottom w:val="0"/>
          <w:divBdr>
            <w:top w:val="none" w:sz="0" w:space="0" w:color="auto"/>
            <w:left w:val="none" w:sz="0" w:space="0" w:color="auto"/>
            <w:bottom w:val="none" w:sz="0" w:space="0" w:color="auto"/>
            <w:right w:val="none" w:sz="0" w:space="0" w:color="auto"/>
          </w:divBdr>
          <w:divsChild>
            <w:div w:id="10201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243">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4778648">
      <w:bodyDiv w:val="1"/>
      <w:marLeft w:val="0"/>
      <w:marRight w:val="0"/>
      <w:marTop w:val="0"/>
      <w:marBottom w:val="0"/>
      <w:divBdr>
        <w:top w:val="none" w:sz="0" w:space="0" w:color="auto"/>
        <w:left w:val="none" w:sz="0" w:space="0" w:color="auto"/>
        <w:bottom w:val="none" w:sz="0" w:space="0" w:color="auto"/>
        <w:right w:val="none" w:sz="0" w:space="0" w:color="auto"/>
      </w:divBdr>
      <w:divsChild>
        <w:div w:id="1253514573">
          <w:marLeft w:val="0"/>
          <w:marRight w:val="0"/>
          <w:marTop w:val="0"/>
          <w:marBottom w:val="0"/>
          <w:divBdr>
            <w:top w:val="none" w:sz="0" w:space="0" w:color="auto"/>
            <w:left w:val="none" w:sz="0" w:space="0" w:color="auto"/>
            <w:bottom w:val="none" w:sz="0" w:space="0" w:color="auto"/>
            <w:right w:val="none" w:sz="0" w:space="0" w:color="auto"/>
          </w:divBdr>
        </w:div>
      </w:divsChild>
    </w:div>
    <w:div w:id="943653898">
      <w:bodyDiv w:val="1"/>
      <w:marLeft w:val="0"/>
      <w:marRight w:val="0"/>
      <w:marTop w:val="0"/>
      <w:marBottom w:val="0"/>
      <w:divBdr>
        <w:top w:val="none" w:sz="0" w:space="0" w:color="auto"/>
        <w:left w:val="none" w:sz="0" w:space="0" w:color="auto"/>
        <w:bottom w:val="none" w:sz="0" w:space="0" w:color="auto"/>
        <w:right w:val="none" w:sz="0" w:space="0" w:color="auto"/>
      </w:divBdr>
      <w:divsChild>
        <w:div w:id="849295812">
          <w:marLeft w:val="0"/>
          <w:marRight w:val="0"/>
          <w:marTop w:val="0"/>
          <w:marBottom w:val="0"/>
          <w:divBdr>
            <w:top w:val="none" w:sz="0" w:space="0" w:color="auto"/>
            <w:left w:val="none" w:sz="0" w:space="0" w:color="auto"/>
            <w:bottom w:val="none" w:sz="0" w:space="0" w:color="auto"/>
            <w:right w:val="none" w:sz="0" w:space="0" w:color="auto"/>
          </w:divBdr>
        </w:div>
        <w:div w:id="1097603809">
          <w:marLeft w:val="0"/>
          <w:marRight w:val="0"/>
          <w:marTop w:val="0"/>
          <w:marBottom w:val="0"/>
          <w:divBdr>
            <w:top w:val="none" w:sz="0" w:space="0" w:color="auto"/>
            <w:left w:val="none" w:sz="0" w:space="0" w:color="auto"/>
            <w:bottom w:val="none" w:sz="0" w:space="0" w:color="auto"/>
            <w:right w:val="none" w:sz="0" w:space="0" w:color="auto"/>
          </w:divBdr>
        </w:div>
      </w:divsChild>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27408538">
      <w:bodyDiv w:val="1"/>
      <w:marLeft w:val="0"/>
      <w:marRight w:val="0"/>
      <w:marTop w:val="0"/>
      <w:marBottom w:val="0"/>
      <w:divBdr>
        <w:top w:val="none" w:sz="0" w:space="0" w:color="auto"/>
        <w:left w:val="none" w:sz="0" w:space="0" w:color="auto"/>
        <w:bottom w:val="none" w:sz="0" w:space="0" w:color="auto"/>
        <w:right w:val="none" w:sz="0" w:space="0" w:color="auto"/>
      </w:divBdr>
      <w:divsChild>
        <w:div w:id="116873216">
          <w:marLeft w:val="0"/>
          <w:marRight w:val="0"/>
          <w:marTop w:val="0"/>
          <w:marBottom w:val="0"/>
          <w:divBdr>
            <w:top w:val="none" w:sz="0" w:space="0" w:color="auto"/>
            <w:left w:val="none" w:sz="0" w:space="0" w:color="auto"/>
            <w:bottom w:val="none" w:sz="0" w:space="0" w:color="auto"/>
            <w:right w:val="none" w:sz="0" w:space="0" w:color="auto"/>
          </w:divBdr>
        </w:div>
        <w:div w:id="582839565">
          <w:marLeft w:val="0"/>
          <w:marRight w:val="0"/>
          <w:marTop w:val="0"/>
          <w:marBottom w:val="0"/>
          <w:divBdr>
            <w:top w:val="none" w:sz="0" w:space="0" w:color="auto"/>
            <w:left w:val="none" w:sz="0" w:space="0" w:color="auto"/>
            <w:bottom w:val="none" w:sz="0" w:space="0" w:color="auto"/>
            <w:right w:val="none" w:sz="0" w:space="0" w:color="auto"/>
          </w:divBdr>
        </w:div>
        <w:div w:id="946158065">
          <w:marLeft w:val="0"/>
          <w:marRight w:val="0"/>
          <w:marTop w:val="0"/>
          <w:marBottom w:val="0"/>
          <w:divBdr>
            <w:top w:val="none" w:sz="0" w:space="0" w:color="auto"/>
            <w:left w:val="none" w:sz="0" w:space="0" w:color="auto"/>
            <w:bottom w:val="none" w:sz="0" w:space="0" w:color="auto"/>
            <w:right w:val="none" w:sz="0" w:space="0" w:color="auto"/>
          </w:divBdr>
        </w:div>
        <w:div w:id="1062867891">
          <w:marLeft w:val="0"/>
          <w:marRight w:val="0"/>
          <w:marTop w:val="0"/>
          <w:marBottom w:val="0"/>
          <w:divBdr>
            <w:top w:val="none" w:sz="0" w:space="0" w:color="auto"/>
            <w:left w:val="none" w:sz="0" w:space="0" w:color="auto"/>
            <w:bottom w:val="none" w:sz="0" w:space="0" w:color="auto"/>
            <w:right w:val="none" w:sz="0" w:space="0" w:color="auto"/>
          </w:divBdr>
        </w:div>
        <w:div w:id="1067998387">
          <w:marLeft w:val="0"/>
          <w:marRight w:val="0"/>
          <w:marTop w:val="0"/>
          <w:marBottom w:val="0"/>
          <w:divBdr>
            <w:top w:val="none" w:sz="0" w:space="0" w:color="auto"/>
            <w:left w:val="none" w:sz="0" w:space="0" w:color="auto"/>
            <w:bottom w:val="none" w:sz="0" w:space="0" w:color="auto"/>
            <w:right w:val="none" w:sz="0" w:space="0" w:color="auto"/>
          </w:divBdr>
        </w:div>
        <w:div w:id="1096553989">
          <w:marLeft w:val="0"/>
          <w:marRight w:val="0"/>
          <w:marTop w:val="0"/>
          <w:marBottom w:val="0"/>
          <w:divBdr>
            <w:top w:val="none" w:sz="0" w:space="0" w:color="auto"/>
            <w:left w:val="none" w:sz="0" w:space="0" w:color="auto"/>
            <w:bottom w:val="none" w:sz="0" w:space="0" w:color="auto"/>
            <w:right w:val="none" w:sz="0" w:space="0" w:color="auto"/>
          </w:divBdr>
        </w:div>
        <w:div w:id="1200705752">
          <w:marLeft w:val="0"/>
          <w:marRight w:val="0"/>
          <w:marTop w:val="0"/>
          <w:marBottom w:val="0"/>
          <w:divBdr>
            <w:top w:val="none" w:sz="0" w:space="0" w:color="auto"/>
            <w:left w:val="none" w:sz="0" w:space="0" w:color="auto"/>
            <w:bottom w:val="none" w:sz="0" w:space="0" w:color="auto"/>
            <w:right w:val="none" w:sz="0" w:space="0" w:color="auto"/>
          </w:divBdr>
        </w:div>
        <w:div w:id="1301959047">
          <w:marLeft w:val="0"/>
          <w:marRight w:val="0"/>
          <w:marTop w:val="0"/>
          <w:marBottom w:val="0"/>
          <w:divBdr>
            <w:top w:val="none" w:sz="0" w:space="0" w:color="auto"/>
            <w:left w:val="none" w:sz="0" w:space="0" w:color="auto"/>
            <w:bottom w:val="none" w:sz="0" w:space="0" w:color="auto"/>
            <w:right w:val="none" w:sz="0" w:space="0" w:color="auto"/>
          </w:divBdr>
        </w:div>
        <w:div w:id="1664897622">
          <w:marLeft w:val="0"/>
          <w:marRight w:val="0"/>
          <w:marTop w:val="0"/>
          <w:marBottom w:val="0"/>
          <w:divBdr>
            <w:top w:val="none" w:sz="0" w:space="0" w:color="auto"/>
            <w:left w:val="none" w:sz="0" w:space="0" w:color="auto"/>
            <w:bottom w:val="none" w:sz="0" w:space="0" w:color="auto"/>
            <w:right w:val="none" w:sz="0" w:space="0" w:color="auto"/>
          </w:divBdr>
        </w:div>
        <w:div w:id="2121753488">
          <w:marLeft w:val="0"/>
          <w:marRight w:val="0"/>
          <w:marTop w:val="0"/>
          <w:marBottom w:val="0"/>
          <w:divBdr>
            <w:top w:val="none" w:sz="0" w:space="0" w:color="auto"/>
            <w:left w:val="none" w:sz="0" w:space="0" w:color="auto"/>
            <w:bottom w:val="none" w:sz="0" w:space="0" w:color="auto"/>
            <w:right w:val="none" w:sz="0" w:space="0" w:color="auto"/>
          </w:divBdr>
        </w:div>
      </w:divsChild>
    </w:div>
    <w:div w:id="1033573637">
      <w:bodyDiv w:val="1"/>
      <w:marLeft w:val="0"/>
      <w:marRight w:val="0"/>
      <w:marTop w:val="0"/>
      <w:marBottom w:val="0"/>
      <w:divBdr>
        <w:top w:val="none" w:sz="0" w:space="0" w:color="auto"/>
        <w:left w:val="none" w:sz="0" w:space="0" w:color="auto"/>
        <w:bottom w:val="none" w:sz="0" w:space="0" w:color="auto"/>
        <w:right w:val="none" w:sz="0" w:space="0" w:color="auto"/>
      </w:divBdr>
    </w:div>
    <w:div w:id="1097868212">
      <w:bodyDiv w:val="1"/>
      <w:marLeft w:val="0"/>
      <w:marRight w:val="0"/>
      <w:marTop w:val="0"/>
      <w:marBottom w:val="0"/>
      <w:divBdr>
        <w:top w:val="none" w:sz="0" w:space="0" w:color="auto"/>
        <w:left w:val="none" w:sz="0" w:space="0" w:color="auto"/>
        <w:bottom w:val="none" w:sz="0" w:space="0" w:color="auto"/>
        <w:right w:val="none" w:sz="0" w:space="0" w:color="auto"/>
      </w:divBdr>
    </w:div>
    <w:div w:id="114211734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34044454">
      <w:bodyDiv w:val="1"/>
      <w:marLeft w:val="0"/>
      <w:marRight w:val="0"/>
      <w:marTop w:val="0"/>
      <w:marBottom w:val="0"/>
      <w:divBdr>
        <w:top w:val="none" w:sz="0" w:space="0" w:color="auto"/>
        <w:left w:val="none" w:sz="0" w:space="0" w:color="auto"/>
        <w:bottom w:val="none" w:sz="0" w:space="0" w:color="auto"/>
        <w:right w:val="none" w:sz="0" w:space="0" w:color="auto"/>
      </w:divBdr>
      <w:divsChild>
        <w:div w:id="305402122">
          <w:marLeft w:val="0"/>
          <w:marRight w:val="0"/>
          <w:marTop w:val="0"/>
          <w:marBottom w:val="0"/>
          <w:divBdr>
            <w:top w:val="none" w:sz="0" w:space="0" w:color="auto"/>
            <w:left w:val="none" w:sz="0" w:space="0" w:color="auto"/>
            <w:bottom w:val="none" w:sz="0" w:space="0" w:color="auto"/>
            <w:right w:val="none" w:sz="0" w:space="0" w:color="auto"/>
          </w:divBdr>
          <w:divsChild>
            <w:div w:id="218521102">
              <w:marLeft w:val="0"/>
              <w:marRight w:val="0"/>
              <w:marTop w:val="120"/>
              <w:marBottom w:val="0"/>
              <w:divBdr>
                <w:top w:val="none" w:sz="0" w:space="0" w:color="auto"/>
                <w:left w:val="none" w:sz="0" w:space="0" w:color="auto"/>
                <w:bottom w:val="none" w:sz="0" w:space="0" w:color="auto"/>
                <w:right w:val="none" w:sz="0" w:space="0" w:color="auto"/>
              </w:divBdr>
            </w:div>
            <w:div w:id="1971400791">
              <w:marLeft w:val="0"/>
              <w:marRight w:val="0"/>
              <w:marTop w:val="0"/>
              <w:marBottom w:val="0"/>
              <w:divBdr>
                <w:top w:val="none" w:sz="0" w:space="0" w:color="auto"/>
                <w:left w:val="none" w:sz="0" w:space="0" w:color="auto"/>
                <w:bottom w:val="none" w:sz="0" w:space="0" w:color="auto"/>
                <w:right w:val="none" w:sz="0" w:space="0" w:color="auto"/>
              </w:divBdr>
            </w:div>
          </w:divsChild>
        </w:div>
        <w:div w:id="2123383102">
          <w:marLeft w:val="0"/>
          <w:marRight w:val="0"/>
          <w:marTop w:val="0"/>
          <w:marBottom w:val="0"/>
          <w:divBdr>
            <w:top w:val="none" w:sz="0" w:space="0" w:color="auto"/>
            <w:left w:val="none" w:sz="0" w:space="0" w:color="auto"/>
            <w:bottom w:val="none" w:sz="0" w:space="0" w:color="auto"/>
            <w:right w:val="none" w:sz="0" w:space="0" w:color="auto"/>
          </w:divBdr>
          <w:divsChild>
            <w:div w:id="988706506">
              <w:marLeft w:val="0"/>
              <w:marRight w:val="0"/>
              <w:marTop w:val="120"/>
              <w:marBottom w:val="0"/>
              <w:divBdr>
                <w:top w:val="none" w:sz="0" w:space="0" w:color="auto"/>
                <w:left w:val="none" w:sz="0" w:space="0" w:color="auto"/>
                <w:bottom w:val="none" w:sz="0" w:space="0" w:color="auto"/>
                <w:right w:val="none" w:sz="0" w:space="0" w:color="auto"/>
              </w:divBdr>
            </w:div>
            <w:div w:id="11204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5286">
      <w:bodyDiv w:val="1"/>
      <w:marLeft w:val="0"/>
      <w:marRight w:val="0"/>
      <w:marTop w:val="0"/>
      <w:marBottom w:val="0"/>
      <w:divBdr>
        <w:top w:val="none" w:sz="0" w:space="0" w:color="auto"/>
        <w:left w:val="none" w:sz="0" w:space="0" w:color="auto"/>
        <w:bottom w:val="none" w:sz="0" w:space="0" w:color="auto"/>
        <w:right w:val="none" w:sz="0" w:space="0" w:color="auto"/>
      </w:divBdr>
    </w:div>
    <w:div w:id="1281574153">
      <w:bodyDiv w:val="1"/>
      <w:marLeft w:val="0"/>
      <w:marRight w:val="0"/>
      <w:marTop w:val="0"/>
      <w:marBottom w:val="0"/>
      <w:divBdr>
        <w:top w:val="none" w:sz="0" w:space="0" w:color="auto"/>
        <w:left w:val="none" w:sz="0" w:space="0" w:color="auto"/>
        <w:bottom w:val="none" w:sz="0" w:space="0" w:color="auto"/>
        <w:right w:val="none" w:sz="0" w:space="0" w:color="auto"/>
      </w:divBdr>
    </w:div>
    <w:div w:id="1304002041">
      <w:bodyDiv w:val="1"/>
      <w:marLeft w:val="0"/>
      <w:marRight w:val="0"/>
      <w:marTop w:val="0"/>
      <w:marBottom w:val="0"/>
      <w:divBdr>
        <w:top w:val="none" w:sz="0" w:space="0" w:color="auto"/>
        <w:left w:val="none" w:sz="0" w:space="0" w:color="auto"/>
        <w:bottom w:val="none" w:sz="0" w:space="0" w:color="auto"/>
        <w:right w:val="none" w:sz="0" w:space="0" w:color="auto"/>
      </w:divBdr>
      <w:divsChild>
        <w:div w:id="49352676">
          <w:marLeft w:val="0"/>
          <w:marRight w:val="0"/>
          <w:marTop w:val="0"/>
          <w:marBottom w:val="0"/>
          <w:divBdr>
            <w:top w:val="none" w:sz="0" w:space="0" w:color="auto"/>
            <w:left w:val="none" w:sz="0" w:space="0" w:color="auto"/>
            <w:bottom w:val="none" w:sz="0" w:space="0" w:color="auto"/>
            <w:right w:val="none" w:sz="0" w:space="0" w:color="auto"/>
          </w:divBdr>
        </w:div>
        <w:div w:id="658576224">
          <w:marLeft w:val="0"/>
          <w:marRight w:val="0"/>
          <w:marTop w:val="0"/>
          <w:marBottom w:val="0"/>
          <w:divBdr>
            <w:top w:val="none" w:sz="0" w:space="0" w:color="auto"/>
            <w:left w:val="none" w:sz="0" w:space="0" w:color="auto"/>
            <w:bottom w:val="none" w:sz="0" w:space="0" w:color="auto"/>
            <w:right w:val="none" w:sz="0" w:space="0" w:color="auto"/>
          </w:divBdr>
        </w:div>
        <w:div w:id="786193165">
          <w:marLeft w:val="0"/>
          <w:marRight w:val="0"/>
          <w:marTop w:val="0"/>
          <w:marBottom w:val="0"/>
          <w:divBdr>
            <w:top w:val="none" w:sz="0" w:space="0" w:color="auto"/>
            <w:left w:val="none" w:sz="0" w:space="0" w:color="auto"/>
            <w:bottom w:val="none" w:sz="0" w:space="0" w:color="auto"/>
            <w:right w:val="none" w:sz="0" w:space="0" w:color="auto"/>
          </w:divBdr>
        </w:div>
        <w:div w:id="796795545">
          <w:marLeft w:val="0"/>
          <w:marRight w:val="0"/>
          <w:marTop w:val="0"/>
          <w:marBottom w:val="0"/>
          <w:divBdr>
            <w:top w:val="none" w:sz="0" w:space="0" w:color="auto"/>
            <w:left w:val="none" w:sz="0" w:space="0" w:color="auto"/>
            <w:bottom w:val="none" w:sz="0" w:space="0" w:color="auto"/>
            <w:right w:val="none" w:sz="0" w:space="0" w:color="auto"/>
          </w:divBdr>
        </w:div>
        <w:div w:id="967662624">
          <w:marLeft w:val="0"/>
          <w:marRight w:val="0"/>
          <w:marTop w:val="0"/>
          <w:marBottom w:val="0"/>
          <w:divBdr>
            <w:top w:val="none" w:sz="0" w:space="0" w:color="auto"/>
            <w:left w:val="none" w:sz="0" w:space="0" w:color="auto"/>
            <w:bottom w:val="none" w:sz="0" w:space="0" w:color="auto"/>
            <w:right w:val="none" w:sz="0" w:space="0" w:color="auto"/>
          </w:divBdr>
        </w:div>
        <w:div w:id="1313486890">
          <w:marLeft w:val="0"/>
          <w:marRight w:val="0"/>
          <w:marTop w:val="0"/>
          <w:marBottom w:val="0"/>
          <w:divBdr>
            <w:top w:val="none" w:sz="0" w:space="0" w:color="auto"/>
            <w:left w:val="none" w:sz="0" w:space="0" w:color="auto"/>
            <w:bottom w:val="none" w:sz="0" w:space="0" w:color="auto"/>
            <w:right w:val="none" w:sz="0" w:space="0" w:color="auto"/>
          </w:divBdr>
        </w:div>
        <w:div w:id="1364290081">
          <w:marLeft w:val="0"/>
          <w:marRight w:val="0"/>
          <w:marTop w:val="0"/>
          <w:marBottom w:val="0"/>
          <w:divBdr>
            <w:top w:val="none" w:sz="0" w:space="0" w:color="auto"/>
            <w:left w:val="none" w:sz="0" w:space="0" w:color="auto"/>
            <w:bottom w:val="none" w:sz="0" w:space="0" w:color="auto"/>
            <w:right w:val="none" w:sz="0" w:space="0" w:color="auto"/>
          </w:divBdr>
        </w:div>
        <w:div w:id="1507282892">
          <w:marLeft w:val="0"/>
          <w:marRight w:val="0"/>
          <w:marTop w:val="0"/>
          <w:marBottom w:val="0"/>
          <w:divBdr>
            <w:top w:val="none" w:sz="0" w:space="0" w:color="auto"/>
            <w:left w:val="none" w:sz="0" w:space="0" w:color="auto"/>
            <w:bottom w:val="none" w:sz="0" w:space="0" w:color="auto"/>
            <w:right w:val="none" w:sz="0" w:space="0" w:color="auto"/>
          </w:divBdr>
        </w:div>
        <w:div w:id="1753696803">
          <w:marLeft w:val="0"/>
          <w:marRight w:val="0"/>
          <w:marTop w:val="0"/>
          <w:marBottom w:val="0"/>
          <w:divBdr>
            <w:top w:val="none" w:sz="0" w:space="0" w:color="auto"/>
            <w:left w:val="none" w:sz="0" w:space="0" w:color="auto"/>
            <w:bottom w:val="none" w:sz="0" w:space="0" w:color="auto"/>
            <w:right w:val="none" w:sz="0" w:space="0" w:color="auto"/>
          </w:divBdr>
        </w:div>
      </w:divsChild>
    </w:div>
    <w:div w:id="1344670733">
      <w:bodyDiv w:val="1"/>
      <w:marLeft w:val="0"/>
      <w:marRight w:val="0"/>
      <w:marTop w:val="0"/>
      <w:marBottom w:val="0"/>
      <w:divBdr>
        <w:top w:val="none" w:sz="0" w:space="0" w:color="auto"/>
        <w:left w:val="none" w:sz="0" w:space="0" w:color="auto"/>
        <w:bottom w:val="none" w:sz="0" w:space="0" w:color="auto"/>
        <w:right w:val="none" w:sz="0" w:space="0" w:color="auto"/>
      </w:divBdr>
    </w:div>
    <w:div w:id="1385059232">
      <w:bodyDiv w:val="1"/>
      <w:marLeft w:val="0"/>
      <w:marRight w:val="0"/>
      <w:marTop w:val="0"/>
      <w:marBottom w:val="0"/>
      <w:divBdr>
        <w:top w:val="none" w:sz="0" w:space="0" w:color="auto"/>
        <w:left w:val="none" w:sz="0" w:space="0" w:color="auto"/>
        <w:bottom w:val="none" w:sz="0" w:space="0" w:color="auto"/>
        <w:right w:val="none" w:sz="0" w:space="0" w:color="auto"/>
      </w:divBdr>
    </w:div>
    <w:div w:id="1400516582">
      <w:bodyDiv w:val="1"/>
      <w:marLeft w:val="0"/>
      <w:marRight w:val="0"/>
      <w:marTop w:val="0"/>
      <w:marBottom w:val="0"/>
      <w:divBdr>
        <w:top w:val="none" w:sz="0" w:space="0" w:color="auto"/>
        <w:left w:val="none" w:sz="0" w:space="0" w:color="auto"/>
        <w:bottom w:val="none" w:sz="0" w:space="0" w:color="auto"/>
        <w:right w:val="none" w:sz="0" w:space="0" w:color="auto"/>
      </w:divBdr>
    </w:div>
    <w:div w:id="1510365542">
      <w:bodyDiv w:val="1"/>
      <w:marLeft w:val="0"/>
      <w:marRight w:val="0"/>
      <w:marTop w:val="0"/>
      <w:marBottom w:val="0"/>
      <w:divBdr>
        <w:top w:val="none" w:sz="0" w:space="0" w:color="auto"/>
        <w:left w:val="none" w:sz="0" w:space="0" w:color="auto"/>
        <w:bottom w:val="none" w:sz="0" w:space="0" w:color="auto"/>
        <w:right w:val="none" w:sz="0" w:space="0" w:color="auto"/>
      </w:divBdr>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
    <w:div w:id="1651522302">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93867364">
      <w:bodyDiv w:val="1"/>
      <w:marLeft w:val="0"/>
      <w:marRight w:val="0"/>
      <w:marTop w:val="0"/>
      <w:marBottom w:val="0"/>
      <w:divBdr>
        <w:top w:val="none" w:sz="0" w:space="0" w:color="auto"/>
        <w:left w:val="none" w:sz="0" w:space="0" w:color="auto"/>
        <w:bottom w:val="none" w:sz="0" w:space="0" w:color="auto"/>
        <w:right w:val="none" w:sz="0" w:space="0" w:color="auto"/>
      </w:divBdr>
    </w:div>
    <w:div w:id="1802067097">
      <w:bodyDiv w:val="1"/>
      <w:marLeft w:val="0"/>
      <w:marRight w:val="0"/>
      <w:marTop w:val="0"/>
      <w:marBottom w:val="0"/>
      <w:divBdr>
        <w:top w:val="none" w:sz="0" w:space="0" w:color="auto"/>
        <w:left w:val="none" w:sz="0" w:space="0" w:color="auto"/>
        <w:bottom w:val="none" w:sz="0" w:space="0" w:color="auto"/>
        <w:right w:val="none" w:sz="0" w:space="0" w:color="auto"/>
      </w:divBdr>
    </w:div>
    <w:div w:id="1844203856">
      <w:bodyDiv w:val="1"/>
      <w:marLeft w:val="0"/>
      <w:marRight w:val="0"/>
      <w:marTop w:val="0"/>
      <w:marBottom w:val="0"/>
      <w:divBdr>
        <w:top w:val="none" w:sz="0" w:space="0" w:color="auto"/>
        <w:left w:val="none" w:sz="0" w:space="0" w:color="auto"/>
        <w:bottom w:val="none" w:sz="0" w:space="0" w:color="auto"/>
        <w:right w:val="none" w:sz="0" w:space="0" w:color="auto"/>
      </w:divBdr>
    </w:div>
    <w:div w:id="1879736135">
      <w:bodyDiv w:val="1"/>
      <w:marLeft w:val="0"/>
      <w:marRight w:val="0"/>
      <w:marTop w:val="0"/>
      <w:marBottom w:val="0"/>
      <w:divBdr>
        <w:top w:val="none" w:sz="0" w:space="0" w:color="auto"/>
        <w:left w:val="none" w:sz="0" w:space="0" w:color="auto"/>
        <w:bottom w:val="none" w:sz="0" w:space="0" w:color="auto"/>
        <w:right w:val="none" w:sz="0" w:space="0" w:color="auto"/>
      </w:divBdr>
    </w:div>
    <w:div w:id="1930888283">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3050069">
      <w:bodyDiv w:val="1"/>
      <w:marLeft w:val="0"/>
      <w:marRight w:val="0"/>
      <w:marTop w:val="0"/>
      <w:marBottom w:val="0"/>
      <w:divBdr>
        <w:top w:val="none" w:sz="0" w:space="0" w:color="auto"/>
        <w:left w:val="none" w:sz="0" w:space="0" w:color="auto"/>
        <w:bottom w:val="none" w:sz="0" w:space="0" w:color="auto"/>
        <w:right w:val="none" w:sz="0" w:space="0" w:color="auto"/>
      </w:divBdr>
      <w:divsChild>
        <w:div w:id="379593346">
          <w:marLeft w:val="0"/>
          <w:marRight w:val="0"/>
          <w:marTop w:val="0"/>
          <w:marBottom w:val="0"/>
          <w:divBdr>
            <w:top w:val="none" w:sz="0" w:space="0" w:color="auto"/>
            <w:left w:val="none" w:sz="0" w:space="0" w:color="auto"/>
            <w:bottom w:val="none" w:sz="0" w:space="0" w:color="auto"/>
            <w:right w:val="none" w:sz="0" w:space="0" w:color="auto"/>
          </w:divBdr>
        </w:div>
        <w:div w:id="776801047">
          <w:marLeft w:val="0"/>
          <w:marRight w:val="0"/>
          <w:marTop w:val="0"/>
          <w:marBottom w:val="0"/>
          <w:divBdr>
            <w:top w:val="none" w:sz="0" w:space="0" w:color="auto"/>
            <w:left w:val="none" w:sz="0" w:space="0" w:color="auto"/>
            <w:bottom w:val="none" w:sz="0" w:space="0" w:color="auto"/>
            <w:right w:val="none" w:sz="0" w:space="0" w:color="auto"/>
          </w:divBdr>
        </w:div>
        <w:div w:id="1342513346">
          <w:marLeft w:val="0"/>
          <w:marRight w:val="0"/>
          <w:marTop w:val="0"/>
          <w:marBottom w:val="0"/>
          <w:divBdr>
            <w:top w:val="none" w:sz="0" w:space="0" w:color="auto"/>
            <w:left w:val="none" w:sz="0" w:space="0" w:color="auto"/>
            <w:bottom w:val="none" w:sz="0" w:space="0" w:color="auto"/>
            <w:right w:val="none" w:sz="0" w:space="0" w:color="auto"/>
          </w:divBdr>
        </w:div>
        <w:div w:id="1438141159">
          <w:marLeft w:val="0"/>
          <w:marRight w:val="0"/>
          <w:marTop w:val="0"/>
          <w:marBottom w:val="0"/>
          <w:divBdr>
            <w:top w:val="none" w:sz="0" w:space="0" w:color="auto"/>
            <w:left w:val="none" w:sz="0" w:space="0" w:color="auto"/>
            <w:bottom w:val="none" w:sz="0" w:space="0" w:color="auto"/>
            <w:right w:val="none" w:sz="0" w:space="0" w:color="auto"/>
          </w:divBdr>
        </w:div>
        <w:div w:id="1460802270">
          <w:marLeft w:val="0"/>
          <w:marRight w:val="0"/>
          <w:marTop w:val="0"/>
          <w:marBottom w:val="0"/>
          <w:divBdr>
            <w:top w:val="none" w:sz="0" w:space="0" w:color="auto"/>
            <w:left w:val="none" w:sz="0" w:space="0" w:color="auto"/>
            <w:bottom w:val="none" w:sz="0" w:space="0" w:color="auto"/>
            <w:right w:val="none" w:sz="0" w:space="0" w:color="auto"/>
          </w:divBdr>
        </w:div>
        <w:div w:id="1565683312">
          <w:marLeft w:val="0"/>
          <w:marRight w:val="0"/>
          <w:marTop w:val="0"/>
          <w:marBottom w:val="0"/>
          <w:divBdr>
            <w:top w:val="none" w:sz="0" w:space="0" w:color="auto"/>
            <w:left w:val="none" w:sz="0" w:space="0" w:color="auto"/>
            <w:bottom w:val="none" w:sz="0" w:space="0" w:color="auto"/>
            <w:right w:val="none" w:sz="0" w:space="0" w:color="auto"/>
          </w:divBdr>
        </w:div>
        <w:div w:id="1657881443">
          <w:marLeft w:val="0"/>
          <w:marRight w:val="0"/>
          <w:marTop w:val="0"/>
          <w:marBottom w:val="0"/>
          <w:divBdr>
            <w:top w:val="none" w:sz="0" w:space="0" w:color="auto"/>
            <w:left w:val="none" w:sz="0" w:space="0" w:color="auto"/>
            <w:bottom w:val="none" w:sz="0" w:space="0" w:color="auto"/>
            <w:right w:val="none" w:sz="0" w:space="0" w:color="auto"/>
          </w:divBdr>
        </w:div>
        <w:div w:id="1722249917">
          <w:marLeft w:val="0"/>
          <w:marRight w:val="0"/>
          <w:marTop w:val="0"/>
          <w:marBottom w:val="0"/>
          <w:divBdr>
            <w:top w:val="none" w:sz="0" w:space="0" w:color="auto"/>
            <w:left w:val="none" w:sz="0" w:space="0" w:color="auto"/>
            <w:bottom w:val="none" w:sz="0" w:space="0" w:color="auto"/>
            <w:right w:val="none" w:sz="0" w:space="0" w:color="auto"/>
          </w:divBdr>
        </w:div>
        <w:div w:id="1846438802">
          <w:marLeft w:val="0"/>
          <w:marRight w:val="0"/>
          <w:marTop w:val="0"/>
          <w:marBottom w:val="0"/>
          <w:divBdr>
            <w:top w:val="none" w:sz="0" w:space="0" w:color="auto"/>
            <w:left w:val="none" w:sz="0" w:space="0" w:color="auto"/>
            <w:bottom w:val="none" w:sz="0" w:space="0" w:color="auto"/>
            <w:right w:val="none" w:sz="0" w:space="0" w:color="auto"/>
          </w:divBdr>
        </w:div>
        <w:div w:id="1915158737">
          <w:marLeft w:val="0"/>
          <w:marRight w:val="0"/>
          <w:marTop w:val="0"/>
          <w:marBottom w:val="0"/>
          <w:divBdr>
            <w:top w:val="none" w:sz="0" w:space="0" w:color="auto"/>
            <w:left w:val="none" w:sz="0" w:space="0" w:color="auto"/>
            <w:bottom w:val="none" w:sz="0" w:space="0" w:color="auto"/>
            <w:right w:val="none" w:sz="0" w:space="0" w:color="auto"/>
          </w:divBdr>
        </w:div>
      </w:divsChild>
    </w:div>
    <w:div w:id="1956860226">
      <w:bodyDiv w:val="1"/>
      <w:marLeft w:val="0"/>
      <w:marRight w:val="0"/>
      <w:marTop w:val="0"/>
      <w:marBottom w:val="0"/>
      <w:divBdr>
        <w:top w:val="none" w:sz="0" w:space="0" w:color="auto"/>
        <w:left w:val="none" w:sz="0" w:space="0" w:color="auto"/>
        <w:bottom w:val="none" w:sz="0" w:space="0" w:color="auto"/>
        <w:right w:val="none" w:sz="0" w:space="0" w:color="auto"/>
      </w:divBdr>
      <w:divsChild>
        <w:div w:id="189300707">
          <w:marLeft w:val="0"/>
          <w:marRight w:val="0"/>
          <w:marTop w:val="0"/>
          <w:marBottom w:val="0"/>
          <w:divBdr>
            <w:top w:val="none" w:sz="0" w:space="0" w:color="auto"/>
            <w:left w:val="none" w:sz="0" w:space="0" w:color="auto"/>
            <w:bottom w:val="none" w:sz="0" w:space="0" w:color="auto"/>
            <w:right w:val="none" w:sz="0" w:space="0" w:color="auto"/>
          </w:divBdr>
        </w:div>
        <w:div w:id="927227366">
          <w:marLeft w:val="0"/>
          <w:marRight w:val="0"/>
          <w:marTop w:val="0"/>
          <w:marBottom w:val="0"/>
          <w:divBdr>
            <w:top w:val="none" w:sz="0" w:space="0" w:color="auto"/>
            <w:left w:val="none" w:sz="0" w:space="0" w:color="auto"/>
            <w:bottom w:val="none" w:sz="0" w:space="0" w:color="auto"/>
            <w:right w:val="none" w:sz="0" w:space="0" w:color="auto"/>
          </w:divBdr>
        </w:div>
        <w:div w:id="1332641512">
          <w:marLeft w:val="0"/>
          <w:marRight w:val="0"/>
          <w:marTop w:val="0"/>
          <w:marBottom w:val="0"/>
          <w:divBdr>
            <w:top w:val="none" w:sz="0" w:space="0" w:color="auto"/>
            <w:left w:val="none" w:sz="0" w:space="0" w:color="auto"/>
            <w:bottom w:val="none" w:sz="0" w:space="0" w:color="auto"/>
            <w:right w:val="none" w:sz="0" w:space="0" w:color="auto"/>
          </w:divBdr>
        </w:div>
      </w:divsChild>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0452054">
      <w:bodyDiv w:val="1"/>
      <w:marLeft w:val="0"/>
      <w:marRight w:val="0"/>
      <w:marTop w:val="0"/>
      <w:marBottom w:val="0"/>
      <w:divBdr>
        <w:top w:val="none" w:sz="0" w:space="0" w:color="auto"/>
        <w:left w:val="none" w:sz="0" w:space="0" w:color="auto"/>
        <w:bottom w:val="none" w:sz="0" w:space="0" w:color="auto"/>
        <w:right w:val="none" w:sz="0" w:space="0" w:color="auto"/>
      </w:divBdr>
    </w:div>
    <w:div w:id="2095277974">
      <w:bodyDiv w:val="1"/>
      <w:marLeft w:val="0"/>
      <w:marRight w:val="0"/>
      <w:marTop w:val="0"/>
      <w:marBottom w:val="0"/>
      <w:divBdr>
        <w:top w:val="none" w:sz="0" w:space="0" w:color="auto"/>
        <w:left w:val="none" w:sz="0" w:space="0" w:color="auto"/>
        <w:bottom w:val="none" w:sz="0" w:space="0" w:color="auto"/>
        <w:right w:val="none" w:sz="0" w:space="0" w:color="auto"/>
      </w:divBdr>
      <w:divsChild>
        <w:div w:id="41751178">
          <w:marLeft w:val="0"/>
          <w:marRight w:val="0"/>
          <w:marTop w:val="0"/>
          <w:marBottom w:val="0"/>
          <w:divBdr>
            <w:top w:val="none" w:sz="0" w:space="0" w:color="auto"/>
            <w:left w:val="none" w:sz="0" w:space="0" w:color="auto"/>
            <w:bottom w:val="none" w:sz="0" w:space="0" w:color="auto"/>
            <w:right w:val="none" w:sz="0" w:space="0" w:color="auto"/>
          </w:divBdr>
          <w:divsChild>
            <w:div w:id="2137751521">
              <w:marLeft w:val="0"/>
              <w:marRight w:val="0"/>
              <w:marTop w:val="0"/>
              <w:marBottom w:val="0"/>
              <w:divBdr>
                <w:top w:val="none" w:sz="0" w:space="0" w:color="auto"/>
                <w:left w:val="none" w:sz="0" w:space="0" w:color="auto"/>
                <w:bottom w:val="none" w:sz="0" w:space="0" w:color="auto"/>
                <w:right w:val="none" w:sz="0" w:space="0" w:color="auto"/>
              </w:divBdr>
            </w:div>
          </w:divsChild>
        </w:div>
        <w:div w:id="112135770">
          <w:marLeft w:val="0"/>
          <w:marRight w:val="0"/>
          <w:marTop w:val="0"/>
          <w:marBottom w:val="0"/>
          <w:divBdr>
            <w:top w:val="none" w:sz="0" w:space="0" w:color="auto"/>
            <w:left w:val="none" w:sz="0" w:space="0" w:color="auto"/>
            <w:bottom w:val="none" w:sz="0" w:space="0" w:color="auto"/>
            <w:right w:val="none" w:sz="0" w:space="0" w:color="auto"/>
          </w:divBdr>
          <w:divsChild>
            <w:div w:id="668563618">
              <w:marLeft w:val="0"/>
              <w:marRight w:val="0"/>
              <w:marTop w:val="0"/>
              <w:marBottom w:val="0"/>
              <w:divBdr>
                <w:top w:val="none" w:sz="0" w:space="0" w:color="auto"/>
                <w:left w:val="none" w:sz="0" w:space="0" w:color="auto"/>
                <w:bottom w:val="none" w:sz="0" w:space="0" w:color="auto"/>
                <w:right w:val="none" w:sz="0" w:space="0" w:color="auto"/>
              </w:divBdr>
            </w:div>
          </w:divsChild>
        </w:div>
        <w:div w:id="219361706">
          <w:marLeft w:val="0"/>
          <w:marRight w:val="0"/>
          <w:marTop w:val="0"/>
          <w:marBottom w:val="0"/>
          <w:divBdr>
            <w:top w:val="none" w:sz="0" w:space="0" w:color="auto"/>
            <w:left w:val="none" w:sz="0" w:space="0" w:color="auto"/>
            <w:bottom w:val="none" w:sz="0" w:space="0" w:color="auto"/>
            <w:right w:val="none" w:sz="0" w:space="0" w:color="auto"/>
          </w:divBdr>
          <w:divsChild>
            <w:div w:id="362219467">
              <w:marLeft w:val="0"/>
              <w:marRight w:val="0"/>
              <w:marTop w:val="0"/>
              <w:marBottom w:val="0"/>
              <w:divBdr>
                <w:top w:val="none" w:sz="0" w:space="0" w:color="auto"/>
                <w:left w:val="none" w:sz="0" w:space="0" w:color="auto"/>
                <w:bottom w:val="none" w:sz="0" w:space="0" w:color="auto"/>
                <w:right w:val="none" w:sz="0" w:space="0" w:color="auto"/>
              </w:divBdr>
              <w:divsChild>
                <w:div w:id="394666329">
                  <w:marLeft w:val="0"/>
                  <w:marRight w:val="0"/>
                  <w:marTop w:val="0"/>
                  <w:marBottom w:val="0"/>
                  <w:divBdr>
                    <w:top w:val="none" w:sz="0" w:space="0" w:color="auto"/>
                    <w:left w:val="none" w:sz="0" w:space="0" w:color="auto"/>
                    <w:bottom w:val="none" w:sz="0" w:space="0" w:color="auto"/>
                    <w:right w:val="none" w:sz="0" w:space="0" w:color="auto"/>
                  </w:divBdr>
                  <w:divsChild>
                    <w:div w:id="689531554">
                      <w:marLeft w:val="0"/>
                      <w:marRight w:val="0"/>
                      <w:marTop w:val="120"/>
                      <w:marBottom w:val="0"/>
                      <w:divBdr>
                        <w:top w:val="none" w:sz="0" w:space="0" w:color="auto"/>
                        <w:left w:val="none" w:sz="0" w:space="0" w:color="auto"/>
                        <w:bottom w:val="none" w:sz="0" w:space="0" w:color="auto"/>
                        <w:right w:val="none" w:sz="0" w:space="0" w:color="auto"/>
                      </w:divBdr>
                    </w:div>
                    <w:div w:id="1653604990">
                      <w:marLeft w:val="0"/>
                      <w:marRight w:val="0"/>
                      <w:marTop w:val="0"/>
                      <w:marBottom w:val="0"/>
                      <w:divBdr>
                        <w:top w:val="none" w:sz="0" w:space="0" w:color="auto"/>
                        <w:left w:val="none" w:sz="0" w:space="0" w:color="auto"/>
                        <w:bottom w:val="none" w:sz="0" w:space="0" w:color="auto"/>
                        <w:right w:val="none" w:sz="0" w:space="0" w:color="auto"/>
                      </w:divBdr>
                    </w:div>
                  </w:divsChild>
                </w:div>
                <w:div w:id="773861828">
                  <w:marLeft w:val="0"/>
                  <w:marRight w:val="0"/>
                  <w:marTop w:val="0"/>
                  <w:marBottom w:val="0"/>
                  <w:divBdr>
                    <w:top w:val="none" w:sz="0" w:space="0" w:color="auto"/>
                    <w:left w:val="none" w:sz="0" w:space="0" w:color="auto"/>
                    <w:bottom w:val="none" w:sz="0" w:space="0" w:color="auto"/>
                    <w:right w:val="none" w:sz="0" w:space="0" w:color="auto"/>
                  </w:divBdr>
                  <w:divsChild>
                    <w:div w:id="837422596">
                      <w:marLeft w:val="0"/>
                      <w:marRight w:val="0"/>
                      <w:marTop w:val="0"/>
                      <w:marBottom w:val="0"/>
                      <w:divBdr>
                        <w:top w:val="none" w:sz="0" w:space="0" w:color="auto"/>
                        <w:left w:val="none" w:sz="0" w:space="0" w:color="auto"/>
                        <w:bottom w:val="none" w:sz="0" w:space="0" w:color="auto"/>
                        <w:right w:val="none" w:sz="0" w:space="0" w:color="auto"/>
                      </w:divBdr>
                    </w:div>
                    <w:div w:id="1768695165">
                      <w:marLeft w:val="0"/>
                      <w:marRight w:val="0"/>
                      <w:marTop w:val="120"/>
                      <w:marBottom w:val="0"/>
                      <w:divBdr>
                        <w:top w:val="none" w:sz="0" w:space="0" w:color="auto"/>
                        <w:left w:val="none" w:sz="0" w:space="0" w:color="auto"/>
                        <w:bottom w:val="none" w:sz="0" w:space="0" w:color="auto"/>
                        <w:right w:val="none" w:sz="0" w:space="0" w:color="auto"/>
                      </w:divBdr>
                    </w:div>
                  </w:divsChild>
                </w:div>
                <w:div w:id="1845002113">
                  <w:marLeft w:val="0"/>
                  <w:marRight w:val="0"/>
                  <w:marTop w:val="0"/>
                  <w:marBottom w:val="0"/>
                  <w:divBdr>
                    <w:top w:val="none" w:sz="0" w:space="0" w:color="auto"/>
                    <w:left w:val="none" w:sz="0" w:space="0" w:color="auto"/>
                    <w:bottom w:val="none" w:sz="0" w:space="0" w:color="auto"/>
                    <w:right w:val="none" w:sz="0" w:space="0" w:color="auto"/>
                  </w:divBdr>
                  <w:divsChild>
                    <w:div w:id="1047411008">
                      <w:marLeft w:val="0"/>
                      <w:marRight w:val="0"/>
                      <w:marTop w:val="120"/>
                      <w:marBottom w:val="0"/>
                      <w:divBdr>
                        <w:top w:val="none" w:sz="0" w:space="0" w:color="auto"/>
                        <w:left w:val="none" w:sz="0" w:space="0" w:color="auto"/>
                        <w:bottom w:val="none" w:sz="0" w:space="0" w:color="auto"/>
                        <w:right w:val="none" w:sz="0" w:space="0" w:color="auto"/>
                      </w:divBdr>
                    </w:div>
                    <w:div w:id="16466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4218">
          <w:marLeft w:val="0"/>
          <w:marRight w:val="0"/>
          <w:marTop w:val="0"/>
          <w:marBottom w:val="0"/>
          <w:divBdr>
            <w:top w:val="none" w:sz="0" w:space="0" w:color="auto"/>
            <w:left w:val="none" w:sz="0" w:space="0" w:color="auto"/>
            <w:bottom w:val="none" w:sz="0" w:space="0" w:color="auto"/>
            <w:right w:val="none" w:sz="0" w:space="0" w:color="auto"/>
          </w:divBdr>
          <w:divsChild>
            <w:div w:id="804199130">
              <w:marLeft w:val="0"/>
              <w:marRight w:val="0"/>
              <w:marTop w:val="0"/>
              <w:marBottom w:val="0"/>
              <w:divBdr>
                <w:top w:val="none" w:sz="0" w:space="0" w:color="auto"/>
                <w:left w:val="none" w:sz="0" w:space="0" w:color="auto"/>
                <w:bottom w:val="none" w:sz="0" w:space="0" w:color="auto"/>
                <w:right w:val="none" w:sz="0" w:space="0" w:color="auto"/>
              </w:divBdr>
            </w:div>
          </w:divsChild>
        </w:div>
        <w:div w:id="1030842403">
          <w:marLeft w:val="0"/>
          <w:marRight w:val="0"/>
          <w:marTop w:val="0"/>
          <w:marBottom w:val="0"/>
          <w:divBdr>
            <w:top w:val="none" w:sz="0" w:space="0" w:color="auto"/>
            <w:left w:val="none" w:sz="0" w:space="0" w:color="auto"/>
            <w:bottom w:val="none" w:sz="0" w:space="0" w:color="auto"/>
            <w:right w:val="none" w:sz="0" w:space="0" w:color="auto"/>
          </w:divBdr>
          <w:divsChild>
            <w:div w:id="1926379942">
              <w:marLeft w:val="0"/>
              <w:marRight w:val="0"/>
              <w:marTop w:val="0"/>
              <w:marBottom w:val="0"/>
              <w:divBdr>
                <w:top w:val="none" w:sz="0" w:space="0" w:color="auto"/>
                <w:left w:val="none" w:sz="0" w:space="0" w:color="auto"/>
                <w:bottom w:val="none" w:sz="0" w:space="0" w:color="auto"/>
                <w:right w:val="none" w:sz="0" w:space="0" w:color="auto"/>
              </w:divBdr>
            </w:div>
          </w:divsChild>
        </w:div>
        <w:div w:id="1102650713">
          <w:marLeft w:val="0"/>
          <w:marRight w:val="0"/>
          <w:marTop w:val="0"/>
          <w:marBottom w:val="0"/>
          <w:divBdr>
            <w:top w:val="none" w:sz="0" w:space="0" w:color="auto"/>
            <w:left w:val="none" w:sz="0" w:space="0" w:color="auto"/>
            <w:bottom w:val="none" w:sz="0" w:space="0" w:color="auto"/>
            <w:right w:val="none" w:sz="0" w:space="0" w:color="auto"/>
          </w:divBdr>
          <w:divsChild>
            <w:div w:id="936447205">
              <w:marLeft w:val="0"/>
              <w:marRight w:val="0"/>
              <w:marTop w:val="0"/>
              <w:marBottom w:val="0"/>
              <w:divBdr>
                <w:top w:val="none" w:sz="0" w:space="0" w:color="auto"/>
                <w:left w:val="none" w:sz="0" w:space="0" w:color="auto"/>
                <w:bottom w:val="none" w:sz="0" w:space="0" w:color="auto"/>
                <w:right w:val="none" w:sz="0" w:space="0" w:color="auto"/>
              </w:divBdr>
            </w:div>
          </w:divsChild>
        </w:div>
        <w:div w:id="1228148330">
          <w:marLeft w:val="0"/>
          <w:marRight w:val="0"/>
          <w:marTop w:val="0"/>
          <w:marBottom w:val="0"/>
          <w:divBdr>
            <w:top w:val="none" w:sz="0" w:space="0" w:color="auto"/>
            <w:left w:val="none" w:sz="0" w:space="0" w:color="auto"/>
            <w:bottom w:val="none" w:sz="0" w:space="0" w:color="auto"/>
            <w:right w:val="none" w:sz="0" w:space="0" w:color="auto"/>
          </w:divBdr>
          <w:divsChild>
            <w:div w:id="1482771386">
              <w:marLeft w:val="0"/>
              <w:marRight w:val="0"/>
              <w:marTop w:val="0"/>
              <w:marBottom w:val="0"/>
              <w:divBdr>
                <w:top w:val="none" w:sz="0" w:space="0" w:color="auto"/>
                <w:left w:val="none" w:sz="0" w:space="0" w:color="auto"/>
                <w:bottom w:val="none" w:sz="0" w:space="0" w:color="auto"/>
                <w:right w:val="none" w:sz="0" w:space="0" w:color="auto"/>
              </w:divBdr>
            </w:div>
          </w:divsChild>
        </w:div>
        <w:div w:id="1599175773">
          <w:marLeft w:val="0"/>
          <w:marRight w:val="0"/>
          <w:marTop w:val="0"/>
          <w:marBottom w:val="0"/>
          <w:divBdr>
            <w:top w:val="none" w:sz="0" w:space="0" w:color="auto"/>
            <w:left w:val="none" w:sz="0" w:space="0" w:color="auto"/>
            <w:bottom w:val="none" w:sz="0" w:space="0" w:color="auto"/>
            <w:right w:val="none" w:sz="0" w:space="0" w:color="auto"/>
          </w:divBdr>
          <w:divsChild>
            <w:div w:id="1691372028">
              <w:marLeft w:val="0"/>
              <w:marRight w:val="0"/>
              <w:marTop w:val="0"/>
              <w:marBottom w:val="0"/>
              <w:divBdr>
                <w:top w:val="none" w:sz="0" w:space="0" w:color="auto"/>
                <w:left w:val="none" w:sz="0" w:space="0" w:color="auto"/>
                <w:bottom w:val="none" w:sz="0" w:space="0" w:color="auto"/>
                <w:right w:val="none" w:sz="0" w:space="0" w:color="auto"/>
              </w:divBdr>
              <w:divsChild>
                <w:div w:id="368382764">
                  <w:marLeft w:val="0"/>
                  <w:marRight w:val="0"/>
                  <w:marTop w:val="0"/>
                  <w:marBottom w:val="0"/>
                  <w:divBdr>
                    <w:top w:val="none" w:sz="0" w:space="0" w:color="auto"/>
                    <w:left w:val="none" w:sz="0" w:space="0" w:color="auto"/>
                    <w:bottom w:val="none" w:sz="0" w:space="0" w:color="auto"/>
                    <w:right w:val="none" w:sz="0" w:space="0" w:color="auto"/>
                  </w:divBdr>
                  <w:divsChild>
                    <w:div w:id="979919147">
                      <w:marLeft w:val="0"/>
                      <w:marRight w:val="0"/>
                      <w:marTop w:val="120"/>
                      <w:marBottom w:val="0"/>
                      <w:divBdr>
                        <w:top w:val="none" w:sz="0" w:space="0" w:color="auto"/>
                        <w:left w:val="none" w:sz="0" w:space="0" w:color="auto"/>
                        <w:bottom w:val="none" w:sz="0" w:space="0" w:color="auto"/>
                        <w:right w:val="none" w:sz="0" w:space="0" w:color="auto"/>
                      </w:divBdr>
                    </w:div>
                    <w:div w:id="1184176264">
                      <w:marLeft w:val="0"/>
                      <w:marRight w:val="0"/>
                      <w:marTop w:val="0"/>
                      <w:marBottom w:val="0"/>
                      <w:divBdr>
                        <w:top w:val="none" w:sz="0" w:space="0" w:color="auto"/>
                        <w:left w:val="none" w:sz="0" w:space="0" w:color="auto"/>
                        <w:bottom w:val="none" w:sz="0" w:space="0" w:color="auto"/>
                        <w:right w:val="none" w:sz="0" w:space="0" w:color="auto"/>
                      </w:divBdr>
                    </w:div>
                  </w:divsChild>
                </w:div>
                <w:div w:id="1322736729">
                  <w:marLeft w:val="0"/>
                  <w:marRight w:val="0"/>
                  <w:marTop w:val="0"/>
                  <w:marBottom w:val="0"/>
                  <w:divBdr>
                    <w:top w:val="none" w:sz="0" w:space="0" w:color="auto"/>
                    <w:left w:val="none" w:sz="0" w:space="0" w:color="auto"/>
                    <w:bottom w:val="none" w:sz="0" w:space="0" w:color="auto"/>
                    <w:right w:val="none" w:sz="0" w:space="0" w:color="auto"/>
                  </w:divBdr>
                  <w:divsChild>
                    <w:div w:id="367878379">
                      <w:marLeft w:val="0"/>
                      <w:marRight w:val="0"/>
                      <w:marTop w:val="0"/>
                      <w:marBottom w:val="0"/>
                      <w:divBdr>
                        <w:top w:val="none" w:sz="0" w:space="0" w:color="auto"/>
                        <w:left w:val="none" w:sz="0" w:space="0" w:color="auto"/>
                        <w:bottom w:val="none" w:sz="0" w:space="0" w:color="auto"/>
                        <w:right w:val="none" w:sz="0" w:space="0" w:color="auto"/>
                      </w:divBdr>
                    </w:div>
                    <w:div w:id="2029521848">
                      <w:marLeft w:val="0"/>
                      <w:marRight w:val="0"/>
                      <w:marTop w:val="120"/>
                      <w:marBottom w:val="0"/>
                      <w:divBdr>
                        <w:top w:val="none" w:sz="0" w:space="0" w:color="auto"/>
                        <w:left w:val="none" w:sz="0" w:space="0" w:color="auto"/>
                        <w:bottom w:val="none" w:sz="0" w:space="0" w:color="auto"/>
                        <w:right w:val="none" w:sz="0" w:space="0" w:color="auto"/>
                      </w:divBdr>
                    </w:div>
                  </w:divsChild>
                </w:div>
                <w:div w:id="1681809361">
                  <w:marLeft w:val="0"/>
                  <w:marRight w:val="0"/>
                  <w:marTop w:val="0"/>
                  <w:marBottom w:val="0"/>
                  <w:divBdr>
                    <w:top w:val="none" w:sz="0" w:space="0" w:color="auto"/>
                    <w:left w:val="none" w:sz="0" w:space="0" w:color="auto"/>
                    <w:bottom w:val="none" w:sz="0" w:space="0" w:color="auto"/>
                    <w:right w:val="none" w:sz="0" w:space="0" w:color="auto"/>
                  </w:divBdr>
                  <w:divsChild>
                    <w:div w:id="108165807">
                      <w:marLeft w:val="0"/>
                      <w:marRight w:val="0"/>
                      <w:marTop w:val="120"/>
                      <w:marBottom w:val="0"/>
                      <w:divBdr>
                        <w:top w:val="none" w:sz="0" w:space="0" w:color="auto"/>
                        <w:left w:val="none" w:sz="0" w:space="0" w:color="auto"/>
                        <w:bottom w:val="none" w:sz="0" w:space="0" w:color="auto"/>
                        <w:right w:val="none" w:sz="0" w:space="0" w:color="auto"/>
                      </w:divBdr>
                    </w:div>
                    <w:div w:id="11047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2117">
          <w:marLeft w:val="0"/>
          <w:marRight w:val="0"/>
          <w:marTop w:val="0"/>
          <w:marBottom w:val="0"/>
          <w:divBdr>
            <w:top w:val="none" w:sz="0" w:space="0" w:color="auto"/>
            <w:left w:val="none" w:sz="0" w:space="0" w:color="auto"/>
            <w:bottom w:val="none" w:sz="0" w:space="0" w:color="auto"/>
            <w:right w:val="none" w:sz="0" w:space="0" w:color="auto"/>
          </w:divBdr>
          <w:divsChild>
            <w:div w:id="111170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node/8224" TargetMode="External"/><Relationship Id="rId18" Type="http://schemas.openxmlformats.org/officeDocument/2006/relationships/hyperlink" Target="http://eur-lex.europa.eu/legal-content/BG/TXT/HTML/?uri=CELEX:32015R0207&amp;qid=1429787363353&amp;from=EN" TargetMode="External"/><Relationship Id="rId26" Type="http://schemas.openxmlformats.org/officeDocument/2006/relationships/hyperlink" Target="https://ec.europa.eu/regional_policy/policy/communication/how-to-communicate_en" TargetMode="External"/><Relationship Id="rId39" Type="http://schemas.openxmlformats.org/officeDocument/2006/relationships/hyperlink" Target="&#1055;&#1088;&#1080;&#1083;&#1086;&#1078;&#1077;&#1085;&#1080;&#1103;/&#1055;&#1088;&#1080;&#1083;&#1086;&#1078;&#1077;&#1085;&#1080;&#1077;%208%20comm%20planl%202021_2027_F.doc" TargetMode="External"/><Relationship Id="rId3" Type="http://schemas.openxmlformats.org/officeDocument/2006/relationships/styles" Target="styles.xml"/><Relationship Id="rId21" Type="http://schemas.openxmlformats.org/officeDocument/2006/relationships/hyperlink" Target="https://ec.europa.eu/regional_policy/policy/communication/how-to-communicate_en" TargetMode="External"/><Relationship Id="rId34" Type="http://schemas.openxmlformats.org/officeDocument/2006/relationships/hyperlink" Target="&#1055;&#1088;&#1080;&#1083;&#1086;&#1078;&#1077;&#1085;&#1080;&#1103;/&#1055;&#1088;&#1080;&#1083;&#1086;&#1078;&#1077;&#1085;&#1080;&#1077;%201%20&#1044;&#1077;&#1082;&#1083;&#1072;&#1088;&#1072;&#1094;&#1080;&#1103;%20&#1059;&#1050;.docx"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ufunds.bg/bg/node/8223" TargetMode="External"/><Relationship Id="rId17" Type="http://schemas.openxmlformats.org/officeDocument/2006/relationships/hyperlink" Target="https://eur-lex.europa.eu/homepage.html?locale=bg" TargetMode="External"/><Relationship Id="rId25" Type="http://schemas.openxmlformats.org/officeDocument/2006/relationships/hyperlink" Target="https://commission.europa.eu/funding-tenders/managing-your-project/communicating-and-raising-eu-visibility_en" TargetMode="External"/><Relationship Id="rId33" Type="http://schemas.openxmlformats.org/officeDocument/2006/relationships/hyperlink" Target="https://eumis2020.government.bg" TargetMode="External"/><Relationship Id="rId38" Type="http://schemas.openxmlformats.org/officeDocument/2006/relationships/hyperlink" Target="&#1055;&#1088;&#1080;&#1083;&#1086;&#1078;&#1077;&#1085;&#1080;&#1103;/&#1055;&#1088;&#1080;&#1083;&#1086;&#1078;&#1077;&#1085;&#1080;&#1077;%207%20comm%20planl%202021_2027_OSI_F.doc" TargetMode="External"/><Relationship Id="rId2" Type="http://schemas.openxmlformats.org/officeDocument/2006/relationships/numbering" Target="numbering.xml"/><Relationship Id="rId16" Type="http://schemas.openxmlformats.org/officeDocument/2006/relationships/hyperlink" Target="https://egov.government.bg/wps/portal/ministry-meu/home/budget-project-control/verification-compliance-technical-specifications" TargetMode="External"/><Relationship Id="rId20" Type="http://schemas.openxmlformats.org/officeDocument/2006/relationships/hyperlink" Target="https://ec.europa.eu/regional_policy/information-sources/logo-download-center_en" TargetMode="External"/><Relationship Id="rId29"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AUTO/?uri=celex:32021R1058" TargetMode="External"/><Relationship Id="rId24" Type="http://schemas.openxmlformats.org/officeDocument/2006/relationships/hyperlink" Target="https://commission.europa.eu/resources-partners/european-commission-visual-identity_en" TargetMode="External"/><Relationship Id="rId32"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37" Type="http://schemas.openxmlformats.org/officeDocument/2006/relationships/hyperlink" Target="&#1055;&#1088;&#1080;&#1083;&#1086;&#1078;&#1077;&#1085;&#1080;&#1103;/&#1055;&#1088;&#1080;&#1083;&#1086;&#1078;&#1077;&#1085;&#1080;&#1077;%206%20Metodology_Criteria%20for%20selection%20of%20operations_under%20PTC_adopt15032023.docx" TargetMode="External"/><Relationship Id="rId40" Type="http://schemas.openxmlformats.org/officeDocument/2006/relationships/hyperlink" Target="&#1055;&#1088;&#1080;&#1083;&#1086;&#1078;&#1077;&#1085;&#1080;&#1103;/&#1055;&#1088;&#1080;&#1083;&#1086;&#1078;&#1077;&#1085;&#1080;&#1103;%209.7z"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yperlink" Target="https://ec.europa.eu/regional_policy/sources/policy/communication/support_kit_visibility_2127_en.pdf" TargetMode="External"/><Relationship Id="rId28" Type="http://schemas.openxmlformats.org/officeDocument/2006/relationships/hyperlink" Target="https://www.minfin.bg/bg/1579" TargetMode="External"/><Relationship Id="rId36" Type="http://schemas.openxmlformats.org/officeDocument/2006/relationships/hyperlink" Target="&#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10" Type="http://schemas.openxmlformats.org/officeDocument/2006/relationships/hyperlink" Target="https://eur-lex.europa.eu/legal-content/BG/AUTO/?uri=celex:32021R1058" TargetMode="External"/><Relationship Id="rId19" Type="http://schemas.openxmlformats.org/officeDocument/2006/relationships/hyperlink" Target="http://eur-lex.europa.eu/legal-content/BG/TXT/HTML/?uri=CELEX:32015R0207&amp;qid=1429787363353&amp;from=EN" TargetMode="External"/><Relationship Id="rId31"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yperlink" Target="https://eumis2020.government.bg/" TargetMode="External"/><Relationship Id="rId22" Type="http://schemas.openxmlformats.org/officeDocument/2006/relationships/hyperlink" Target="https://ec.europa.eu/regional_policy/policy/communication/online-generator_en" TargetMode="External"/><Relationship Id="rId27" Type="http://schemas.openxmlformats.org/officeDocument/2006/relationships/hyperlink" Target="https://eumis2020.government.bg/bg/s/Help/Index" TargetMode="External"/><Relationship Id="rId30"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35" Type="http://schemas.openxmlformats.org/officeDocument/2006/relationships/hyperlink" Target="&#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infin.bg/upload/19193/DNF%E2%84%963_23.12.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982C6-A5A7-425F-A363-EB6ED663F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49</Pages>
  <Words>19025</Words>
  <Characters>108446</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Daniela Kalaydzhiyska-Ivanova</cp:lastModifiedBy>
  <cp:revision>30</cp:revision>
  <cp:lastPrinted>2023-04-12T11:04:00Z</cp:lastPrinted>
  <dcterms:created xsi:type="dcterms:W3CDTF">2023-05-26T09:03:00Z</dcterms:created>
  <dcterms:modified xsi:type="dcterms:W3CDTF">2023-05-30T11:14:00Z</dcterms:modified>
</cp:coreProperties>
</file>