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03477" w14:textId="77777777" w:rsidR="00F27730" w:rsidRPr="00D561CD" w:rsidRDefault="00F27730" w:rsidP="00F27730">
      <w:pPr>
        <w:spacing w:before="120"/>
        <w:jc w:val="both"/>
        <w:rPr>
          <w:rFonts w:ascii="Times New Roman" w:hAnsi="Times New Roman" w:cs="Times New Roman"/>
          <w:b/>
          <w:color w:val="FFFFFF" w:themeColor="background1"/>
          <w:sz w:val="24"/>
          <w:szCs w:val="24"/>
        </w:rPr>
      </w:pPr>
      <w:r w:rsidRPr="00D561CD">
        <w:rPr>
          <w:rFonts w:ascii="Times New Roman" w:hAnsi="Times New Roman" w:cs="Times New Roman"/>
          <w:b/>
          <w:color w:val="FFFFFF" w:themeColor="background1"/>
          <w:sz w:val="24"/>
          <w:szCs w:val="24"/>
        </w:rPr>
        <w:t>Утвърждавам:</w:t>
      </w:r>
    </w:p>
    <w:p w14:paraId="755965F6" w14:textId="77777777" w:rsidR="00F27730" w:rsidRPr="00D561CD" w:rsidRDefault="00F27730" w:rsidP="00F27730">
      <w:pPr>
        <w:jc w:val="both"/>
        <w:rPr>
          <w:rFonts w:ascii="Times New Roman" w:hAnsi="Times New Roman" w:cs="Times New Roman"/>
          <w:b/>
          <w:color w:val="FFFFFF" w:themeColor="background1"/>
          <w:sz w:val="24"/>
          <w:szCs w:val="24"/>
        </w:rPr>
      </w:pPr>
    </w:p>
    <w:p w14:paraId="01A97912" w14:textId="77777777" w:rsidR="00F27730" w:rsidRPr="00D561CD" w:rsidRDefault="00F27730" w:rsidP="00F27730">
      <w:pPr>
        <w:jc w:val="both"/>
        <w:rPr>
          <w:rFonts w:ascii="Times New Roman" w:hAnsi="Times New Roman" w:cs="Times New Roman"/>
          <w:b/>
          <w:color w:val="FFFFFF" w:themeColor="background1"/>
          <w:sz w:val="24"/>
          <w:szCs w:val="24"/>
        </w:rPr>
      </w:pPr>
    </w:p>
    <w:p w14:paraId="5D964DD3" w14:textId="77777777" w:rsidR="00F27730" w:rsidRPr="00D561CD" w:rsidRDefault="00F27730" w:rsidP="00F27730">
      <w:pPr>
        <w:jc w:val="both"/>
        <w:rPr>
          <w:rFonts w:ascii="Times New Roman" w:hAnsi="Times New Roman" w:cs="Times New Roman"/>
          <w:b/>
          <w:color w:val="FFFFFF" w:themeColor="background1"/>
          <w:sz w:val="24"/>
          <w:szCs w:val="24"/>
          <w:lang w:val="en-US"/>
        </w:rPr>
      </w:pPr>
    </w:p>
    <w:p w14:paraId="6A3490E3" w14:textId="77777777" w:rsidR="00F27730" w:rsidRPr="00D561CD" w:rsidRDefault="00F27730" w:rsidP="00F27730">
      <w:pPr>
        <w:spacing w:after="0" w:line="240" w:lineRule="auto"/>
        <w:jc w:val="both"/>
        <w:rPr>
          <w:rFonts w:ascii="Times New Roman" w:hAnsi="Times New Roman" w:cs="Times New Roman"/>
          <w:b/>
          <w:color w:val="FFFFFF" w:themeColor="background1"/>
          <w:sz w:val="24"/>
          <w:szCs w:val="24"/>
        </w:rPr>
      </w:pPr>
      <w:r w:rsidRPr="00D561CD">
        <w:rPr>
          <w:rFonts w:ascii="Times New Roman" w:hAnsi="Times New Roman" w:cs="Times New Roman"/>
          <w:b/>
          <w:color w:val="FFFFFF" w:themeColor="background1"/>
          <w:sz w:val="24"/>
          <w:szCs w:val="24"/>
        </w:rPr>
        <w:t>Мартин Георгиев</w:t>
      </w:r>
    </w:p>
    <w:p w14:paraId="7DA735B8" w14:textId="77777777" w:rsidR="00F27730" w:rsidRPr="00D561CD" w:rsidRDefault="00F27730" w:rsidP="00F27730">
      <w:pPr>
        <w:spacing w:after="0" w:line="240" w:lineRule="auto"/>
        <w:jc w:val="both"/>
        <w:rPr>
          <w:rFonts w:ascii="Times New Roman" w:hAnsi="Times New Roman" w:cs="Times New Roman"/>
          <w:i/>
          <w:color w:val="FFFFFF" w:themeColor="background1"/>
          <w:sz w:val="24"/>
          <w:szCs w:val="24"/>
        </w:rPr>
      </w:pPr>
      <w:r w:rsidRPr="00D561CD">
        <w:rPr>
          <w:rFonts w:ascii="Times New Roman" w:hAnsi="Times New Roman" w:cs="Times New Roman"/>
          <w:i/>
          <w:color w:val="FFFFFF" w:themeColor="background1"/>
          <w:sz w:val="24"/>
          <w:szCs w:val="24"/>
        </w:rPr>
        <w:t xml:space="preserve">Ръководител на Управляващия орган на </w:t>
      </w:r>
    </w:p>
    <w:p w14:paraId="12C4CB35" w14:textId="77777777" w:rsidR="00F27730" w:rsidRPr="00D561CD" w:rsidRDefault="00F27730" w:rsidP="00F27730">
      <w:pPr>
        <w:spacing w:after="0" w:line="240" w:lineRule="auto"/>
        <w:jc w:val="both"/>
        <w:rPr>
          <w:rFonts w:ascii="Times New Roman" w:hAnsi="Times New Roman" w:cs="Times New Roman"/>
          <w:i/>
          <w:color w:val="FFFFFF" w:themeColor="background1"/>
          <w:sz w:val="24"/>
          <w:szCs w:val="24"/>
        </w:rPr>
      </w:pPr>
      <w:r w:rsidRPr="00D561CD">
        <w:rPr>
          <w:rFonts w:ascii="Times New Roman" w:hAnsi="Times New Roman" w:cs="Times New Roman"/>
          <w:i/>
          <w:color w:val="FFFFFF" w:themeColor="background1"/>
          <w:sz w:val="24"/>
          <w:szCs w:val="24"/>
        </w:rPr>
        <w:t xml:space="preserve">Програма „Транспортна свързаност” 2021-2027 г. и </w:t>
      </w:r>
    </w:p>
    <w:p w14:paraId="22B4715E" w14:textId="78D4BF81" w:rsidR="00F27730" w:rsidRPr="00D561CD" w:rsidRDefault="00F27730" w:rsidP="00F27730">
      <w:pPr>
        <w:spacing w:after="0" w:line="240" w:lineRule="auto"/>
        <w:jc w:val="both"/>
        <w:rPr>
          <w:rFonts w:ascii="Times New Roman" w:hAnsi="Times New Roman" w:cs="Times New Roman"/>
          <w:i/>
          <w:color w:val="FFFFFF" w:themeColor="background1"/>
          <w:sz w:val="24"/>
          <w:szCs w:val="24"/>
        </w:rPr>
      </w:pPr>
      <w:r w:rsidRPr="00D561CD">
        <w:rPr>
          <w:rFonts w:ascii="Times New Roman" w:hAnsi="Times New Roman" w:cs="Times New Roman"/>
          <w:i/>
          <w:color w:val="FFFFFF" w:themeColor="background1"/>
          <w:sz w:val="24"/>
          <w:szCs w:val="24"/>
        </w:rPr>
        <w:t xml:space="preserve">директор на дирекция „Координация на </w:t>
      </w:r>
      <w:proofErr w:type="spellStart"/>
      <w:r w:rsidRPr="00D561CD">
        <w:rPr>
          <w:rFonts w:ascii="Times New Roman" w:hAnsi="Times New Roman" w:cs="Times New Roman"/>
          <w:i/>
          <w:color w:val="FFFFFF" w:themeColor="background1"/>
          <w:sz w:val="24"/>
          <w:szCs w:val="24"/>
        </w:rPr>
        <w:t>прами</w:t>
      </w:r>
      <w:proofErr w:type="spellEnd"/>
      <w:r w:rsidRPr="00D561CD">
        <w:rPr>
          <w:rFonts w:ascii="Times New Roman" w:hAnsi="Times New Roman" w:cs="Times New Roman"/>
          <w:i/>
          <w:color w:val="FFFFFF" w:themeColor="background1"/>
          <w:sz w:val="24"/>
          <w:szCs w:val="24"/>
        </w:rPr>
        <w:t xml:space="preserve"> и проекти“ в </w:t>
      </w:r>
    </w:p>
    <w:p w14:paraId="7F6DF711" w14:textId="77777777" w:rsidR="00F27730" w:rsidRPr="00D561CD" w:rsidRDefault="00F27730" w:rsidP="00F27730">
      <w:pPr>
        <w:spacing w:after="0" w:line="240" w:lineRule="auto"/>
        <w:jc w:val="both"/>
        <w:rPr>
          <w:rFonts w:ascii="Times New Roman" w:hAnsi="Times New Roman" w:cs="Times New Roman"/>
          <w:i/>
          <w:color w:val="FFFFFF" w:themeColor="background1"/>
          <w:sz w:val="24"/>
          <w:szCs w:val="24"/>
        </w:rPr>
      </w:pPr>
      <w:r w:rsidRPr="00D561CD">
        <w:rPr>
          <w:rFonts w:ascii="Times New Roman" w:hAnsi="Times New Roman" w:cs="Times New Roman"/>
          <w:i/>
          <w:color w:val="FFFFFF" w:themeColor="background1"/>
          <w:sz w:val="24"/>
          <w:szCs w:val="24"/>
        </w:rPr>
        <w:t>Министерството на транспорта и съобщенията</w:t>
      </w:r>
    </w:p>
    <w:p w14:paraId="601FE0B4" w14:textId="2FD4107B" w:rsidR="00F70FBC" w:rsidRPr="008D4AB4" w:rsidRDefault="00F70FBC" w:rsidP="0049597E">
      <w:pPr>
        <w:spacing w:after="60"/>
        <w:rPr>
          <w:rFonts w:ascii="Times New Roman" w:eastAsia="Times New Roman" w:hAnsi="Times New Roman" w:cs="Times New Roman"/>
          <w:b/>
          <w:snapToGrid w:val="0"/>
          <w:sz w:val="24"/>
          <w:szCs w:val="24"/>
          <w:lang w:val="en-US"/>
        </w:rPr>
      </w:pPr>
    </w:p>
    <w:p w14:paraId="45ABAAF5" w14:textId="182A3C8D" w:rsidR="00F27730" w:rsidRPr="008D4AB4" w:rsidRDefault="00F27730" w:rsidP="0049597E">
      <w:pPr>
        <w:spacing w:after="120" w:line="240" w:lineRule="auto"/>
        <w:jc w:val="center"/>
        <w:rPr>
          <w:rFonts w:ascii="Times New Roman" w:eastAsia="Times New Roman" w:hAnsi="Times New Roman" w:cs="Times New Roman"/>
          <w:b/>
          <w:snapToGrid w:val="0"/>
          <w:sz w:val="24"/>
          <w:szCs w:val="24"/>
        </w:rPr>
      </w:pPr>
    </w:p>
    <w:p w14:paraId="6B03E802" w14:textId="77777777" w:rsidR="0049597E" w:rsidRPr="008D4AB4" w:rsidRDefault="0049597E" w:rsidP="0049597E">
      <w:pPr>
        <w:spacing w:after="0" w:line="240" w:lineRule="auto"/>
        <w:jc w:val="center"/>
        <w:rPr>
          <w:rFonts w:ascii="Times New Roman" w:hAnsi="Times New Roman" w:cs="Times New Roman"/>
          <w:b/>
          <w:sz w:val="28"/>
          <w:szCs w:val="28"/>
        </w:rPr>
      </w:pPr>
    </w:p>
    <w:p w14:paraId="0FE8899E" w14:textId="77777777" w:rsidR="0049597E" w:rsidRPr="008D4AB4" w:rsidRDefault="0049597E" w:rsidP="0049597E">
      <w:pPr>
        <w:spacing w:after="0" w:line="240" w:lineRule="auto"/>
        <w:jc w:val="center"/>
        <w:rPr>
          <w:rFonts w:ascii="Times New Roman" w:eastAsia="Calibri" w:hAnsi="Times New Roman" w:cs="Times New Roman"/>
          <w:b/>
          <w:sz w:val="28"/>
          <w:szCs w:val="28"/>
        </w:rPr>
      </w:pPr>
      <w:r w:rsidRPr="008D4AB4">
        <w:rPr>
          <w:rFonts w:ascii="Times New Roman" w:eastAsia="Calibri" w:hAnsi="Times New Roman" w:cs="Times New Roman"/>
          <w:b/>
          <w:sz w:val="28"/>
          <w:szCs w:val="28"/>
        </w:rPr>
        <w:t>УСЛОВИЯ ЗА КАНДИДАТСТВАНЕ</w:t>
      </w:r>
    </w:p>
    <w:p w14:paraId="5038C5A1" w14:textId="1837E4BC" w:rsidR="0049597E" w:rsidRPr="007415ED" w:rsidRDefault="0049597E" w:rsidP="007415ED">
      <w:pPr>
        <w:spacing w:after="0"/>
        <w:jc w:val="center"/>
        <w:rPr>
          <w:rFonts w:ascii="Times New Roman" w:hAnsi="Times New Roman" w:cs="Times New Roman"/>
          <w:sz w:val="28"/>
          <w:szCs w:val="28"/>
        </w:rPr>
      </w:pPr>
      <w:r w:rsidRPr="007415ED">
        <w:rPr>
          <w:rFonts w:ascii="Times New Roman" w:eastAsia="Calibri" w:hAnsi="Times New Roman" w:cs="Times New Roman"/>
          <w:sz w:val="28"/>
          <w:szCs w:val="28"/>
        </w:rPr>
        <w:t xml:space="preserve">за предоставяне на безвъзмездна финансова помощ </w:t>
      </w:r>
    </w:p>
    <w:p w14:paraId="6FA689D4" w14:textId="11B0A22A" w:rsidR="007415ED" w:rsidRPr="00520A95" w:rsidRDefault="007415ED" w:rsidP="007415ED">
      <w:pPr>
        <w:spacing w:after="0"/>
        <w:jc w:val="center"/>
        <w:rPr>
          <w:rFonts w:ascii="Times New Roman" w:hAnsi="Times New Roman" w:cs="Times New Roman"/>
          <w:sz w:val="28"/>
          <w:szCs w:val="28"/>
        </w:rPr>
      </w:pPr>
      <w:r>
        <w:rPr>
          <w:rFonts w:ascii="Times New Roman" w:hAnsi="Times New Roman" w:cs="Times New Roman"/>
          <w:b/>
          <w:sz w:val="28"/>
          <w:szCs w:val="28"/>
        </w:rPr>
        <w:t>по приоритет 1</w:t>
      </w:r>
      <w:r w:rsidRPr="007415ED">
        <w:rPr>
          <w:rFonts w:ascii="Times New Roman" w:hAnsi="Times New Roman" w:cs="Times New Roman"/>
          <w:b/>
          <w:sz w:val="28"/>
          <w:szCs w:val="28"/>
        </w:rPr>
        <w:t xml:space="preserve"> „Развитие на железопътната инфраструктура по „основната“ и „</w:t>
      </w:r>
      <w:proofErr w:type="spellStart"/>
      <w:r w:rsidRPr="007415ED">
        <w:rPr>
          <w:rFonts w:ascii="Times New Roman" w:hAnsi="Times New Roman" w:cs="Times New Roman"/>
          <w:b/>
          <w:sz w:val="28"/>
          <w:szCs w:val="28"/>
        </w:rPr>
        <w:t>широкообхватната</w:t>
      </w:r>
      <w:proofErr w:type="spellEnd"/>
      <w:r w:rsidRPr="007415ED">
        <w:rPr>
          <w:rFonts w:ascii="Times New Roman" w:hAnsi="Times New Roman" w:cs="Times New Roman"/>
          <w:b/>
          <w:sz w:val="28"/>
          <w:szCs w:val="28"/>
        </w:rPr>
        <w:t xml:space="preserve">“ </w:t>
      </w:r>
      <w:proofErr w:type="spellStart"/>
      <w:r w:rsidRPr="007415ED">
        <w:rPr>
          <w:rFonts w:ascii="Times New Roman" w:hAnsi="Times New Roman" w:cs="Times New Roman"/>
          <w:b/>
          <w:sz w:val="28"/>
          <w:szCs w:val="28"/>
        </w:rPr>
        <w:t>Тр</w:t>
      </w:r>
      <w:r>
        <w:rPr>
          <w:rFonts w:ascii="Times New Roman" w:hAnsi="Times New Roman" w:cs="Times New Roman"/>
          <w:b/>
          <w:sz w:val="28"/>
          <w:szCs w:val="28"/>
        </w:rPr>
        <w:t>ансевропейска</w:t>
      </w:r>
      <w:proofErr w:type="spellEnd"/>
      <w:r>
        <w:rPr>
          <w:rFonts w:ascii="Times New Roman" w:hAnsi="Times New Roman" w:cs="Times New Roman"/>
          <w:b/>
          <w:sz w:val="28"/>
          <w:szCs w:val="28"/>
        </w:rPr>
        <w:t xml:space="preserve"> транспортна мрежа“</w:t>
      </w:r>
      <w:r w:rsidRPr="007415ED">
        <w:rPr>
          <w:rFonts w:ascii="Times New Roman" w:eastAsia="Calibri" w:hAnsi="Times New Roman" w:cs="Times New Roman"/>
          <w:b/>
          <w:sz w:val="28"/>
          <w:szCs w:val="28"/>
        </w:rPr>
        <w:t xml:space="preserve"> </w:t>
      </w:r>
      <w:r w:rsidRPr="007415ED">
        <w:rPr>
          <w:rFonts w:ascii="Times New Roman" w:eastAsia="Calibri" w:hAnsi="Times New Roman" w:cs="Times New Roman"/>
          <w:sz w:val="28"/>
          <w:szCs w:val="28"/>
        </w:rPr>
        <w:t xml:space="preserve">на </w:t>
      </w:r>
      <w:r w:rsidRPr="007415ED">
        <w:rPr>
          <w:rFonts w:ascii="Times New Roman" w:eastAsia="Times New Roman" w:hAnsi="Times New Roman" w:cs="Times New Roman"/>
          <w:snapToGrid w:val="0"/>
          <w:sz w:val="28"/>
          <w:szCs w:val="24"/>
        </w:rPr>
        <w:t>Програма „Транспортна свързаност” 2021-2027 г.</w:t>
      </w:r>
      <w:r w:rsidR="00520A95">
        <w:rPr>
          <w:rFonts w:ascii="Times New Roman" w:eastAsia="Times New Roman" w:hAnsi="Times New Roman" w:cs="Times New Roman"/>
          <w:snapToGrid w:val="0"/>
          <w:sz w:val="28"/>
          <w:szCs w:val="24"/>
          <w:lang w:val="en-US"/>
        </w:rPr>
        <w:t xml:space="preserve"> </w:t>
      </w:r>
      <w:r w:rsidR="00520A95">
        <w:rPr>
          <w:rFonts w:ascii="Times New Roman" w:eastAsia="Times New Roman" w:hAnsi="Times New Roman" w:cs="Times New Roman"/>
          <w:snapToGrid w:val="0"/>
          <w:sz w:val="28"/>
          <w:szCs w:val="24"/>
        </w:rPr>
        <w:t>по:</w:t>
      </w:r>
    </w:p>
    <w:p w14:paraId="5CA3796F" w14:textId="3EABD2EF" w:rsidR="00EF07D4" w:rsidRPr="007415ED" w:rsidRDefault="00EF07D4" w:rsidP="000D5298">
      <w:pPr>
        <w:spacing w:after="240"/>
        <w:jc w:val="center"/>
        <w:rPr>
          <w:rFonts w:ascii="Times New Roman" w:hAnsi="Times New Roman" w:cs="Times New Roman"/>
          <w:b/>
          <w:sz w:val="28"/>
          <w:szCs w:val="28"/>
        </w:rPr>
      </w:pPr>
    </w:p>
    <w:p w14:paraId="4A97AB22" w14:textId="77777777" w:rsidR="00520A95" w:rsidRDefault="00520A95" w:rsidP="00520A95">
      <w:pPr>
        <w:pStyle w:val="ListParagraph"/>
        <w:numPr>
          <w:ilvl w:val="0"/>
          <w:numId w:val="6"/>
        </w:numPr>
        <w:jc w:val="both"/>
        <w:rPr>
          <w:rFonts w:ascii="Times New Roman" w:hAnsi="Times New Roman" w:cs="Times New Roman"/>
          <w:sz w:val="24"/>
          <w:szCs w:val="24"/>
        </w:rPr>
      </w:pPr>
      <w:r w:rsidRPr="0047161F">
        <w:rPr>
          <w:rFonts w:ascii="Times New Roman" w:hAnsi="Times New Roman" w:cs="Times New Roman"/>
          <w:sz w:val="24"/>
          <w:szCs w:val="24"/>
        </w:rPr>
        <w:t>Процедура № 2021BG16FFPR001-1.001 „</w:t>
      </w:r>
      <w:r w:rsidRPr="00073A78">
        <w:rPr>
          <w:rFonts w:ascii="Times New Roman" w:hAnsi="Times New Roman" w:cs="Times New Roman"/>
          <w:b/>
          <w:sz w:val="24"/>
          <w:szCs w:val="24"/>
        </w:rPr>
        <w:t>Развитие на железопътната инфраструктура по „основната“ и „</w:t>
      </w:r>
      <w:proofErr w:type="spellStart"/>
      <w:r w:rsidRPr="00073A78">
        <w:rPr>
          <w:rFonts w:ascii="Times New Roman" w:hAnsi="Times New Roman" w:cs="Times New Roman"/>
          <w:b/>
          <w:sz w:val="24"/>
          <w:szCs w:val="24"/>
        </w:rPr>
        <w:t>широкообхватната</w:t>
      </w:r>
      <w:proofErr w:type="spellEnd"/>
      <w:r w:rsidRPr="00073A78">
        <w:rPr>
          <w:rFonts w:ascii="Times New Roman" w:hAnsi="Times New Roman" w:cs="Times New Roman"/>
          <w:b/>
          <w:sz w:val="24"/>
          <w:szCs w:val="24"/>
        </w:rPr>
        <w:t xml:space="preserve">“ </w:t>
      </w:r>
      <w:proofErr w:type="spellStart"/>
      <w:r w:rsidRPr="00073A78">
        <w:rPr>
          <w:rFonts w:ascii="Times New Roman" w:hAnsi="Times New Roman" w:cs="Times New Roman"/>
          <w:b/>
          <w:sz w:val="24"/>
          <w:szCs w:val="24"/>
        </w:rPr>
        <w:t>Трансевропейска</w:t>
      </w:r>
      <w:proofErr w:type="spellEnd"/>
      <w:r w:rsidRPr="00073A78">
        <w:rPr>
          <w:rFonts w:ascii="Times New Roman" w:hAnsi="Times New Roman" w:cs="Times New Roman"/>
          <w:b/>
          <w:sz w:val="24"/>
          <w:szCs w:val="24"/>
        </w:rPr>
        <w:t xml:space="preserve"> транспортна мрежа – Инвестиционни проекти“</w:t>
      </w:r>
      <w:r>
        <w:rPr>
          <w:rFonts w:ascii="Times New Roman" w:hAnsi="Times New Roman" w:cs="Times New Roman"/>
          <w:sz w:val="24"/>
          <w:szCs w:val="24"/>
        </w:rPr>
        <w:t>;</w:t>
      </w:r>
    </w:p>
    <w:p w14:paraId="378D2679" w14:textId="77777777" w:rsidR="00520A95" w:rsidRDefault="00520A95" w:rsidP="00520A95">
      <w:pPr>
        <w:pStyle w:val="ListParagraph"/>
        <w:numPr>
          <w:ilvl w:val="0"/>
          <w:numId w:val="6"/>
        </w:numPr>
        <w:jc w:val="both"/>
        <w:rPr>
          <w:rFonts w:ascii="Times New Roman" w:hAnsi="Times New Roman" w:cs="Times New Roman"/>
          <w:sz w:val="24"/>
          <w:szCs w:val="24"/>
        </w:rPr>
      </w:pPr>
      <w:r w:rsidRPr="0047161F">
        <w:rPr>
          <w:rFonts w:ascii="Times New Roman" w:hAnsi="Times New Roman" w:cs="Times New Roman"/>
          <w:sz w:val="24"/>
          <w:szCs w:val="24"/>
        </w:rPr>
        <w:t>Процедура №</w:t>
      </w:r>
      <w:r>
        <w:rPr>
          <w:rFonts w:ascii="Times New Roman" w:hAnsi="Times New Roman" w:cs="Times New Roman"/>
          <w:sz w:val="24"/>
          <w:szCs w:val="24"/>
        </w:rPr>
        <w:t xml:space="preserve"> </w:t>
      </w:r>
      <w:r w:rsidRPr="0047161F">
        <w:rPr>
          <w:rFonts w:ascii="Times New Roman" w:hAnsi="Times New Roman" w:cs="Times New Roman"/>
          <w:sz w:val="24"/>
          <w:szCs w:val="24"/>
        </w:rPr>
        <w:t>2021BG16FFPR001-1.002  „</w:t>
      </w:r>
      <w:r w:rsidRPr="00073A78">
        <w:rPr>
          <w:rFonts w:ascii="Times New Roman" w:hAnsi="Times New Roman" w:cs="Times New Roman"/>
          <w:b/>
          <w:sz w:val="24"/>
          <w:szCs w:val="24"/>
        </w:rPr>
        <w:t>Развитие на железопътната инфраструктура по „основната“ и „</w:t>
      </w:r>
      <w:proofErr w:type="spellStart"/>
      <w:r w:rsidRPr="00073A78">
        <w:rPr>
          <w:rFonts w:ascii="Times New Roman" w:hAnsi="Times New Roman" w:cs="Times New Roman"/>
          <w:b/>
          <w:sz w:val="24"/>
          <w:szCs w:val="24"/>
        </w:rPr>
        <w:t>широкообхватната</w:t>
      </w:r>
      <w:proofErr w:type="spellEnd"/>
      <w:r w:rsidRPr="00073A78">
        <w:rPr>
          <w:rFonts w:ascii="Times New Roman" w:hAnsi="Times New Roman" w:cs="Times New Roman"/>
          <w:b/>
          <w:sz w:val="24"/>
          <w:szCs w:val="24"/>
        </w:rPr>
        <w:t xml:space="preserve">“ </w:t>
      </w:r>
      <w:proofErr w:type="spellStart"/>
      <w:r w:rsidRPr="00073A78">
        <w:rPr>
          <w:rFonts w:ascii="Times New Roman" w:hAnsi="Times New Roman" w:cs="Times New Roman"/>
          <w:b/>
          <w:sz w:val="24"/>
          <w:szCs w:val="24"/>
        </w:rPr>
        <w:t>Трансевропейска</w:t>
      </w:r>
      <w:proofErr w:type="spellEnd"/>
      <w:r w:rsidRPr="00073A78">
        <w:rPr>
          <w:rFonts w:ascii="Times New Roman" w:hAnsi="Times New Roman" w:cs="Times New Roman"/>
          <w:b/>
          <w:sz w:val="24"/>
          <w:szCs w:val="24"/>
        </w:rPr>
        <w:t xml:space="preserve"> транспортна мрежа – Техническа помощ“</w:t>
      </w:r>
      <w:r>
        <w:rPr>
          <w:rFonts w:ascii="Times New Roman" w:hAnsi="Times New Roman" w:cs="Times New Roman"/>
          <w:sz w:val="24"/>
          <w:szCs w:val="24"/>
        </w:rPr>
        <w:t>.</w:t>
      </w:r>
    </w:p>
    <w:p w14:paraId="0CCD8DDC" w14:textId="2BE81AC6" w:rsidR="00F45C8B" w:rsidRPr="008D4AB4" w:rsidRDefault="00F45C8B" w:rsidP="000D5298">
      <w:pPr>
        <w:spacing w:after="240"/>
        <w:jc w:val="center"/>
        <w:rPr>
          <w:rFonts w:ascii="Times New Roman" w:hAnsi="Times New Roman" w:cs="Times New Roman"/>
          <w:b/>
          <w:sz w:val="28"/>
          <w:szCs w:val="28"/>
          <w:lang w:val="en-US"/>
        </w:rPr>
      </w:pPr>
    </w:p>
    <w:p w14:paraId="1412AEC9" w14:textId="5FCA029F" w:rsidR="00F45C8B" w:rsidRPr="008D4AB4" w:rsidRDefault="00F45C8B" w:rsidP="000D5298">
      <w:pPr>
        <w:spacing w:after="240"/>
        <w:jc w:val="center"/>
        <w:rPr>
          <w:rFonts w:ascii="Times New Roman" w:hAnsi="Times New Roman" w:cs="Times New Roman"/>
          <w:b/>
          <w:sz w:val="28"/>
          <w:szCs w:val="28"/>
          <w:lang w:val="en-US"/>
        </w:rPr>
      </w:pPr>
    </w:p>
    <w:p w14:paraId="0105FC59" w14:textId="2B5590ED" w:rsidR="00F45C8B" w:rsidRPr="008D4AB4" w:rsidRDefault="00F45C8B" w:rsidP="000D5298">
      <w:pPr>
        <w:spacing w:after="240"/>
        <w:jc w:val="center"/>
        <w:rPr>
          <w:rFonts w:ascii="Times New Roman" w:hAnsi="Times New Roman" w:cs="Times New Roman"/>
          <w:b/>
          <w:sz w:val="28"/>
          <w:szCs w:val="28"/>
          <w:lang w:val="en-US"/>
        </w:rPr>
      </w:pPr>
    </w:p>
    <w:p w14:paraId="0CA59B48" w14:textId="7C2328A3" w:rsidR="00F45C8B" w:rsidRPr="008D4AB4" w:rsidRDefault="00F45C8B" w:rsidP="000D5298">
      <w:pPr>
        <w:spacing w:after="240"/>
        <w:jc w:val="center"/>
        <w:rPr>
          <w:rFonts w:ascii="Times New Roman" w:hAnsi="Times New Roman" w:cs="Times New Roman"/>
          <w:b/>
          <w:sz w:val="28"/>
          <w:szCs w:val="28"/>
          <w:lang w:val="en-US"/>
        </w:rPr>
      </w:pPr>
    </w:p>
    <w:p w14:paraId="24456DDE" w14:textId="7FB8BEFC" w:rsidR="00F45C8B" w:rsidRPr="008D4AB4" w:rsidRDefault="00F45C8B" w:rsidP="000D5298">
      <w:pPr>
        <w:spacing w:after="240"/>
        <w:jc w:val="center"/>
        <w:rPr>
          <w:rFonts w:ascii="Times New Roman" w:hAnsi="Times New Roman" w:cs="Times New Roman"/>
          <w:b/>
          <w:sz w:val="28"/>
          <w:szCs w:val="28"/>
          <w:lang w:val="en-US"/>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EF07D4" w:rsidRPr="0047161F" w14:paraId="2DF87CA8" w14:textId="77777777" w:rsidTr="00F45C8B">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09AF209F" w14:textId="77777777" w:rsidR="00EF07D4" w:rsidRPr="0047161F" w:rsidRDefault="00EF07D4" w:rsidP="00F45C8B">
            <w:pPr>
              <w:rPr>
                <w:rFonts w:ascii="Times New Roman" w:hAnsi="Times New Roman" w:cs="Times New Roman"/>
                <w:i/>
                <w:sz w:val="10"/>
                <w:szCs w:val="10"/>
              </w:rPr>
            </w:pPr>
          </w:p>
          <w:p w14:paraId="1E8330FB" w14:textId="77777777" w:rsidR="00EF07D4" w:rsidRPr="0047161F" w:rsidRDefault="00EF07D4" w:rsidP="00F45C8B">
            <w:pPr>
              <w:ind w:left="204"/>
              <w:rPr>
                <w:rFonts w:ascii="Times New Roman" w:hAnsi="Times New Roman" w:cs="Times New Roman"/>
                <w:i/>
                <w:color w:val="0070C0"/>
                <w:sz w:val="10"/>
                <w:szCs w:val="10"/>
              </w:rPr>
            </w:pPr>
            <w:r w:rsidRPr="0047161F">
              <w:rPr>
                <w:rFonts w:ascii="Times New Roman" w:hAnsi="Times New Roman" w:cs="Times New Roman"/>
                <w:i/>
                <w:color w:val="0070C0"/>
                <w:sz w:val="10"/>
                <w:szCs w:val="10"/>
              </w:rPr>
              <w:t xml:space="preserve">   Инвестираме във Вашето бъдеще</w:t>
            </w:r>
          </w:p>
          <w:p w14:paraId="29FAD005" w14:textId="77777777" w:rsidR="00EF07D4" w:rsidRPr="0047161F" w:rsidRDefault="00EF07D4" w:rsidP="00F45C8B">
            <w:pPr>
              <w:spacing w:before="120"/>
              <w:ind w:left="346"/>
              <w:rPr>
                <w:rFonts w:ascii="Times New Roman" w:hAnsi="Times New Roman" w:cs="Times New Roman"/>
                <w:sz w:val="16"/>
                <w:szCs w:val="16"/>
              </w:rPr>
            </w:pPr>
            <w:r w:rsidRPr="0047161F">
              <w:rPr>
                <w:rFonts w:ascii="Times New Roman" w:hAnsi="Times New Roman" w:cs="Times New Roman"/>
                <w:noProof/>
                <w:color w:val="000000"/>
                <w:sz w:val="19"/>
                <w:szCs w:val="19"/>
                <w:lang w:eastAsia="bg-BG"/>
              </w:rPr>
              <w:drawing>
                <wp:inline distT="0" distB="0" distL="0" distR="0" wp14:anchorId="30D3016A" wp14:editId="29EA04D1">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rFonts w:ascii="Times New Roman" w:hAnsi="Times New Roman" w:cs="Times New Roman"/>
                <w:sz w:val="16"/>
                <w:szCs w:val="16"/>
              </w:rPr>
              <w:t xml:space="preserve"> </w:t>
            </w:r>
          </w:p>
          <w:p w14:paraId="160B2A8F" w14:textId="77777777" w:rsidR="00EF07D4" w:rsidRPr="0047161F" w:rsidRDefault="00EF07D4" w:rsidP="00F45C8B">
            <w:pPr>
              <w:spacing w:after="0"/>
              <w:rPr>
                <w:rFonts w:ascii="Times New Roman" w:hAnsi="Times New Roman" w:cs="Times New Roman"/>
                <w:b/>
                <w:sz w:val="16"/>
                <w:szCs w:val="16"/>
              </w:rPr>
            </w:pPr>
            <w:r w:rsidRPr="0047161F">
              <w:rPr>
                <w:rFonts w:ascii="Times New Roman" w:hAnsi="Times New Roman" w:cs="Times New Roman"/>
                <w:sz w:val="16"/>
                <w:szCs w:val="16"/>
              </w:rPr>
              <w:t xml:space="preserve">         </w:t>
            </w:r>
            <w:r w:rsidRPr="0047161F">
              <w:rPr>
                <w:rFonts w:ascii="Times New Roman" w:hAnsi="Times New Roman" w:cs="Times New Roman"/>
                <w:b/>
                <w:sz w:val="16"/>
                <w:szCs w:val="16"/>
              </w:rPr>
              <w:t>ЕВРОПЕЙСКИ СЪЮЗ</w:t>
            </w:r>
          </w:p>
          <w:p w14:paraId="456C6227" w14:textId="77777777" w:rsidR="00EF07D4" w:rsidRPr="0047161F" w:rsidRDefault="00EF07D4" w:rsidP="00F45C8B">
            <w:pPr>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ЕВРОПЕЙСКИ ФОНД</w:t>
            </w:r>
          </w:p>
          <w:p w14:paraId="69FE4077" w14:textId="77777777" w:rsidR="00EF07D4" w:rsidRPr="0047161F" w:rsidRDefault="00EF07D4" w:rsidP="00F45C8B">
            <w:pPr>
              <w:tabs>
                <w:tab w:val="left" w:pos="1725"/>
              </w:tabs>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ЗА РЕГИОНАЛНО РАЗВИТИЕ</w:t>
            </w:r>
          </w:p>
          <w:p w14:paraId="59FC0E50" w14:textId="77777777" w:rsidR="00EF07D4" w:rsidRPr="0047161F" w:rsidRDefault="00EF07D4" w:rsidP="00F45C8B">
            <w:pPr>
              <w:tabs>
                <w:tab w:val="left" w:pos="1725"/>
              </w:tabs>
              <w:spacing w:after="0"/>
              <w:rPr>
                <w:rFonts w:ascii="Times New Roman" w:hAnsi="Times New Roman" w:cs="Times New Roman"/>
                <w:sz w:val="12"/>
                <w:szCs w:val="12"/>
              </w:rPr>
            </w:pPr>
            <w:r w:rsidRPr="0047161F">
              <w:rPr>
                <w:rFonts w:ascii="Times New Roman" w:hAnsi="Times New Roman" w:cs="Times New Roman"/>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35BE0148"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Дирекция „Координация на програми и проекти”</w:t>
            </w:r>
          </w:p>
          <w:p w14:paraId="5544086A"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Управляващия орган на Програма „Транспортна свързаност” 2021-2027 г.</w:t>
            </w:r>
          </w:p>
          <w:p w14:paraId="2E039B82" w14:textId="7F83D8A2" w:rsidR="00EF07D4" w:rsidRPr="0047161F" w:rsidRDefault="00EF07D4" w:rsidP="0047161F">
            <w:pPr>
              <w:jc w:val="center"/>
              <w:rPr>
                <w:rFonts w:ascii="Times New Roman" w:hAnsi="Times New Roman" w:cs="Times New Roman"/>
                <w:sz w:val="24"/>
                <w:szCs w:val="24"/>
              </w:rPr>
            </w:pPr>
            <w:r w:rsidRPr="0047161F">
              <w:rPr>
                <w:rFonts w:ascii="Times New Roman" w:hAnsi="Times New Roman" w:cs="Times New Roman"/>
                <w:sz w:val="24"/>
                <w:szCs w:val="24"/>
              </w:rPr>
              <w:t xml:space="preserve">Версия </w:t>
            </w:r>
            <w:r w:rsidRPr="0047161F">
              <w:rPr>
                <w:rFonts w:ascii="Times New Roman" w:hAnsi="Times New Roman" w:cs="Times New Roman"/>
                <w:sz w:val="24"/>
                <w:szCs w:val="24"/>
                <w:lang w:val="en-US"/>
              </w:rPr>
              <w:t>1</w:t>
            </w:r>
            <w:r w:rsidR="005277F1" w:rsidRPr="0047161F">
              <w:rPr>
                <w:rFonts w:ascii="Times New Roman" w:hAnsi="Times New Roman" w:cs="Times New Roman"/>
                <w:sz w:val="24"/>
                <w:szCs w:val="24"/>
              </w:rPr>
              <w:t xml:space="preserve">.0 от </w:t>
            </w:r>
            <w:r w:rsidR="0047161F" w:rsidRPr="0047161F">
              <w:rPr>
                <w:rFonts w:ascii="Times New Roman" w:hAnsi="Times New Roman" w:cs="Times New Roman"/>
                <w:sz w:val="24"/>
                <w:szCs w:val="24"/>
              </w:rPr>
              <w:t>май</w:t>
            </w:r>
            <w:r w:rsidRPr="0047161F">
              <w:rPr>
                <w:rFonts w:ascii="Times New Roman" w:hAnsi="Times New Roman" w:cs="Times New Roman"/>
                <w:sz w:val="24"/>
                <w:szCs w:val="24"/>
              </w:rPr>
              <w:t xml:space="preserve"> 2023 г.</w:t>
            </w:r>
          </w:p>
        </w:tc>
        <w:tc>
          <w:tcPr>
            <w:tcW w:w="2835" w:type="dxa"/>
            <w:tcBorders>
              <w:top w:val="single" w:sz="4" w:space="0" w:color="auto"/>
              <w:left w:val="single" w:sz="4" w:space="0" w:color="auto"/>
              <w:bottom w:val="single" w:sz="4" w:space="0" w:color="auto"/>
              <w:right w:val="single" w:sz="4" w:space="0" w:color="auto"/>
            </w:tcBorders>
            <w:vAlign w:val="center"/>
          </w:tcPr>
          <w:p w14:paraId="5B718B43" w14:textId="2AF85C5E" w:rsidR="00EF07D4" w:rsidRPr="0047161F" w:rsidRDefault="000C67D1" w:rsidP="00F45C8B">
            <w:pPr>
              <w:jc w:val="center"/>
              <w:rPr>
                <w:rFonts w:ascii="Times New Roman" w:hAnsi="Times New Roman" w:cs="Times New Roman"/>
                <w:b/>
                <w:sz w:val="18"/>
                <w:szCs w:val="18"/>
              </w:rPr>
            </w:pPr>
            <w:hyperlink r:id="rId9" w:history="1">
              <w:r w:rsidR="00EF07D4" w:rsidRPr="0047161F">
                <w:rPr>
                  <w:rFonts w:ascii="Times New Roman" w:hAnsi="Times New Roman" w:cs="Times New Roman"/>
                  <w:color w:val="0000FF"/>
                  <w:sz w:val="24"/>
                  <w:szCs w:val="24"/>
                  <w:u w:val="single"/>
                </w:rPr>
                <w:t>www.eufunds.bg</w:t>
              </w:r>
            </w:hyperlink>
          </w:p>
        </w:tc>
      </w:tr>
    </w:tbl>
    <w:p w14:paraId="3CD19AAF" w14:textId="476EB9BE" w:rsidR="00F45C8B" w:rsidRPr="0047161F" w:rsidRDefault="00F45C8B" w:rsidP="00F45C8B">
      <w:pPr>
        <w:tabs>
          <w:tab w:val="center" w:pos="4678"/>
        </w:tabs>
        <w:rPr>
          <w:rFonts w:ascii="Times New Roman" w:hAnsi="Times New Roman" w:cs="Times New Roman"/>
          <w:b/>
          <w:sz w:val="28"/>
          <w:szCs w:val="28"/>
        </w:rPr>
      </w:pPr>
    </w:p>
    <w:tbl>
      <w:tblPr>
        <w:tblpPr w:leftFromText="141" w:rightFromText="141" w:horzAnchor="margin" w:tblpY="7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2405"/>
        <w:gridCol w:w="4390"/>
        <w:gridCol w:w="1730"/>
      </w:tblGrid>
      <w:tr w:rsidR="00F45C8B" w:rsidRPr="0047161F" w14:paraId="2C69EDE7" w14:textId="77777777" w:rsidTr="00F45C8B">
        <w:trPr>
          <w:cantSplit/>
          <w:trHeight w:val="130"/>
        </w:trPr>
        <w:tc>
          <w:tcPr>
            <w:tcW w:w="9498" w:type="dxa"/>
            <w:gridSpan w:val="4"/>
            <w:shd w:val="clear" w:color="auto" w:fill="auto"/>
          </w:tcPr>
          <w:p w14:paraId="502812E6"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История на промените</w:t>
            </w:r>
          </w:p>
        </w:tc>
      </w:tr>
      <w:tr w:rsidR="00F45C8B" w:rsidRPr="0047161F" w14:paraId="56CDAB45" w14:textId="77777777" w:rsidTr="00F45C8B">
        <w:trPr>
          <w:trHeight w:val="361"/>
        </w:trPr>
        <w:tc>
          <w:tcPr>
            <w:tcW w:w="961" w:type="dxa"/>
            <w:shd w:val="clear" w:color="auto" w:fill="auto"/>
          </w:tcPr>
          <w:p w14:paraId="76D8836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версия</w:t>
            </w:r>
          </w:p>
        </w:tc>
        <w:tc>
          <w:tcPr>
            <w:tcW w:w="2408" w:type="dxa"/>
            <w:shd w:val="clear" w:color="auto" w:fill="auto"/>
          </w:tcPr>
          <w:p w14:paraId="6B368B2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Дата на одобрение</w:t>
            </w:r>
          </w:p>
        </w:tc>
        <w:tc>
          <w:tcPr>
            <w:tcW w:w="4396" w:type="dxa"/>
            <w:shd w:val="clear" w:color="auto" w:fill="auto"/>
          </w:tcPr>
          <w:p w14:paraId="2685CEA8"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Промяна</w:t>
            </w:r>
          </w:p>
        </w:tc>
        <w:tc>
          <w:tcPr>
            <w:tcW w:w="1733" w:type="dxa"/>
            <w:shd w:val="clear" w:color="auto" w:fill="auto"/>
          </w:tcPr>
          <w:p w14:paraId="7655DB5E"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стр.</w:t>
            </w:r>
          </w:p>
        </w:tc>
      </w:tr>
      <w:tr w:rsidR="00F45C8B" w:rsidRPr="0047161F" w14:paraId="612B558A" w14:textId="77777777" w:rsidTr="00F45C8B">
        <w:tc>
          <w:tcPr>
            <w:tcW w:w="961" w:type="dxa"/>
            <w:shd w:val="clear" w:color="auto" w:fill="auto"/>
          </w:tcPr>
          <w:p w14:paraId="2B30554D"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1.0</w:t>
            </w:r>
          </w:p>
        </w:tc>
        <w:tc>
          <w:tcPr>
            <w:tcW w:w="2408" w:type="dxa"/>
            <w:shd w:val="clear" w:color="auto" w:fill="auto"/>
          </w:tcPr>
          <w:p w14:paraId="78453FA3" w14:textId="645B31EE" w:rsidR="00F45C8B" w:rsidRPr="0047161F" w:rsidRDefault="00F45C8B" w:rsidP="00762798">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202</w:t>
            </w:r>
            <w:r w:rsidR="00762798" w:rsidRPr="0047161F">
              <w:rPr>
                <w:rFonts w:ascii="Times New Roman" w:hAnsi="Times New Roman" w:cs="Times New Roman"/>
                <w:color w:val="244061"/>
                <w:sz w:val="24"/>
                <w:szCs w:val="24"/>
                <w:lang w:val="bg-BG"/>
              </w:rPr>
              <w:t>3</w:t>
            </w:r>
            <w:r w:rsidRPr="0047161F">
              <w:rPr>
                <w:rFonts w:ascii="Times New Roman" w:hAnsi="Times New Roman" w:cs="Times New Roman"/>
                <w:color w:val="244061"/>
                <w:sz w:val="24"/>
                <w:szCs w:val="24"/>
                <w:lang w:val="bg-BG"/>
              </w:rPr>
              <w:t xml:space="preserve"> г.</w:t>
            </w:r>
          </w:p>
        </w:tc>
        <w:tc>
          <w:tcPr>
            <w:tcW w:w="4396" w:type="dxa"/>
            <w:shd w:val="clear" w:color="auto" w:fill="auto"/>
          </w:tcPr>
          <w:p w14:paraId="13A75A29" w14:textId="77777777" w:rsidR="00F45C8B" w:rsidRPr="0047161F" w:rsidRDefault="00F45C8B" w:rsidP="00F45C8B">
            <w:pPr>
              <w:pStyle w:val="TOCHeading"/>
              <w:spacing w:before="0"/>
              <w:jc w:val="center"/>
              <w:rPr>
                <w:rFonts w:ascii="Times New Roman" w:hAnsi="Times New Roman" w:cs="Times New Roman"/>
                <w:color w:val="244061"/>
                <w:sz w:val="24"/>
                <w:szCs w:val="24"/>
              </w:rPr>
            </w:pPr>
            <w:r w:rsidRPr="0047161F">
              <w:rPr>
                <w:rFonts w:ascii="Times New Roman" w:hAnsi="Times New Roman" w:cs="Times New Roman"/>
                <w:color w:val="244061"/>
                <w:sz w:val="24"/>
                <w:szCs w:val="24"/>
                <w:lang w:val="bg-BG"/>
              </w:rPr>
              <w:t>Първоначален документ</w:t>
            </w:r>
          </w:p>
        </w:tc>
        <w:tc>
          <w:tcPr>
            <w:tcW w:w="1733" w:type="dxa"/>
            <w:shd w:val="clear" w:color="auto" w:fill="auto"/>
          </w:tcPr>
          <w:p w14:paraId="163A99CF"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p>
        </w:tc>
      </w:tr>
    </w:tbl>
    <w:p w14:paraId="6B285A7A" w14:textId="5DDED2EA" w:rsidR="00762798" w:rsidRPr="0047161F" w:rsidRDefault="00762798" w:rsidP="00F45C8B">
      <w:pPr>
        <w:tabs>
          <w:tab w:val="center" w:pos="4678"/>
        </w:tabs>
        <w:rPr>
          <w:rFonts w:ascii="Times New Roman" w:hAnsi="Times New Roman" w:cs="Times New Roman"/>
          <w:b/>
          <w:sz w:val="28"/>
          <w:szCs w:val="28"/>
        </w:rPr>
      </w:pPr>
    </w:p>
    <w:p w14:paraId="484E403C" w14:textId="77777777" w:rsidR="00762798" w:rsidRPr="0047161F" w:rsidRDefault="00762798">
      <w:pPr>
        <w:rPr>
          <w:rFonts w:ascii="Times New Roman" w:hAnsi="Times New Roman" w:cs="Times New Roman"/>
          <w:b/>
          <w:sz w:val="28"/>
          <w:szCs w:val="28"/>
        </w:rPr>
      </w:pPr>
      <w:r w:rsidRPr="0047161F">
        <w:rPr>
          <w:rFonts w:ascii="Times New Roman" w:hAnsi="Times New Roman" w:cs="Times New Roman"/>
          <w:b/>
          <w:sz w:val="28"/>
          <w:szCs w:val="28"/>
        </w:rPr>
        <w:br w:type="page"/>
      </w:r>
    </w:p>
    <w:p w14:paraId="236E69D5" w14:textId="77777777" w:rsidR="00F45C8B" w:rsidRPr="0047161F" w:rsidRDefault="00F45C8B" w:rsidP="00F45C8B">
      <w:pPr>
        <w:tabs>
          <w:tab w:val="center" w:pos="4678"/>
        </w:tabs>
        <w:rPr>
          <w:rFonts w:ascii="Times New Roman" w:hAnsi="Times New Roman" w:cs="Times New Roman"/>
          <w:b/>
          <w:sz w:val="28"/>
          <w:szCs w:val="28"/>
          <w:lang w:val="en-US"/>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6F54A18" w:rsidR="007551DA" w:rsidRPr="0047161F" w:rsidRDefault="007551DA" w:rsidP="00F45C8B">
          <w:pPr>
            <w:pStyle w:val="TOCHeading"/>
            <w:rPr>
              <w:rFonts w:ascii="Times New Roman" w:hAnsi="Times New Roman" w:cs="Times New Roman"/>
            </w:rPr>
          </w:pPr>
        </w:p>
        <w:p w14:paraId="3E4ADA76" w14:textId="28823EFE" w:rsidR="0061207E" w:rsidRDefault="007551DA">
          <w:pPr>
            <w:pStyle w:val="TOC2"/>
            <w:tabs>
              <w:tab w:val="left" w:pos="660"/>
              <w:tab w:val="right" w:leader="dot" w:pos="9486"/>
            </w:tabs>
            <w:rPr>
              <w:rFonts w:eastAsiaTheme="minorEastAsia"/>
              <w:noProof/>
              <w:lang w:eastAsia="bg-BG"/>
            </w:rPr>
          </w:pPr>
          <w:r w:rsidRPr="0047161F">
            <w:rPr>
              <w:rFonts w:ascii="Times New Roman" w:hAnsi="Times New Roman" w:cs="Times New Roman"/>
            </w:rPr>
            <w:fldChar w:fldCharType="begin"/>
          </w:r>
          <w:r w:rsidRPr="0047161F">
            <w:rPr>
              <w:rFonts w:ascii="Times New Roman" w:hAnsi="Times New Roman" w:cs="Times New Roman"/>
            </w:rPr>
            <w:instrText xml:space="preserve"> TOC \o "1-3" \h \z \u </w:instrText>
          </w:r>
          <w:r w:rsidRPr="0047161F">
            <w:rPr>
              <w:rFonts w:ascii="Times New Roman" w:hAnsi="Times New Roman" w:cs="Times New Roman"/>
            </w:rPr>
            <w:fldChar w:fldCharType="separate"/>
          </w:r>
          <w:hyperlink w:anchor="_Toc136269940" w:history="1">
            <w:r w:rsidR="0061207E" w:rsidRPr="0022478C">
              <w:rPr>
                <w:rStyle w:val="Hyperlink"/>
                <w:rFonts w:ascii="Times New Roman" w:hAnsi="Times New Roman" w:cs="Times New Roman"/>
                <w:noProof/>
              </w:rPr>
              <w:t>1.</w:t>
            </w:r>
            <w:r w:rsidR="0061207E">
              <w:rPr>
                <w:rFonts w:eastAsiaTheme="minorEastAsia"/>
                <w:noProof/>
                <w:lang w:eastAsia="bg-BG"/>
              </w:rPr>
              <w:tab/>
            </w:r>
            <w:r w:rsidR="0061207E" w:rsidRPr="0022478C">
              <w:rPr>
                <w:rStyle w:val="Hyperlink"/>
                <w:rFonts w:ascii="Times New Roman" w:hAnsi="Times New Roman" w:cs="Times New Roman"/>
                <w:noProof/>
              </w:rPr>
              <w:t>Наименование на програмата:</w:t>
            </w:r>
            <w:r w:rsidR="0061207E">
              <w:rPr>
                <w:noProof/>
                <w:webHidden/>
              </w:rPr>
              <w:tab/>
            </w:r>
            <w:r w:rsidR="0061207E">
              <w:rPr>
                <w:noProof/>
                <w:webHidden/>
              </w:rPr>
              <w:fldChar w:fldCharType="begin"/>
            </w:r>
            <w:r w:rsidR="0061207E">
              <w:rPr>
                <w:noProof/>
                <w:webHidden/>
              </w:rPr>
              <w:instrText xml:space="preserve"> PAGEREF _Toc136269940 \h </w:instrText>
            </w:r>
            <w:r w:rsidR="0061207E">
              <w:rPr>
                <w:noProof/>
                <w:webHidden/>
              </w:rPr>
            </w:r>
            <w:r w:rsidR="0061207E">
              <w:rPr>
                <w:noProof/>
                <w:webHidden/>
              </w:rPr>
              <w:fldChar w:fldCharType="separate"/>
            </w:r>
            <w:r w:rsidR="0061207E">
              <w:rPr>
                <w:noProof/>
                <w:webHidden/>
              </w:rPr>
              <w:t>5</w:t>
            </w:r>
            <w:r w:rsidR="0061207E">
              <w:rPr>
                <w:noProof/>
                <w:webHidden/>
              </w:rPr>
              <w:fldChar w:fldCharType="end"/>
            </w:r>
          </w:hyperlink>
        </w:p>
        <w:p w14:paraId="58ABAEA4" w14:textId="0B8CC5AF" w:rsidR="0061207E" w:rsidRDefault="000C67D1">
          <w:pPr>
            <w:pStyle w:val="TOC2"/>
            <w:tabs>
              <w:tab w:val="left" w:pos="660"/>
              <w:tab w:val="right" w:leader="dot" w:pos="9486"/>
            </w:tabs>
            <w:rPr>
              <w:rFonts w:eastAsiaTheme="minorEastAsia"/>
              <w:noProof/>
              <w:lang w:eastAsia="bg-BG"/>
            </w:rPr>
          </w:pPr>
          <w:hyperlink w:anchor="_Toc136269941" w:history="1">
            <w:r w:rsidR="0061207E" w:rsidRPr="0022478C">
              <w:rPr>
                <w:rStyle w:val="Hyperlink"/>
                <w:rFonts w:ascii="Times New Roman" w:hAnsi="Times New Roman" w:cs="Times New Roman"/>
                <w:noProof/>
              </w:rPr>
              <w:t>2.</w:t>
            </w:r>
            <w:r w:rsidR="0061207E">
              <w:rPr>
                <w:rFonts w:eastAsiaTheme="minorEastAsia"/>
                <w:noProof/>
                <w:lang w:eastAsia="bg-BG"/>
              </w:rPr>
              <w:tab/>
            </w:r>
            <w:r w:rsidR="0061207E" w:rsidRPr="0022478C">
              <w:rPr>
                <w:rStyle w:val="Hyperlink"/>
                <w:rFonts w:ascii="Times New Roman" w:hAnsi="Times New Roman" w:cs="Times New Roman"/>
                <w:noProof/>
              </w:rPr>
              <w:t>Наименование на приоритета:</w:t>
            </w:r>
            <w:r w:rsidR="0061207E">
              <w:rPr>
                <w:noProof/>
                <w:webHidden/>
              </w:rPr>
              <w:tab/>
            </w:r>
            <w:r w:rsidR="0061207E">
              <w:rPr>
                <w:noProof/>
                <w:webHidden/>
              </w:rPr>
              <w:fldChar w:fldCharType="begin"/>
            </w:r>
            <w:r w:rsidR="0061207E">
              <w:rPr>
                <w:noProof/>
                <w:webHidden/>
              </w:rPr>
              <w:instrText xml:space="preserve"> PAGEREF _Toc136269941 \h </w:instrText>
            </w:r>
            <w:r w:rsidR="0061207E">
              <w:rPr>
                <w:noProof/>
                <w:webHidden/>
              </w:rPr>
            </w:r>
            <w:r w:rsidR="0061207E">
              <w:rPr>
                <w:noProof/>
                <w:webHidden/>
              </w:rPr>
              <w:fldChar w:fldCharType="separate"/>
            </w:r>
            <w:r w:rsidR="0061207E">
              <w:rPr>
                <w:noProof/>
                <w:webHidden/>
              </w:rPr>
              <w:t>5</w:t>
            </w:r>
            <w:r w:rsidR="0061207E">
              <w:rPr>
                <w:noProof/>
                <w:webHidden/>
              </w:rPr>
              <w:fldChar w:fldCharType="end"/>
            </w:r>
          </w:hyperlink>
        </w:p>
        <w:p w14:paraId="4D57B83F" w14:textId="411BF12E" w:rsidR="0061207E" w:rsidRDefault="000C67D1">
          <w:pPr>
            <w:pStyle w:val="TOC2"/>
            <w:tabs>
              <w:tab w:val="left" w:pos="660"/>
              <w:tab w:val="right" w:leader="dot" w:pos="9486"/>
            </w:tabs>
            <w:rPr>
              <w:rFonts w:eastAsiaTheme="minorEastAsia"/>
              <w:noProof/>
              <w:lang w:eastAsia="bg-BG"/>
            </w:rPr>
          </w:pPr>
          <w:hyperlink w:anchor="_Toc136269942" w:history="1">
            <w:r w:rsidR="0061207E" w:rsidRPr="0022478C">
              <w:rPr>
                <w:rStyle w:val="Hyperlink"/>
                <w:rFonts w:ascii="Times New Roman" w:hAnsi="Times New Roman" w:cs="Times New Roman"/>
                <w:noProof/>
              </w:rPr>
              <w:t>3.</w:t>
            </w:r>
            <w:r w:rsidR="0061207E">
              <w:rPr>
                <w:rFonts w:eastAsiaTheme="minorEastAsia"/>
                <w:noProof/>
                <w:lang w:eastAsia="bg-BG"/>
              </w:rPr>
              <w:tab/>
            </w:r>
            <w:r w:rsidR="0061207E" w:rsidRPr="0022478C">
              <w:rPr>
                <w:rStyle w:val="Hyperlink"/>
                <w:rFonts w:ascii="Times New Roman" w:hAnsi="Times New Roman" w:cs="Times New Roman"/>
                <w:noProof/>
              </w:rPr>
              <w:t>Наименование на процедурите:</w:t>
            </w:r>
            <w:r w:rsidR="0061207E">
              <w:rPr>
                <w:noProof/>
                <w:webHidden/>
              </w:rPr>
              <w:tab/>
            </w:r>
            <w:r w:rsidR="0061207E">
              <w:rPr>
                <w:noProof/>
                <w:webHidden/>
              </w:rPr>
              <w:fldChar w:fldCharType="begin"/>
            </w:r>
            <w:r w:rsidR="0061207E">
              <w:rPr>
                <w:noProof/>
                <w:webHidden/>
              </w:rPr>
              <w:instrText xml:space="preserve"> PAGEREF _Toc136269942 \h </w:instrText>
            </w:r>
            <w:r w:rsidR="0061207E">
              <w:rPr>
                <w:noProof/>
                <w:webHidden/>
              </w:rPr>
            </w:r>
            <w:r w:rsidR="0061207E">
              <w:rPr>
                <w:noProof/>
                <w:webHidden/>
              </w:rPr>
              <w:fldChar w:fldCharType="separate"/>
            </w:r>
            <w:r w:rsidR="0061207E">
              <w:rPr>
                <w:noProof/>
                <w:webHidden/>
              </w:rPr>
              <w:t>5</w:t>
            </w:r>
            <w:r w:rsidR="0061207E">
              <w:rPr>
                <w:noProof/>
                <w:webHidden/>
              </w:rPr>
              <w:fldChar w:fldCharType="end"/>
            </w:r>
          </w:hyperlink>
        </w:p>
        <w:p w14:paraId="39442D97" w14:textId="7D08059B" w:rsidR="0061207E" w:rsidRDefault="000C67D1">
          <w:pPr>
            <w:pStyle w:val="TOC2"/>
            <w:tabs>
              <w:tab w:val="left" w:pos="660"/>
              <w:tab w:val="right" w:leader="dot" w:pos="9486"/>
            </w:tabs>
            <w:rPr>
              <w:rFonts w:eastAsiaTheme="minorEastAsia"/>
              <w:noProof/>
              <w:lang w:eastAsia="bg-BG"/>
            </w:rPr>
          </w:pPr>
          <w:hyperlink w:anchor="_Toc136269943" w:history="1">
            <w:r w:rsidR="0061207E" w:rsidRPr="0022478C">
              <w:rPr>
                <w:rStyle w:val="Hyperlink"/>
                <w:rFonts w:ascii="Times New Roman" w:hAnsi="Times New Roman" w:cs="Times New Roman"/>
                <w:noProof/>
              </w:rPr>
              <w:t>4.</w:t>
            </w:r>
            <w:r w:rsidR="0061207E">
              <w:rPr>
                <w:rFonts w:eastAsiaTheme="minorEastAsia"/>
                <w:noProof/>
                <w:lang w:eastAsia="bg-BG"/>
              </w:rPr>
              <w:tab/>
            </w:r>
            <w:r w:rsidR="0061207E" w:rsidRPr="0022478C">
              <w:rPr>
                <w:rStyle w:val="Hyperlink"/>
                <w:rFonts w:ascii="Times New Roman" w:hAnsi="Times New Roman" w:cs="Times New Roman"/>
                <w:noProof/>
              </w:rPr>
              <w:t>Измерения по кодове:</w:t>
            </w:r>
            <w:r w:rsidR="0061207E">
              <w:rPr>
                <w:noProof/>
                <w:webHidden/>
              </w:rPr>
              <w:tab/>
            </w:r>
            <w:r w:rsidR="0061207E">
              <w:rPr>
                <w:noProof/>
                <w:webHidden/>
              </w:rPr>
              <w:fldChar w:fldCharType="begin"/>
            </w:r>
            <w:r w:rsidR="0061207E">
              <w:rPr>
                <w:noProof/>
                <w:webHidden/>
              </w:rPr>
              <w:instrText xml:space="preserve"> PAGEREF _Toc136269943 \h </w:instrText>
            </w:r>
            <w:r w:rsidR="0061207E">
              <w:rPr>
                <w:noProof/>
                <w:webHidden/>
              </w:rPr>
            </w:r>
            <w:r w:rsidR="0061207E">
              <w:rPr>
                <w:noProof/>
                <w:webHidden/>
              </w:rPr>
              <w:fldChar w:fldCharType="separate"/>
            </w:r>
            <w:r w:rsidR="0061207E">
              <w:rPr>
                <w:noProof/>
                <w:webHidden/>
              </w:rPr>
              <w:t>5</w:t>
            </w:r>
            <w:r w:rsidR="0061207E">
              <w:rPr>
                <w:noProof/>
                <w:webHidden/>
              </w:rPr>
              <w:fldChar w:fldCharType="end"/>
            </w:r>
          </w:hyperlink>
        </w:p>
        <w:p w14:paraId="0795D87E" w14:textId="7FAC228D" w:rsidR="0061207E" w:rsidRDefault="000C67D1">
          <w:pPr>
            <w:pStyle w:val="TOC2"/>
            <w:tabs>
              <w:tab w:val="left" w:pos="660"/>
              <w:tab w:val="right" w:leader="dot" w:pos="9486"/>
            </w:tabs>
            <w:rPr>
              <w:rFonts w:eastAsiaTheme="minorEastAsia"/>
              <w:noProof/>
              <w:lang w:eastAsia="bg-BG"/>
            </w:rPr>
          </w:pPr>
          <w:hyperlink w:anchor="_Toc136269944" w:history="1">
            <w:r w:rsidR="0061207E" w:rsidRPr="0022478C">
              <w:rPr>
                <w:rStyle w:val="Hyperlink"/>
                <w:rFonts w:ascii="Times New Roman" w:hAnsi="Times New Roman" w:cs="Times New Roman"/>
                <w:noProof/>
              </w:rPr>
              <w:t>5.</w:t>
            </w:r>
            <w:r w:rsidR="0061207E">
              <w:rPr>
                <w:rFonts w:eastAsiaTheme="minorEastAsia"/>
                <w:noProof/>
                <w:lang w:eastAsia="bg-BG"/>
              </w:rPr>
              <w:tab/>
            </w:r>
            <w:r w:rsidR="0061207E" w:rsidRPr="0022478C">
              <w:rPr>
                <w:rStyle w:val="Hyperlink"/>
                <w:rFonts w:ascii="Times New Roman" w:hAnsi="Times New Roman" w:cs="Times New Roman"/>
                <w:noProof/>
              </w:rPr>
              <w:t>Териториален обхват:</w:t>
            </w:r>
            <w:r w:rsidR="0061207E">
              <w:rPr>
                <w:noProof/>
                <w:webHidden/>
              </w:rPr>
              <w:tab/>
            </w:r>
            <w:r w:rsidR="0061207E">
              <w:rPr>
                <w:noProof/>
                <w:webHidden/>
              </w:rPr>
              <w:fldChar w:fldCharType="begin"/>
            </w:r>
            <w:r w:rsidR="0061207E">
              <w:rPr>
                <w:noProof/>
                <w:webHidden/>
              </w:rPr>
              <w:instrText xml:space="preserve"> PAGEREF _Toc136269944 \h </w:instrText>
            </w:r>
            <w:r w:rsidR="0061207E">
              <w:rPr>
                <w:noProof/>
                <w:webHidden/>
              </w:rPr>
            </w:r>
            <w:r w:rsidR="0061207E">
              <w:rPr>
                <w:noProof/>
                <w:webHidden/>
              </w:rPr>
              <w:fldChar w:fldCharType="separate"/>
            </w:r>
            <w:r w:rsidR="0061207E">
              <w:rPr>
                <w:noProof/>
                <w:webHidden/>
              </w:rPr>
              <w:t>6</w:t>
            </w:r>
            <w:r w:rsidR="0061207E">
              <w:rPr>
                <w:noProof/>
                <w:webHidden/>
              </w:rPr>
              <w:fldChar w:fldCharType="end"/>
            </w:r>
          </w:hyperlink>
        </w:p>
        <w:p w14:paraId="1A9F1D10" w14:textId="1558A698" w:rsidR="0061207E" w:rsidRDefault="000C67D1">
          <w:pPr>
            <w:pStyle w:val="TOC2"/>
            <w:tabs>
              <w:tab w:val="left" w:pos="660"/>
              <w:tab w:val="right" w:leader="dot" w:pos="9486"/>
            </w:tabs>
            <w:rPr>
              <w:rFonts w:eastAsiaTheme="minorEastAsia"/>
              <w:noProof/>
              <w:lang w:eastAsia="bg-BG"/>
            </w:rPr>
          </w:pPr>
          <w:hyperlink w:anchor="_Toc136269945" w:history="1">
            <w:r w:rsidR="0061207E" w:rsidRPr="0022478C">
              <w:rPr>
                <w:rStyle w:val="Hyperlink"/>
                <w:rFonts w:ascii="Times New Roman" w:hAnsi="Times New Roman" w:cs="Times New Roman"/>
                <w:noProof/>
              </w:rPr>
              <w:t>6.</w:t>
            </w:r>
            <w:r w:rsidR="0061207E">
              <w:rPr>
                <w:rFonts w:eastAsiaTheme="minorEastAsia"/>
                <w:noProof/>
                <w:lang w:eastAsia="bg-BG"/>
              </w:rPr>
              <w:tab/>
            </w:r>
            <w:r w:rsidR="0061207E" w:rsidRPr="0022478C">
              <w:rPr>
                <w:rStyle w:val="Hyperlink"/>
                <w:rFonts w:ascii="Times New Roman" w:hAnsi="Times New Roman" w:cs="Times New Roman"/>
                <w:noProof/>
              </w:rPr>
              <w:t>Цели на предоставяната безвъзмездна финансова помощ по процедурата и очаквани резултати:</w:t>
            </w:r>
            <w:r w:rsidR="0061207E">
              <w:rPr>
                <w:noProof/>
                <w:webHidden/>
              </w:rPr>
              <w:tab/>
            </w:r>
            <w:r w:rsidR="0061207E">
              <w:rPr>
                <w:noProof/>
                <w:webHidden/>
              </w:rPr>
              <w:fldChar w:fldCharType="begin"/>
            </w:r>
            <w:r w:rsidR="0061207E">
              <w:rPr>
                <w:noProof/>
                <w:webHidden/>
              </w:rPr>
              <w:instrText xml:space="preserve"> PAGEREF _Toc136269945 \h </w:instrText>
            </w:r>
            <w:r w:rsidR="0061207E">
              <w:rPr>
                <w:noProof/>
                <w:webHidden/>
              </w:rPr>
            </w:r>
            <w:r w:rsidR="0061207E">
              <w:rPr>
                <w:noProof/>
                <w:webHidden/>
              </w:rPr>
              <w:fldChar w:fldCharType="separate"/>
            </w:r>
            <w:r w:rsidR="0061207E">
              <w:rPr>
                <w:noProof/>
                <w:webHidden/>
              </w:rPr>
              <w:t>6</w:t>
            </w:r>
            <w:r w:rsidR="0061207E">
              <w:rPr>
                <w:noProof/>
                <w:webHidden/>
              </w:rPr>
              <w:fldChar w:fldCharType="end"/>
            </w:r>
          </w:hyperlink>
        </w:p>
        <w:p w14:paraId="652AA6A2" w14:textId="1C85EBA6" w:rsidR="0061207E" w:rsidRDefault="000C67D1">
          <w:pPr>
            <w:pStyle w:val="TOC2"/>
            <w:tabs>
              <w:tab w:val="left" w:pos="660"/>
              <w:tab w:val="right" w:leader="dot" w:pos="9486"/>
            </w:tabs>
            <w:rPr>
              <w:rFonts w:eastAsiaTheme="minorEastAsia"/>
              <w:noProof/>
              <w:lang w:eastAsia="bg-BG"/>
            </w:rPr>
          </w:pPr>
          <w:hyperlink w:anchor="_Toc136269946" w:history="1">
            <w:r w:rsidR="0061207E" w:rsidRPr="0022478C">
              <w:rPr>
                <w:rStyle w:val="Hyperlink"/>
                <w:rFonts w:ascii="Times New Roman" w:hAnsi="Times New Roman" w:cs="Times New Roman"/>
                <w:noProof/>
              </w:rPr>
              <w:t>7.</w:t>
            </w:r>
            <w:r w:rsidR="0061207E">
              <w:rPr>
                <w:rFonts w:eastAsiaTheme="minorEastAsia"/>
                <w:noProof/>
                <w:lang w:eastAsia="bg-BG"/>
              </w:rPr>
              <w:tab/>
            </w:r>
            <w:r w:rsidR="0061207E" w:rsidRPr="0022478C">
              <w:rPr>
                <w:rStyle w:val="Hyperlink"/>
                <w:rFonts w:ascii="Times New Roman" w:hAnsi="Times New Roman" w:cs="Times New Roman"/>
                <w:noProof/>
              </w:rPr>
              <w:t>Индикатори:</w:t>
            </w:r>
            <w:r w:rsidR="0061207E">
              <w:rPr>
                <w:noProof/>
                <w:webHidden/>
              </w:rPr>
              <w:tab/>
            </w:r>
            <w:r w:rsidR="0061207E">
              <w:rPr>
                <w:noProof/>
                <w:webHidden/>
              </w:rPr>
              <w:fldChar w:fldCharType="begin"/>
            </w:r>
            <w:r w:rsidR="0061207E">
              <w:rPr>
                <w:noProof/>
                <w:webHidden/>
              </w:rPr>
              <w:instrText xml:space="preserve"> PAGEREF _Toc136269946 \h </w:instrText>
            </w:r>
            <w:r w:rsidR="0061207E">
              <w:rPr>
                <w:noProof/>
                <w:webHidden/>
              </w:rPr>
            </w:r>
            <w:r w:rsidR="0061207E">
              <w:rPr>
                <w:noProof/>
                <w:webHidden/>
              </w:rPr>
              <w:fldChar w:fldCharType="separate"/>
            </w:r>
            <w:r w:rsidR="0061207E">
              <w:rPr>
                <w:noProof/>
                <w:webHidden/>
              </w:rPr>
              <w:t>8</w:t>
            </w:r>
            <w:r w:rsidR="0061207E">
              <w:rPr>
                <w:noProof/>
                <w:webHidden/>
              </w:rPr>
              <w:fldChar w:fldCharType="end"/>
            </w:r>
          </w:hyperlink>
        </w:p>
        <w:p w14:paraId="30477B0E" w14:textId="3530AC07" w:rsidR="0061207E" w:rsidRDefault="000C67D1">
          <w:pPr>
            <w:pStyle w:val="TOC2"/>
            <w:tabs>
              <w:tab w:val="left" w:pos="660"/>
              <w:tab w:val="right" w:leader="dot" w:pos="9486"/>
            </w:tabs>
            <w:rPr>
              <w:rFonts w:eastAsiaTheme="minorEastAsia"/>
              <w:noProof/>
              <w:lang w:eastAsia="bg-BG"/>
            </w:rPr>
          </w:pPr>
          <w:hyperlink w:anchor="_Toc136269947" w:history="1">
            <w:r w:rsidR="0061207E" w:rsidRPr="0022478C">
              <w:rPr>
                <w:rStyle w:val="Hyperlink"/>
                <w:rFonts w:ascii="Times New Roman" w:hAnsi="Times New Roman" w:cs="Times New Roman"/>
                <w:noProof/>
              </w:rPr>
              <w:t>8.</w:t>
            </w:r>
            <w:r w:rsidR="0061207E">
              <w:rPr>
                <w:rFonts w:eastAsiaTheme="minorEastAsia"/>
                <w:noProof/>
                <w:lang w:eastAsia="bg-BG"/>
              </w:rPr>
              <w:tab/>
            </w:r>
            <w:r w:rsidR="0061207E" w:rsidRPr="0022478C">
              <w:rPr>
                <w:rStyle w:val="Hyperlink"/>
                <w:rFonts w:ascii="Times New Roman" w:hAnsi="Times New Roman" w:cs="Times New Roman"/>
                <w:noProof/>
              </w:rPr>
              <w:t>Общ размер на безвъзмездната финансова помощ по процедурите и разпределение по региони:</w:t>
            </w:r>
            <w:r w:rsidR="0061207E">
              <w:rPr>
                <w:noProof/>
                <w:webHidden/>
              </w:rPr>
              <w:tab/>
            </w:r>
            <w:r w:rsidR="0061207E">
              <w:rPr>
                <w:noProof/>
                <w:webHidden/>
              </w:rPr>
              <w:fldChar w:fldCharType="begin"/>
            </w:r>
            <w:r w:rsidR="0061207E">
              <w:rPr>
                <w:noProof/>
                <w:webHidden/>
              </w:rPr>
              <w:instrText xml:space="preserve"> PAGEREF _Toc136269947 \h </w:instrText>
            </w:r>
            <w:r w:rsidR="0061207E">
              <w:rPr>
                <w:noProof/>
                <w:webHidden/>
              </w:rPr>
            </w:r>
            <w:r w:rsidR="0061207E">
              <w:rPr>
                <w:noProof/>
                <w:webHidden/>
              </w:rPr>
              <w:fldChar w:fldCharType="separate"/>
            </w:r>
            <w:r w:rsidR="0061207E">
              <w:rPr>
                <w:noProof/>
                <w:webHidden/>
              </w:rPr>
              <w:t>8</w:t>
            </w:r>
            <w:r w:rsidR="0061207E">
              <w:rPr>
                <w:noProof/>
                <w:webHidden/>
              </w:rPr>
              <w:fldChar w:fldCharType="end"/>
            </w:r>
          </w:hyperlink>
        </w:p>
        <w:p w14:paraId="414898A2" w14:textId="7F5F2CF1" w:rsidR="0061207E" w:rsidRDefault="000C67D1">
          <w:pPr>
            <w:pStyle w:val="TOC2"/>
            <w:tabs>
              <w:tab w:val="left" w:pos="660"/>
              <w:tab w:val="right" w:leader="dot" w:pos="9486"/>
            </w:tabs>
            <w:rPr>
              <w:rFonts w:eastAsiaTheme="minorEastAsia"/>
              <w:noProof/>
              <w:lang w:eastAsia="bg-BG"/>
            </w:rPr>
          </w:pPr>
          <w:hyperlink w:anchor="_Toc136269948" w:history="1">
            <w:r w:rsidR="0061207E" w:rsidRPr="0022478C">
              <w:rPr>
                <w:rStyle w:val="Hyperlink"/>
                <w:rFonts w:ascii="Times New Roman" w:hAnsi="Times New Roman" w:cs="Times New Roman"/>
                <w:noProof/>
              </w:rPr>
              <w:t>9.</w:t>
            </w:r>
            <w:r w:rsidR="0061207E">
              <w:rPr>
                <w:rFonts w:eastAsiaTheme="minorEastAsia"/>
                <w:noProof/>
                <w:lang w:eastAsia="bg-BG"/>
              </w:rPr>
              <w:tab/>
            </w:r>
            <w:r w:rsidR="0061207E" w:rsidRPr="0022478C">
              <w:rPr>
                <w:rStyle w:val="Hyperlink"/>
                <w:rFonts w:ascii="Times New Roman" w:hAnsi="Times New Roman" w:cs="Times New Roman"/>
                <w:noProof/>
              </w:rPr>
              <w:t>Минимален (ако е приложимо) и максимален размер на безвъзмездната финансова помощ за конкретен проект:</w:t>
            </w:r>
            <w:r w:rsidR="0061207E">
              <w:rPr>
                <w:noProof/>
                <w:webHidden/>
              </w:rPr>
              <w:tab/>
            </w:r>
            <w:r w:rsidR="0061207E">
              <w:rPr>
                <w:noProof/>
                <w:webHidden/>
              </w:rPr>
              <w:fldChar w:fldCharType="begin"/>
            </w:r>
            <w:r w:rsidR="0061207E">
              <w:rPr>
                <w:noProof/>
                <w:webHidden/>
              </w:rPr>
              <w:instrText xml:space="preserve"> PAGEREF _Toc136269948 \h </w:instrText>
            </w:r>
            <w:r w:rsidR="0061207E">
              <w:rPr>
                <w:noProof/>
                <w:webHidden/>
              </w:rPr>
            </w:r>
            <w:r w:rsidR="0061207E">
              <w:rPr>
                <w:noProof/>
                <w:webHidden/>
              </w:rPr>
              <w:fldChar w:fldCharType="separate"/>
            </w:r>
            <w:r w:rsidR="0061207E">
              <w:rPr>
                <w:noProof/>
                <w:webHidden/>
              </w:rPr>
              <w:t>9</w:t>
            </w:r>
            <w:r w:rsidR="0061207E">
              <w:rPr>
                <w:noProof/>
                <w:webHidden/>
              </w:rPr>
              <w:fldChar w:fldCharType="end"/>
            </w:r>
          </w:hyperlink>
        </w:p>
        <w:p w14:paraId="191462CF" w14:textId="59AEE7A7" w:rsidR="0061207E" w:rsidRDefault="000C67D1">
          <w:pPr>
            <w:pStyle w:val="TOC2"/>
            <w:tabs>
              <w:tab w:val="left" w:pos="880"/>
              <w:tab w:val="right" w:leader="dot" w:pos="9486"/>
            </w:tabs>
            <w:rPr>
              <w:rFonts w:eastAsiaTheme="minorEastAsia"/>
              <w:noProof/>
              <w:lang w:eastAsia="bg-BG"/>
            </w:rPr>
          </w:pPr>
          <w:hyperlink w:anchor="_Toc136269949" w:history="1">
            <w:r w:rsidR="0061207E" w:rsidRPr="0022478C">
              <w:rPr>
                <w:rStyle w:val="Hyperlink"/>
                <w:rFonts w:ascii="Times New Roman" w:hAnsi="Times New Roman" w:cs="Times New Roman"/>
                <w:noProof/>
              </w:rPr>
              <w:t>10.</w:t>
            </w:r>
            <w:r w:rsidR="0061207E">
              <w:rPr>
                <w:rFonts w:eastAsiaTheme="minorEastAsia"/>
                <w:noProof/>
                <w:lang w:eastAsia="bg-BG"/>
              </w:rPr>
              <w:tab/>
            </w:r>
            <w:r w:rsidR="0061207E" w:rsidRPr="0022478C">
              <w:rPr>
                <w:rStyle w:val="Hyperlink"/>
                <w:rFonts w:ascii="Times New Roman" w:hAnsi="Times New Roman" w:cs="Times New Roman"/>
                <w:noProof/>
              </w:rPr>
              <w:t>Процент на съфинансиране:</w:t>
            </w:r>
            <w:r w:rsidR="0061207E">
              <w:rPr>
                <w:noProof/>
                <w:webHidden/>
              </w:rPr>
              <w:tab/>
            </w:r>
            <w:r w:rsidR="0061207E">
              <w:rPr>
                <w:noProof/>
                <w:webHidden/>
              </w:rPr>
              <w:fldChar w:fldCharType="begin"/>
            </w:r>
            <w:r w:rsidR="0061207E">
              <w:rPr>
                <w:noProof/>
                <w:webHidden/>
              </w:rPr>
              <w:instrText xml:space="preserve"> PAGEREF _Toc136269949 \h </w:instrText>
            </w:r>
            <w:r w:rsidR="0061207E">
              <w:rPr>
                <w:noProof/>
                <w:webHidden/>
              </w:rPr>
            </w:r>
            <w:r w:rsidR="0061207E">
              <w:rPr>
                <w:noProof/>
                <w:webHidden/>
              </w:rPr>
              <w:fldChar w:fldCharType="separate"/>
            </w:r>
            <w:r w:rsidR="0061207E">
              <w:rPr>
                <w:noProof/>
                <w:webHidden/>
              </w:rPr>
              <w:t>9</w:t>
            </w:r>
            <w:r w:rsidR="0061207E">
              <w:rPr>
                <w:noProof/>
                <w:webHidden/>
              </w:rPr>
              <w:fldChar w:fldCharType="end"/>
            </w:r>
          </w:hyperlink>
        </w:p>
        <w:p w14:paraId="3E1F5E84" w14:textId="19EC0C5A" w:rsidR="0061207E" w:rsidRDefault="000C67D1">
          <w:pPr>
            <w:pStyle w:val="TOC2"/>
            <w:tabs>
              <w:tab w:val="left" w:pos="880"/>
              <w:tab w:val="right" w:leader="dot" w:pos="9486"/>
            </w:tabs>
            <w:rPr>
              <w:rFonts w:eastAsiaTheme="minorEastAsia"/>
              <w:noProof/>
              <w:lang w:eastAsia="bg-BG"/>
            </w:rPr>
          </w:pPr>
          <w:hyperlink w:anchor="_Toc136269950" w:history="1">
            <w:r w:rsidR="0061207E" w:rsidRPr="0022478C">
              <w:rPr>
                <w:rStyle w:val="Hyperlink"/>
                <w:rFonts w:ascii="Times New Roman" w:hAnsi="Times New Roman" w:cs="Times New Roman"/>
                <w:noProof/>
              </w:rPr>
              <w:t>11.</w:t>
            </w:r>
            <w:r w:rsidR="0061207E">
              <w:rPr>
                <w:rFonts w:eastAsiaTheme="minorEastAsia"/>
                <w:noProof/>
                <w:lang w:eastAsia="bg-BG"/>
              </w:rPr>
              <w:tab/>
            </w:r>
            <w:r w:rsidR="0061207E" w:rsidRPr="0022478C">
              <w:rPr>
                <w:rStyle w:val="Hyperlink"/>
                <w:rFonts w:ascii="Times New Roman" w:hAnsi="Times New Roman" w:cs="Times New Roman"/>
                <w:noProof/>
              </w:rPr>
              <w:t>Допустими кандидати:</w:t>
            </w:r>
            <w:r w:rsidR="0061207E">
              <w:rPr>
                <w:noProof/>
                <w:webHidden/>
              </w:rPr>
              <w:tab/>
            </w:r>
            <w:r w:rsidR="0061207E">
              <w:rPr>
                <w:noProof/>
                <w:webHidden/>
              </w:rPr>
              <w:fldChar w:fldCharType="begin"/>
            </w:r>
            <w:r w:rsidR="0061207E">
              <w:rPr>
                <w:noProof/>
                <w:webHidden/>
              </w:rPr>
              <w:instrText xml:space="preserve"> PAGEREF _Toc136269950 \h </w:instrText>
            </w:r>
            <w:r w:rsidR="0061207E">
              <w:rPr>
                <w:noProof/>
                <w:webHidden/>
              </w:rPr>
            </w:r>
            <w:r w:rsidR="0061207E">
              <w:rPr>
                <w:noProof/>
                <w:webHidden/>
              </w:rPr>
              <w:fldChar w:fldCharType="separate"/>
            </w:r>
            <w:r w:rsidR="0061207E">
              <w:rPr>
                <w:noProof/>
                <w:webHidden/>
              </w:rPr>
              <w:t>9</w:t>
            </w:r>
            <w:r w:rsidR="0061207E">
              <w:rPr>
                <w:noProof/>
                <w:webHidden/>
              </w:rPr>
              <w:fldChar w:fldCharType="end"/>
            </w:r>
          </w:hyperlink>
        </w:p>
        <w:p w14:paraId="5479B416" w14:textId="065F3E06" w:rsidR="0061207E" w:rsidRDefault="000C67D1">
          <w:pPr>
            <w:pStyle w:val="TOC2"/>
            <w:tabs>
              <w:tab w:val="left" w:pos="880"/>
              <w:tab w:val="right" w:leader="dot" w:pos="9486"/>
            </w:tabs>
            <w:rPr>
              <w:rFonts w:eastAsiaTheme="minorEastAsia"/>
              <w:noProof/>
              <w:lang w:eastAsia="bg-BG"/>
            </w:rPr>
          </w:pPr>
          <w:hyperlink w:anchor="_Toc136269951" w:history="1">
            <w:r w:rsidR="0061207E" w:rsidRPr="0022478C">
              <w:rPr>
                <w:rStyle w:val="Hyperlink"/>
                <w:rFonts w:ascii="Times New Roman" w:hAnsi="Times New Roman" w:cs="Times New Roman"/>
                <w:noProof/>
              </w:rPr>
              <w:t>12.</w:t>
            </w:r>
            <w:r w:rsidR="0061207E">
              <w:rPr>
                <w:rFonts w:eastAsiaTheme="minorEastAsia"/>
                <w:noProof/>
                <w:lang w:eastAsia="bg-BG"/>
              </w:rPr>
              <w:tab/>
            </w:r>
            <w:r w:rsidR="0061207E" w:rsidRPr="0022478C">
              <w:rPr>
                <w:rStyle w:val="Hyperlink"/>
                <w:rFonts w:ascii="Times New Roman" w:hAnsi="Times New Roman" w:cs="Times New Roman"/>
                <w:noProof/>
              </w:rPr>
              <w:t>Допустими партньори (ако е приложимо):</w:t>
            </w:r>
            <w:r w:rsidR="0061207E">
              <w:rPr>
                <w:noProof/>
                <w:webHidden/>
              </w:rPr>
              <w:tab/>
            </w:r>
            <w:r w:rsidR="0061207E">
              <w:rPr>
                <w:noProof/>
                <w:webHidden/>
              </w:rPr>
              <w:fldChar w:fldCharType="begin"/>
            </w:r>
            <w:r w:rsidR="0061207E">
              <w:rPr>
                <w:noProof/>
                <w:webHidden/>
              </w:rPr>
              <w:instrText xml:space="preserve"> PAGEREF _Toc136269951 \h </w:instrText>
            </w:r>
            <w:r w:rsidR="0061207E">
              <w:rPr>
                <w:noProof/>
                <w:webHidden/>
              </w:rPr>
            </w:r>
            <w:r w:rsidR="0061207E">
              <w:rPr>
                <w:noProof/>
                <w:webHidden/>
              </w:rPr>
              <w:fldChar w:fldCharType="separate"/>
            </w:r>
            <w:r w:rsidR="0061207E">
              <w:rPr>
                <w:noProof/>
                <w:webHidden/>
              </w:rPr>
              <w:t>10</w:t>
            </w:r>
            <w:r w:rsidR="0061207E">
              <w:rPr>
                <w:noProof/>
                <w:webHidden/>
              </w:rPr>
              <w:fldChar w:fldCharType="end"/>
            </w:r>
          </w:hyperlink>
        </w:p>
        <w:p w14:paraId="5BFE8A6E" w14:textId="6D08111A" w:rsidR="0061207E" w:rsidRDefault="000C67D1">
          <w:pPr>
            <w:pStyle w:val="TOC2"/>
            <w:tabs>
              <w:tab w:val="left" w:pos="880"/>
              <w:tab w:val="right" w:leader="dot" w:pos="9486"/>
            </w:tabs>
            <w:rPr>
              <w:rFonts w:eastAsiaTheme="minorEastAsia"/>
              <w:noProof/>
              <w:lang w:eastAsia="bg-BG"/>
            </w:rPr>
          </w:pPr>
          <w:hyperlink w:anchor="_Toc136269952" w:history="1">
            <w:r w:rsidR="0061207E" w:rsidRPr="0022478C">
              <w:rPr>
                <w:rStyle w:val="Hyperlink"/>
                <w:rFonts w:ascii="Times New Roman" w:hAnsi="Times New Roman" w:cs="Times New Roman"/>
                <w:noProof/>
              </w:rPr>
              <w:t>13.</w:t>
            </w:r>
            <w:r w:rsidR="0061207E">
              <w:rPr>
                <w:rFonts w:eastAsiaTheme="minorEastAsia"/>
                <w:noProof/>
                <w:lang w:eastAsia="bg-BG"/>
              </w:rPr>
              <w:tab/>
            </w:r>
            <w:r w:rsidR="0061207E" w:rsidRPr="0022478C">
              <w:rPr>
                <w:rStyle w:val="Hyperlink"/>
                <w:rFonts w:ascii="Times New Roman" w:hAnsi="Times New Roman" w:cs="Times New Roman"/>
                <w:noProof/>
              </w:rPr>
              <w:t>Дейности, допустими за финансиране:</w:t>
            </w:r>
            <w:r w:rsidR="0061207E">
              <w:rPr>
                <w:noProof/>
                <w:webHidden/>
              </w:rPr>
              <w:tab/>
            </w:r>
            <w:r w:rsidR="0061207E">
              <w:rPr>
                <w:noProof/>
                <w:webHidden/>
              </w:rPr>
              <w:fldChar w:fldCharType="begin"/>
            </w:r>
            <w:r w:rsidR="0061207E">
              <w:rPr>
                <w:noProof/>
                <w:webHidden/>
              </w:rPr>
              <w:instrText xml:space="preserve"> PAGEREF _Toc136269952 \h </w:instrText>
            </w:r>
            <w:r w:rsidR="0061207E">
              <w:rPr>
                <w:noProof/>
                <w:webHidden/>
              </w:rPr>
            </w:r>
            <w:r w:rsidR="0061207E">
              <w:rPr>
                <w:noProof/>
                <w:webHidden/>
              </w:rPr>
              <w:fldChar w:fldCharType="separate"/>
            </w:r>
            <w:r w:rsidR="0061207E">
              <w:rPr>
                <w:noProof/>
                <w:webHidden/>
              </w:rPr>
              <w:t>10</w:t>
            </w:r>
            <w:r w:rsidR="0061207E">
              <w:rPr>
                <w:noProof/>
                <w:webHidden/>
              </w:rPr>
              <w:fldChar w:fldCharType="end"/>
            </w:r>
          </w:hyperlink>
        </w:p>
        <w:p w14:paraId="4F118104" w14:textId="0CAE77CA" w:rsidR="0061207E" w:rsidRDefault="000C67D1">
          <w:pPr>
            <w:pStyle w:val="TOC2"/>
            <w:tabs>
              <w:tab w:val="left" w:pos="880"/>
              <w:tab w:val="right" w:leader="dot" w:pos="9486"/>
            </w:tabs>
            <w:rPr>
              <w:rFonts w:eastAsiaTheme="minorEastAsia"/>
              <w:noProof/>
              <w:lang w:eastAsia="bg-BG"/>
            </w:rPr>
          </w:pPr>
          <w:hyperlink w:anchor="_Toc136269953" w:history="1">
            <w:r w:rsidR="0061207E" w:rsidRPr="0022478C">
              <w:rPr>
                <w:rStyle w:val="Hyperlink"/>
                <w:rFonts w:ascii="Times New Roman" w:hAnsi="Times New Roman" w:cs="Times New Roman"/>
                <w:noProof/>
              </w:rPr>
              <w:t>14.</w:t>
            </w:r>
            <w:r w:rsidR="0061207E">
              <w:rPr>
                <w:rFonts w:eastAsiaTheme="minorEastAsia"/>
                <w:noProof/>
                <w:lang w:eastAsia="bg-BG"/>
              </w:rPr>
              <w:tab/>
            </w:r>
            <w:r w:rsidR="0061207E" w:rsidRPr="0022478C">
              <w:rPr>
                <w:rStyle w:val="Hyperlink"/>
                <w:rFonts w:ascii="Times New Roman" w:hAnsi="Times New Roman" w:cs="Times New Roman"/>
                <w:noProof/>
              </w:rPr>
              <w:t>Категории разходи, допустими за финансиране:</w:t>
            </w:r>
            <w:r w:rsidR="0061207E">
              <w:rPr>
                <w:noProof/>
                <w:webHidden/>
              </w:rPr>
              <w:tab/>
            </w:r>
            <w:r w:rsidR="0061207E">
              <w:rPr>
                <w:noProof/>
                <w:webHidden/>
              </w:rPr>
              <w:fldChar w:fldCharType="begin"/>
            </w:r>
            <w:r w:rsidR="0061207E">
              <w:rPr>
                <w:noProof/>
                <w:webHidden/>
              </w:rPr>
              <w:instrText xml:space="preserve"> PAGEREF _Toc136269953 \h </w:instrText>
            </w:r>
            <w:r w:rsidR="0061207E">
              <w:rPr>
                <w:noProof/>
                <w:webHidden/>
              </w:rPr>
            </w:r>
            <w:r w:rsidR="0061207E">
              <w:rPr>
                <w:noProof/>
                <w:webHidden/>
              </w:rPr>
              <w:fldChar w:fldCharType="separate"/>
            </w:r>
            <w:r w:rsidR="0061207E">
              <w:rPr>
                <w:noProof/>
                <w:webHidden/>
              </w:rPr>
              <w:t>14</w:t>
            </w:r>
            <w:r w:rsidR="0061207E">
              <w:rPr>
                <w:noProof/>
                <w:webHidden/>
              </w:rPr>
              <w:fldChar w:fldCharType="end"/>
            </w:r>
          </w:hyperlink>
        </w:p>
        <w:p w14:paraId="6D8F553C" w14:textId="50ED0D23" w:rsidR="0061207E" w:rsidRDefault="000C67D1">
          <w:pPr>
            <w:pStyle w:val="TOC2"/>
            <w:tabs>
              <w:tab w:val="left" w:pos="1100"/>
              <w:tab w:val="right" w:leader="dot" w:pos="9486"/>
            </w:tabs>
            <w:rPr>
              <w:rFonts w:eastAsiaTheme="minorEastAsia"/>
              <w:noProof/>
              <w:lang w:eastAsia="bg-BG"/>
            </w:rPr>
          </w:pPr>
          <w:hyperlink w:anchor="_Toc136269954" w:history="1">
            <w:r w:rsidR="0061207E" w:rsidRPr="0022478C">
              <w:rPr>
                <w:rStyle w:val="Hyperlink"/>
                <w:rFonts w:ascii="Times New Roman" w:hAnsi="Times New Roman" w:cs="Times New Roman"/>
                <w:noProof/>
              </w:rPr>
              <w:t>14.1.</w:t>
            </w:r>
            <w:r w:rsidR="0061207E">
              <w:rPr>
                <w:rFonts w:eastAsiaTheme="minorEastAsia"/>
                <w:noProof/>
                <w:lang w:eastAsia="bg-BG"/>
              </w:rPr>
              <w:tab/>
            </w:r>
            <w:r w:rsidR="0061207E" w:rsidRPr="0022478C">
              <w:rPr>
                <w:rStyle w:val="Hyperlink"/>
                <w:rFonts w:ascii="Times New Roman" w:hAnsi="Times New Roman" w:cs="Times New Roman"/>
                <w:noProof/>
              </w:rPr>
              <w:t>Условия за допустимост на разходите</w:t>
            </w:r>
            <w:r w:rsidR="0061207E">
              <w:rPr>
                <w:noProof/>
                <w:webHidden/>
              </w:rPr>
              <w:tab/>
            </w:r>
            <w:r w:rsidR="0061207E">
              <w:rPr>
                <w:noProof/>
                <w:webHidden/>
              </w:rPr>
              <w:fldChar w:fldCharType="begin"/>
            </w:r>
            <w:r w:rsidR="0061207E">
              <w:rPr>
                <w:noProof/>
                <w:webHidden/>
              </w:rPr>
              <w:instrText xml:space="preserve"> PAGEREF _Toc136269954 \h </w:instrText>
            </w:r>
            <w:r w:rsidR="0061207E">
              <w:rPr>
                <w:noProof/>
                <w:webHidden/>
              </w:rPr>
            </w:r>
            <w:r w:rsidR="0061207E">
              <w:rPr>
                <w:noProof/>
                <w:webHidden/>
              </w:rPr>
              <w:fldChar w:fldCharType="separate"/>
            </w:r>
            <w:r w:rsidR="0061207E">
              <w:rPr>
                <w:noProof/>
                <w:webHidden/>
              </w:rPr>
              <w:t>14</w:t>
            </w:r>
            <w:r w:rsidR="0061207E">
              <w:rPr>
                <w:noProof/>
                <w:webHidden/>
              </w:rPr>
              <w:fldChar w:fldCharType="end"/>
            </w:r>
          </w:hyperlink>
        </w:p>
        <w:p w14:paraId="2EC5D662" w14:textId="0CEE3061" w:rsidR="0061207E" w:rsidRDefault="000C67D1">
          <w:pPr>
            <w:pStyle w:val="TOC2"/>
            <w:tabs>
              <w:tab w:val="left" w:pos="1100"/>
              <w:tab w:val="right" w:leader="dot" w:pos="9486"/>
            </w:tabs>
            <w:rPr>
              <w:rFonts w:eastAsiaTheme="minorEastAsia"/>
              <w:noProof/>
              <w:lang w:eastAsia="bg-BG"/>
            </w:rPr>
          </w:pPr>
          <w:hyperlink w:anchor="_Toc136269955" w:history="1">
            <w:r w:rsidR="0061207E" w:rsidRPr="0022478C">
              <w:rPr>
                <w:rStyle w:val="Hyperlink"/>
                <w:rFonts w:ascii="Times New Roman" w:hAnsi="Times New Roman" w:cs="Times New Roman"/>
                <w:noProof/>
              </w:rPr>
              <w:t>14.2.</w:t>
            </w:r>
            <w:r w:rsidR="0061207E">
              <w:rPr>
                <w:rFonts w:eastAsiaTheme="minorEastAsia"/>
                <w:noProof/>
                <w:lang w:eastAsia="bg-BG"/>
              </w:rPr>
              <w:tab/>
            </w:r>
            <w:r w:rsidR="0061207E" w:rsidRPr="0022478C">
              <w:rPr>
                <w:rStyle w:val="Hyperlink"/>
                <w:rFonts w:ascii="Times New Roman" w:hAnsi="Times New Roman" w:cs="Times New Roman"/>
                <w:noProof/>
              </w:rPr>
              <w:t>Допустими разходи</w:t>
            </w:r>
            <w:r w:rsidR="0061207E">
              <w:rPr>
                <w:noProof/>
                <w:webHidden/>
              </w:rPr>
              <w:tab/>
            </w:r>
            <w:r w:rsidR="0061207E">
              <w:rPr>
                <w:noProof/>
                <w:webHidden/>
              </w:rPr>
              <w:fldChar w:fldCharType="begin"/>
            </w:r>
            <w:r w:rsidR="0061207E">
              <w:rPr>
                <w:noProof/>
                <w:webHidden/>
              </w:rPr>
              <w:instrText xml:space="preserve"> PAGEREF _Toc136269955 \h </w:instrText>
            </w:r>
            <w:r w:rsidR="0061207E">
              <w:rPr>
                <w:noProof/>
                <w:webHidden/>
              </w:rPr>
            </w:r>
            <w:r w:rsidR="0061207E">
              <w:rPr>
                <w:noProof/>
                <w:webHidden/>
              </w:rPr>
              <w:fldChar w:fldCharType="separate"/>
            </w:r>
            <w:r w:rsidR="0061207E">
              <w:rPr>
                <w:noProof/>
                <w:webHidden/>
              </w:rPr>
              <w:t>16</w:t>
            </w:r>
            <w:r w:rsidR="0061207E">
              <w:rPr>
                <w:noProof/>
                <w:webHidden/>
              </w:rPr>
              <w:fldChar w:fldCharType="end"/>
            </w:r>
          </w:hyperlink>
        </w:p>
        <w:p w14:paraId="76BE438B" w14:textId="18BBBD00" w:rsidR="0061207E" w:rsidRDefault="000C67D1">
          <w:pPr>
            <w:pStyle w:val="TOC2"/>
            <w:tabs>
              <w:tab w:val="left" w:pos="1100"/>
              <w:tab w:val="right" w:leader="dot" w:pos="9486"/>
            </w:tabs>
            <w:rPr>
              <w:rFonts w:eastAsiaTheme="minorEastAsia"/>
              <w:noProof/>
              <w:lang w:eastAsia="bg-BG"/>
            </w:rPr>
          </w:pPr>
          <w:hyperlink w:anchor="_Toc136269956" w:history="1">
            <w:r w:rsidR="0061207E" w:rsidRPr="0022478C">
              <w:rPr>
                <w:rStyle w:val="Hyperlink"/>
                <w:rFonts w:ascii="Times New Roman" w:hAnsi="Times New Roman" w:cs="Times New Roman"/>
                <w:noProof/>
              </w:rPr>
              <w:t>14.3.</w:t>
            </w:r>
            <w:r w:rsidR="0061207E">
              <w:rPr>
                <w:rFonts w:eastAsiaTheme="minorEastAsia"/>
                <w:noProof/>
                <w:lang w:eastAsia="bg-BG"/>
              </w:rPr>
              <w:tab/>
            </w:r>
            <w:r w:rsidR="0061207E" w:rsidRPr="0022478C">
              <w:rPr>
                <w:rStyle w:val="Hyperlink"/>
                <w:rFonts w:ascii="Times New Roman" w:hAnsi="Times New Roman" w:cs="Times New Roman"/>
                <w:noProof/>
              </w:rPr>
              <w:t>Недопустими разходи</w:t>
            </w:r>
            <w:r w:rsidR="0061207E">
              <w:rPr>
                <w:noProof/>
                <w:webHidden/>
              </w:rPr>
              <w:tab/>
            </w:r>
            <w:r w:rsidR="0061207E">
              <w:rPr>
                <w:noProof/>
                <w:webHidden/>
              </w:rPr>
              <w:fldChar w:fldCharType="begin"/>
            </w:r>
            <w:r w:rsidR="0061207E">
              <w:rPr>
                <w:noProof/>
                <w:webHidden/>
              </w:rPr>
              <w:instrText xml:space="preserve"> PAGEREF _Toc136269956 \h </w:instrText>
            </w:r>
            <w:r w:rsidR="0061207E">
              <w:rPr>
                <w:noProof/>
                <w:webHidden/>
              </w:rPr>
            </w:r>
            <w:r w:rsidR="0061207E">
              <w:rPr>
                <w:noProof/>
                <w:webHidden/>
              </w:rPr>
              <w:fldChar w:fldCharType="separate"/>
            </w:r>
            <w:r w:rsidR="0061207E">
              <w:rPr>
                <w:noProof/>
                <w:webHidden/>
              </w:rPr>
              <w:t>20</w:t>
            </w:r>
            <w:r w:rsidR="0061207E">
              <w:rPr>
                <w:noProof/>
                <w:webHidden/>
              </w:rPr>
              <w:fldChar w:fldCharType="end"/>
            </w:r>
          </w:hyperlink>
        </w:p>
        <w:p w14:paraId="7C321272" w14:textId="1417B367" w:rsidR="0061207E" w:rsidRDefault="000C67D1">
          <w:pPr>
            <w:pStyle w:val="TOC2"/>
            <w:tabs>
              <w:tab w:val="left" w:pos="880"/>
              <w:tab w:val="right" w:leader="dot" w:pos="9486"/>
            </w:tabs>
            <w:rPr>
              <w:rFonts w:eastAsiaTheme="minorEastAsia"/>
              <w:noProof/>
              <w:lang w:eastAsia="bg-BG"/>
            </w:rPr>
          </w:pPr>
          <w:hyperlink w:anchor="_Toc136269957" w:history="1">
            <w:r w:rsidR="0061207E" w:rsidRPr="0022478C">
              <w:rPr>
                <w:rStyle w:val="Hyperlink"/>
                <w:rFonts w:ascii="Times New Roman" w:hAnsi="Times New Roman" w:cs="Times New Roman"/>
                <w:noProof/>
              </w:rPr>
              <w:t>15.</w:t>
            </w:r>
            <w:r w:rsidR="0061207E">
              <w:rPr>
                <w:rFonts w:eastAsiaTheme="minorEastAsia"/>
                <w:noProof/>
                <w:lang w:eastAsia="bg-BG"/>
              </w:rPr>
              <w:tab/>
            </w:r>
            <w:r w:rsidR="0061207E" w:rsidRPr="0022478C">
              <w:rPr>
                <w:rStyle w:val="Hyperlink"/>
                <w:rFonts w:ascii="Times New Roman" w:hAnsi="Times New Roman" w:cs="Times New Roman"/>
                <w:noProof/>
              </w:rPr>
              <w:t>Допустими целеви групи (ако е приложимо):</w:t>
            </w:r>
            <w:r w:rsidR="0061207E">
              <w:rPr>
                <w:noProof/>
                <w:webHidden/>
              </w:rPr>
              <w:tab/>
            </w:r>
            <w:r w:rsidR="0061207E">
              <w:rPr>
                <w:noProof/>
                <w:webHidden/>
              </w:rPr>
              <w:fldChar w:fldCharType="begin"/>
            </w:r>
            <w:r w:rsidR="0061207E">
              <w:rPr>
                <w:noProof/>
                <w:webHidden/>
              </w:rPr>
              <w:instrText xml:space="preserve"> PAGEREF _Toc136269957 \h </w:instrText>
            </w:r>
            <w:r w:rsidR="0061207E">
              <w:rPr>
                <w:noProof/>
                <w:webHidden/>
              </w:rPr>
            </w:r>
            <w:r w:rsidR="0061207E">
              <w:rPr>
                <w:noProof/>
                <w:webHidden/>
              </w:rPr>
              <w:fldChar w:fldCharType="separate"/>
            </w:r>
            <w:r w:rsidR="0061207E">
              <w:rPr>
                <w:noProof/>
                <w:webHidden/>
              </w:rPr>
              <w:t>23</w:t>
            </w:r>
            <w:r w:rsidR="0061207E">
              <w:rPr>
                <w:noProof/>
                <w:webHidden/>
              </w:rPr>
              <w:fldChar w:fldCharType="end"/>
            </w:r>
          </w:hyperlink>
        </w:p>
        <w:p w14:paraId="27FA8F6F" w14:textId="1E1868D1" w:rsidR="0061207E" w:rsidRDefault="000C67D1">
          <w:pPr>
            <w:pStyle w:val="TOC2"/>
            <w:tabs>
              <w:tab w:val="left" w:pos="880"/>
              <w:tab w:val="right" w:leader="dot" w:pos="9486"/>
            </w:tabs>
            <w:rPr>
              <w:rFonts w:eastAsiaTheme="minorEastAsia"/>
              <w:noProof/>
              <w:lang w:eastAsia="bg-BG"/>
            </w:rPr>
          </w:pPr>
          <w:hyperlink w:anchor="_Toc136269958" w:history="1">
            <w:r w:rsidR="0061207E" w:rsidRPr="0022478C">
              <w:rPr>
                <w:rStyle w:val="Hyperlink"/>
                <w:rFonts w:ascii="Times New Roman" w:hAnsi="Times New Roman" w:cs="Times New Roman"/>
                <w:noProof/>
              </w:rPr>
              <w:t>16.</w:t>
            </w:r>
            <w:r w:rsidR="0061207E">
              <w:rPr>
                <w:rFonts w:eastAsiaTheme="minorEastAsia"/>
                <w:noProof/>
                <w:lang w:eastAsia="bg-BG"/>
              </w:rPr>
              <w:tab/>
            </w:r>
            <w:r w:rsidR="0061207E" w:rsidRPr="0022478C">
              <w:rPr>
                <w:rStyle w:val="Hyperlink"/>
                <w:rFonts w:ascii="Times New Roman" w:hAnsi="Times New Roman" w:cs="Times New Roman"/>
                <w:noProof/>
              </w:rPr>
              <w:t>Приложим режим на минимални/държавни помощи (ако е приложимо):</w:t>
            </w:r>
            <w:r w:rsidR="0061207E">
              <w:rPr>
                <w:noProof/>
                <w:webHidden/>
              </w:rPr>
              <w:tab/>
            </w:r>
            <w:r w:rsidR="0061207E">
              <w:rPr>
                <w:noProof/>
                <w:webHidden/>
              </w:rPr>
              <w:fldChar w:fldCharType="begin"/>
            </w:r>
            <w:r w:rsidR="0061207E">
              <w:rPr>
                <w:noProof/>
                <w:webHidden/>
              </w:rPr>
              <w:instrText xml:space="preserve"> PAGEREF _Toc136269958 \h </w:instrText>
            </w:r>
            <w:r w:rsidR="0061207E">
              <w:rPr>
                <w:noProof/>
                <w:webHidden/>
              </w:rPr>
            </w:r>
            <w:r w:rsidR="0061207E">
              <w:rPr>
                <w:noProof/>
                <w:webHidden/>
              </w:rPr>
              <w:fldChar w:fldCharType="separate"/>
            </w:r>
            <w:r w:rsidR="0061207E">
              <w:rPr>
                <w:noProof/>
                <w:webHidden/>
              </w:rPr>
              <w:t>23</w:t>
            </w:r>
            <w:r w:rsidR="0061207E">
              <w:rPr>
                <w:noProof/>
                <w:webHidden/>
              </w:rPr>
              <w:fldChar w:fldCharType="end"/>
            </w:r>
          </w:hyperlink>
        </w:p>
        <w:p w14:paraId="525D5E14" w14:textId="012E253F" w:rsidR="0061207E" w:rsidRDefault="000C67D1">
          <w:pPr>
            <w:pStyle w:val="TOC2"/>
            <w:tabs>
              <w:tab w:val="left" w:pos="880"/>
              <w:tab w:val="right" w:leader="dot" w:pos="9486"/>
            </w:tabs>
            <w:rPr>
              <w:rFonts w:eastAsiaTheme="minorEastAsia"/>
              <w:noProof/>
              <w:lang w:eastAsia="bg-BG"/>
            </w:rPr>
          </w:pPr>
          <w:hyperlink w:anchor="_Toc136269959" w:history="1">
            <w:r w:rsidR="0061207E" w:rsidRPr="0022478C">
              <w:rPr>
                <w:rStyle w:val="Hyperlink"/>
                <w:rFonts w:ascii="Times New Roman" w:hAnsi="Times New Roman" w:cs="Times New Roman"/>
                <w:noProof/>
              </w:rPr>
              <w:t>17.</w:t>
            </w:r>
            <w:r w:rsidR="0061207E">
              <w:rPr>
                <w:rFonts w:eastAsiaTheme="minorEastAsia"/>
                <w:noProof/>
                <w:lang w:eastAsia="bg-BG"/>
              </w:rPr>
              <w:tab/>
            </w:r>
            <w:r w:rsidR="0061207E" w:rsidRPr="0022478C">
              <w:rPr>
                <w:rStyle w:val="Hyperlink"/>
                <w:rFonts w:ascii="Times New Roman" w:hAnsi="Times New Roman" w:cs="Times New Roman"/>
                <w:noProof/>
              </w:rPr>
              <w:t>Хоризонтални политики:</w:t>
            </w:r>
            <w:r w:rsidR="0061207E">
              <w:rPr>
                <w:noProof/>
                <w:webHidden/>
              </w:rPr>
              <w:tab/>
            </w:r>
            <w:r w:rsidR="0061207E">
              <w:rPr>
                <w:noProof/>
                <w:webHidden/>
              </w:rPr>
              <w:fldChar w:fldCharType="begin"/>
            </w:r>
            <w:r w:rsidR="0061207E">
              <w:rPr>
                <w:noProof/>
                <w:webHidden/>
              </w:rPr>
              <w:instrText xml:space="preserve"> PAGEREF _Toc136269959 \h </w:instrText>
            </w:r>
            <w:r w:rsidR="0061207E">
              <w:rPr>
                <w:noProof/>
                <w:webHidden/>
              </w:rPr>
            </w:r>
            <w:r w:rsidR="0061207E">
              <w:rPr>
                <w:noProof/>
                <w:webHidden/>
              </w:rPr>
              <w:fldChar w:fldCharType="separate"/>
            </w:r>
            <w:r w:rsidR="0061207E">
              <w:rPr>
                <w:noProof/>
                <w:webHidden/>
              </w:rPr>
              <w:t>27</w:t>
            </w:r>
            <w:r w:rsidR="0061207E">
              <w:rPr>
                <w:noProof/>
                <w:webHidden/>
              </w:rPr>
              <w:fldChar w:fldCharType="end"/>
            </w:r>
          </w:hyperlink>
        </w:p>
        <w:p w14:paraId="62EF0D6A" w14:textId="5C59BAD0" w:rsidR="0061207E" w:rsidRDefault="000C67D1">
          <w:pPr>
            <w:pStyle w:val="TOC2"/>
            <w:tabs>
              <w:tab w:val="left" w:pos="880"/>
              <w:tab w:val="right" w:leader="dot" w:pos="9486"/>
            </w:tabs>
            <w:rPr>
              <w:rFonts w:eastAsiaTheme="minorEastAsia"/>
              <w:noProof/>
              <w:lang w:eastAsia="bg-BG"/>
            </w:rPr>
          </w:pPr>
          <w:hyperlink w:anchor="_Toc136269960" w:history="1">
            <w:r w:rsidR="0061207E" w:rsidRPr="0022478C">
              <w:rPr>
                <w:rStyle w:val="Hyperlink"/>
                <w:rFonts w:ascii="Times New Roman" w:hAnsi="Times New Roman" w:cs="Times New Roman"/>
                <w:noProof/>
              </w:rPr>
              <w:t>18.</w:t>
            </w:r>
            <w:r w:rsidR="0061207E">
              <w:rPr>
                <w:rFonts w:eastAsiaTheme="minorEastAsia"/>
                <w:noProof/>
                <w:lang w:eastAsia="bg-BG"/>
              </w:rPr>
              <w:tab/>
            </w:r>
            <w:r w:rsidR="0061207E" w:rsidRPr="0022478C">
              <w:rPr>
                <w:rStyle w:val="Hyperlink"/>
                <w:rFonts w:ascii="Times New Roman" w:hAnsi="Times New Roman" w:cs="Times New Roman"/>
                <w:noProof/>
              </w:rPr>
              <w:t>Продължителност на процедурите:</w:t>
            </w:r>
            <w:r w:rsidR="0061207E">
              <w:rPr>
                <w:noProof/>
                <w:webHidden/>
              </w:rPr>
              <w:tab/>
            </w:r>
            <w:r w:rsidR="0061207E">
              <w:rPr>
                <w:noProof/>
                <w:webHidden/>
              </w:rPr>
              <w:fldChar w:fldCharType="begin"/>
            </w:r>
            <w:r w:rsidR="0061207E">
              <w:rPr>
                <w:noProof/>
                <w:webHidden/>
              </w:rPr>
              <w:instrText xml:space="preserve"> PAGEREF _Toc136269960 \h </w:instrText>
            </w:r>
            <w:r w:rsidR="0061207E">
              <w:rPr>
                <w:noProof/>
                <w:webHidden/>
              </w:rPr>
            </w:r>
            <w:r w:rsidR="0061207E">
              <w:rPr>
                <w:noProof/>
                <w:webHidden/>
              </w:rPr>
              <w:fldChar w:fldCharType="separate"/>
            </w:r>
            <w:r w:rsidR="0061207E">
              <w:rPr>
                <w:noProof/>
                <w:webHidden/>
              </w:rPr>
              <w:t>28</w:t>
            </w:r>
            <w:r w:rsidR="0061207E">
              <w:rPr>
                <w:noProof/>
                <w:webHidden/>
              </w:rPr>
              <w:fldChar w:fldCharType="end"/>
            </w:r>
          </w:hyperlink>
        </w:p>
        <w:p w14:paraId="07E287C8" w14:textId="46E31AEB" w:rsidR="0061207E" w:rsidRDefault="000C67D1">
          <w:pPr>
            <w:pStyle w:val="TOC2"/>
            <w:tabs>
              <w:tab w:val="left" w:pos="880"/>
              <w:tab w:val="right" w:leader="dot" w:pos="9486"/>
            </w:tabs>
            <w:rPr>
              <w:rFonts w:eastAsiaTheme="minorEastAsia"/>
              <w:noProof/>
              <w:lang w:eastAsia="bg-BG"/>
            </w:rPr>
          </w:pPr>
          <w:hyperlink w:anchor="_Toc136269961" w:history="1">
            <w:r w:rsidR="0061207E" w:rsidRPr="0022478C">
              <w:rPr>
                <w:rStyle w:val="Hyperlink"/>
                <w:rFonts w:ascii="Times New Roman" w:hAnsi="Times New Roman" w:cs="Times New Roman"/>
                <w:noProof/>
              </w:rPr>
              <w:t>19.</w:t>
            </w:r>
            <w:r w:rsidR="0061207E">
              <w:rPr>
                <w:rFonts w:eastAsiaTheme="minorEastAsia"/>
                <w:noProof/>
                <w:lang w:eastAsia="bg-BG"/>
              </w:rPr>
              <w:tab/>
            </w:r>
            <w:r w:rsidR="0061207E" w:rsidRPr="0022478C">
              <w:rPr>
                <w:rStyle w:val="Hyperlink"/>
                <w:rFonts w:ascii="Times New Roman" w:hAnsi="Times New Roman" w:cs="Times New Roman"/>
                <w:noProof/>
              </w:rPr>
              <w:t>Начин на подаване на проектните предложения</w:t>
            </w:r>
            <w:r w:rsidR="0061207E">
              <w:rPr>
                <w:noProof/>
                <w:webHidden/>
              </w:rPr>
              <w:tab/>
            </w:r>
            <w:r w:rsidR="0061207E">
              <w:rPr>
                <w:noProof/>
                <w:webHidden/>
              </w:rPr>
              <w:fldChar w:fldCharType="begin"/>
            </w:r>
            <w:r w:rsidR="0061207E">
              <w:rPr>
                <w:noProof/>
                <w:webHidden/>
              </w:rPr>
              <w:instrText xml:space="preserve"> PAGEREF _Toc136269961 \h </w:instrText>
            </w:r>
            <w:r w:rsidR="0061207E">
              <w:rPr>
                <w:noProof/>
                <w:webHidden/>
              </w:rPr>
            </w:r>
            <w:r w:rsidR="0061207E">
              <w:rPr>
                <w:noProof/>
                <w:webHidden/>
              </w:rPr>
              <w:fldChar w:fldCharType="separate"/>
            </w:r>
            <w:r w:rsidR="0061207E">
              <w:rPr>
                <w:noProof/>
                <w:webHidden/>
              </w:rPr>
              <w:t>28</w:t>
            </w:r>
            <w:r w:rsidR="0061207E">
              <w:rPr>
                <w:noProof/>
                <w:webHidden/>
              </w:rPr>
              <w:fldChar w:fldCharType="end"/>
            </w:r>
          </w:hyperlink>
        </w:p>
        <w:p w14:paraId="187FC931" w14:textId="703F98B6" w:rsidR="0061207E" w:rsidRDefault="000C67D1">
          <w:pPr>
            <w:pStyle w:val="TOC2"/>
            <w:tabs>
              <w:tab w:val="left" w:pos="1100"/>
              <w:tab w:val="right" w:leader="dot" w:pos="9486"/>
            </w:tabs>
            <w:rPr>
              <w:rFonts w:eastAsiaTheme="minorEastAsia"/>
              <w:noProof/>
              <w:lang w:eastAsia="bg-BG"/>
            </w:rPr>
          </w:pPr>
          <w:hyperlink w:anchor="_Toc136269962" w:history="1">
            <w:r w:rsidR="0061207E" w:rsidRPr="0022478C">
              <w:rPr>
                <w:rStyle w:val="Hyperlink"/>
                <w:rFonts w:ascii="Times New Roman" w:hAnsi="Times New Roman"/>
                <w:noProof/>
              </w:rPr>
              <w:t>19.1.</w:t>
            </w:r>
            <w:r w:rsidR="0061207E">
              <w:rPr>
                <w:rFonts w:eastAsiaTheme="minorEastAsia"/>
                <w:noProof/>
                <w:lang w:eastAsia="bg-BG"/>
              </w:rPr>
              <w:tab/>
            </w:r>
            <w:r w:rsidR="0061207E" w:rsidRPr="0022478C">
              <w:rPr>
                <w:rStyle w:val="Hyperlink"/>
                <w:rFonts w:ascii="Times New Roman" w:hAnsi="Times New Roman"/>
                <w:noProof/>
              </w:rPr>
              <w:t>Подготовка на формуляр за кандидатстване</w:t>
            </w:r>
            <w:r w:rsidR="0061207E">
              <w:rPr>
                <w:noProof/>
                <w:webHidden/>
              </w:rPr>
              <w:tab/>
            </w:r>
            <w:r w:rsidR="0061207E">
              <w:rPr>
                <w:noProof/>
                <w:webHidden/>
              </w:rPr>
              <w:fldChar w:fldCharType="begin"/>
            </w:r>
            <w:r w:rsidR="0061207E">
              <w:rPr>
                <w:noProof/>
                <w:webHidden/>
              </w:rPr>
              <w:instrText xml:space="preserve"> PAGEREF _Toc136269962 \h </w:instrText>
            </w:r>
            <w:r w:rsidR="0061207E">
              <w:rPr>
                <w:noProof/>
                <w:webHidden/>
              </w:rPr>
            </w:r>
            <w:r w:rsidR="0061207E">
              <w:rPr>
                <w:noProof/>
                <w:webHidden/>
              </w:rPr>
              <w:fldChar w:fldCharType="separate"/>
            </w:r>
            <w:r w:rsidR="0061207E">
              <w:rPr>
                <w:noProof/>
                <w:webHidden/>
              </w:rPr>
              <w:t>28</w:t>
            </w:r>
            <w:r w:rsidR="0061207E">
              <w:rPr>
                <w:noProof/>
                <w:webHidden/>
              </w:rPr>
              <w:fldChar w:fldCharType="end"/>
            </w:r>
          </w:hyperlink>
        </w:p>
        <w:p w14:paraId="795625DA" w14:textId="5D707315" w:rsidR="0061207E" w:rsidRDefault="000C67D1">
          <w:pPr>
            <w:pStyle w:val="TOC2"/>
            <w:tabs>
              <w:tab w:val="left" w:pos="1100"/>
              <w:tab w:val="right" w:leader="dot" w:pos="9486"/>
            </w:tabs>
            <w:rPr>
              <w:rFonts w:eastAsiaTheme="minorEastAsia"/>
              <w:noProof/>
              <w:lang w:eastAsia="bg-BG"/>
            </w:rPr>
          </w:pPr>
          <w:hyperlink w:anchor="_Toc136269963" w:history="1">
            <w:r w:rsidR="0061207E" w:rsidRPr="0022478C">
              <w:rPr>
                <w:rStyle w:val="Hyperlink"/>
                <w:rFonts w:ascii="Times New Roman" w:hAnsi="Times New Roman" w:cs="Times New Roman"/>
                <w:noProof/>
              </w:rPr>
              <w:t>19.2.</w:t>
            </w:r>
            <w:r w:rsidR="0061207E">
              <w:rPr>
                <w:rFonts w:eastAsiaTheme="minorEastAsia"/>
                <w:noProof/>
                <w:lang w:eastAsia="bg-BG"/>
              </w:rPr>
              <w:tab/>
            </w:r>
            <w:r w:rsidR="0061207E" w:rsidRPr="0022478C">
              <w:rPr>
                <w:rStyle w:val="Hyperlink"/>
                <w:rFonts w:ascii="Times New Roman" w:hAnsi="Times New Roman" w:cs="Times New Roman"/>
                <w:noProof/>
              </w:rPr>
              <w:t>Изисквания за попълване на ФК на проектните предложения:</w:t>
            </w:r>
            <w:r w:rsidR="0061207E">
              <w:rPr>
                <w:noProof/>
                <w:webHidden/>
              </w:rPr>
              <w:tab/>
            </w:r>
            <w:r w:rsidR="0061207E">
              <w:rPr>
                <w:noProof/>
                <w:webHidden/>
              </w:rPr>
              <w:fldChar w:fldCharType="begin"/>
            </w:r>
            <w:r w:rsidR="0061207E">
              <w:rPr>
                <w:noProof/>
                <w:webHidden/>
              </w:rPr>
              <w:instrText xml:space="preserve"> PAGEREF _Toc136269963 \h </w:instrText>
            </w:r>
            <w:r w:rsidR="0061207E">
              <w:rPr>
                <w:noProof/>
                <w:webHidden/>
              </w:rPr>
            </w:r>
            <w:r w:rsidR="0061207E">
              <w:rPr>
                <w:noProof/>
                <w:webHidden/>
              </w:rPr>
              <w:fldChar w:fldCharType="separate"/>
            </w:r>
            <w:r w:rsidR="0061207E">
              <w:rPr>
                <w:noProof/>
                <w:webHidden/>
              </w:rPr>
              <w:t>29</w:t>
            </w:r>
            <w:r w:rsidR="0061207E">
              <w:rPr>
                <w:noProof/>
                <w:webHidden/>
              </w:rPr>
              <w:fldChar w:fldCharType="end"/>
            </w:r>
          </w:hyperlink>
        </w:p>
        <w:p w14:paraId="78F72037" w14:textId="2F197A4E" w:rsidR="0061207E" w:rsidRDefault="000C67D1">
          <w:pPr>
            <w:pStyle w:val="TOC2"/>
            <w:tabs>
              <w:tab w:val="left" w:pos="1100"/>
              <w:tab w:val="right" w:leader="dot" w:pos="9486"/>
            </w:tabs>
            <w:rPr>
              <w:rFonts w:eastAsiaTheme="minorEastAsia"/>
              <w:noProof/>
              <w:lang w:eastAsia="bg-BG"/>
            </w:rPr>
          </w:pPr>
          <w:hyperlink w:anchor="_Toc136269964" w:history="1">
            <w:r w:rsidR="0061207E" w:rsidRPr="0022478C">
              <w:rPr>
                <w:rStyle w:val="Hyperlink"/>
                <w:rFonts w:ascii="Times New Roman" w:hAnsi="Times New Roman" w:cs="Times New Roman"/>
                <w:noProof/>
              </w:rPr>
              <w:t>19.3.</w:t>
            </w:r>
            <w:r w:rsidR="0061207E">
              <w:rPr>
                <w:rFonts w:eastAsiaTheme="minorEastAsia"/>
                <w:noProof/>
                <w:lang w:eastAsia="bg-BG"/>
              </w:rPr>
              <w:tab/>
            </w:r>
            <w:r w:rsidR="0061207E" w:rsidRPr="0022478C">
              <w:rPr>
                <w:rStyle w:val="Hyperlink"/>
                <w:rFonts w:ascii="Times New Roman" w:hAnsi="Times New Roman" w:cs="Times New Roman"/>
                <w:noProof/>
              </w:rPr>
              <w:t>Изисквания за фазирани проекти</w:t>
            </w:r>
            <w:r w:rsidR="0061207E">
              <w:rPr>
                <w:noProof/>
                <w:webHidden/>
              </w:rPr>
              <w:tab/>
            </w:r>
            <w:r w:rsidR="0061207E">
              <w:rPr>
                <w:noProof/>
                <w:webHidden/>
              </w:rPr>
              <w:fldChar w:fldCharType="begin"/>
            </w:r>
            <w:r w:rsidR="0061207E">
              <w:rPr>
                <w:noProof/>
                <w:webHidden/>
              </w:rPr>
              <w:instrText xml:space="preserve"> PAGEREF _Toc136269964 \h </w:instrText>
            </w:r>
            <w:r w:rsidR="0061207E">
              <w:rPr>
                <w:noProof/>
                <w:webHidden/>
              </w:rPr>
            </w:r>
            <w:r w:rsidR="0061207E">
              <w:rPr>
                <w:noProof/>
                <w:webHidden/>
              </w:rPr>
              <w:fldChar w:fldCharType="separate"/>
            </w:r>
            <w:r w:rsidR="0061207E">
              <w:rPr>
                <w:noProof/>
                <w:webHidden/>
              </w:rPr>
              <w:t>43</w:t>
            </w:r>
            <w:r w:rsidR="0061207E">
              <w:rPr>
                <w:noProof/>
                <w:webHidden/>
              </w:rPr>
              <w:fldChar w:fldCharType="end"/>
            </w:r>
          </w:hyperlink>
        </w:p>
        <w:p w14:paraId="3B9BE048" w14:textId="36E7EC4A" w:rsidR="0061207E" w:rsidRDefault="000C67D1">
          <w:pPr>
            <w:pStyle w:val="TOC2"/>
            <w:tabs>
              <w:tab w:val="left" w:pos="1100"/>
              <w:tab w:val="right" w:leader="dot" w:pos="9486"/>
            </w:tabs>
            <w:rPr>
              <w:rFonts w:eastAsiaTheme="minorEastAsia"/>
              <w:noProof/>
              <w:lang w:eastAsia="bg-BG"/>
            </w:rPr>
          </w:pPr>
          <w:hyperlink w:anchor="_Toc136269965" w:history="1">
            <w:r w:rsidR="0061207E" w:rsidRPr="0022478C">
              <w:rPr>
                <w:rStyle w:val="Hyperlink"/>
                <w:rFonts w:ascii="Times New Roman" w:hAnsi="Times New Roman" w:cs="Times New Roman"/>
                <w:noProof/>
              </w:rPr>
              <w:t>19.4.</w:t>
            </w:r>
            <w:r w:rsidR="0061207E">
              <w:rPr>
                <w:rFonts w:eastAsiaTheme="minorEastAsia"/>
                <w:noProof/>
                <w:lang w:eastAsia="bg-BG"/>
              </w:rPr>
              <w:tab/>
            </w:r>
            <w:r w:rsidR="0061207E" w:rsidRPr="0022478C">
              <w:rPr>
                <w:rStyle w:val="Hyperlink"/>
                <w:rFonts w:ascii="Times New Roman" w:hAnsi="Times New Roman" w:cs="Times New Roman"/>
                <w:noProof/>
              </w:rPr>
              <w:t>Минимални изисквания за видимост, прозрачност и комуникация</w:t>
            </w:r>
            <w:r w:rsidR="0061207E">
              <w:rPr>
                <w:noProof/>
                <w:webHidden/>
              </w:rPr>
              <w:tab/>
            </w:r>
            <w:r w:rsidR="0061207E">
              <w:rPr>
                <w:noProof/>
                <w:webHidden/>
              </w:rPr>
              <w:fldChar w:fldCharType="begin"/>
            </w:r>
            <w:r w:rsidR="0061207E">
              <w:rPr>
                <w:noProof/>
                <w:webHidden/>
              </w:rPr>
              <w:instrText xml:space="preserve"> PAGEREF _Toc136269965 \h </w:instrText>
            </w:r>
            <w:r w:rsidR="0061207E">
              <w:rPr>
                <w:noProof/>
                <w:webHidden/>
              </w:rPr>
            </w:r>
            <w:r w:rsidR="0061207E">
              <w:rPr>
                <w:noProof/>
                <w:webHidden/>
              </w:rPr>
              <w:fldChar w:fldCharType="separate"/>
            </w:r>
            <w:r w:rsidR="0061207E">
              <w:rPr>
                <w:noProof/>
                <w:webHidden/>
              </w:rPr>
              <w:t>43</w:t>
            </w:r>
            <w:r w:rsidR="0061207E">
              <w:rPr>
                <w:noProof/>
                <w:webHidden/>
              </w:rPr>
              <w:fldChar w:fldCharType="end"/>
            </w:r>
          </w:hyperlink>
        </w:p>
        <w:p w14:paraId="65F7FF33" w14:textId="2B5AE48A" w:rsidR="0061207E" w:rsidRDefault="000C67D1">
          <w:pPr>
            <w:pStyle w:val="TOC2"/>
            <w:tabs>
              <w:tab w:val="left" w:pos="1100"/>
              <w:tab w:val="right" w:leader="dot" w:pos="9486"/>
            </w:tabs>
            <w:rPr>
              <w:rFonts w:eastAsiaTheme="minorEastAsia"/>
              <w:noProof/>
              <w:lang w:eastAsia="bg-BG"/>
            </w:rPr>
          </w:pPr>
          <w:hyperlink w:anchor="_Toc136269966" w:history="1">
            <w:r w:rsidR="0061207E" w:rsidRPr="0022478C">
              <w:rPr>
                <w:rStyle w:val="Hyperlink"/>
                <w:rFonts w:ascii="Times New Roman" w:hAnsi="Times New Roman"/>
                <w:noProof/>
              </w:rPr>
              <w:t>19.5.</w:t>
            </w:r>
            <w:r w:rsidR="0061207E">
              <w:rPr>
                <w:rFonts w:eastAsiaTheme="minorEastAsia"/>
                <w:noProof/>
                <w:lang w:eastAsia="bg-BG"/>
              </w:rPr>
              <w:tab/>
            </w:r>
            <w:r w:rsidR="0061207E" w:rsidRPr="0022478C">
              <w:rPr>
                <w:rStyle w:val="Hyperlink"/>
                <w:rFonts w:ascii="Times New Roman" w:hAnsi="Times New Roman"/>
                <w:noProof/>
              </w:rPr>
              <w:t>Съпътстващи документи към ФК</w:t>
            </w:r>
            <w:r w:rsidR="0061207E">
              <w:rPr>
                <w:noProof/>
                <w:webHidden/>
              </w:rPr>
              <w:tab/>
            </w:r>
            <w:r w:rsidR="0061207E">
              <w:rPr>
                <w:noProof/>
                <w:webHidden/>
              </w:rPr>
              <w:fldChar w:fldCharType="begin"/>
            </w:r>
            <w:r w:rsidR="0061207E">
              <w:rPr>
                <w:noProof/>
                <w:webHidden/>
              </w:rPr>
              <w:instrText xml:space="preserve"> PAGEREF _Toc136269966 \h </w:instrText>
            </w:r>
            <w:r w:rsidR="0061207E">
              <w:rPr>
                <w:noProof/>
                <w:webHidden/>
              </w:rPr>
            </w:r>
            <w:r w:rsidR="0061207E">
              <w:rPr>
                <w:noProof/>
                <w:webHidden/>
              </w:rPr>
              <w:fldChar w:fldCharType="separate"/>
            </w:r>
            <w:r w:rsidR="0061207E">
              <w:rPr>
                <w:noProof/>
                <w:webHidden/>
              </w:rPr>
              <w:t>45</w:t>
            </w:r>
            <w:r w:rsidR="0061207E">
              <w:rPr>
                <w:noProof/>
                <w:webHidden/>
              </w:rPr>
              <w:fldChar w:fldCharType="end"/>
            </w:r>
          </w:hyperlink>
        </w:p>
        <w:p w14:paraId="76062795" w14:textId="47772193" w:rsidR="0061207E" w:rsidRDefault="000C67D1">
          <w:pPr>
            <w:pStyle w:val="TOC2"/>
            <w:tabs>
              <w:tab w:val="left" w:pos="880"/>
              <w:tab w:val="right" w:leader="dot" w:pos="9486"/>
            </w:tabs>
            <w:rPr>
              <w:rFonts w:eastAsiaTheme="minorEastAsia"/>
              <w:noProof/>
              <w:lang w:eastAsia="bg-BG"/>
            </w:rPr>
          </w:pPr>
          <w:hyperlink w:anchor="_Toc136269967" w:history="1">
            <w:r w:rsidR="0061207E" w:rsidRPr="0022478C">
              <w:rPr>
                <w:rStyle w:val="Hyperlink"/>
                <w:rFonts w:ascii="Times New Roman" w:hAnsi="Times New Roman" w:cs="Times New Roman"/>
                <w:noProof/>
              </w:rPr>
              <w:t>20.</w:t>
            </w:r>
            <w:r w:rsidR="0061207E">
              <w:rPr>
                <w:rFonts w:eastAsiaTheme="minorEastAsia"/>
                <w:noProof/>
                <w:lang w:eastAsia="bg-BG"/>
              </w:rPr>
              <w:tab/>
            </w:r>
            <w:r w:rsidR="0061207E" w:rsidRPr="0022478C">
              <w:rPr>
                <w:rStyle w:val="Hyperlink"/>
                <w:rFonts w:ascii="Times New Roman" w:hAnsi="Times New Roman" w:cs="Times New Roman"/>
                <w:noProof/>
              </w:rPr>
              <w:t>Критерии и методика за оценка на проектните предложения:</w:t>
            </w:r>
            <w:r w:rsidR="0061207E">
              <w:rPr>
                <w:noProof/>
                <w:webHidden/>
              </w:rPr>
              <w:tab/>
            </w:r>
            <w:r w:rsidR="0061207E">
              <w:rPr>
                <w:noProof/>
                <w:webHidden/>
              </w:rPr>
              <w:fldChar w:fldCharType="begin"/>
            </w:r>
            <w:r w:rsidR="0061207E">
              <w:rPr>
                <w:noProof/>
                <w:webHidden/>
              </w:rPr>
              <w:instrText xml:space="preserve"> PAGEREF _Toc136269967 \h </w:instrText>
            </w:r>
            <w:r w:rsidR="0061207E">
              <w:rPr>
                <w:noProof/>
                <w:webHidden/>
              </w:rPr>
            </w:r>
            <w:r w:rsidR="0061207E">
              <w:rPr>
                <w:noProof/>
                <w:webHidden/>
              </w:rPr>
              <w:fldChar w:fldCharType="separate"/>
            </w:r>
            <w:r w:rsidR="0061207E">
              <w:rPr>
                <w:noProof/>
                <w:webHidden/>
              </w:rPr>
              <w:t>46</w:t>
            </w:r>
            <w:r w:rsidR="0061207E">
              <w:rPr>
                <w:noProof/>
                <w:webHidden/>
              </w:rPr>
              <w:fldChar w:fldCharType="end"/>
            </w:r>
          </w:hyperlink>
        </w:p>
        <w:p w14:paraId="65297A16" w14:textId="7B247CB7" w:rsidR="0061207E" w:rsidRDefault="000C67D1">
          <w:pPr>
            <w:pStyle w:val="TOC2"/>
            <w:tabs>
              <w:tab w:val="left" w:pos="1100"/>
              <w:tab w:val="right" w:leader="dot" w:pos="9486"/>
            </w:tabs>
            <w:rPr>
              <w:rFonts w:eastAsiaTheme="minorEastAsia"/>
              <w:noProof/>
              <w:lang w:eastAsia="bg-BG"/>
            </w:rPr>
          </w:pPr>
          <w:hyperlink w:anchor="_Toc136269968" w:history="1">
            <w:r w:rsidR="0061207E" w:rsidRPr="0022478C">
              <w:rPr>
                <w:rStyle w:val="Hyperlink"/>
                <w:rFonts w:ascii="Times New Roman" w:hAnsi="Times New Roman" w:cs="Times New Roman"/>
                <w:noProof/>
              </w:rPr>
              <w:t>20.1.</w:t>
            </w:r>
            <w:r w:rsidR="0061207E">
              <w:rPr>
                <w:rFonts w:eastAsiaTheme="minorEastAsia"/>
                <w:noProof/>
                <w:lang w:eastAsia="bg-BG"/>
              </w:rPr>
              <w:tab/>
            </w:r>
            <w:r w:rsidR="0061207E" w:rsidRPr="0022478C">
              <w:rPr>
                <w:rStyle w:val="Hyperlink"/>
                <w:rFonts w:ascii="Times New Roman" w:hAnsi="Times New Roman" w:cs="Times New Roman"/>
                <w:noProof/>
              </w:rPr>
              <w:t>Критерии за оценка на проектните предложения:</w:t>
            </w:r>
            <w:r w:rsidR="0061207E">
              <w:rPr>
                <w:noProof/>
                <w:webHidden/>
              </w:rPr>
              <w:tab/>
            </w:r>
            <w:r w:rsidR="0061207E">
              <w:rPr>
                <w:noProof/>
                <w:webHidden/>
              </w:rPr>
              <w:fldChar w:fldCharType="begin"/>
            </w:r>
            <w:r w:rsidR="0061207E">
              <w:rPr>
                <w:noProof/>
                <w:webHidden/>
              </w:rPr>
              <w:instrText xml:space="preserve"> PAGEREF _Toc136269968 \h </w:instrText>
            </w:r>
            <w:r w:rsidR="0061207E">
              <w:rPr>
                <w:noProof/>
                <w:webHidden/>
              </w:rPr>
            </w:r>
            <w:r w:rsidR="0061207E">
              <w:rPr>
                <w:noProof/>
                <w:webHidden/>
              </w:rPr>
              <w:fldChar w:fldCharType="separate"/>
            </w:r>
            <w:r w:rsidR="0061207E">
              <w:rPr>
                <w:noProof/>
                <w:webHidden/>
              </w:rPr>
              <w:t>46</w:t>
            </w:r>
            <w:r w:rsidR="0061207E">
              <w:rPr>
                <w:noProof/>
                <w:webHidden/>
              </w:rPr>
              <w:fldChar w:fldCharType="end"/>
            </w:r>
          </w:hyperlink>
        </w:p>
        <w:p w14:paraId="033D7AAF" w14:textId="2A08FC86" w:rsidR="0061207E" w:rsidRDefault="000C67D1">
          <w:pPr>
            <w:pStyle w:val="TOC2"/>
            <w:tabs>
              <w:tab w:val="left" w:pos="1100"/>
              <w:tab w:val="right" w:leader="dot" w:pos="9486"/>
            </w:tabs>
            <w:rPr>
              <w:rFonts w:eastAsiaTheme="minorEastAsia"/>
              <w:noProof/>
              <w:lang w:eastAsia="bg-BG"/>
            </w:rPr>
          </w:pPr>
          <w:hyperlink w:anchor="_Toc136269969" w:history="1">
            <w:r w:rsidR="0061207E" w:rsidRPr="0022478C">
              <w:rPr>
                <w:rStyle w:val="Hyperlink"/>
                <w:rFonts w:ascii="Times New Roman" w:hAnsi="Times New Roman" w:cs="Times New Roman"/>
                <w:noProof/>
              </w:rPr>
              <w:t>20.2.</w:t>
            </w:r>
            <w:r w:rsidR="0061207E">
              <w:rPr>
                <w:rFonts w:eastAsiaTheme="minorEastAsia"/>
                <w:noProof/>
                <w:lang w:eastAsia="bg-BG"/>
              </w:rPr>
              <w:tab/>
            </w:r>
            <w:r w:rsidR="0061207E" w:rsidRPr="0022478C">
              <w:rPr>
                <w:rStyle w:val="Hyperlink"/>
                <w:rFonts w:ascii="Times New Roman" w:hAnsi="Times New Roman" w:cs="Times New Roman"/>
                <w:noProof/>
              </w:rPr>
              <w:t>Методика за оценяване на проектните предложения:</w:t>
            </w:r>
            <w:r w:rsidR="0061207E">
              <w:rPr>
                <w:noProof/>
                <w:webHidden/>
              </w:rPr>
              <w:tab/>
            </w:r>
            <w:r w:rsidR="0061207E">
              <w:rPr>
                <w:noProof/>
                <w:webHidden/>
              </w:rPr>
              <w:fldChar w:fldCharType="begin"/>
            </w:r>
            <w:r w:rsidR="0061207E">
              <w:rPr>
                <w:noProof/>
                <w:webHidden/>
              </w:rPr>
              <w:instrText xml:space="preserve"> PAGEREF _Toc136269969 \h </w:instrText>
            </w:r>
            <w:r w:rsidR="0061207E">
              <w:rPr>
                <w:noProof/>
                <w:webHidden/>
              </w:rPr>
            </w:r>
            <w:r w:rsidR="0061207E">
              <w:rPr>
                <w:noProof/>
                <w:webHidden/>
              </w:rPr>
              <w:fldChar w:fldCharType="separate"/>
            </w:r>
            <w:r w:rsidR="0061207E">
              <w:rPr>
                <w:noProof/>
                <w:webHidden/>
              </w:rPr>
              <w:t>47</w:t>
            </w:r>
            <w:r w:rsidR="0061207E">
              <w:rPr>
                <w:noProof/>
                <w:webHidden/>
              </w:rPr>
              <w:fldChar w:fldCharType="end"/>
            </w:r>
          </w:hyperlink>
        </w:p>
        <w:p w14:paraId="68983322" w14:textId="0406F8F7" w:rsidR="0061207E" w:rsidRDefault="000C67D1">
          <w:pPr>
            <w:pStyle w:val="TOC2"/>
            <w:tabs>
              <w:tab w:val="left" w:pos="880"/>
              <w:tab w:val="right" w:leader="dot" w:pos="9486"/>
            </w:tabs>
            <w:rPr>
              <w:rFonts w:eastAsiaTheme="minorEastAsia"/>
              <w:noProof/>
              <w:lang w:eastAsia="bg-BG"/>
            </w:rPr>
          </w:pPr>
          <w:hyperlink w:anchor="_Toc136269970" w:history="1">
            <w:r w:rsidR="0061207E" w:rsidRPr="0022478C">
              <w:rPr>
                <w:rStyle w:val="Hyperlink"/>
                <w:rFonts w:ascii="Times New Roman" w:hAnsi="Times New Roman" w:cs="Times New Roman"/>
                <w:noProof/>
              </w:rPr>
              <w:t>21.</w:t>
            </w:r>
            <w:r w:rsidR="0061207E">
              <w:rPr>
                <w:rFonts w:eastAsiaTheme="minorEastAsia"/>
                <w:noProof/>
                <w:lang w:eastAsia="bg-BG"/>
              </w:rPr>
              <w:tab/>
            </w:r>
            <w:r w:rsidR="0061207E" w:rsidRPr="0022478C">
              <w:rPr>
                <w:rStyle w:val="Hyperlink"/>
                <w:rFonts w:ascii="Times New Roman" w:hAnsi="Times New Roman" w:cs="Times New Roman"/>
                <w:noProof/>
              </w:rPr>
              <w:t>Списък на документите, които се подават на етап кандидатстване:</w:t>
            </w:r>
            <w:r w:rsidR="0061207E">
              <w:rPr>
                <w:noProof/>
                <w:webHidden/>
              </w:rPr>
              <w:tab/>
            </w:r>
            <w:r w:rsidR="0061207E">
              <w:rPr>
                <w:noProof/>
                <w:webHidden/>
              </w:rPr>
              <w:fldChar w:fldCharType="begin"/>
            </w:r>
            <w:r w:rsidR="0061207E">
              <w:rPr>
                <w:noProof/>
                <w:webHidden/>
              </w:rPr>
              <w:instrText xml:space="preserve"> PAGEREF _Toc136269970 \h </w:instrText>
            </w:r>
            <w:r w:rsidR="0061207E">
              <w:rPr>
                <w:noProof/>
                <w:webHidden/>
              </w:rPr>
            </w:r>
            <w:r w:rsidR="0061207E">
              <w:rPr>
                <w:noProof/>
                <w:webHidden/>
              </w:rPr>
              <w:fldChar w:fldCharType="separate"/>
            </w:r>
            <w:r w:rsidR="0061207E">
              <w:rPr>
                <w:noProof/>
                <w:webHidden/>
              </w:rPr>
              <w:t>49</w:t>
            </w:r>
            <w:r w:rsidR="0061207E">
              <w:rPr>
                <w:noProof/>
                <w:webHidden/>
              </w:rPr>
              <w:fldChar w:fldCharType="end"/>
            </w:r>
          </w:hyperlink>
        </w:p>
        <w:p w14:paraId="31EE9BF6" w14:textId="529B570D" w:rsidR="0061207E" w:rsidRDefault="000C67D1">
          <w:pPr>
            <w:pStyle w:val="TOC2"/>
            <w:tabs>
              <w:tab w:val="left" w:pos="880"/>
              <w:tab w:val="right" w:leader="dot" w:pos="9486"/>
            </w:tabs>
            <w:rPr>
              <w:rFonts w:eastAsiaTheme="minorEastAsia"/>
              <w:noProof/>
              <w:lang w:eastAsia="bg-BG"/>
            </w:rPr>
          </w:pPr>
          <w:hyperlink w:anchor="_Toc136269971" w:history="1">
            <w:r w:rsidR="0061207E" w:rsidRPr="0022478C">
              <w:rPr>
                <w:rStyle w:val="Hyperlink"/>
                <w:rFonts w:ascii="Times New Roman" w:hAnsi="Times New Roman" w:cs="Times New Roman"/>
                <w:noProof/>
              </w:rPr>
              <w:t>22.</w:t>
            </w:r>
            <w:r w:rsidR="0061207E">
              <w:rPr>
                <w:rFonts w:eastAsiaTheme="minorEastAsia"/>
                <w:noProof/>
                <w:lang w:eastAsia="bg-BG"/>
              </w:rPr>
              <w:tab/>
            </w:r>
            <w:r w:rsidR="0061207E" w:rsidRPr="0022478C">
              <w:rPr>
                <w:rStyle w:val="Hyperlink"/>
                <w:rFonts w:ascii="Times New Roman" w:hAnsi="Times New Roman" w:cs="Times New Roman"/>
                <w:noProof/>
              </w:rPr>
              <w:t>Краен срок за подаване на проектните предложения:</w:t>
            </w:r>
            <w:r w:rsidR="0061207E">
              <w:rPr>
                <w:noProof/>
                <w:webHidden/>
              </w:rPr>
              <w:tab/>
            </w:r>
            <w:r w:rsidR="0061207E">
              <w:rPr>
                <w:noProof/>
                <w:webHidden/>
              </w:rPr>
              <w:fldChar w:fldCharType="begin"/>
            </w:r>
            <w:r w:rsidR="0061207E">
              <w:rPr>
                <w:noProof/>
                <w:webHidden/>
              </w:rPr>
              <w:instrText xml:space="preserve"> PAGEREF _Toc136269971 \h </w:instrText>
            </w:r>
            <w:r w:rsidR="0061207E">
              <w:rPr>
                <w:noProof/>
                <w:webHidden/>
              </w:rPr>
            </w:r>
            <w:r w:rsidR="0061207E">
              <w:rPr>
                <w:noProof/>
                <w:webHidden/>
              </w:rPr>
              <w:fldChar w:fldCharType="separate"/>
            </w:r>
            <w:r w:rsidR="0061207E">
              <w:rPr>
                <w:noProof/>
                <w:webHidden/>
              </w:rPr>
              <w:t>50</w:t>
            </w:r>
            <w:r w:rsidR="0061207E">
              <w:rPr>
                <w:noProof/>
                <w:webHidden/>
              </w:rPr>
              <w:fldChar w:fldCharType="end"/>
            </w:r>
          </w:hyperlink>
        </w:p>
        <w:p w14:paraId="29E1F978" w14:textId="211779C1" w:rsidR="0061207E" w:rsidRDefault="000C67D1">
          <w:pPr>
            <w:pStyle w:val="TOC2"/>
            <w:tabs>
              <w:tab w:val="left" w:pos="880"/>
              <w:tab w:val="right" w:leader="dot" w:pos="9486"/>
            </w:tabs>
            <w:rPr>
              <w:rFonts w:eastAsiaTheme="minorEastAsia"/>
              <w:noProof/>
              <w:lang w:eastAsia="bg-BG"/>
            </w:rPr>
          </w:pPr>
          <w:hyperlink w:anchor="_Toc136269972" w:history="1">
            <w:r w:rsidR="0061207E" w:rsidRPr="0022478C">
              <w:rPr>
                <w:rStyle w:val="Hyperlink"/>
                <w:rFonts w:ascii="Times New Roman" w:hAnsi="Times New Roman" w:cs="Times New Roman"/>
                <w:noProof/>
              </w:rPr>
              <w:t>23.</w:t>
            </w:r>
            <w:r w:rsidR="0061207E">
              <w:rPr>
                <w:rFonts w:eastAsiaTheme="minorEastAsia"/>
                <w:noProof/>
                <w:lang w:eastAsia="bg-BG"/>
              </w:rPr>
              <w:tab/>
            </w:r>
            <w:r w:rsidR="0061207E" w:rsidRPr="0022478C">
              <w:rPr>
                <w:rStyle w:val="Hyperlink"/>
                <w:rFonts w:ascii="Times New Roman" w:hAnsi="Times New Roman" w:cs="Times New Roman"/>
                <w:noProof/>
              </w:rPr>
              <w:t>Адрес за подаване на проектните предложения/концепциите за проектни предложения:</w:t>
            </w:r>
            <w:r w:rsidR="0061207E">
              <w:rPr>
                <w:noProof/>
                <w:webHidden/>
              </w:rPr>
              <w:tab/>
            </w:r>
            <w:r w:rsidR="0061207E">
              <w:rPr>
                <w:noProof/>
                <w:webHidden/>
              </w:rPr>
              <w:fldChar w:fldCharType="begin"/>
            </w:r>
            <w:r w:rsidR="0061207E">
              <w:rPr>
                <w:noProof/>
                <w:webHidden/>
              </w:rPr>
              <w:instrText xml:space="preserve"> PAGEREF _Toc136269972 \h </w:instrText>
            </w:r>
            <w:r w:rsidR="0061207E">
              <w:rPr>
                <w:noProof/>
                <w:webHidden/>
              </w:rPr>
            </w:r>
            <w:r w:rsidR="0061207E">
              <w:rPr>
                <w:noProof/>
                <w:webHidden/>
              </w:rPr>
              <w:fldChar w:fldCharType="separate"/>
            </w:r>
            <w:r w:rsidR="0061207E">
              <w:rPr>
                <w:noProof/>
                <w:webHidden/>
              </w:rPr>
              <w:t>50</w:t>
            </w:r>
            <w:r w:rsidR="0061207E">
              <w:rPr>
                <w:noProof/>
                <w:webHidden/>
              </w:rPr>
              <w:fldChar w:fldCharType="end"/>
            </w:r>
          </w:hyperlink>
        </w:p>
        <w:p w14:paraId="5D2C46E9" w14:textId="65E9ACFC" w:rsidR="0061207E" w:rsidRDefault="000C67D1">
          <w:pPr>
            <w:pStyle w:val="TOC2"/>
            <w:tabs>
              <w:tab w:val="left" w:pos="880"/>
              <w:tab w:val="right" w:leader="dot" w:pos="9486"/>
            </w:tabs>
            <w:rPr>
              <w:rFonts w:eastAsiaTheme="minorEastAsia"/>
              <w:noProof/>
              <w:lang w:eastAsia="bg-BG"/>
            </w:rPr>
          </w:pPr>
          <w:hyperlink w:anchor="_Toc136269973" w:history="1">
            <w:r w:rsidR="0061207E" w:rsidRPr="0022478C">
              <w:rPr>
                <w:rStyle w:val="Hyperlink"/>
                <w:rFonts w:ascii="Times New Roman" w:hAnsi="Times New Roman" w:cs="Times New Roman"/>
                <w:noProof/>
              </w:rPr>
              <w:t>24.</w:t>
            </w:r>
            <w:r w:rsidR="0061207E">
              <w:rPr>
                <w:rFonts w:eastAsiaTheme="minorEastAsia"/>
                <w:noProof/>
                <w:lang w:eastAsia="bg-BG"/>
              </w:rPr>
              <w:tab/>
            </w:r>
            <w:r w:rsidR="0061207E" w:rsidRPr="0022478C">
              <w:rPr>
                <w:rStyle w:val="Hyperlink"/>
                <w:rFonts w:ascii="Times New Roman" w:hAnsi="Times New Roman" w:cs="Times New Roman"/>
                <w:noProof/>
              </w:rPr>
              <w:t>Допълнителна информация</w:t>
            </w:r>
            <w:r w:rsidR="0061207E">
              <w:rPr>
                <w:noProof/>
                <w:webHidden/>
              </w:rPr>
              <w:tab/>
            </w:r>
            <w:r w:rsidR="0061207E">
              <w:rPr>
                <w:noProof/>
                <w:webHidden/>
              </w:rPr>
              <w:fldChar w:fldCharType="begin"/>
            </w:r>
            <w:r w:rsidR="0061207E">
              <w:rPr>
                <w:noProof/>
                <w:webHidden/>
              </w:rPr>
              <w:instrText xml:space="preserve"> PAGEREF _Toc136269973 \h </w:instrText>
            </w:r>
            <w:r w:rsidR="0061207E">
              <w:rPr>
                <w:noProof/>
                <w:webHidden/>
              </w:rPr>
            </w:r>
            <w:r w:rsidR="0061207E">
              <w:rPr>
                <w:noProof/>
                <w:webHidden/>
              </w:rPr>
              <w:fldChar w:fldCharType="separate"/>
            </w:r>
            <w:r w:rsidR="0061207E">
              <w:rPr>
                <w:noProof/>
                <w:webHidden/>
              </w:rPr>
              <w:t>50</w:t>
            </w:r>
            <w:r w:rsidR="0061207E">
              <w:rPr>
                <w:noProof/>
                <w:webHidden/>
              </w:rPr>
              <w:fldChar w:fldCharType="end"/>
            </w:r>
          </w:hyperlink>
        </w:p>
        <w:p w14:paraId="06A93C14" w14:textId="614A146A" w:rsidR="0061207E" w:rsidRDefault="000C67D1">
          <w:pPr>
            <w:pStyle w:val="TOC2"/>
            <w:tabs>
              <w:tab w:val="left" w:pos="880"/>
              <w:tab w:val="right" w:leader="dot" w:pos="9486"/>
            </w:tabs>
            <w:rPr>
              <w:rFonts w:eastAsiaTheme="minorEastAsia"/>
              <w:noProof/>
              <w:lang w:eastAsia="bg-BG"/>
            </w:rPr>
          </w:pPr>
          <w:hyperlink w:anchor="_Toc136269974" w:history="1">
            <w:r w:rsidR="0061207E" w:rsidRPr="0022478C">
              <w:rPr>
                <w:rStyle w:val="Hyperlink"/>
                <w:rFonts w:ascii="Times New Roman" w:hAnsi="Times New Roman" w:cs="Times New Roman"/>
                <w:noProof/>
              </w:rPr>
              <w:t>25.</w:t>
            </w:r>
            <w:r w:rsidR="0061207E">
              <w:rPr>
                <w:rFonts w:eastAsiaTheme="minorEastAsia"/>
                <w:noProof/>
                <w:lang w:eastAsia="bg-BG"/>
              </w:rPr>
              <w:tab/>
            </w:r>
            <w:r w:rsidR="0061207E" w:rsidRPr="0022478C">
              <w:rPr>
                <w:rStyle w:val="Hyperlink"/>
                <w:rFonts w:ascii="Times New Roman" w:hAnsi="Times New Roman" w:cs="Times New Roman"/>
                <w:noProof/>
              </w:rPr>
              <w:t>Приложения към Условията за кандидатстване</w:t>
            </w:r>
            <w:r w:rsidR="0061207E">
              <w:rPr>
                <w:noProof/>
                <w:webHidden/>
              </w:rPr>
              <w:tab/>
            </w:r>
            <w:r w:rsidR="0061207E">
              <w:rPr>
                <w:noProof/>
                <w:webHidden/>
              </w:rPr>
              <w:fldChar w:fldCharType="begin"/>
            </w:r>
            <w:r w:rsidR="0061207E">
              <w:rPr>
                <w:noProof/>
                <w:webHidden/>
              </w:rPr>
              <w:instrText xml:space="preserve"> PAGEREF _Toc136269974 \h </w:instrText>
            </w:r>
            <w:r w:rsidR="0061207E">
              <w:rPr>
                <w:noProof/>
                <w:webHidden/>
              </w:rPr>
            </w:r>
            <w:r w:rsidR="0061207E">
              <w:rPr>
                <w:noProof/>
                <w:webHidden/>
              </w:rPr>
              <w:fldChar w:fldCharType="separate"/>
            </w:r>
            <w:r w:rsidR="0061207E">
              <w:rPr>
                <w:noProof/>
                <w:webHidden/>
              </w:rPr>
              <w:t>51</w:t>
            </w:r>
            <w:r w:rsidR="0061207E">
              <w:rPr>
                <w:noProof/>
                <w:webHidden/>
              </w:rPr>
              <w:fldChar w:fldCharType="end"/>
            </w:r>
          </w:hyperlink>
        </w:p>
        <w:p w14:paraId="5D6BFF1B" w14:textId="3519EAA0" w:rsidR="007551DA" w:rsidRPr="0047161F" w:rsidRDefault="007551DA">
          <w:pPr>
            <w:rPr>
              <w:rFonts w:ascii="Times New Roman" w:hAnsi="Times New Roman" w:cs="Times New Roman"/>
            </w:rPr>
          </w:pPr>
          <w:r w:rsidRPr="0047161F">
            <w:rPr>
              <w:rFonts w:ascii="Times New Roman" w:hAnsi="Times New Roman" w:cs="Times New Roman"/>
              <w:b/>
              <w:bCs/>
              <w:noProof/>
            </w:rPr>
            <w:fldChar w:fldCharType="end"/>
          </w:r>
        </w:p>
      </w:sdtContent>
    </w:sdt>
    <w:p w14:paraId="1DFAB9D5" w14:textId="2E7EEA60" w:rsidR="0083628E" w:rsidRDefault="0083628E">
      <w:pPr>
        <w:rPr>
          <w:rFonts w:ascii="Times New Roman" w:eastAsiaTheme="majorEastAsia" w:hAnsi="Times New Roman" w:cs="Times New Roman"/>
          <w:b/>
          <w:bCs/>
          <w:color w:val="5B9BD5" w:themeColor="accent1"/>
          <w:sz w:val="26"/>
          <w:szCs w:val="26"/>
        </w:rPr>
      </w:pPr>
      <w:r>
        <w:rPr>
          <w:rFonts w:ascii="Times New Roman" w:eastAsiaTheme="majorEastAsia" w:hAnsi="Times New Roman" w:cs="Times New Roman"/>
          <w:b/>
          <w:bCs/>
          <w:color w:val="5B9BD5" w:themeColor="accent1"/>
          <w:sz w:val="26"/>
          <w:szCs w:val="26"/>
        </w:rPr>
        <w:br w:type="page"/>
      </w:r>
    </w:p>
    <w:p w14:paraId="2545F006" w14:textId="0948E093" w:rsidR="007057A9" w:rsidRPr="0047161F" w:rsidRDefault="007057A9"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0" w:name="_Toc136269940"/>
      <w:r w:rsidRPr="0047161F">
        <w:rPr>
          <w:rFonts w:ascii="Times New Roman" w:hAnsi="Times New Roman" w:cs="Times New Roman"/>
        </w:rPr>
        <w:lastRenderedPageBreak/>
        <w:t>Наименование на програмата:</w:t>
      </w:r>
      <w:bookmarkEnd w:id="0"/>
    </w:p>
    <w:p w14:paraId="18839AA4" w14:textId="77777777" w:rsidR="00762798" w:rsidRPr="0047161F" w:rsidRDefault="00762798" w:rsidP="00762798">
      <w:pPr>
        <w:pStyle w:val="ListParagraph"/>
        <w:spacing w:after="360" w:line="240" w:lineRule="auto"/>
        <w:ind w:left="0" w:firstLine="567"/>
        <w:jc w:val="both"/>
        <w:rPr>
          <w:rFonts w:ascii="Times New Roman" w:hAnsi="Times New Roman" w:cs="Times New Roman"/>
          <w:sz w:val="24"/>
          <w:szCs w:val="24"/>
        </w:rPr>
      </w:pPr>
    </w:p>
    <w:p w14:paraId="0715C996" w14:textId="5DEE42C0" w:rsidR="0010018A" w:rsidRPr="0047161F" w:rsidRDefault="00B20C73" w:rsidP="00762798">
      <w:pPr>
        <w:pStyle w:val="ListParagraph"/>
        <w:spacing w:after="360" w:line="240" w:lineRule="auto"/>
        <w:ind w:left="0" w:firstLine="567"/>
        <w:jc w:val="both"/>
        <w:rPr>
          <w:rFonts w:ascii="Times New Roman" w:hAnsi="Times New Roman" w:cs="Times New Roman"/>
          <w:sz w:val="24"/>
          <w:szCs w:val="24"/>
        </w:rPr>
      </w:pPr>
      <w:r w:rsidRPr="0047161F">
        <w:rPr>
          <w:rFonts w:ascii="Times New Roman" w:hAnsi="Times New Roman" w:cs="Times New Roman"/>
          <w:sz w:val="24"/>
          <w:szCs w:val="24"/>
        </w:rPr>
        <w:t xml:space="preserve">Програма </w:t>
      </w:r>
      <w:r w:rsidR="006F0F35" w:rsidRPr="0047161F">
        <w:rPr>
          <w:rFonts w:ascii="Times New Roman" w:hAnsi="Times New Roman" w:cs="Times New Roman"/>
          <w:sz w:val="24"/>
          <w:szCs w:val="24"/>
        </w:rPr>
        <w:t>„</w:t>
      </w:r>
      <w:r w:rsidR="00EF07D4" w:rsidRPr="0047161F">
        <w:rPr>
          <w:rFonts w:ascii="Times New Roman" w:hAnsi="Times New Roman" w:cs="Times New Roman"/>
          <w:sz w:val="24"/>
          <w:szCs w:val="24"/>
        </w:rPr>
        <w:t>Транспортна свързаност</w:t>
      </w:r>
      <w:r w:rsidR="006F0F35" w:rsidRPr="0047161F">
        <w:rPr>
          <w:rFonts w:ascii="Times New Roman" w:hAnsi="Times New Roman" w:cs="Times New Roman"/>
          <w:sz w:val="24"/>
          <w:szCs w:val="24"/>
        </w:rPr>
        <w:t>“ 20</w:t>
      </w:r>
      <w:r w:rsidRPr="0047161F">
        <w:rPr>
          <w:rFonts w:ascii="Times New Roman" w:hAnsi="Times New Roman" w:cs="Times New Roman"/>
          <w:sz w:val="24"/>
          <w:szCs w:val="24"/>
        </w:rPr>
        <w:t>2</w:t>
      </w:r>
      <w:r w:rsidR="006F0F35" w:rsidRPr="0047161F">
        <w:rPr>
          <w:rFonts w:ascii="Times New Roman" w:hAnsi="Times New Roman" w:cs="Times New Roman"/>
          <w:sz w:val="24"/>
          <w:szCs w:val="24"/>
        </w:rPr>
        <w:t>1-202</w:t>
      </w:r>
      <w:r w:rsidRPr="0047161F">
        <w:rPr>
          <w:rFonts w:ascii="Times New Roman" w:hAnsi="Times New Roman" w:cs="Times New Roman"/>
          <w:sz w:val="24"/>
          <w:szCs w:val="24"/>
        </w:rPr>
        <w:t>7</w:t>
      </w:r>
      <w:r w:rsidR="00925DF8" w:rsidRPr="0047161F">
        <w:rPr>
          <w:rFonts w:ascii="Times New Roman" w:hAnsi="Times New Roman" w:cs="Times New Roman"/>
          <w:sz w:val="24"/>
          <w:szCs w:val="24"/>
        </w:rPr>
        <w:t xml:space="preserve"> (</w:t>
      </w:r>
      <w:r w:rsidR="00EF07D4" w:rsidRPr="0047161F">
        <w:rPr>
          <w:rFonts w:ascii="Times New Roman" w:hAnsi="Times New Roman" w:cs="Times New Roman"/>
          <w:sz w:val="24"/>
          <w:szCs w:val="24"/>
        </w:rPr>
        <w:t>ПТС)</w:t>
      </w:r>
    </w:p>
    <w:p w14:paraId="0F60AE76" w14:textId="27FF895E" w:rsidR="00762798" w:rsidRPr="0047161F" w:rsidRDefault="00762798" w:rsidP="005F2802">
      <w:pPr>
        <w:spacing w:after="0" w:line="240" w:lineRule="auto"/>
        <w:ind w:right="-142" w:firstLine="567"/>
        <w:jc w:val="both"/>
        <w:rPr>
          <w:rFonts w:ascii="Times New Roman" w:eastAsia="Times New Roman" w:hAnsi="Times New Roman" w:cs="Times New Roman"/>
          <w:color w:val="000000"/>
          <w:sz w:val="24"/>
          <w:szCs w:val="24"/>
        </w:rPr>
      </w:pPr>
      <w:r w:rsidRPr="0047161F">
        <w:rPr>
          <w:rFonts w:ascii="Times New Roman" w:eastAsia="Times New Roman" w:hAnsi="Times New Roman" w:cs="Times New Roman"/>
          <w:color w:val="000000"/>
          <w:sz w:val="24"/>
          <w:szCs w:val="24"/>
        </w:rPr>
        <w:t xml:space="preserve">С Решение № 712 от 6 октомври 2020 година за </w:t>
      </w:r>
      <w:r w:rsidRPr="0047161F">
        <w:rPr>
          <w:rFonts w:ascii="Times New Roman" w:eastAsia="Times New Roman" w:hAnsi="Times New Roman" w:cs="Times New Roman"/>
          <w:i/>
          <w:color w:val="000000"/>
          <w:sz w:val="24"/>
          <w:szCs w:val="24"/>
        </w:rPr>
        <w:t xml:space="preserve">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w:t>
      </w:r>
      <w:proofErr w:type="spellStart"/>
      <w:r w:rsidRPr="0047161F">
        <w:rPr>
          <w:rFonts w:ascii="Times New Roman" w:eastAsia="Times New Roman" w:hAnsi="Times New Roman" w:cs="Times New Roman"/>
          <w:i/>
          <w:color w:val="000000"/>
          <w:sz w:val="24"/>
          <w:szCs w:val="24"/>
        </w:rPr>
        <w:t>аквакултури</w:t>
      </w:r>
      <w:proofErr w:type="spellEnd"/>
      <w:r w:rsidRPr="0047161F">
        <w:rPr>
          <w:rFonts w:ascii="Times New Roman" w:eastAsia="Times New Roman" w:hAnsi="Times New Roman" w:cs="Times New Roman"/>
          <w:i/>
          <w:color w:val="000000"/>
          <w:sz w:val="24"/>
          <w:szCs w:val="24"/>
        </w:rPr>
        <w:t>,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Pr="0047161F">
        <w:rPr>
          <w:rFonts w:ascii="Times New Roman" w:eastAsia="Times New Roman" w:hAnsi="Times New Roman" w:cs="Times New Roman"/>
          <w:color w:val="000000"/>
          <w:sz w:val="24"/>
          <w:szCs w:val="24"/>
        </w:rPr>
        <w:t xml:space="preserve"> Министерския съвет определи дирекция „Координация на програми и проекти” на Министерството на транспорта и съобщенията за </w:t>
      </w:r>
      <w:r w:rsidRPr="0047161F">
        <w:rPr>
          <w:rFonts w:ascii="Times New Roman" w:eastAsia="Times New Roman" w:hAnsi="Times New Roman" w:cs="Times New Roman"/>
          <w:b/>
          <w:color w:val="000000"/>
          <w:sz w:val="24"/>
          <w:szCs w:val="24"/>
        </w:rPr>
        <w:t>Управляващ орган на Програма „Транспортна свързаност” 2021-2027 г.</w:t>
      </w:r>
      <w:r w:rsidRPr="0047161F">
        <w:rPr>
          <w:rFonts w:ascii="Times New Roman" w:eastAsia="Times New Roman" w:hAnsi="Times New Roman" w:cs="Times New Roman"/>
          <w:color w:val="000000"/>
          <w:sz w:val="24"/>
          <w:szCs w:val="24"/>
        </w:rPr>
        <w:t xml:space="preserve">  </w:t>
      </w:r>
    </w:p>
    <w:p w14:paraId="0B118CE2" w14:textId="77777777" w:rsidR="00762798" w:rsidRPr="0047161F" w:rsidRDefault="00762798" w:rsidP="00762798">
      <w:pPr>
        <w:tabs>
          <w:tab w:val="left" w:pos="900"/>
        </w:tabs>
        <w:spacing w:after="0" w:line="240" w:lineRule="auto"/>
        <w:ind w:left="851" w:right="141" w:hanging="284"/>
        <w:jc w:val="both"/>
        <w:rPr>
          <w:rFonts w:ascii="Times New Roman" w:eastAsia="Times New Roman" w:hAnsi="Times New Roman" w:cs="Times New Roman"/>
          <w:color w:val="000000"/>
          <w:sz w:val="24"/>
          <w:szCs w:val="24"/>
        </w:rPr>
      </w:pPr>
    </w:p>
    <w:p w14:paraId="69E323D5" w14:textId="798AA5D2" w:rsidR="007057A9" w:rsidRPr="0047161F" w:rsidRDefault="002325A3"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 w:name="_Toc136269941"/>
      <w:r w:rsidRPr="0047161F">
        <w:rPr>
          <w:rFonts w:ascii="Times New Roman" w:hAnsi="Times New Roman" w:cs="Times New Roman"/>
        </w:rPr>
        <w:t>Н</w:t>
      </w:r>
      <w:r w:rsidR="007057A9" w:rsidRPr="0047161F">
        <w:rPr>
          <w:rFonts w:ascii="Times New Roman" w:hAnsi="Times New Roman" w:cs="Times New Roman"/>
        </w:rPr>
        <w:t>аименование на приоритет</w:t>
      </w:r>
      <w:r w:rsidR="007F76E6" w:rsidRPr="0047161F">
        <w:rPr>
          <w:rFonts w:ascii="Times New Roman" w:hAnsi="Times New Roman" w:cs="Times New Roman"/>
        </w:rPr>
        <w:t>а</w:t>
      </w:r>
      <w:r w:rsidRPr="0047161F">
        <w:rPr>
          <w:rFonts w:ascii="Times New Roman" w:hAnsi="Times New Roman" w:cs="Times New Roman"/>
        </w:rPr>
        <w:t>:</w:t>
      </w:r>
      <w:bookmarkEnd w:id="1"/>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3402"/>
        <w:gridCol w:w="1984"/>
      </w:tblGrid>
      <w:tr w:rsidR="00FB0F3F" w:rsidRPr="0047161F" w14:paraId="7E653FC2" w14:textId="77777777" w:rsidTr="00073A78">
        <w:trPr>
          <w:trHeight w:val="551"/>
        </w:trPr>
        <w:tc>
          <w:tcPr>
            <w:tcW w:w="4537" w:type="dxa"/>
            <w:shd w:val="clear" w:color="auto" w:fill="BDD6EE"/>
            <w:vAlign w:val="center"/>
          </w:tcPr>
          <w:p w14:paraId="5C47FF85" w14:textId="77777777"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Номер и наименование на приоритета по ПТС</w:t>
            </w:r>
          </w:p>
        </w:tc>
        <w:tc>
          <w:tcPr>
            <w:tcW w:w="3402" w:type="dxa"/>
            <w:shd w:val="clear" w:color="auto" w:fill="BDD6EE"/>
            <w:vAlign w:val="center"/>
          </w:tcPr>
          <w:p w14:paraId="5D7847DC" w14:textId="219F3F68"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Специфична цел</w:t>
            </w:r>
          </w:p>
        </w:tc>
        <w:tc>
          <w:tcPr>
            <w:tcW w:w="1984" w:type="dxa"/>
            <w:shd w:val="clear" w:color="auto" w:fill="BDD6EE"/>
            <w:vAlign w:val="center"/>
          </w:tcPr>
          <w:p w14:paraId="51227109" w14:textId="4781E699"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bCs/>
                <w:sz w:val="20"/>
                <w:szCs w:val="20"/>
                <w:lang w:eastAsia="bg-BG"/>
              </w:rPr>
              <w:t xml:space="preserve">Конкретни </w:t>
            </w:r>
            <w:r w:rsidRPr="0047161F">
              <w:rPr>
                <w:rFonts w:ascii="Times New Roman" w:eastAsia="Times New Roman" w:hAnsi="Times New Roman" w:cs="Times New Roman"/>
                <w:b/>
                <w:color w:val="000000"/>
                <w:sz w:val="20"/>
                <w:szCs w:val="20"/>
                <w:lang w:eastAsia="bg-BG"/>
              </w:rPr>
              <w:t>бенефициенти по ПТС</w:t>
            </w:r>
          </w:p>
        </w:tc>
      </w:tr>
      <w:tr w:rsidR="00FB0F3F" w:rsidRPr="0047161F" w14:paraId="23987627" w14:textId="77777777" w:rsidTr="00073A78">
        <w:tc>
          <w:tcPr>
            <w:tcW w:w="4537" w:type="dxa"/>
          </w:tcPr>
          <w:p w14:paraId="0D4BF65B" w14:textId="77777777" w:rsidR="00FB0F3F" w:rsidRPr="0047161F" w:rsidRDefault="00FB0F3F" w:rsidP="005F2802">
            <w:pPr>
              <w:spacing w:before="120" w:after="120" w:line="240" w:lineRule="auto"/>
              <w:ind w:right="14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b/>
                <w:color w:val="000000"/>
                <w:sz w:val="24"/>
                <w:szCs w:val="24"/>
                <w:lang w:eastAsia="bg-BG"/>
              </w:rPr>
              <w:t>Приоритет 1</w:t>
            </w:r>
            <w:r w:rsidRPr="0047161F">
              <w:rPr>
                <w:rFonts w:ascii="Times New Roman" w:eastAsia="Times New Roman" w:hAnsi="Times New Roman" w:cs="Times New Roman"/>
                <w:color w:val="000000"/>
                <w:sz w:val="24"/>
                <w:szCs w:val="24"/>
                <w:lang w:eastAsia="bg-BG"/>
              </w:rPr>
              <w:t xml:space="preserve"> </w:t>
            </w:r>
            <w:r w:rsidRPr="0047161F">
              <w:rPr>
                <w:rFonts w:ascii="Times New Roman" w:eastAsia="Times New Roman" w:hAnsi="Times New Roman" w:cs="Times New Roman"/>
                <w:color w:val="000000"/>
                <w:sz w:val="24"/>
                <w:szCs w:val="24"/>
                <w:lang w:eastAsia="bg-BG" w:bidi="bg-BG"/>
              </w:rPr>
              <w:t>„Развитие на железопътната инфраструктура по „основната“ и „</w:t>
            </w:r>
            <w:proofErr w:type="spellStart"/>
            <w:r w:rsidRPr="0047161F">
              <w:rPr>
                <w:rFonts w:ascii="Times New Roman" w:eastAsia="Times New Roman" w:hAnsi="Times New Roman" w:cs="Times New Roman"/>
                <w:color w:val="000000"/>
                <w:sz w:val="24"/>
                <w:szCs w:val="24"/>
                <w:lang w:eastAsia="bg-BG" w:bidi="bg-BG"/>
              </w:rPr>
              <w:t>широкообхватната</w:t>
            </w:r>
            <w:proofErr w:type="spellEnd"/>
            <w:r w:rsidRPr="0047161F">
              <w:rPr>
                <w:rFonts w:ascii="Times New Roman" w:eastAsia="Times New Roman" w:hAnsi="Times New Roman" w:cs="Times New Roman"/>
                <w:color w:val="000000"/>
                <w:sz w:val="24"/>
                <w:szCs w:val="24"/>
                <w:lang w:eastAsia="bg-BG" w:bidi="bg-BG"/>
              </w:rPr>
              <w:t xml:space="preserve">“ </w:t>
            </w:r>
            <w:proofErr w:type="spellStart"/>
            <w:r w:rsidRPr="0047161F">
              <w:rPr>
                <w:rFonts w:ascii="Times New Roman" w:eastAsia="Times New Roman" w:hAnsi="Times New Roman" w:cs="Times New Roman"/>
                <w:color w:val="000000"/>
                <w:sz w:val="24"/>
                <w:szCs w:val="24"/>
                <w:lang w:eastAsia="bg-BG" w:bidi="bg-BG"/>
              </w:rPr>
              <w:t>Трансевропейска</w:t>
            </w:r>
            <w:proofErr w:type="spellEnd"/>
            <w:r w:rsidRPr="0047161F">
              <w:rPr>
                <w:rFonts w:ascii="Times New Roman" w:eastAsia="Times New Roman" w:hAnsi="Times New Roman" w:cs="Times New Roman"/>
                <w:color w:val="000000"/>
                <w:sz w:val="24"/>
                <w:szCs w:val="24"/>
                <w:lang w:eastAsia="bg-BG" w:bidi="bg-BG"/>
              </w:rPr>
              <w:t xml:space="preserve"> транспортна мрежа“</w:t>
            </w:r>
          </w:p>
        </w:tc>
        <w:tc>
          <w:tcPr>
            <w:tcW w:w="3402" w:type="dxa"/>
          </w:tcPr>
          <w:p w14:paraId="702B7C75" w14:textId="36B5D98F" w:rsidR="00FB0F3F" w:rsidRPr="0047161F" w:rsidRDefault="00FB0F3F" w:rsidP="00C66898">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rPr>
              <w:t xml:space="preserve">RSO3.1 </w:t>
            </w:r>
            <w:r w:rsidRPr="0047161F">
              <w:rPr>
                <w:rFonts w:ascii="Times New Roman" w:eastAsia="Times New Roman" w:hAnsi="Times New Roman" w:cs="Times New Roman"/>
                <w:iCs/>
                <w:noProof/>
                <w:sz w:val="24"/>
                <w:szCs w:val="24"/>
              </w:rPr>
              <w:t>Развитие на устойчива на изменението на климата, интелигентна, сигурна, стабилна и интермодална TEN-T“</w:t>
            </w:r>
          </w:p>
        </w:tc>
        <w:tc>
          <w:tcPr>
            <w:tcW w:w="1984" w:type="dxa"/>
          </w:tcPr>
          <w:p w14:paraId="3636C4B8" w14:textId="6A699950" w:rsidR="00FB0F3F" w:rsidRPr="0047161F" w:rsidRDefault="00FB0F3F" w:rsidP="00C66898">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НКЖИ</w:t>
            </w:r>
          </w:p>
          <w:p w14:paraId="6E25A181" w14:textId="77777777" w:rsidR="00FB0F3F" w:rsidRPr="0047161F" w:rsidRDefault="00FB0F3F" w:rsidP="005F45BE">
            <w:pPr>
              <w:spacing w:after="0" w:line="240" w:lineRule="auto"/>
              <w:ind w:left="142" w:right="-108" w:hanging="142"/>
              <w:rPr>
                <w:rFonts w:ascii="Times New Roman" w:eastAsia="Times New Roman" w:hAnsi="Times New Roman" w:cs="Times New Roman"/>
                <w:color w:val="000000"/>
                <w:sz w:val="24"/>
                <w:szCs w:val="24"/>
                <w:lang w:eastAsia="bg-BG"/>
              </w:rPr>
            </w:pPr>
          </w:p>
        </w:tc>
      </w:tr>
    </w:tbl>
    <w:p w14:paraId="11511BAF" w14:textId="5AA597DE" w:rsidR="006A2DB8" w:rsidRPr="0047161F" w:rsidRDefault="007057A9"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2" w:name="_Toc136269942"/>
      <w:r w:rsidRPr="0047161F">
        <w:rPr>
          <w:rFonts w:ascii="Times New Roman" w:hAnsi="Times New Roman" w:cs="Times New Roman"/>
        </w:rPr>
        <w:t>Наименование на процедур</w:t>
      </w:r>
      <w:r w:rsidR="00A91A02" w:rsidRPr="0047161F">
        <w:rPr>
          <w:rFonts w:ascii="Times New Roman" w:hAnsi="Times New Roman" w:cs="Times New Roman"/>
        </w:rPr>
        <w:t>ите</w:t>
      </w:r>
      <w:r w:rsidR="002325A3" w:rsidRPr="0047161F">
        <w:rPr>
          <w:rFonts w:ascii="Times New Roman" w:hAnsi="Times New Roman" w:cs="Times New Roman"/>
        </w:rPr>
        <w:t>:</w:t>
      </w:r>
      <w:bookmarkEnd w:id="2"/>
    </w:p>
    <w:p w14:paraId="2177EC6A" w14:textId="3F0DC43F" w:rsidR="00300C94" w:rsidRDefault="00300C94" w:rsidP="001C4327">
      <w:pPr>
        <w:pStyle w:val="ListParagraph"/>
        <w:numPr>
          <w:ilvl w:val="0"/>
          <w:numId w:val="6"/>
        </w:numPr>
        <w:jc w:val="both"/>
        <w:rPr>
          <w:rFonts w:ascii="Times New Roman" w:hAnsi="Times New Roman" w:cs="Times New Roman"/>
          <w:sz w:val="24"/>
          <w:szCs w:val="24"/>
        </w:rPr>
      </w:pPr>
      <w:r w:rsidRPr="0047161F">
        <w:rPr>
          <w:rFonts w:ascii="Times New Roman" w:hAnsi="Times New Roman" w:cs="Times New Roman"/>
          <w:sz w:val="24"/>
          <w:szCs w:val="24"/>
        </w:rPr>
        <w:t>Процедура № 2021BG16FFPR001-1.001 „</w:t>
      </w:r>
      <w:r w:rsidRPr="00073A78">
        <w:rPr>
          <w:rFonts w:ascii="Times New Roman" w:hAnsi="Times New Roman" w:cs="Times New Roman"/>
          <w:b/>
          <w:sz w:val="24"/>
          <w:szCs w:val="24"/>
        </w:rPr>
        <w:t>Развитие на железопътната инфраструктура по „основната“ и „</w:t>
      </w:r>
      <w:proofErr w:type="spellStart"/>
      <w:r w:rsidRPr="00073A78">
        <w:rPr>
          <w:rFonts w:ascii="Times New Roman" w:hAnsi="Times New Roman" w:cs="Times New Roman"/>
          <w:b/>
          <w:sz w:val="24"/>
          <w:szCs w:val="24"/>
        </w:rPr>
        <w:t>широкообхватната</w:t>
      </w:r>
      <w:proofErr w:type="spellEnd"/>
      <w:r w:rsidRPr="00073A78">
        <w:rPr>
          <w:rFonts w:ascii="Times New Roman" w:hAnsi="Times New Roman" w:cs="Times New Roman"/>
          <w:b/>
          <w:sz w:val="24"/>
          <w:szCs w:val="24"/>
        </w:rPr>
        <w:t xml:space="preserve">“ </w:t>
      </w:r>
      <w:proofErr w:type="spellStart"/>
      <w:r w:rsidRPr="00073A78">
        <w:rPr>
          <w:rFonts w:ascii="Times New Roman" w:hAnsi="Times New Roman" w:cs="Times New Roman"/>
          <w:b/>
          <w:sz w:val="24"/>
          <w:szCs w:val="24"/>
        </w:rPr>
        <w:t>Трансевропейска</w:t>
      </w:r>
      <w:proofErr w:type="spellEnd"/>
      <w:r w:rsidRPr="00073A78">
        <w:rPr>
          <w:rFonts w:ascii="Times New Roman" w:hAnsi="Times New Roman" w:cs="Times New Roman"/>
          <w:b/>
          <w:sz w:val="24"/>
          <w:szCs w:val="24"/>
        </w:rPr>
        <w:t xml:space="preserve"> транспортна мрежа – Инвестиционни проекти“</w:t>
      </w:r>
      <w:r w:rsidR="00320373">
        <w:rPr>
          <w:rFonts w:ascii="Times New Roman" w:hAnsi="Times New Roman" w:cs="Times New Roman"/>
          <w:sz w:val="24"/>
          <w:szCs w:val="24"/>
        </w:rPr>
        <w:t>;</w:t>
      </w:r>
    </w:p>
    <w:p w14:paraId="10B55F2D" w14:textId="773FF38A" w:rsidR="00300C94" w:rsidRDefault="00300C94" w:rsidP="001C4327">
      <w:pPr>
        <w:pStyle w:val="ListParagraph"/>
        <w:numPr>
          <w:ilvl w:val="0"/>
          <w:numId w:val="6"/>
        </w:numPr>
        <w:jc w:val="both"/>
        <w:rPr>
          <w:rFonts w:ascii="Times New Roman" w:hAnsi="Times New Roman" w:cs="Times New Roman"/>
          <w:sz w:val="24"/>
          <w:szCs w:val="24"/>
        </w:rPr>
      </w:pPr>
      <w:r w:rsidRPr="0047161F">
        <w:rPr>
          <w:rFonts w:ascii="Times New Roman" w:hAnsi="Times New Roman" w:cs="Times New Roman"/>
          <w:sz w:val="24"/>
          <w:szCs w:val="24"/>
        </w:rPr>
        <w:t>Процедура №</w:t>
      </w:r>
      <w:r w:rsidR="00CD2CB9">
        <w:rPr>
          <w:rFonts w:ascii="Times New Roman" w:hAnsi="Times New Roman" w:cs="Times New Roman"/>
          <w:sz w:val="24"/>
          <w:szCs w:val="24"/>
        </w:rPr>
        <w:t xml:space="preserve"> </w:t>
      </w:r>
      <w:r w:rsidRPr="0047161F">
        <w:rPr>
          <w:rFonts w:ascii="Times New Roman" w:hAnsi="Times New Roman" w:cs="Times New Roman"/>
          <w:sz w:val="24"/>
          <w:szCs w:val="24"/>
        </w:rPr>
        <w:t>2021BG16FFPR001-1.002  „</w:t>
      </w:r>
      <w:r w:rsidRPr="00073A78">
        <w:rPr>
          <w:rFonts w:ascii="Times New Roman" w:hAnsi="Times New Roman" w:cs="Times New Roman"/>
          <w:b/>
          <w:sz w:val="24"/>
          <w:szCs w:val="24"/>
        </w:rPr>
        <w:t>Развитие на железопътната инфраструктура по „основната“ и „</w:t>
      </w:r>
      <w:proofErr w:type="spellStart"/>
      <w:r w:rsidRPr="00073A78">
        <w:rPr>
          <w:rFonts w:ascii="Times New Roman" w:hAnsi="Times New Roman" w:cs="Times New Roman"/>
          <w:b/>
          <w:sz w:val="24"/>
          <w:szCs w:val="24"/>
        </w:rPr>
        <w:t>широкообхватната</w:t>
      </w:r>
      <w:proofErr w:type="spellEnd"/>
      <w:r w:rsidRPr="00073A78">
        <w:rPr>
          <w:rFonts w:ascii="Times New Roman" w:hAnsi="Times New Roman" w:cs="Times New Roman"/>
          <w:b/>
          <w:sz w:val="24"/>
          <w:szCs w:val="24"/>
        </w:rPr>
        <w:t xml:space="preserve">“ </w:t>
      </w:r>
      <w:proofErr w:type="spellStart"/>
      <w:r w:rsidRPr="00073A78">
        <w:rPr>
          <w:rFonts w:ascii="Times New Roman" w:hAnsi="Times New Roman" w:cs="Times New Roman"/>
          <w:b/>
          <w:sz w:val="24"/>
          <w:szCs w:val="24"/>
        </w:rPr>
        <w:t>Трансевропейска</w:t>
      </w:r>
      <w:proofErr w:type="spellEnd"/>
      <w:r w:rsidRPr="00073A78">
        <w:rPr>
          <w:rFonts w:ascii="Times New Roman" w:hAnsi="Times New Roman" w:cs="Times New Roman"/>
          <w:b/>
          <w:sz w:val="24"/>
          <w:szCs w:val="24"/>
        </w:rPr>
        <w:t xml:space="preserve"> транспортна мрежа – Техническа помощ“</w:t>
      </w:r>
      <w:r w:rsidR="00320373">
        <w:rPr>
          <w:rFonts w:ascii="Times New Roman" w:hAnsi="Times New Roman" w:cs="Times New Roman"/>
          <w:sz w:val="24"/>
          <w:szCs w:val="24"/>
        </w:rPr>
        <w:t>.</w:t>
      </w:r>
    </w:p>
    <w:p w14:paraId="5C68C2A1" w14:textId="10C7AF1E" w:rsidR="00CB14EE" w:rsidRPr="0047161F" w:rsidRDefault="00CB14EE"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3" w:name="_Toc136269943"/>
      <w:r w:rsidRPr="0047161F">
        <w:rPr>
          <w:rFonts w:ascii="Times New Roman" w:hAnsi="Times New Roman" w:cs="Times New Roman"/>
        </w:rPr>
        <w:t>Измерения по кодове:</w:t>
      </w:r>
      <w:bookmarkEnd w:id="3"/>
    </w:p>
    <w:p w14:paraId="70BAB55D" w14:textId="60A85DFD" w:rsidR="000F17B1" w:rsidRPr="0047161F" w:rsidRDefault="00085E14" w:rsidP="000F17B1">
      <w:pPr>
        <w:rPr>
          <w:rFonts w:ascii="Times New Roman" w:hAnsi="Times New Roman" w:cs="Times New Roman"/>
          <w:b/>
          <w:sz w:val="24"/>
          <w:szCs w:val="24"/>
        </w:rPr>
      </w:pPr>
      <w:r w:rsidRPr="0047161F">
        <w:rPr>
          <w:rFonts w:ascii="Times New Roman" w:hAnsi="Times New Roman" w:cs="Times New Roman"/>
          <w:b/>
          <w:sz w:val="24"/>
          <w:szCs w:val="24"/>
        </w:rPr>
        <w:t>Измерение 1 - Област на интервенция</w:t>
      </w:r>
    </w:p>
    <w:tbl>
      <w:tblPr>
        <w:tblStyle w:val="TableGrid1"/>
        <w:tblW w:w="9498" w:type="dxa"/>
        <w:tblInd w:w="-5" w:type="dxa"/>
        <w:tblLook w:val="04A0" w:firstRow="1" w:lastRow="0" w:firstColumn="1" w:lastColumn="0" w:noHBand="0" w:noVBand="1"/>
      </w:tblPr>
      <w:tblGrid>
        <w:gridCol w:w="5529"/>
        <w:gridCol w:w="804"/>
        <w:gridCol w:w="1180"/>
        <w:gridCol w:w="1985"/>
      </w:tblGrid>
      <w:tr w:rsidR="00085E14" w:rsidRPr="0047161F" w14:paraId="65BD31EB" w14:textId="77777777" w:rsidTr="001C4327">
        <w:tc>
          <w:tcPr>
            <w:tcW w:w="552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384AE9" w14:textId="7F665C31" w:rsidR="00085E14" w:rsidRPr="0047161F" w:rsidRDefault="00085E14" w:rsidP="00085E14">
            <w:pPr>
              <w:spacing w:before="120" w:after="120"/>
              <w:jc w:val="both"/>
              <w:rPr>
                <w:rFonts w:ascii="Times New Roman" w:hAnsi="Times New Roman" w:cs="Times New Roman"/>
                <w:b/>
                <w:noProof/>
                <w:sz w:val="20"/>
                <w:szCs w:val="20"/>
              </w:rPr>
            </w:pPr>
            <w:r w:rsidRPr="0047161F">
              <w:rPr>
                <w:rFonts w:ascii="Times New Roman" w:eastAsia="Times New Roman" w:hAnsi="Times New Roman" w:cs="Times New Roman"/>
                <w:b/>
                <w:iCs/>
                <w:noProof/>
                <w:sz w:val="20"/>
                <w:szCs w:val="20"/>
              </w:rPr>
              <w:t xml:space="preserve">Прироритет 1 „Развитие на железопътната инфраструктура по „основната“ и „широкообхватната“ Трансевропейска транспортна мрежа“ </w:t>
            </w:r>
          </w:p>
        </w:tc>
        <w:tc>
          <w:tcPr>
            <w:tcW w:w="8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01A793A" w14:textId="77777777" w:rsidR="00085E14" w:rsidRPr="0047161F" w:rsidRDefault="00085E14" w:rsidP="00085E14">
            <w:pPr>
              <w:spacing w:before="120" w:after="120"/>
              <w:jc w:val="both"/>
              <w:rPr>
                <w:rFonts w:ascii="Times New Roman" w:hAnsi="Times New Roman" w:cs="Times New Roman"/>
                <w:b/>
                <w:noProof/>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E42C5EC" w14:textId="77777777" w:rsidR="00085E14" w:rsidRPr="0047161F" w:rsidRDefault="00085E14" w:rsidP="00085E14">
            <w:pPr>
              <w:spacing w:before="120" w:after="120"/>
              <w:jc w:val="both"/>
              <w:rPr>
                <w:rFonts w:ascii="Times New Roman" w:hAnsi="Times New Roman" w:cs="Times New Roman"/>
                <w:b/>
                <w:noProof/>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69EAE93" w14:textId="63A4BCC9" w:rsidR="00085E14" w:rsidRPr="0047161F" w:rsidRDefault="00085E14" w:rsidP="00085E14">
            <w:pPr>
              <w:spacing w:before="120" w:after="120"/>
              <w:jc w:val="both"/>
              <w:rPr>
                <w:rFonts w:ascii="Times New Roman" w:hAnsi="Times New Roman" w:cs="Times New Roman"/>
                <w:b/>
                <w:noProof/>
                <w:sz w:val="20"/>
                <w:szCs w:val="20"/>
              </w:rPr>
            </w:pPr>
          </w:p>
        </w:tc>
      </w:tr>
      <w:tr w:rsidR="00085E14" w:rsidRPr="0047161F" w14:paraId="744D15E6" w14:textId="21F35824" w:rsidTr="001C4327">
        <w:trPr>
          <w:trHeight w:val="449"/>
        </w:trPr>
        <w:tc>
          <w:tcPr>
            <w:tcW w:w="5529"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10FFDDD" w14:textId="44EA7AE1"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hAnsi="Times New Roman" w:cs="Times New Roman"/>
                <w:b/>
                <w:noProof/>
                <w:sz w:val="20"/>
                <w:szCs w:val="20"/>
              </w:rPr>
              <w:t xml:space="preserve">Код </w:t>
            </w:r>
          </w:p>
        </w:tc>
        <w:tc>
          <w:tcPr>
            <w:tcW w:w="80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BCDBD1E" w14:textId="15DB4784" w:rsidR="00085E14" w:rsidRPr="0047161F" w:rsidRDefault="00085E14" w:rsidP="00085E14">
            <w:pPr>
              <w:spacing w:before="120" w:after="120"/>
              <w:jc w:val="both"/>
              <w:rPr>
                <w:rFonts w:ascii="Times New Roman" w:hAnsi="Times New Roman" w:cs="Times New Roman"/>
                <w:b/>
                <w:noProof/>
                <w:sz w:val="20"/>
                <w:szCs w:val="20"/>
              </w:rPr>
            </w:pPr>
            <w:r w:rsidRPr="0047161F">
              <w:rPr>
                <w:rFonts w:ascii="Times New Roman" w:hAnsi="Times New Roman" w:cs="Times New Roman"/>
                <w:b/>
                <w:noProof/>
                <w:sz w:val="20"/>
                <w:szCs w:val="20"/>
              </w:rPr>
              <w:t>Фонд</w:t>
            </w:r>
          </w:p>
        </w:tc>
        <w:tc>
          <w:tcPr>
            <w:tcW w:w="118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314F770" w14:textId="25951A0E" w:rsidR="00085E14" w:rsidRPr="0047161F" w:rsidRDefault="00085E14" w:rsidP="00085E14">
            <w:pPr>
              <w:spacing w:before="120" w:after="120"/>
              <w:jc w:val="both"/>
              <w:rPr>
                <w:rFonts w:ascii="Times New Roman" w:hAnsi="Times New Roman" w:cs="Times New Roman"/>
                <w:b/>
                <w:noProof/>
                <w:sz w:val="20"/>
                <w:szCs w:val="20"/>
              </w:rPr>
            </w:pPr>
            <w:r w:rsidRPr="0047161F">
              <w:rPr>
                <w:rFonts w:ascii="Times New Roman" w:hAnsi="Times New Roman" w:cs="Times New Roman"/>
                <w:b/>
                <w:noProof/>
                <w:sz w:val="20"/>
                <w:szCs w:val="20"/>
              </w:rPr>
              <w:t>Категория региони</w:t>
            </w:r>
          </w:p>
        </w:tc>
        <w:tc>
          <w:tcPr>
            <w:tcW w:w="198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D8AE3AD" w14:textId="7B6CAA31"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hAnsi="Times New Roman" w:cs="Times New Roman"/>
                <w:b/>
                <w:noProof/>
                <w:sz w:val="20"/>
                <w:szCs w:val="20"/>
              </w:rPr>
              <w:t>Сума (EUR)</w:t>
            </w:r>
          </w:p>
        </w:tc>
      </w:tr>
      <w:tr w:rsidR="00085E14" w:rsidRPr="0047161F" w14:paraId="56607380" w14:textId="77777777" w:rsidTr="001C4327">
        <w:tc>
          <w:tcPr>
            <w:tcW w:w="5529" w:type="dxa"/>
            <w:tcBorders>
              <w:top w:val="single" w:sz="4" w:space="0" w:color="auto"/>
              <w:left w:val="single" w:sz="4" w:space="0" w:color="auto"/>
              <w:bottom w:val="single" w:sz="4" w:space="0" w:color="auto"/>
              <w:right w:val="single" w:sz="4" w:space="0" w:color="auto"/>
            </w:tcBorders>
          </w:tcPr>
          <w:p w14:paraId="0BCD756E" w14:textId="5F5720E6" w:rsidR="00085E14" w:rsidRPr="0047161F" w:rsidRDefault="00085E14" w:rsidP="006F4AB0">
            <w:pPr>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058 </w:t>
            </w:r>
            <w:r w:rsidRPr="0047161F">
              <w:rPr>
                <w:rFonts w:ascii="Times New Roman" w:eastAsia="Times New Roman" w:hAnsi="Times New Roman" w:cs="Times New Roman"/>
                <w:iCs/>
                <w:noProof/>
                <w:sz w:val="20"/>
                <w:szCs w:val="20"/>
              </w:rPr>
              <w:t>Мерки за адаптиране към изменението на климата и превенция и управление на рискове, свързани с климата: наводнения и свлачища</w:t>
            </w:r>
            <w:r w:rsidRPr="0047161F" w:rsidDel="002A21D3">
              <w:rPr>
                <w:rFonts w:ascii="Times New Roman" w:eastAsia="Times New Roman" w:hAnsi="Times New Roman" w:cs="Times New Roman"/>
                <w:iCs/>
                <w:noProof/>
                <w:sz w:val="20"/>
                <w:szCs w:val="20"/>
              </w:rPr>
              <w:t xml:space="preserve"> </w:t>
            </w:r>
            <w:r w:rsidRPr="0047161F">
              <w:rPr>
                <w:rFonts w:ascii="Times New Roman" w:eastAsia="Times New Roman" w:hAnsi="Times New Roman" w:cs="Times New Roman"/>
                <w:iCs/>
                <w:noProof/>
                <w:sz w:val="20"/>
                <w:szCs w:val="20"/>
              </w:rPr>
              <w:t xml:space="preserve"> </w:t>
            </w:r>
          </w:p>
        </w:tc>
        <w:tc>
          <w:tcPr>
            <w:tcW w:w="804" w:type="dxa"/>
            <w:tcBorders>
              <w:top w:val="single" w:sz="4" w:space="0" w:color="auto"/>
              <w:left w:val="single" w:sz="4" w:space="0" w:color="auto"/>
              <w:bottom w:val="single" w:sz="4" w:space="0" w:color="auto"/>
              <w:right w:val="single" w:sz="4" w:space="0" w:color="auto"/>
            </w:tcBorders>
          </w:tcPr>
          <w:p w14:paraId="0087169A" w14:textId="1853611B"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КФ</w:t>
            </w:r>
          </w:p>
        </w:tc>
        <w:tc>
          <w:tcPr>
            <w:tcW w:w="1180" w:type="dxa"/>
            <w:tcBorders>
              <w:top w:val="single" w:sz="4" w:space="0" w:color="auto"/>
              <w:left w:val="single" w:sz="4" w:space="0" w:color="auto"/>
              <w:bottom w:val="single" w:sz="4" w:space="0" w:color="auto"/>
              <w:right w:val="single" w:sz="4" w:space="0" w:color="auto"/>
            </w:tcBorders>
          </w:tcPr>
          <w:p w14:paraId="03A8FBF2" w14:textId="641541EE"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НП</w:t>
            </w:r>
          </w:p>
        </w:tc>
        <w:tc>
          <w:tcPr>
            <w:tcW w:w="1985" w:type="dxa"/>
            <w:tcBorders>
              <w:top w:val="single" w:sz="4" w:space="0" w:color="auto"/>
              <w:left w:val="single" w:sz="4" w:space="0" w:color="auto"/>
              <w:bottom w:val="single" w:sz="4" w:space="0" w:color="auto"/>
              <w:right w:val="single" w:sz="4" w:space="0" w:color="auto"/>
            </w:tcBorders>
          </w:tcPr>
          <w:p w14:paraId="641EBE5F" w14:textId="6D9C7262"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241 694 905,00</w:t>
            </w:r>
          </w:p>
        </w:tc>
      </w:tr>
      <w:tr w:rsidR="00085E14" w:rsidRPr="0047161F" w14:paraId="2106962E" w14:textId="77777777" w:rsidTr="001C4327">
        <w:tc>
          <w:tcPr>
            <w:tcW w:w="5529" w:type="dxa"/>
            <w:tcBorders>
              <w:top w:val="single" w:sz="4" w:space="0" w:color="auto"/>
              <w:left w:val="single" w:sz="4" w:space="0" w:color="auto"/>
              <w:bottom w:val="single" w:sz="4" w:space="0" w:color="auto"/>
              <w:right w:val="single" w:sz="4" w:space="0" w:color="auto"/>
            </w:tcBorders>
          </w:tcPr>
          <w:p w14:paraId="6B513A6F" w14:textId="2783DED2"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lastRenderedPageBreak/>
              <w:t xml:space="preserve">096 </w:t>
            </w:r>
            <w:r w:rsidRPr="0047161F">
              <w:rPr>
                <w:rFonts w:ascii="Times New Roman" w:eastAsia="Times New Roman" w:hAnsi="Times New Roman" w:cs="Times New Roman"/>
                <w:iCs/>
                <w:noProof/>
                <w:sz w:val="20"/>
                <w:szCs w:val="20"/>
              </w:rPr>
              <w:t>Новопостроени или усъвършенствани железопътни линии на TEN-T — основна мрежа</w:t>
            </w:r>
          </w:p>
        </w:tc>
        <w:tc>
          <w:tcPr>
            <w:tcW w:w="804" w:type="dxa"/>
            <w:tcBorders>
              <w:top w:val="single" w:sz="4" w:space="0" w:color="auto"/>
              <w:left w:val="single" w:sz="4" w:space="0" w:color="auto"/>
              <w:bottom w:val="single" w:sz="4" w:space="0" w:color="auto"/>
              <w:right w:val="single" w:sz="4" w:space="0" w:color="auto"/>
            </w:tcBorders>
          </w:tcPr>
          <w:p w14:paraId="5661CCFE" w14:textId="51C10D98"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КФ</w:t>
            </w:r>
          </w:p>
        </w:tc>
        <w:tc>
          <w:tcPr>
            <w:tcW w:w="1180" w:type="dxa"/>
            <w:tcBorders>
              <w:top w:val="single" w:sz="4" w:space="0" w:color="auto"/>
              <w:left w:val="single" w:sz="4" w:space="0" w:color="auto"/>
              <w:bottom w:val="single" w:sz="4" w:space="0" w:color="auto"/>
              <w:right w:val="single" w:sz="4" w:space="0" w:color="auto"/>
            </w:tcBorders>
          </w:tcPr>
          <w:p w14:paraId="2612E16F" w14:textId="1E8F462B"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НП</w:t>
            </w:r>
          </w:p>
        </w:tc>
        <w:tc>
          <w:tcPr>
            <w:tcW w:w="1985" w:type="dxa"/>
            <w:tcBorders>
              <w:top w:val="single" w:sz="4" w:space="0" w:color="auto"/>
              <w:left w:val="single" w:sz="4" w:space="0" w:color="auto"/>
              <w:bottom w:val="single" w:sz="4" w:space="0" w:color="auto"/>
              <w:right w:val="single" w:sz="4" w:space="0" w:color="auto"/>
            </w:tcBorders>
          </w:tcPr>
          <w:p w14:paraId="263BA10C" w14:textId="2E75E2AF"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287 542 357,00</w:t>
            </w:r>
          </w:p>
          <w:p w14:paraId="589E126A"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r>
      <w:tr w:rsidR="00085E14" w:rsidRPr="0047161F" w14:paraId="458DD9CE" w14:textId="77777777" w:rsidTr="001C4327">
        <w:tc>
          <w:tcPr>
            <w:tcW w:w="5529" w:type="dxa"/>
            <w:tcBorders>
              <w:top w:val="single" w:sz="4" w:space="0" w:color="auto"/>
              <w:left w:val="single" w:sz="4" w:space="0" w:color="auto"/>
              <w:bottom w:val="single" w:sz="4" w:space="0" w:color="auto"/>
              <w:right w:val="single" w:sz="4" w:space="0" w:color="auto"/>
            </w:tcBorders>
          </w:tcPr>
          <w:p w14:paraId="61E9AC3E" w14:textId="0E34C4CA" w:rsidR="00085E14" w:rsidRPr="0047161F" w:rsidRDefault="00085E14" w:rsidP="00085E14">
            <w:pPr>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b/>
                <w:iCs/>
                <w:noProof/>
                <w:sz w:val="20"/>
                <w:szCs w:val="20"/>
              </w:rPr>
              <w:t xml:space="preserve">101 </w:t>
            </w:r>
            <w:r w:rsidRPr="0047161F">
              <w:rPr>
                <w:rFonts w:ascii="Times New Roman" w:eastAsia="Times New Roman" w:hAnsi="Times New Roman" w:cs="Times New Roman"/>
                <w:iCs/>
                <w:noProof/>
                <w:sz w:val="20"/>
                <w:szCs w:val="20"/>
              </w:rPr>
              <w:t>Реконструирани или модернизирани железопътни линии на TEN-T — широкобхватна мрежа</w:t>
            </w:r>
          </w:p>
        </w:tc>
        <w:tc>
          <w:tcPr>
            <w:tcW w:w="804" w:type="dxa"/>
            <w:tcBorders>
              <w:top w:val="single" w:sz="4" w:space="0" w:color="auto"/>
              <w:left w:val="single" w:sz="4" w:space="0" w:color="auto"/>
              <w:bottom w:val="single" w:sz="4" w:space="0" w:color="auto"/>
              <w:right w:val="single" w:sz="4" w:space="0" w:color="auto"/>
            </w:tcBorders>
          </w:tcPr>
          <w:p w14:paraId="46DF2AA1" w14:textId="76335050"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КФ</w:t>
            </w:r>
          </w:p>
        </w:tc>
        <w:tc>
          <w:tcPr>
            <w:tcW w:w="1180" w:type="dxa"/>
            <w:tcBorders>
              <w:top w:val="single" w:sz="4" w:space="0" w:color="auto"/>
              <w:left w:val="single" w:sz="4" w:space="0" w:color="auto"/>
              <w:bottom w:val="single" w:sz="4" w:space="0" w:color="auto"/>
              <w:right w:val="single" w:sz="4" w:space="0" w:color="auto"/>
            </w:tcBorders>
          </w:tcPr>
          <w:p w14:paraId="0640F30A" w14:textId="79839903"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НП</w:t>
            </w:r>
          </w:p>
        </w:tc>
        <w:tc>
          <w:tcPr>
            <w:tcW w:w="1985" w:type="dxa"/>
            <w:tcBorders>
              <w:top w:val="single" w:sz="4" w:space="0" w:color="auto"/>
              <w:left w:val="single" w:sz="4" w:space="0" w:color="auto"/>
              <w:bottom w:val="single" w:sz="4" w:space="0" w:color="auto"/>
              <w:right w:val="single" w:sz="4" w:space="0" w:color="auto"/>
            </w:tcBorders>
          </w:tcPr>
          <w:p w14:paraId="5C81B3B1" w14:textId="64D9B511"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75 000 000,00</w:t>
            </w:r>
          </w:p>
        </w:tc>
      </w:tr>
    </w:tbl>
    <w:p w14:paraId="149C8215" w14:textId="77777777" w:rsidR="007833A6" w:rsidRPr="008D4AB4" w:rsidRDefault="007833A6" w:rsidP="00300C94">
      <w:pPr>
        <w:pStyle w:val="ListParagraph"/>
        <w:spacing w:after="360" w:line="240" w:lineRule="auto"/>
        <w:jc w:val="both"/>
        <w:rPr>
          <w:rFonts w:ascii="Times New Roman" w:hAnsi="Times New Roman" w:cs="Times New Roman"/>
          <w:sz w:val="24"/>
          <w:szCs w:val="24"/>
        </w:rPr>
      </w:pPr>
    </w:p>
    <w:p w14:paraId="756FD5E7" w14:textId="356B6FA2" w:rsidR="007833A6" w:rsidRPr="008D4AB4" w:rsidRDefault="00EF3828" w:rsidP="00C7099D">
      <w:pPr>
        <w:pStyle w:val="ListParagraph"/>
        <w:spacing w:after="360" w:line="240" w:lineRule="auto"/>
        <w:ind w:left="0"/>
        <w:jc w:val="both"/>
        <w:rPr>
          <w:rFonts w:ascii="Times New Roman" w:hAnsi="Times New Roman" w:cs="Times New Roman"/>
          <w:b/>
          <w:sz w:val="24"/>
          <w:szCs w:val="24"/>
        </w:rPr>
      </w:pPr>
      <w:r w:rsidRPr="008D4AB4">
        <w:rPr>
          <w:rFonts w:ascii="Times New Roman" w:hAnsi="Times New Roman" w:cs="Times New Roman"/>
          <w:b/>
          <w:sz w:val="24"/>
          <w:szCs w:val="24"/>
        </w:rPr>
        <w:t>Измерение 2- Форма на финансиране, Измерение 3 — Териториален механизъм за изпълнение и териториална насоченост, Измерение 7 — Равенство между половете във връзка с ЕСФ+*, ЕФРР, КФ и ФСП</w:t>
      </w:r>
    </w:p>
    <w:tbl>
      <w:tblPr>
        <w:tblStyle w:val="TableGrid1"/>
        <w:tblW w:w="9634" w:type="dxa"/>
        <w:tblLook w:val="04A0" w:firstRow="1" w:lastRow="0" w:firstColumn="1" w:lastColumn="0" w:noHBand="0" w:noVBand="1"/>
      </w:tblPr>
      <w:tblGrid>
        <w:gridCol w:w="1210"/>
        <w:gridCol w:w="1620"/>
        <w:gridCol w:w="2127"/>
        <w:gridCol w:w="2126"/>
        <w:gridCol w:w="709"/>
        <w:gridCol w:w="1842"/>
      </w:tblGrid>
      <w:tr w:rsidR="000F17B1" w:rsidRPr="008D4AB4" w14:paraId="76541AC1" w14:textId="6ACD127C" w:rsidTr="00520A95">
        <w:trPr>
          <w:trHeight w:val="950"/>
        </w:trPr>
        <w:tc>
          <w:tcPr>
            <w:tcW w:w="1210" w:type="dxa"/>
            <w:tcBorders>
              <w:left w:val="single" w:sz="4" w:space="0" w:color="auto"/>
              <w:bottom w:val="single" w:sz="4" w:space="0" w:color="auto"/>
              <w:right w:val="single" w:sz="4" w:space="0" w:color="auto"/>
            </w:tcBorders>
            <w:shd w:val="clear" w:color="auto" w:fill="E2EFD9" w:themeFill="accent6" w:themeFillTint="33"/>
          </w:tcPr>
          <w:p w14:paraId="3CCC87D4" w14:textId="24D28F9D"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и СЦ</w:t>
            </w:r>
          </w:p>
        </w:tc>
        <w:tc>
          <w:tcPr>
            <w:tcW w:w="1620" w:type="dxa"/>
            <w:tcBorders>
              <w:left w:val="single" w:sz="4" w:space="0" w:color="auto"/>
              <w:bottom w:val="single" w:sz="4" w:space="0" w:color="auto"/>
              <w:right w:val="single" w:sz="4" w:space="0" w:color="auto"/>
            </w:tcBorders>
            <w:shd w:val="clear" w:color="auto" w:fill="E2EFD9" w:themeFill="accent6" w:themeFillTint="33"/>
          </w:tcPr>
          <w:p w14:paraId="5D5BF72A" w14:textId="0F7B9771"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lang w:val="en-US"/>
              </w:rPr>
              <w:t>Измерение 2-</w:t>
            </w:r>
            <w:r w:rsidRPr="008D4AB4">
              <w:rPr>
                <w:rFonts w:ascii="Times New Roman" w:hAnsi="Times New Roman" w:cs="Times New Roman"/>
              </w:rPr>
              <w:t xml:space="preserve"> </w:t>
            </w:r>
            <w:r w:rsidRPr="008D4AB4">
              <w:rPr>
                <w:rFonts w:ascii="Times New Roman" w:eastAsia="Times New Roman" w:hAnsi="Times New Roman" w:cs="Times New Roman"/>
                <w:b/>
                <w:iCs/>
                <w:noProof/>
                <w:sz w:val="20"/>
                <w:szCs w:val="20"/>
              </w:rPr>
              <w:t>Форма на финансиране</w:t>
            </w:r>
          </w:p>
        </w:tc>
        <w:tc>
          <w:tcPr>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5FD78" w14:textId="5EBD1854"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3 — Териториален механизъм за изпълнение и териториална насоченост</w:t>
            </w:r>
          </w:p>
        </w:tc>
        <w:tc>
          <w:tcPr>
            <w:tcW w:w="212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79BE0F" w14:textId="7F610980"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7 — Равенство между половете във връзка с ЕСФ+*, ЕФРР, КФ и ФСП</w:t>
            </w:r>
          </w:p>
        </w:tc>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7D1AA6" w14:textId="615E38A7"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84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73F393" w14:textId="7F23A9C0" w:rsidR="000F17B1" w:rsidRPr="008D4AB4" w:rsidRDefault="000F17B1" w:rsidP="000F17B1">
            <w:pPr>
              <w:spacing w:before="120" w:after="120"/>
              <w:rPr>
                <w:rFonts w:ascii="Times New Roman" w:eastAsia="Times New Roman" w:hAnsi="Times New Roman" w:cs="Times New Roman"/>
                <w:iCs/>
                <w:noProof/>
                <w:sz w:val="20"/>
                <w:szCs w:val="20"/>
              </w:rPr>
            </w:pPr>
            <w:r w:rsidRPr="008D4AB4">
              <w:rPr>
                <w:rFonts w:ascii="Times New Roman" w:eastAsia="Times New Roman" w:hAnsi="Times New Roman" w:cs="Times New Roman"/>
                <w:b/>
                <w:iCs/>
                <w:noProof/>
                <w:sz w:val="20"/>
                <w:szCs w:val="20"/>
              </w:rPr>
              <w:t>Сума в евро</w:t>
            </w:r>
          </w:p>
        </w:tc>
      </w:tr>
      <w:tr w:rsidR="000F17B1" w:rsidRPr="008D4AB4" w14:paraId="07C22B54" w14:textId="50B65D24" w:rsidTr="00520A95">
        <w:tc>
          <w:tcPr>
            <w:tcW w:w="1210" w:type="dxa"/>
            <w:tcBorders>
              <w:left w:val="single" w:sz="4" w:space="0" w:color="auto"/>
              <w:bottom w:val="single" w:sz="4" w:space="0" w:color="auto"/>
              <w:right w:val="single" w:sz="4" w:space="0" w:color="auto"/>
            </w:tcBorders>
          </w:tcPr>
          <w:p w14:paraId="0C382957" w14:textId="6F4BE329" w:rsidR="000F17B1" w:rsidRPr="008D4AB4" w:rsidRDefault="000F17B1" w:rsidP="007833A6">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1 -</w:t>
            </w:r>
            <w:r w:rsidRPr="008D4AB4">
              <w:rPr>
                <w:rFonts w:ascii="Times New Roman" w:hAnsi="Times New Roman" w:cs="Times New Roman"/>
              </w:rPr>
              <w:t>RSO3.1</w:t>
            </w:r>
          </w:p>
        </w:tc>
        <w:tc>
          <w:tcPr>
            <w:tcW w:w="1620" w:type="dxa"/>
            <w:tcBorders>
              <w:left w:val="single" w:sz="4" w:space="0" w:color="auto"/>
              <w:bottom w:val="single" w:sz="4" w:space="0" w:color="auto"/>
              <w:right w:val="single" w:sz="4" w:space="0" w:color="auto"/>
            </w:tcBorders>
          </w:tcPr>
          <w:p w14:paraId="2CD05624" w14:textId="4EE64F18" w:rsidR="000F17B1" w:rsidRPr="008D4AB4" w:rsidRDefault="000F17B1" w:rsidP="007833A6">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tc>
        <w:tc>
          <w:tcPr>
            <w:tcW w:w="2127" w:type="dxa"/>
            <w:tcBorders>
              <w:top w:val="single" w:sz="4" w:space="0" w:color="auto"/>
              <w:left w:val="single" w:sz="4" w:space="0" w:color="auto"/>
              <w:bottom w:val="single" w:sz="4" w:space="0" w:color="auto"/>
              <w:right w:val="single" w:sz="4" w:space="0" w:color="auto"/>
            </w:tcBorders>
          </w:tcPr>
          <w:p w14:paraId="4F855F05" w14:textId="3B9DBEC8" w:rsidR="000F17B1" w:rsidRPr="008D4AB4" w:rsidRDefault="000F17B1" w:rsidP="007833A6">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33. </w:t>
            </w:r>
            <w:r w:rsidRPr="008D4AB4">
              <w:rPr>
                <w:rFonts w:ascii="Times New Roman" w:eastAsia="Times New Roman" w:hAnsi="Times New Roman" w:cs="Times New Roman"/>
                <w:iCs/>
                <w:noProof/>
                <w:sz w:val="20"/>
                <w:szCs w:val="20"/>
              </w:rPr>
              <w:t>Други подходи — Без целеви територии</w:t>
            </w:r>
          </w:p>
        </w:tc>
        <w:tc>
          <w:tcPr>
            <w:tcW w:w="2126" w:type="dxa"/>
            <w:tcBorders>
              <w:top w:val="single" w:sz="4" w:space="0" w:color="auto"/>
              <w:left w:val="single" w:sz="4" w:space="0" w:color="auto"/>
              <w:bottom w:val="single" w:sz="4" w:space="0" w:color="auto"/>
              <w:right w:val="single" w:sz="4" w:space="0" w:color="auto"/>
            </w:tcBorders>
          </w:tcPr>
          <w:p w14:paraId="4A9B28A5" w14:textId="7DE216D6" w:rsidR="000F17B1" w:rsidRPr="008D4AB4" w:rsidRDefault="000F17B1" w:rsidP="007833A6">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709" w:type="dxa"/>
            <w:tcBorders>
              <w:top w:val="single" w:sz="4" w:space="0" w:color="auto"/>
              <w:left w:val="single" w:sz="4" w:space="0" w:color="auto"/>
              <w:bottom w:val="single" w:sz="4" w:space="0" w:color="auto"/>
              <w:right w:val="single" w:sz="4" w:space="0" w:color="auto"/>
            </w:tcBorders>
          </w:tcPr>
          <w:p w14:paraId="3D731603" w14:textId="19930F97" w:rsidR="000F17B1" w:rsidRPr="008D4AB4" w:rsidRDefault="000F17B1" w:rsidP="007833A6">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КФ</w:t>
            </w:r>
          </w:p>
        </w:tc>
        <w:tc>
          <w:tcPr>
            <w:tcW w:w="1842" w:type="dxa"/>
            <w:tcBorders>
              <w:top w:val="single" w:sz="4" w:space="0" w:color="auto"/>
              <w:left w:val="single" w:sz="4" w:space="0" w:color="auto"/>
              <w:bottom w:val="single" w:sz="4" w:space="0" w:color="auto"/>
              <w:right w:val="single" w:sz="4" w:space="0" w:color="auto"/>
            </w:tcBorders>
          </w:tcPr>
          <w:p w14:paraId="0320434A" w14:textId="0F3CFB4A" w:rsidR="000F17B1" w:rsidRPr="00520A95" w:rsidRDefault="00520A95" w:rsidP="00520A95">
            <w:pPr>
              <w:pStyle w:val="ListParagraph"/>
              <w:numPr>
                <w:ilvl w:val="0"/>
                <w:numId w:val="37"/>
              </w:numPr>
              <w:spacing w:before="120" w:after="120"/>
              <w:jc w:val="right"/>
              <w:rPr>
                <w:rFonts w:ascii="Times New Roman" w:eastAsia="Times New Roman" w:hAnsi="Times New Roman" w:cs="Times New Roman"/>
                <w:b/>
                <w:iCs/>
                <w:noProof/>
                <w:sz w:val="20"/>
                <w:szCs w:val="20"/>
              </w:rPr>
            </w:pPr>
            <w:r w:rsidRPr="00520A95">
              <w:rPr>
                <w:rFonts w:ascii="Times New Roman" w:eastAsia="Times New Roman" w:hAnsi="Times New Roman" w:cs="Times New Roman"/>
                <w:b/>
                <w:iCs/>
                <w:noProof/>
                <w:sz w:val="20"/>
                <w:szCs w:val="20"/>
              </w:rPr>
              <w:t>23</w:t>
            </w:r>
            <w:r w:rsidR="000F17B1" w:rsidRPr="00520A95">
              <w:rPr>
                <w:rFonts w:ascii="Times New Roman" w:eastAsia="Times New Roman" w:hAnsi="Times New Roman" w:cs="Times New Roman"/>
                <w:b/>
                <w:iCs/>
                <w:noProof/>
                <w:sz w:val="20"/>
                <w:szCs w:val="20"/>
              </w:rPr>
              <w:t>7 262,00</w:t>
            </w:r>
          </w:p>
        </w:tc>
      </w:tr>
    </w:tbl>
    <w:p w14:paraId="2559FC2F" w14:textId="4CE33AA9" w:rsidR="004A58E5" w:rsidRPr="008D4AB4" w:rsidRDefault="004A58E5" w:rsidP="00F7696A">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ind w:right="140"/>
        <w:rPr>
          <w:rFonts w:ascii="Times New Roman" w:hAnsi="Times New Roman" w:cs="Times New Roman"/>
        </w:rPr>
      </w:pPr>
      <w:bookmarkStart w:id="4" w:name="_Toc136269944"/>
      <w:r w:rsidRPr="008D4AB4">
        <w:rPr>
          <w:rFonts w:ascii="Times New Roman" w:hAnsi="Times New Roman" w:cs="Times New Roman"/>
        </w:rPr>
        <w:t>Териториален обхват:</w:t>
      </w:r>
      <w:bookmarkEnd w:id="4"/>
    </w:p>
    <w:p w14:paraId="128AE276" w14:textId="77777777" w:rsidR="00243229" w:rsidRPr="008D4AB4" w:rsidRDefault="007125D8" w:rsidP="00243229">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Дейностите по настоящ</w:t>
      </w:r>
      <w:r w:rsidR="000546E4" w:rsidRPr="008D4AB4">
        <w:rPr>
          <w:rFonts w:ascii="Times New Roman" w:hAnsi="Times New Roman" w:cs="Times New Roman"/>
          <w:sz w:val="24"/>
          <w:szCs w:val="24"/>
        </w:rPr>
        <w:t>ите процедури</w:t>
      </w:r>
      <w:r w:rsidR="00243229" w:rsidRPr="008D4AB4">
        <w:rPr>
          <w:rFonts w:ascii="Times New Roman" w:hAnsi="Times New Roman" w:cs="Times New Roman"/>
          <w:sz w:val="24"/>
          <w:szCs w:val="24"/>
        </w:rPr>
        <w:t xml:space="preserve"> следва да бъдат изпълнени:</w:t>
      </w:r>
    </w:p>
    <w:p w14:paraId="082C5305" w14:textId="4AA5DD09" w:rsidR="007F76E6" w:rsidRPr="008D4AB4" w:rsidRDefault="00243229" w:rsidP="00C66898">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за финансиране от КФ - </w:t>
      </w:r>
      <w:r w:rsidR="007125D8" w:rsidRPr="008D4AB4">
        <w:rPr>
          <w:rFonts w:ascii="Times New Roman" w:hAnsi="Times New Roman" w:cs="Times New Roman"/>
          <w:sz w:val="24"/>
          <w:szCs w:val="24"/>
        </w:rPr>
        <w:t>на територи</w:t>
      </w:r>
      <w:r w:rsidR="000546E4" w:rsidRPr="008D4AB4">
        <w:rPr>
          <w:rFonts w:ascii="Times New Roman" w:hAnsi="Times New Roman" w:cs="Times New Roman"/>
          <w:sz w:val="24"/>
          <w:szCs w:val="24"/>
        </w:rPr>
        <w:t>ята на Република България</w:t>
      </w:r>
      <w:r w:rsidR="0065728F" w:rsidRPr="008D4AB4">
        <w:rPr>
          <w:rStyle w:val="FootnoteReference"/>
          <w:rFonts w:ascii="Times New Roman" w:hAnsi="Times New Roman" w:cs="Times New Roman"/>
          <w:sz w:val="24"/>
          <w:szCs w:val="24"/>
        </w:rPr>
        <w:footnoteReference w:id="1"/>
      </w:r>
      <w:r w:rsidRPr="008D4AB4">
        <w:rPr>
          <w:rFonts w:ascii="Times New Roman" w:hAnsi="Times New Roman" w:cs="Times New Roman"/>
          <w:sz w:val="24"/>
          <w:szCs w:val="24"/>
        </w:rPr>
        <w:t>;</w:t>
      </w:r>
    </w:p>
    <w:p w14:paraId="00ECEC3B" w14:textId="17660C8C" w:rsidR="00901F98" w:rsidRPr="008D4AB4" w:rsidRDefault="002325A3" w:rsidP="00F7696A">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ind w:right="140"/>
        <w:rPr>
          <w:rFonts w:ascii="Times New Roman" w:hAnsi="Times New Roman" w:cs="Times New Roman"/>
        </w:rPr>
      </w:pPr>
      <w:bookmarkStart w:id="5" w:name="_Toc136269945"/>
      <w:r w:rsidRPr="008D4AB4">
        <w:rPr>
          <w:rFonts w:ascii="Times New Roman" w:hAnsi="Times New Roman" w:cs="Times New Roman"/>
        </w:rPr>
        <w:t>Цели</w:t>
      </w:r>
      <w:r w:rsidR="00901F98" w:rsidRPr="008D4AB4">
        <w:rPr>
          <w:rFonts w:ascii="Times New Roman" w:hAnsi="Times New Roman" w:cs="Times New Roman"/>
        </w:rPr>
        <w:t xml:space="preserve"> </w:t>
      </w:r>
      <w:r w:rsidR="00FC0697" w:rsidRPr="008D4AB4">
        <w:rPr>
          <w:rFonts w:ascii="Times New Roman" w:hAnsi="Times New Roman" w:cs="Times New Roman"/>
        </w:rPr>
        <w:t xml:space="preserve">на предоставяната </w:t>
      </w:r>
      <w:r w:rsidR="00BA2E00" w:rsidRPr="008D4AB4">
        <w:rPr>
          <w:rFonts w:ascii="Times New Roman" w:hAnsi="Times New Roman" w:cs="Times New Roman"/>
        </w:rPr>
        <w:t>безвъзмездна финансова помощ</w:t>
      </w:r>
      <w:r w:rsidR="00FC0697" w:rsidRPr="008D4AB4">
        <w:rPr>
          <w:rFonts w:ascii="Times New Roman" w:hAnsi="Times New Roman" w:cs="Times New Roman"/>
        </w:rPr>
        <w:t xml:space="preserve"> по </w:t>
      </w:r>
      <w:r w:rsidR="00901F98" w:rsidRPr="008D4AB4">
        <w:rPr>
          <w:rFonts w:ascii="Times New Roman" w:hAnsi="Times New Roman" w:cs="Times New Roman"/>
        </w:rPr>
        <w:t>п</w:t>
      </w:r>
      <w:r w:rsidR="00FC0697" w:rsidRPr="008D4AB4">
        <w:rPr>
          <w:rFonts w:ascii="Times New Roman" w:hAnsi="Times New Roman" w:cs="Times New Roman"/>
        </w:rPr>
        <w:t>роцедура</w:t>
      </w:r>
      <w:r w:rsidR="00916B5A" w:rsidRPr="008D4AB4">
        <w:rPr>
          <w:rFonts w:ascii="Times New Roman" w:hAnsi="Times New Roman" w:cs="Times New Roman"/>
        </w:rPr>
        <w:t>та</w:t>
      </w:r>
      <w:r w:rsidR="00CB14EE" w:rsidRPr="008D4AB4">
        <w:rPr>
          <w:rFonts w:ascii="Times New Roman" w:hAnsi="Times New Roman" w:cs="Times New Roman"/>
        </w:rPr>
        <w:t xml:space="preserve"> и очаквани резултати</w:t>
      </w:r>
      <w:r w:rsidR="00916B5A" w:rsidRPr="008D4AB4">
        <w:rPr>
          <w:rFonts w:ascii="Times New Roman" w:hAnsi="Times New Roman" w:cs="Times New Roman"/>
        </w:rPr>
        <w:t>:</w:t>
      </w:r>
      <w:bookmarkEnd w:id="5"/>
    </w:p>
    <w:p w14:paraId="2CC8E889" w14:textId="37C4DD18" w:rsidR="0065728F" w:rsidRPr="008D4AB4" w:rsidRDefault="00B77055" w:rsidP="005C27D4">
      <w:pPr>
        <w:spacing w:before="120" w:after="120"/>
        <w:ind w:firstLine="567"/>
        <w:jc w:val="both"/>
        <w:rPr>
          <w:rFonts w:ascii="Times New Roman" w:eastAsia="Times New Roman" w:hAnsi="Times New Roman" w:cs="Times New Roman"/>
          <w:noProof/>
          <w:sz w:val="24"/>
          <w:szCs w:val="20"/>
          <w:lang w:val="en-US"/>
        </w:rPr>
      </w:pPr>
      <w:r>
        <w:rPr>
          <w:rFonts w:ascii="Times New Roman" w:eastAsia="Times New Roman" w:hAnsi="Times New Roman" w:cs="Times New Roman"/>
          <w:noProof/>
          <w:sz w:val="24"/>
          <w:szCs w:val="20"/>
        </w:rPr>
        <w:tab/>
      </w:r>
      <w:r w:rsidR="0065728F" w:rsidRPr="008D4AB4">
        <w:rPr>
          <w:rFonts w:ascii="Times New Roman" w:eastAsia="Times New Roman" w:hAnsi="Times New Roman" w:cs="Times New Roman"/>
          <w:noProof/>
          <w:sz w:val="24"/>
          <w:szCs w:val="20"/>
        </w:rPr>
        <w:t xml:space="preserve">Идентифицирани са следните цели на политиката </w:t>
      </w:r>
      <w:r w:rsidR="0065728F" w:rsidRPr="008D4AB4">
        <w:rPr>
          <w:rFonts w:ascii="Times New Roman" w:eastAsia="Times New Roman" w:hAnsi="Times New Roman" w:cs="Times New Roman"/>
          <w:noProof/>
          <w:sz w:val="24"/>
          <w:szCs w:val="20"/>
          <w:lang w:val="en-US"/>
        </w:rPr>
        <w:t>(</w:t>
      </w:r>
      <w:r w:rsidR="0065728F" w:rsidRPr="008D4AB4">
        <w:rPr>
          <w:rFonts w:ascii="Times New Roman" w:eastAsia="Times New Roman" w:hAnsi="Times New Roman" w:cs="Times New Roman"/>
          <w:noProof/>
          <w:sz w:val="24"/>
          <w:szCs w:val="20"/>
        </w:rPr>
        <w:t>ЦП</w:t>
      </w:r>
      <w:r w:rsidR="0065728F" w:rsidRPr="008D4AB4">
        <w:rPr>
          <w:rFonts w:ascii="Times New Roman" w:eastAsia="Times New Roman" w:hAnsi="Times New Roman" w:cs="Times New Roman"/>
          <w:noProof/>
          <w:sz w:val="24"/>
          <w:szCs w:val="20"/>
          <w:lang w:val="en-US"/>
        </w:rPr>
        <w:t>)</w:t>
      </w:r>
      <w:r w:rsidR="0065728F" w:rsidRPr="008D4AB4">
        <w:rPr>
          <w:rFonts w:ascii="Times New Roman" w:eastAsia="Times New Roman" w:hAnsi="Times New Roman" w:cs="Times New Roman"/>
          <w:noProof/>
          <w:sz w:val="24"/>
          <w:szCs w:val="20"/>
        </w:rPr>
        <w:t>, за реализацията на които ПТС ще допринесе:</w:t>
      </w:r>
    </w:p>
    <w:p w14:paraId="328D8B44"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3</w:t>
      </w:r>
      <w:r w:rsidRPr="008D4AB4">
        <w:rPr>
          <w:rFonts w:ascii="Times New Roman" w:eastAsia="Times New Roman" w:hAnsi="Times New Roman" w:cs="Times New Roman"/>
          <w:b/>
          <w:noProof/>
          <w:sz w:val="24"/>
          <w:szCs w:val="20"/>
        </w:rPr>
        <w:t xml:space="preserve"> </w:t>
      </w:r>
      <w:r w:rsidRPr="008D4AB4">
        <w:rPr>
          <w:rFonts w:ascii="Times New Roman" w:eastAsia="Times New Roman" w:hAnsi="Times New Roman" w:cs="Times New Roman"/>
          <w:noProof/>
          <w:sz w:val="24"/>
          <w:szCs w:val="20"/>
        </w:rPr>
        <w:t>„По-добре свързана Европа чрез подобряване на мобилността“ със специфична цел: „Развитие на  устойчива на изменението на климата, интелигентна, сигурна, стабилна и интермодална TEN-T“.</w:t>
      </w:r>
    </w:p>
    <w:p w14:paraId="7B246BB8"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2 „По-зелена,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адаптиране към него, превенция и управление на риска и устойчива градска мобилност“ със специфична цел: „ Насърчаване на устойчива мултимодална градска мобилност като част от прехода към икономика с нулеви нетни въглеродни емисии“.</w:t>
      </w:r>
    </w:p>
    <w:p w14:paraId="634C8986" w14:textId="79702ECE"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Формулиран</w:t>
      </w:r>
      <w:r w:rsidR="00327CA5">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noProof/>
          <w:sz w:val="24"/>
          <w:szCs w:val="20"/>
        </w:rPr>
        <w:t xml:space="preserve">по ЦП 3 </w:t>
      </w:r>
      <w:r w:rsidR="00327CA5">
        <w:rPr>
          <w:rFonts w:ascii="Times New Roman" w:eastAsia="Times New Roman" w:hAnsi="Times New Roman" w:cs="Times New Roman"/>
          <w:noProof/>
          <w:sz w:val="24"/>
          <w:szCs w:val="20"/>
        </w:rPr>
        <w:t xml:space="preserve">е </w:t>
      </w:r>
      <w:r w:rsidR="00EF3FB1" w:rsidRPr="008D4AB4">
        <w:rPr>
          <w:rFonts w:ascii="Times New Roman" w:eastAsia="Times New Roman" w:hAnsi="Times New Roman" w:cs="Times New Roman"/>
          <w:noProof/>
          <w:sz w:val="24"/>
          <w:szCs w:val="20"/>
        </w:rPr>
        <w:t xml:space="preserve">Приоритет </w:t>
      </w:r>
      <w:r w:rsidRPr="008D4AB4">
        <w:rPr>
          <w:rFonts w:ascii="Times New Roman" w:eastAsia="Times New Roman" w:hAnsi="Times New Roman" w:cs="Times New Roman"/>
          <w:noProof/>
          <w:sz w:val="24"/>
          <w:szCs w:val="20"/>
        </w:rPr>
        <w:t>1 „Развитие на железопътната инфраструктура по „основната“ и „широкообхватната“ Трансевропейска транспортна мрежа“;</w:t>
      </w:r>
    </w:p>
    <w:p w14:paraId="1082837E"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lastRenderedPageBreak/>
        <w:t xml:space="preserve">Приоритетите на ПТС допринасят за реализацията на Зелената сделка, както и на Стратегията за устойчива и интелигентна мобилност на ЕК, която предвижда транспортния сектор да намали значително своите емисии и да стане по-устойчив, както и екологичната мобилност да бъде новия метод за растеж на транспортния сектор. </w:t>
      </w:r>
      <w:r w:rsidRPr="008D4AB4">
        <w:rPr>
          <w:rFonts w:ascii="Times New Roman" w:eastAsia="Times New Roman" w:hAnsi="Times New Roman" w:cs="Times New Roman"/>
          <w:b/>
          <w:noProof/>
          <w:sz w:val="24"/>
          <w:szCs w:val="20"/>
        </w:rPr>
        <w:t>Предвидените инвестиции насърчават употребата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върху околната среда на транспорта</w:t>
      </w:r>
      <w:r w:rsidRPr="008D4AB4">
        <w:rPr>
          <w:rFonts w:ascii="Times New Roman" w:eastAsia="Times New Roman" w:hAnsi="Times New Roman" w:cs="Times New Roman"/>
          <w:noProof/>
          <w:sz w:val="24"/>
          <w:szCs w:val="20"/>
        </w:rPr>
        <w:t>. Една от основните задачи, дефинирани в стратегията е навременното завършване на TEN-T мрежата и цифровата трансформация. За изпълнението ѝ ще допринесат предвидените инвестиции по ПТС за развитие на TEN-T мрежата на територията на страната и за внедряване и последващо развитие на интелигентни транспортни системи във видовете транспорт.</w:t>
      </w:r>
    </w:p>
    <w:p w14:paraId="79FB292D"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ПТС ще допринесе и за постигане на стратегическите цели на националната транспортна политика, дефинирани в „Интегрирана транспортна стратегия в периода до 2030 г.”, а именно „Повишаване на ефективността и конкурентноспособността на транспортния сектор“, „Подобряване на транспортната свързаност и достъпност“ и „Ограничаване на отрицателните ефекти от развитие на транспортния сектор“.</w:t>
      </w:r>
    </w:p>
    <w:p w14:paraId="76DC6B87" w14:textId="3C44137A" w:rsidR="0065728F" w:rsidRPr="008D4AB4" w:rsidRDefault="0065728F" w:rsidP="00327CA5">
      <w:pPr>
        <w:spacing w:before="120" w:after="120"/>
        <w:ind w:firstLine="567"/>
        <w:jc w:val="both"/>
        <w:rPr>
          <w:rFonts w:ascii="Times New Roman" w:eastAsia="Times New Roman" w:hAnsi="Times New Roman" w:cs="Times New Roman"/>
          <w:i/>
          <w:noProof/>
          <w:sz w:val="24"/>
          <w:szCs w:val="20"/>
        </w:rPr>
      </w:pPr>
      <w:r w:rsidRPr="008D4AB4">
        <w:rPr>
          <w:rFonts w:ascii="Times New Roman" w:eastAsia="Times New Roman" w:hAnsi="Times New Roman" w:cs="Times New Roman"/>
          <w:noProof/>
          <w:sz w:val="24"/>
          <w:szCs w:val="20"/>
        </w:rPr>
        <w:t xml:space="preserve">Предвидените инвестиции по приоритет 1 ще допринесат за </w:t>
      </w:r>
      <w:r w:rsidRPr="008D4AB4">
        <w:rPr>
          <w:rFonts w:ascii="Times New Roman" w:eastAsia="Times New Roman" w:hAnsi="Times New Roman" w:cs="Times New Roman"/>
          <w:b/>
          <w:noProof/>
          <w:sz w:val="24"/>
          <w:szCs w:val="20"/>
        </w:rPr>
        <w:t>привличането на пътнически и товарен трафик към железопътния транспорт чрез подобряване качеството на железопътната инфраструктура</w:t>
      </w:r>
      <w:r w:rsidRPr="008D4AB4">
        <w:rPr>
          <w:rFonts w:ascii="Times New Roman" w:eastAsia="Times New Roman" w:hAnsi="Times New Roman" w:cs="Times New Roman"/>
          <w:noProof/>
          <w:sz w:val="24"/>
          <w:szCs w:val="20"/>
        </w:rPr>
        <w:t xml:space="preserve">. Развитието на железопътната инфраструктура по </w:t>
      </w:r>
      <w:r w:rsidRPr="008D4AB4">
        <w:rPr>
          <w:rFonts w:ascii="Times New Roman" w:eastAsia="Times New Roman" w:hAnsi="Times New Roman" w:cs="Times New Roman"/>
          <w:noProof/>
          <w:sz w:val="24"/>
          <w:szCs w:val="20"/>
          <w:lang w:val="en-US"/>
        </w:rPr>
        <w:t>TEN-T</w:t>
      </w:r>
      <w:r w:rsidRPr="008D4AB4">
        <w:rPr>
          <w:rFonts w:ascii="Times New Roman" w:eastAsia="Times New Roman" w:hAnsi="Times New Roman" w:cs="Times New Roman"/>
          <w:noProof/>
          <w:sz w:val="24"/>
          <w:szCs w:val="20"/>
        </w:rPr>
        <w:t xml:space="preserve"> е от съществено значение за постигане на стратегическите цели на </w:t>
      </w:r>
      <w:r w:rsidRPr="008D4AB4">
        <w:rPr>
          <w:rFonts w:ascii="Times New Roman" w:eastAsia="Times New Roman" w:hAnsi="Times New Roman" w:cs="Times New Roman"/>
          <w:bCs/>
          <w:iCs/>
          <w:noProof/>
          <w:sz w:val="24"/>
          <w:szCs w:val="20"/>
        </w:rPr>
        <w:t xml:space="preserve">Стратегията за устойчива и интелигентна мобилност на ЕС, </w:t>
      </w:r>
      <w:r w:rsidRPr="008D4AB4">
        <w:rPr>
          <w:rFonts w:ascii="Times New Roman" w:eastAsia="Times New Roman" w:hAnsi="Times New Roman" w:cs="Times New Roman"/>
          <w:noProof/>
          <w:sz w:val="24"/>
          <w:szCs w:val="20"/>
        </w:rPr>
        <w:t xml:space="preserve">националната транспортна политика и за изпълнението на препоръките на Европейския семестър. </w:t>
      </w:r>
      <w:r w:rsidRPr="008D4AB4">
        <w:rPr>
          <w:rFonts w:ascii="Times New Roman" w:eastAsia="Times New Roman" w:hAnsi="Times New Roman" w:cs="Times New Roman"/>
          <w:b/>
          <w:noProof/>
          <w:sz w:val="24"/>
          <w:szCs w:val="20"/>
        </w:rPr>
        <w:t>С предвидените инвестиции ще се подобри транспортната свързаност и достъпност при ограничаване на отрицателните ефекти върху околната среда и климата, което ще спомогне за повишаване на ефективността на транспортния сектор и за насърчаване на икономическото развитие</w:t>
      </w:r>
      <w:r w:rsidRPr="008D4AB4">
        <w:rPr>
          <w:rFonts w:ascii="Times New Roman" w:eastAsia="Times New Roman" w:hAnsi="Times New Roman" w:cs="Times New Roman"/>
          <w:noProof/>
          <w:sz w:val="24"/>
          <w:szCs w:val="20"/>
        </w:rPr>
        <w:t xml:space="preserve">. </w:t>
      </w:r>
    </w:p>
    <w:p w14:paraId="01161FCB"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Предвидените инвестиции допринасят за постигане на </w:t>
      </w:r>
      <w:r w:rsidRPr="008D4AB4">
        <w:rPr>
          <w:rFonts w:ascii="Times New Roman" w:eastAsia="Times New Roman" w:hAnsi="Times New Roman" w:cs="Times New Roman"/>
          <w:b/>
          <w:noProof/>
          <w:sz w:val="24"/>
          <w:szCs w:val="20"/>
        </w:rPr>
        <w:t>устойчиво развита транспортна система и създават необходимите предпоставки за подобряване на мобилността на хора и стоки</w:t>
      </w:r>
      <w:r w:rsidRPr="008D4AB4">
        <w:rPr>
          <w:rFonts w:ascii="Times New Roman" w:eastAsia="Times New Roman" w:hAnsi="Times New Roman" w:cs="Times New Roman"/>
          <w:noProof/>
          <w:sz w:val="24"/>
          <w:szCs w:val="20"/>
        </w:rPr>
        <w:t xml:space="preserve">, което ще насърчи развитието на вътрешния пазар и конкурентноспособността на Общността, териториалното, икономическо и социално сближаване и опазването на околната среда. </w:t>
      </w:r>
    </w:p>
    <w:p w14:paraId="48CE6B10" w14:textId="36718DA9"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Средствата от ЕФРР и КФ по ПТС и националното съ-финансиране, отпускани под формата на безвъзмездна финансова помощ, ще подпомогнат действията на ЕС за постигането на цел „Инвестиции за растеж и работни места в държавите членки и в регионите“.</w:t>
      </w:r>
      <w:r w:rsidRPr="008D4AB4">
        <w:rPr>
          <w:rFonts w:ascii="Times New Roman" w:eastAsia="Times New Roman" w:hAnsi="Times New Roman" w:cs="Times New Roman"/>
          <w:i/>
          <w:noProof/>
          <w:sz w:val="24"/>
          <w:szCs w:val="20"/>
        </w:rPr>
        <w:t xml:space="preserve"> </w:t>
      </w:r>
      <w:r w:rsidRPr="008D4AB4">
        <w:rPr>
          <w:rFonts w:ascii="Times New Roman" w:eastAsia="Times New Roman" w:hAnsi="Times New Roman" w:cs="Times New Roman"/>
          <w:noProof/>
          <w:sz w:val="24"/>
          <w:szCs w:val="20"/>
        </w:rPr>
        <w:t xml:space="preserve">Приблизително 40 % от средствата са заделени за инвестиции в северна България. Инвестициите за развитие на жп инфраструктурата са концентрирани основно по протежение на участъка на коридор ОИС, преминаващ хоризонтално през средата на страната. </w:t>
      </w:r>
    </w:p>
    <w:p w14:paraId="364A9C63" w14:textId="605F28A4" w:rsidR="00CB14EE" w:rsidRPr="008D4AB4" w:rsidRDefault="00CB14EE"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6" w:name="_Toc136269946"/>
      <w:r w:rsidRPr="008D4AB4">
        <w:rPr>
          <w:rFonts w:ascii="Times New Roman" w:hAnsi="Times New Roman" w:cs="Times New Roman"/>
        </w:rPr>
        <w:lastRenderedPageBreak/>
        <w:t>Индикатори:</w:t>
      </w:r>
      <w:bookmarkEnd w:id="6"/>
    </w:p>
    <w:tbl>
      <w:tblPr>
        <w:tblW w:w="51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671"/>
        <w:gridCol w:w="985"/>
        <w:gridCol w:w="1232"/>
        <w:gridCol w:w="925"/>
        <w:gridCol w:w="878"/>
        <w:gridCol w:w="1237"/>
      </w:tblGrid>
      <w:tr w:rsidR="00B724FB" w:rsidRPr="008D4AB4" w14:paraId="6D69110D" w14:textId="6580A773" w:rsidTr="0040356B">
        <w:trPr>
          <w:trHeight w:val="790"/>
        </w:trPr>
        <w:tc>
          <w:tcPr>
            <w:tcW w:w="43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60" w:type="dxa"/>
              <w:bottom w:w="80" w:type="dxa"/>
              <w:right w:w="60" w:type="dxa"/>
            </w:tcMar>
            <w:vAlign w:val="center"/>
          </w:tcPr>
          <w:p w14:paraId="18BD49B1" w14:textId="3CF540BB"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w:t>
            </w:r>
          </w:p>
        </w:tc>
        <w:tc>
          <w:tcPr>
            <w:tcW w:w="1878"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60" w:type="dxa"/>
              <w:bottom w:w="80" w:type="dxa"/>
              <w:right w:w="60" w:type="dxa"/>
            </w:tcMar>
            <w:vAlign w:val="center"/>
          </w:tcPr>
          <w:p w14:paraId="30C0CBF7" w14:textId="11203F6D"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Показател</w:t>
            </w:r>
            <w:r w:rsidRPr="008D4AB4">
              <w:rPr>
                <w:rFonts w:ascii="Times New Roman" w:eastAsia="Calibri" w:hAnsi="Times New Roman" w:cs="Times New Roman"/>
                <w:b/>
                <w:noProof/>
                <w:sz w:val="20"/>
                <w:szCs w:val="20"/>
              </w:rPr>
              <w:t xml:space="preserve"> за крайния продукт</w:t>
            </w:r>
          </w:p>
        </w:tc>
        <w:tc>
          <w:tcPr>
            <w:tcW w:w="50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60" w:type="dxa"/>
              <w:bottom w:w="80" w:type="dxa"/>
              <w:right w:w="60" w:type="dxa"/>
            </w:tcMar>
            <w:vAlign w:val="center"/>
          </w:tcPr>
          <w:p w14:paraId="6F5D9333" w14:textId="77777777"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Мерна единица</w:t>
            </w:r>
          </w:p>
        </w:tc>
        <w:tc>
          <w:tcPr>
            <w:tcW w:w="63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60" w:type="dxa"/>
              <w:bottom w:w="80" w:type="dxa"/>
              <w:right w:w="60" w:type="dxa"/>
            </w:tcMar>
            <w:vAlign w:val="center"/>
          </w:tcPr>
          <w:p w14:paraId="73E50EE0" w14:textId="77777777"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Междинна цел (2024 г.)</w:t>
            </w:r>
          </w:p>
        </w:tc>
        <w:tc>
          <w:tcPr>
            <w:tcW w:w="47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60" w:type="dxa"/>
              <w:bottom w:w="80" w:type="dxa"/>
              <w:right w:w="60" w:type="dxa"/>
            </w:tcMar>
            <w:vAlign w:val="center"/>
          </w:tcPr>
          <w:p w14:paraId="35789140" w14:textId="77777777"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Целева стойност (2029 г.)</w:t>
            </w:r>
          </w:p>
        </w:tc>
        <w:tc>
          <w:tcPr>
            <w:tcW w:w="449"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13A4C45E" w14:textId="61342663" w:rsidR="00B724FB" w:rsidRPr="008D4AB4" w:rsidRDefault="00B724FB" w:rsidP="00B724FB">
            <w:pPr>
              <w:spacing w:before="100"/>
              <w:jc w:val="center"/>
              <w:rPr>
                <w:rFonts w:ascii="Times New Roman" w:eastAsia="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Фонд</w:t>
            </w:r>
          </w:p>
        </w:tc>
        <w:tc>
          <w:tcPr>
            <w:tcW w:w="63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30DF89B" w14:textId="28B187B2" w:rsidR="00B724FB" w:rsidRPr="008D4AB4" w:rsidRDefault="00B724FB" w:rsidP="00B724FB">
            <w:pPr>
              <w:spacing w:before="100"/>
              <w:jc w:val="center"/>
              <w:rPr>
                <w:rFonts w:ascii="Times New Roman" w:eastAsia="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Категория регион</w:t>
            </w:r>
          </w:p>
        </w:tc>
      </w:tr>
      <w:tr w:rsidR="00B724FB" w:rsidRPr="008D4AB4" w14:paraId="7921B382" w14:textId="3A071D76" w:rsidTr="0040356B">
        <w:trPr>
          <w:trHeight w:val="976"/>
        </w:trPr>
        <w:tc>
          <w:tcPr>
            <w:tcW w:w="4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CA477" w14:textId="58E8D88F"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O47</w:t>
            </w:r>
          </w:p>
        </w:tc>
        <w:tc>
          <w:tcPr>
            <w:tcW w:w="187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AE5DD2" w14:textId="77777777"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 xml:space="preserve">Дължина на новите или подобрени железопътни линии — </w:t>
            </w:r>
            <w:proofErr w:type="spellStart"/>
            <w:r w:rsidRPr="008D4AB4">
              <w:rPr>
                <w:rFonts w:ascii="Times New Roman" w:eastAsia="Times New Roman" w:hAnsi="Times New Roman" w:cs="Times New Roman"/>
                <w:color w:val="000000"/>
                <w:sz w:val="20"/>
                <w:szCs w:val="20"/>
              </w:rPr>
              <w:t>трансевропейска</w:t>
            </w:r>
            <w:proofErr w:type="spellEnd"/>
            <w:r w:rsidRPr="008D4AB4">
              <w:rPr>
                <w:rFonts w:ascii="Times New Roman" w:eastAsia="Times New Roman" w:hAnsi="Times New Roman" w:cs="Times New Roman"/>
                <w:color w:val="000000"/>
                <w:sz w:val="20"/>
                <w:szCs w:val="20"/>
              </w:rPr>
              <w:t xml:space="preserve"> транспортна мрежа</w:t>
            </w:r>
          </w:p>
        </w:tc>
        <w:tc>
          <w:tcPr>
            <w:tcW w:w="50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520D0C" w14:textId="77777777" w:rsidR="00B724FB" w:rsidRPr="008D4AB4" w:rsidRDefault="00B724FB" w:rsidP="00B724FB">
            <w:pPr>
              <w:spacing w:before="100"/>
              <w:rPr>
                <w:rFonts w:ascii="Times New Roman" w:hAnsi="Times New Roman" w:cs="Times New Roman"/>
                <w:color w:val="000000"/>
                <w:sz w:val="20"/>
                <w:szCs w:val="20"/>
              </w:rPr>
            </w:pPr>
            <w:proofErr w:type="spellStart"/>
            <w:r w:rsidRPr="008D4AB4">
              <w:rPr>
                <w:rFonts w:ascii="Times New Roman" w:eastAsia="Times New Roman" w:hAnsi="Times New Roman" w:cs="Times New Roman"/>
                <w:color w:val="000000"/>
                <w:sz w:val="20"/>
                <w:szCs w:val="20"/>
              </w:rPr>
              <w:t>km</w:t>
            </w:r>
            <w:proofErr w:type="spellEnd"/>
          </w:p>
        </w:tc>
        <w:tc>
          <w:tcPr>
            <w:tcW w:w="63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CB2AF9" w14:textId="77777777" w:rsidR="00B724FB" w:rsidRPr="008D4AB4" w:rsidRDefault="00B724FB" w:rsidP="00B724FB">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0,00</w:t>
            </w:r>
          </w:p>
        </w:tc>
        <w:tc>
          <w:tcPr>
            <w:tcW w:w="47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3C7358" w14:textId="77777777" w:rsidR="00B724FB" w:rsidRPr="008D4AB4" w:rsidRDefault="00B724FB" w:rsidP="00B724FB">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2,80</w:t>
            </w:r>
          </w:p>
        </w:tc>
        <w:tc>
          <w:tcPr>
            <w:tcW w:w="449" w:type="pct"/>
            <w:tcBorders>
              <w:top w:val="single" w:sz="4" w:space="0" w:color="000000"/>
              <w:left w:val="single" w:sz="4" w:space="0" w:color="000000"/>
              <w:bottom w:val="single" w:sz="4" w:space="0" w:color="000000"/>
              <w:right w:val="single" w:sz="4" w:space="0" w:color="000000"/>
            </w:tcBorders>
          </w:tcPr>
          <w:p w14:paraId="3E0218D3" w14:textId="3DAF8870" w:rsidR="00B724FB" w:rsidRPr="008D4AB4" w:rsidRDefault="00B724FB" w:rsidP="00B724FB">
            <w:pPr>
              <w:spacing w:before="100"/>
              <w:jc w:val="right"/>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33" w:type="pct"/>
            <w:tcBorders>
              <w:top w:val="single" w:sz="4" w:space="0" w:color="000000"/>
              <w:left w:val="single" w:sz="4" w:space="0" w:color="000000"/>
              <w:bottom w:val="single" w:sz="4" w:space="0" w:color="000000"/>
              <w:right w:val="single" w:sz="4" w:space="0" w:color="000000"/>
            </w:tcBorders>
          </w:tcPr>
          <w:p w14:paraId="717F3223" w14:textId="5981C5ED" w:rsidR="00B724FB" w:rsidRPr="008D4AB4" w:rsidRDefault="00B724FB" w:rsidP="00B724FB">
            <w:pPr>
              <w:spacing w:before="100"/>
              <w:jc w:val="right"/>
              <w:rPr>
                <w:rFonts w:ascii="Times New Roman" w:eastAsia="Times New Roman" w:hAnsi="Times New Roman" w:cs="Times New Roman"/>
                <w:color w:val="000000"/>
                <w:sz w:val="20"/>
                <w:szCs w:val="20"/>
              </w:rPr>
            </w:pPr>
            <w:r w:rsidRPr="008D4AB4">
              <w:rPr>
                <w:rFonts w:ascii="Times New Roman" w:eastAsia="Calibri" w:hAnsi="Times New Roman" w:cs="Times New Roman"/>
                <w:noProof/>
                <w:sz w:val="20"/>
                <w:szCs w:val="20"/>
              </w:rPr>
              <w:t>НП</w:t>
            </w:r>
          </w:p>
        </w:tc>
      </w:tr>
      <w:tr w:rsidR="00B724FB" w:rsidRPr="008D4AB4" w14:paraId="2E1E14CA" w14:textId="37B3609A" w:rsidTr="00B724FB">
        <w:tc>
          <w:tcPr>
            <w:tcW w:w="4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D0686D" w14:textId="77777777"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RCO49</w:t>
            </w:r>
          </w:p>
        </w:tc>
        <w:tc>
          <w:tcPr>
            <w:tcW w:w="187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42F76F" w14:textId="77777777"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 xml:space="preserve">Дължина на реконструираните или модернизирани железопътни линии — </w:t>
            </w:r>
            <w:proofErr w:type="spellStart"/>
            <w:r w:rsidRPr="008D4AB4">
              <w:rPr>
                <w:rFonts w:ascii="Times New Roman" w:eastAsia="Times New Roman" w:hAnsi="Times New Roman" w:cs="Times New Roman"/>
                <w:color w:val="000000"/>
                <w:sz w:val="20"/>
                <w:szCs w:val="20"/>
              </w:rPr>
              <w:t>трансевропейска</w:t>
            </w:r>
            <w:proofErr w:type="spellEnd"/>
            <w:r w:rsidRPr="008D4AB4">
              <w:rPr>
                <w:rFonts w:ascii="Times New Roman" w:eastAsia="Times New Roman" w:hAnsi="Times New Roman" w:cs="Times New Roman"/>
                <w:color w:val="000000"/>
                <w:sz w:val="20"/>
                <w:szCs w:val="20"/>
              </w:rPr>
              <w:t xml:space="preserve"> транспортна мрежа</w:t>
            </w:r>
          </w:p>
        </w:tc>
        <w:tc>
          <w:tcPr>
            <w:tcW w:w="50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1B555B" w14:textId="77777777" w:rsidR="00B724FB" w:rsidRPr="008D4AB4" w:rsidRDefault="00B724FB" w:rsidP="00B724FB">
            <w:pPr>
              <w:spacing w:before="100"/>
              <w:rPr>
                <w:rFonts w:ascii="Times New Roman" w:hAnsi="Times New Roman" w:cs="Times New Roman"/>
                <w:color w:val="000000"/>
                <w:sz w:val="20"/>
                <w:szCs w:val="20"/>
              </w:rPr>
            </w:pPr>
            <w:proofErr w:type="spellStart"/>
            <w:r w:rsidRPr="008D4AB4">
              <w:rPr>
                <w:rFonts w:ascii="Times New Roman" w:eastAsia="Times New Roman" w:hAnsi="Times New Roman" w:cs="Times New Roman"/>
                <w:color w:val="000000"/>
                <w:sz w:val="20"/>
                <w:szCs w:val="20"/>
              </w:rPr>
              <w:t>km</w:t>
            </w:r>
            <w:proofErr w:type="spellEnd"/>
          </w:p>
        </w:tc>
        <w:tc>
          <w:tcPr>
            <w:tcW w:w="63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A683F7" w14:textId="77777777" w:rsidR="00B724FB" w:rsidRPr="008D4AB4" w:rsidRDefault="00B724FB" w:rsidP="00B724FB">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40,00</w:t>
            </w:r>
          </w:p>
        </w:tc>
        <w:tc>
          <w:tcPr>
            <w:tcW w:w="47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21509B" w14:textId="77777777" w:rsidR="00B724FB" w:rsidRPr="008D4AB4" w:rsidRDefault="00B724FB" w:rsidP="00B724FB">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140,30</w:t>
            </w:r>
          </w:p>
        </w:tc>
        <w:tc>
          <w:tcPr>
            <w:tcW w:w="449" w:type="pct"/>
            <w:tcBorders>
              <w:top w:val="single" w:sz="4" w:space="0" w:color="000000"/>
              <w:left w:val="single" w:sz="4" w:space="0" w:color="000000"/>
              <w:bottom w:val="single" w:sz="4" w:space="0" w:color="000000"/>
              <w:right w:val="single" w:sz="4" w:space="0" w:color="000000"/>
            </w:tcBorders>
          </w:tcPr>
          <w:p w14:paraId="778DBF65" w14:textId="12120330" w:rsidR="00B724FB" w:rsidRPr="008D4AB4" w:rsidRDefault="00B724FB" w:rsidP="00B724FB">
            <w:pPr>
              <w:spacing w:before="100"/>
              <w:jc w:val="right"/>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33" w:type="pct"/>
            <w:tcBorders>
              <w:top w:val="single" w:sz="4" w:space="0" w:color="000000"/>
              <w:left w:val="single" w:sz="4" w:space="0" w:color="000000"/>
              <w:bottom w:val="single" w:sz="4" w:space="0" w:color="000000"/>
              <w:right w:val="single" w:sz="4" w:space="0" w:color="000000"/>
            </w:tcBorders>
          </w:tcPr>
          <w:p w14:paraId="13F48286" w14:textId="6293075D" w:rsidR="00B724FB" w:rsidRPr="008D4AB4" w:rsidRDefault="00B724FB" w:rsidP="00B724FB">
            <w:pPr>
              <w:spacing w:before="100"/>
              <w:jc w:val="right"/>
              <w:rPr>
                <w:rFonts w:ascii="Times New Roman" w:eastAsia="Times New Roman" w:hAnsi="Times New Roman" w:cs="Times New Roman"/>
                <w:color w:val="000000"/>
                <w:sz w:val="20"/>
                <w:szCs w:val="20"/>
              </w:rPr>
            </w:pPr>
            <w:r w:rsidRPr="008D4AB4">
              <w:rPr>
                <w:rFonts w:ascii="Times New Roman" w:eastAsia="Calibri" w:hAnsi="Times New Roman" w:cs="Times New Roman"/>
                <w:noProof/>
                <w:sz w:val="20"/>
                <w:szCs w:val="20"/>
              </w:rPr>
              <w:t>НП</w:t>
            </w:r>
          </w:p>
        </w:tc>
      </w:tr>
      <w:tr w:rsidR="00B724FB" w:rsidRPr="008D4AB4" w14:paraId="1FC7A9E8" w14:textId="264019D6" w:rsidTr="00B724FB">
        <w:tc>
          <w:tcPr>
            <w:tcW w:w="4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BFC05D" w14:textId="77777777"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11</w:t>
            </w:r>
          </w:p>
        </w:tc>
        <w:tc>
          <w:tcPr>
            <w:tcW w:w="187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43904B" w14:textId="77777777"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Брой проекти в изпълнение</w:t>
            </w:r>
          </w:p>
        </w:tc>
        <w:tc>
          <w:tcPr>
            <w:tcW w:w="50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036549" w14:textId="77777777"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Брой</w:t>
            </w:r>
          </w:p>
        </w:tc>
        <w:tc>
          <w:tcPr>
            <w:tcW w:w="63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518BC6" w14:textId="77777777" w:rsidR="00B724FB" w:rsidRPr="008D4AB4" w:rsidRDefault="00B724FB" w:rsidP="00B724FB">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2,00</w:t>
            </w:r>
          </w:p>
        </w:tc>
        <w:tc>
          <w:tcPr>
            <w:tcW w:w="47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BCDED" w14:textId="77777777" w:rsidR="00B724FB" w:rsidRPr="008D4AB4" w:rsidRDefault="00B724FB" w:rsidP="00B724FB">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6,00</w:t>
            </w:r>
          </w:p>
        </w:tc>
        <w:tc>
          <w:tcPr>
            <w:tcW w:w="449" w:type="pct"/>
            <w:tcBorders>
              <w:top w:val="single" w:sz="4" w:space="0" w:color="000000"/>
              <w:left w:val="single" w:sz="4" w:space="0" w:color="000000"/>
              <w:bottom w:val="single" w:sz="4" w:space="0" w:color="000000"/>
              <w:right w:val="single" w:sz="4" w:space="0" w:color="000000"/>
            </w:tcBorders>
          </w:tcPr>
          <w:p w14:paraId="042BE157" w14:textId="5810FB63" w:rsidR="00B724FB" w:rsidRPr="008D4AB4" w:rsidRDefault="00B724FB" w:rsidP="00B724FB">
            <w:pPr>
              <w:spacing w:before="100"/>
              <w:jc w:val="right"/>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33" w:type="pct"/>
            <w:tcBorders>
              <w:top w:val="single" w:sz="4" w:space="0" w:color="000000"/>
              <w:left w:val="single" w:sz="4" w:space="0" w:color="000000"/>
              <w:bottom w:val="single" w:sz="4" w:space="0" w:color="000000"/>
              <w:right w:val="single" w:sz="4" w:space="0" w:color="000000"/>
            </w:tcBorders>
          </w:tcPr>
          <w:p w14:paraId="22707BBB" w14:textId="3D8E54B3" w:rsidR="00B724FB" w:rsidRPr="008D4AB4" w:rsidRDefault="00B724FB" w:rsidP="00B724FB">
            <w:pPr>
              <w:spacing w:before="100"/>
              <w:jc w:val="right"/>
              <w:rPr>
                <w:rFonts w:ascii="Times New Roman" w:eastAsia="Times New Roman" w:hAnsi="Times New Roman" w:cs="Times New Roman"/>
                <w:color w:val="000000"/>
                <w:sz w:val="20"/>
                <w:szCs w:val="20"/>
              </w:rPr>
            </w:pPr>
            <w:r w:rsidRPr="008D4AB4">
              <w:rPr>
                <w:rFonts w:ascii="Times New Roman" w:eastAsia="Calibri" w:hAnsi="Times New Roman" w:cs="Times New Roman"/>
                <w:noProof/>
                <w:sz w:val="20"/>
                <w:szCs w:val="20"/>
              </w:rPr>
              <w:t>НП</w:t>
            </w:r>
          </w:p>
        </w:tc>
      </w:tr>
      <w:tr w:rsidR="00B724FB" w:rsidRPr="008D4AB4" w14:paraId="320A4D9B" w14:textId="4B0F15D6" w:rsidTr="00B724FB">
        <w:tc>
          <w:tcPr>
            <w:tcW w:w="43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7CA972D1" w14:textId="0E6D3595"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w:t>
            </w:r>
          </w:p>
        </w:tc>
        <w:tc>
          <w:tcPr>
            <w:tcW w:w="1878"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BA6C952" w14:textId="7A152A47"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Показател за резултатите</w:t>
            </w:r>
          </w:p>
        </w:tc>
        <w:tc>
          <w:tcPr>
            <w:tcW w:w="504"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885F8FA" w14:textId="77777777"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Мерна единица</w:t>
            </w:r>
          </w:p>
        </w:tc>
        <w:tc>
          <w:tcPr>
            <w:tcW w:w="630"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6AD4C69" w14:textId="24F6CC0A" w:rsidR="00B724FB" w:rsidRPr="008D4AB4" w:rsidRDefault="00B724FB" w:rsidP="00762389">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Базова стойност</w:t>
            </w:r>
          </w:p>
        </w:tc>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77A58DC8" w14:textId="77777777" w:rsidR="00B724FB" w:rsidRPr="008D4AB4" w:rsidRDefault="00B724FB" w:rsidP="00B724FB">
            <w:pPr>
              <w:spacing w:before="100"/>
              <w:jc w:val="center"/>
              <w:rPr>
                <w:rFonts w:ascii="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Целева стойност (2029 г.)</w:t>
            </w:r>
          </w:p>
        </w:tc>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1CC58564" w14:textId="415F6432" w:rsidR="00B724FB" w:rsidRPr="008D4AB4" w:rsidRDefault="00B724FB" w:rsidP="00B724FB">
            <w:pPr>
              <w:spacing w:before="100"/>
              <w:jc w:val="center"/>
              <w:rPr>
                <w:rFonts w:ascii="Times New Roman" w:eastAsia="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Фонд</w:t>
            </w:r>
          </w:p>
        </w:tc>
        <w:tc>
          <w:tcPr>
            <w:tcW w:w="63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609B0E37" w14:textId="0393B11A" w:rsidR="00B724FB" w:rsidRPr="008D4AB4" w:rsidRDefault="00B724FB" w:rsidP="00B724FB">
            <w:pPr>
              <w:spacing w:before="100"/>
              <w:jc w:val="center"/>
              <w:rPr>
                <w:rFonts w:ascii="Times New Roman" w:eastAsia="Times New Roman" w:hAnsi="Times New Roman" w:cs="Times New Roman"/>
                <w:b/>
                <w:color w:val="000000"/>
                <w:sz w:val="20"/>
                <w:szCs w:val="20"/>
              </w:rPr>
            </w:pPr>
            <w:r w:rsidRPr="008D4AB4">
              <w:rPr>
                <w:rFonts w:ascii="Times New Roman" w:eastAsia="Times New Roman" w:hAnsi="Times New Roman" w:cs="Times New Roman"/>
                <w:b/>
                <w:color w:val="000000"/>
                <w:sz w:val="20"/>
                <w:szCs w:val="20"/>
              </w:rPr>
              <w:t>Категория регион</w:t>
            </w:r>
          </w:p>
        </w:tc>
      </w:tr>
      <w:tr w:rsidR="00B724FB" w:rsidRPr="008D4AB4" w14:paraId="634E9E9A" w14:textId="377D395C" w:rsidTr="00B724FB">
        <w:tc>
          <w:tcPr>
            <w:tcW w:w="4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EA4FFE" w14:textId="77777777"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RCR59</w:t>
            </w:r>
          </w:p>
        </w:tc>
        <w:tc>
          <w:tcPr>
            <w:tcW w:w="187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0B9B18" w14:textId="77777777"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Товарен железопътен транспорт</w:t>
            </w:r>
          </w:p>
        </w:tc>
        <w:tc>
          <w:tcPr>
            <w:tcW w:w="50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4996B2" w14:textId="0A6E3CE2"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тонове/</w:t>
            </w:r>
            <w:r w:rsidRPr="008D4AB4">
              <w:rPr>
                <w:rFonts w:ascii="Times New Roman" w:eastAsia="Times New Roman" w:hAnsi="Times New Roman" w:cs="Times New Roman"/>
                <w:color w:val="000000"/>
                <w:sz w:val="20"/>
                <w:szCs w:val="20"/>
                <w:lang w:val="en-US"/>
              </w:rPr>
              <w:t xml:space="preserve"> </w:t>
            </w:r>
            <w:proofErr w:type="spellStart"/>
            <w:r w:rsidRPr="008D4AB4">
              <w:rPr>
                <w:rFonts w:ascii="Times New Roman" w:eastAsia="Times New Roman" w:hAnsi="Times New Roman" w:cs="Times New Roman"/>
                <w:color w:val="000000"/>
                <w:sz w:val="20"/>
                <w:szCs w:val="20"/>
              </w:rPr>
              <w:t>km</w:t>
            </w:r>
            <w:proofErr w:type="spellEnd"/>
            <w:r w:rsidRPr="008D4AB4">
              <w:rPr>
                <w:rFonts w:ascii="Times New Roman" w:eastAsia="Times New Roman" w:hAnsi="Times New Roman" w:cs="Times New Roman"/>
                <w:color w:val="000000"/>
                <w:sz w:val="20"/>
                <w:szCs w:val="20"/>
              </w:rPr>
              <w:t>/</w:t>
            </w:r>
            <w:r w:rsidRPr="008D4AB4">
              <w:rPr>
                <w:rFonts w:ascii="Times New Roman" w:eastAsia="Times New Roman" w:hAnsi="Times New Roman" w:cs="Times New Roman"/>
                <w:color w:val="000000"/>
                <w:sz w:val="20"/>
                <w:szCs w:val="20"/>
                <w:lang w:val="en-US"/>
              </w:rPr>
              <w:t xml:space="preserve"> </w:t>
            </w:r>
            <w:r w:rsidRPr="008D4AB4">
              <w:rPr>
                <w:rFonts w:ascii="Times New Roman" w:eastAsia="Times New Roman" w:hAnsi="Times New Roman" w:cs="Times New Roman"/>
                <w:color w:val="000000"/>
                <w:sz w:val="20"/>
                <w:szCs w:val="20"/>
              </w:rPr>
              <w:t>година</w:t>
            </w:r>
          </w:p>
        </w:tc>
        <w:tc>
          <w:tcPr>
            <w:tcW w:w="63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272698" w14:textId="77777777" w:rsidR="00B724FB" w:rsidRPr="008D4AB4" w:rsidRDefault="00B724FB" w:rsidP="00B724FB">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4 526,00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A4DFA8" w14:textId="77777777" w:rsidR="00B724FB" w:rsidRPr="008D4AB4" w:rsidRDefault="00B724FB" w:rsidP="00B724FB">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4 707,00</w:t>
            </w:r>
          </w:p>
        </w:tc>
        <w:tc>
          <w:tcPr>
            <w:tcW w:w="0" w:type="auto"/>
            <w:tcBorders>
              <w:top w:val="single" w:sz="4" w:space="0" w:color="000000"/>
              <w:left w:val="single" w:sz="4" w:space="0" w:color="000000"/>
              <w:bottom w:val="single" w:sz="4" w:space="0" w:color="000000"/>
              <w:right w:val="single" w:sz="4" w:space="0" w:color="000000"/>
            </w:tcBorders>
          </w:tcPr>
          <w:p w14:paraId="5A0E4F0B" w14:textId="53FDEB3D"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33" w:type="pct"/>
            <w:tcBorders>
              <w:top w:val="single" w:sz="4" w:space="0" w:color="000000"/>
              <w:left w:val="single" w:sz="4" w:space="0" w:color="000000"/>
              <w:bottom w:val="single" w:sz="4" w:space="0" w:color="000000"/>
              <w:right w:val="single" w:sz="4" w:space="0" w:color="000000"/>
            </w:tcBorders>
          </w:tcPr>
          <w:p w14:paraId="71FB43EB" w14:textId="36530363" w:rsidR="00B724FB" w:rsidRPr="008D4AB4" w:rsidRDefault="00B724FB" w:rsidP="00B724FB">
            <w:pPr>
              <w:spacing w:before="100"/>
              <w:rPr>
                <w:rFonts w:ascii="Times New Roman" w:hAnsi="Times New Roman" w:cs="Times New Roman"/>
                <w:color w:val="000000"/>
                <w:sz w:val="20"/>
                <w:szCs w:val="20"/>
              </w:rPr>
            </w:pPr>
            <w:r w:rsidRPr="008D4AB4">
              <w:rPr>
                <w:rFonts w:ascii="Times New Roman" w:eastAsia="Calibri" w:hAnsi="Times New Roman" w:cs="Times New Roman"/>
                <w:noProof/>
                <w:sz w:val="20"/>
                <w:szCs w:val="20"/>
              </w:rPr>
              <w:t>НП</w:t>
            </w:r>
          </w:p>
        </w:tc>
      </w:tr>
    </w:tbl>
    <w:p w14:paraId="61B07EC6" w14:textId="77777777" w:rsidR="00327CA5" w:rsidRDefault="00327CA5" w:rsidP="00C95C21">
      <w:pPr>
        <w:pStyle w:val="ListParagraph"/>
        <w:spacing w:after="360" w:line="240" w:lineRule="auto"/>
        <w:ind w:left="0"/>
        <w:jc w:val="both"/>
        <w:rPr>
          <w:rFonts w:ascii="Times New Roman" w:hAnsi="Times New Roman" w:cs="Times New Roman"/>
          <w:sz w:val="24"/>
          <w:szCs w:val="24"/>
        </w:rPr>
      </w:pPr>
    </w:p>
    <w:p w14:paraId="75C2957A" w14:textId="3D78FF79" w:rsidR="00727E33" w:rsidRPr="008D4AB4" w:rsidRDefault="00E07A47" w:rsidP="00C95C21">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 xml:space="preserve">В т. </w:t>
      </w:r>
      <w:r w:rsidR="00DC3536" w:rsidRPr="008D4AB4">
        <w:rPr>
          <w:rFonts w:ascii="Times New Roman" w:hAnsi="Times New Roman" w:cs="Times New Roman"/>
          <w:sz w:val="24"/>
          <w:szCs w:val="24"/>
        </w:rPr>
        <w:t xml:space="preserve">„Индикатори“ </w:t>
      </w:r>
      <w:r w:rsidRPr="008D4AB4">
        <w:rPr>
          <w:rFonts w:ascii="Times New Roman" w:hAnsi="Times New Roman" w:cs="Times New Roman"/>
          <w:sz w:val="24"/>
          <w:szCs w:val="24"/>
        </w:rPr>
        <w:t xml:space="preserve">от Формуляра за кандидатстване </w:t>
      </w:r>
      <w:r w:rsidR="00C95C21" w:rsidRPr="008D4AB4">
        <w:rPr>
          <w:rFonts w:ascii="Times New Roman" w:hAnsi="Times New Roman" w:cs="Times New Roman"/>
          <w:sz w:val="24"/>
          <w:szCs w:val="24"/>
        </w:rPr>
        <w:t>конкретния бенефициент</w:t>
      </w:r>
      <w:r w:rsidRPr="008D4AB4">
        <w:rPr>
          <w:rFonts w:ascii="Times New Roman" w:hAnsi="Times New Roman" w:cs="Times New Roman"/>
          <w:sz w:val="24"/>
          <w:szCs w:val="24"/>
        </w:rPr>
        <w:t xml:space="preserve"> следва да попълни данни</w:t>
      </w:r>
      <w:r w:rsidRPr="008D4AB4">
        <w:rPr>
          <w:rFonts w:ascii="Times New Roman" w:eastAsia="Calibri" w:hAnsi="Times New Roman" w:cs="Times New Roman"/>
          <w:sz w:val="24"/>
          <w:szCs w:val="24"/>
        </w:rPr>
        <w:t xml:space="preserve"> за базова и целева стойност по </w:t>
      </w:r>
      <w:r w:rsidR="00C95C21" w:rsidRPr="008D4AB4">
        <w:rPr>
          <w:rFonts w:ascii="Times New Roman" w:eastAsia="Calibri" w:hAnsi="Times New Roman" w:cs="Times New Roman"/>
          <w:sz w:val="24"/>
          <w:szCs w:val="24"/>
        </w:rPr>
        <w:t xml:space="preserve">приложимите от </w:t>
      </w:r>
      <w:r w:rsidRPr="008D4AB4">
        <w:rPr>
          <w:rFonts w:ascii="Times New Roman" w:eastAsia="Calibri" w:hAnsi="Times New Roman" w:cs="Times New Roman"/>
          <w:sz w:val="24"/>
          <w:szCs w:val="24"/>
        </w:rPr>
        <w:t>горепосочените индикатори</w:t>
      </w:r>
      <w:r w:rsidR="00B95BFC" w:rsidRPr="008D4AB4">
        <w:rPr>
          <w:rFonts w:ascii="Times New Roman" w:eastAsia="Calibri" w:hAnsi="Times New Roman" w:cs="Times New Roman"/>
          <w:sz w:val="24"/>
          <w:szCs w:val="24"/>
        </w:rPr>
        <w:t xml:space="preserve">. </w:t>
      </w:r>
      <w:r w:rsidR="00672C7C" w:rsidRPr="008D4AB4">
        <w:rPr>
          <w:rFonts w:ascii="Times New Roman" w:hAnsi="Times New Roman" w:cs="Times New Roman"/>
          <w:sz w:val="24"/>
          <w:szCs w:val="24"/>
        </w:rPr>
        <w:t>Във Формуляра за кандидатстване</w:t>
      </w:r>
      <w:r w:rsidR="00196555" w:rsidRPr="008D4AB4">
        <w:rPr>
          <w:rFonts w:ascii="Times New Roman" w:hAnsi="Times New Roman" w:cs="Times New Roman"/>
          <w:sz w:val="24"/>
          <w:szCs w:val="24"/>
        </w:rPr>
        <w:t xml:space="preserve"> к</w:t>
      </w:r>
      <w:r w:rsidR="00672C7C" w:rsidRPr="008D4AB4">
        <w:rPr>
          <w:rFonts w:ascii="Times New Roman" w:hAnsi="Times New Roman" w:cs="Times New Roman"/>
          <w:sz w:val="24"/>
          <w:szCs w:val="24"/>
        </w:rPr>
        <w:t xml:space="preserve">онкретният бенефициент трябва да включи тези индикатори, които отговарят на предвидените </w:t>
      </w:r>
      <w:r w:rsidR="00B95BFC" w:rsidRPr="008D4AB4">
        <w:rPr>
          <w:rFonts w:ascii="Times New Roman" w:hAnsi="Times New Roman" w:cs="Times New Roman"/>
          <w:sz w:val="24"/>
          <w:szCs w:val="24"/>
        </w:rPr>
        <w:t xml:space="preserve">дейности, с посочени целеви стойности съгласно периода на изпълнение на </w:t>
      </w:r>
      <w:r w:rsidR="00874505" w:rsidRPr="008D4AB4">
        <w:rPr>
          <w:rFonts w:ascii="Times New Roman" w:hAnsi="Times New Roman" w:cs="Times New Roman"/>
          <w:sz w:val="24"/>
          <w:szCs w:val="24"/>
        </w:rPr>
        <w:t>проекта</w:t>
      </w:r>
      <w:r w:rsidR="00B95BFC" w:rsidRPr="008D4AB4">
        <w:rPr>
          <w:rFonts w:ascii="Times New Roman" w:hAnsi="Times New Roman" w:cs="Times New Roman"/>
          <w:sz w:val="24"/>
          <w:szCs w:val="24"/>
        </w:rPr>
        <w:t>.</w:t>
      </w:r>
      <w:r w:rsidR="00B95BFC" w:rsidRPr="008D4AB4">
        <w:rPr>
          <w:rFonts w:ascii="Times New Roman" w:hAnsi="Times New Roman" w:cs="Times New Roman"/>
          <w:b/>
          <w:sz w:val="24"/>
          <w:szCs w:val="24"/>
        </w:rPr>
        <w:t xml:space="preserve"> </w:t>
      </w:r>
    </w:p>
    <w:p w14:paraId="44ED51FF" w14:textId="0E9738E3" w:rsidR="00F7626C" w:rsidRPr="008D4AB4" w:rsidRDefault="000115A9"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7" w:name="_Toc136269947"/>
      <w:r w:rsidRPr="008D4AB4">
        <w:rPr>
          <w:rFonts w:ascii="Times New Roman" w:hAnsi="Times New Roman" w:cs="Times New Roman"/>
        </w:rPr>
        <w:t>Общ размер на безвъзмездната финансова помощ по процедур</w:t>
      </w:r>
      <w:r w:rsidR="00EF3FB1" w:rsidRPr="008D4AB4">
        <w:rPr>
          <w:rFonts w:ascii="Times New Roman" w:hAnsi="Times New Roman" w:cs="Times New Roman"/>
        </w:rPr>
        <w:t>ите</w:t>
      </w:r>
      <w:r w:rsidR="00281B3E" w:rsidRPr="008D4AB4">
        <w:rPr>
          <w:rFonts w:ascii="Times New Roman" w:hAnsi="Times New Roman" w:cs="Times New Roman"/>
        </w:rPr>
        <w:t xml:space="preserve"> и разпределение по региони</w:t>
      </w:r>
      <w:r w:rsidRPr="008D4AB4">
        <w:rPr>
          <w:rFonts w:ascii="Times New Roman" w:hAnsi="Times New Roman" w:cs="Times New Roman"/>
        </w:rPr>
        <w:t>:</w:t>
      </w:r>
      <w:bookmarkEnd w:id="7"/>
    </w:p>
    <w:tbl>
      <w:tblPr>
        <w:tblW w:w="50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805"/>
        <w:gridCol w:w="1903"/>
        <w:gridCol w:w="2126"/>
        <w:gridCol w:w="1968"/>
        <w:gridCol w:w="1718"/>
      </w:tblGrid>
      <w:tr w:rsidR="007D392A" w:rsidRPr="008D4AB4" w14:paraId="45644318" w14:textId="77777777" w:rsidTr="006F4AB0">
        <w:trPr>
          <w:trHeight w:val="371"/>
          <w:tblHeader/>
        </w:trPr>
        <w:tc>
          <w:tcPr>
            <w:tcW w:w="111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91962D4" w14:textId="77777777" w:rsidR="007D392A" w:rsidRPr="008D4AB4" w:rsidRDefault="007D392A" w:rsidP="008B7FE3">
            <w:pPr>
              <w:spacing w:after="0" w:line="240" w:lineRule="auto"/>
              <w:jc w:val="cente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w:t>
            </w:r>
          </w:p>
        </w:tc>
        <w:tc>
          <w:tcPr>
            <w:tcW w:w="80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3CCA40B" w14:textId="77777777" w:rsidR="007D392A" w:rsidRPr="008D4AB4" w:rsidRDefault="007D392A" w:rsidP="008B7FE3">
            <w:pPr>
              <w:spacing w:after="0" w:line="240" w:lineRule="auto"/>
              <w:jc w:val="cente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903"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FFDED98" w14:textId="123C66AB" w:rsidR="007D392A" w:rsidRPr="008D4AB4" w:rsidRDefault="007D392A" w:rsidP="008B7FE3">
            <w:pPr>
              <w:spacing w:after="0" w:line="240" w:lineRule="auto"/>
              <w:jc w:val="cente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Финансово участие на Съюза </w:t>
            </w:r>
            <w:r w:rsidR="00EF3FB1" w:rsidRPr="008D4AB4">
              <w:rPr>
                <w:rFonts w:ascii="Times New Roman" w:eastAsia="Times New Roman" w:hAnsi="Times New Roman" w:cs="Times New Roman"/>
                <w:b/>
                <w:iCs/>
                <w:noProof/>
                <w:sz w:val="20"/>
                <w:szCs w:val="20"/>
              </w:rPr>
              <w:t>(евро)</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5B5575F" w14:textId="4525AED2" w:rsidR="007D392A" w:rsidRPr="008D4AB4" w:rsidRDefault="007D392A" w:rsidP="008B7FE3">
            <w:pPr>
              <w:spacing w:after="0" w:line="240" w:lineRule="auto"/>
              <w:jc w:val="cente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Национално участие </w:t>
            </w:r>
            <w:r w:rsidR="00EF3FB1" w:rsidRPr="008D4AB4">
              <w:rPr>
                <w:rFonts w:ascii="Times New Roman" w:eastAsia="Times New Roman" w:hAnsi="Times New Roman" w:cs="Times New Roman"/>
                <w:b/>
                <w:iCs/>
                <w:noProof/>
                <w:sz w:val="20"/>
                <w:szCs w:val="20"/>
              </w:rPr>
              <w:t xml:space="preserve"> (евро)</w:t>
            </w:r>
          </w:p>
        </w:tc>
        <w:tc>
          <w:tcPr>
            <w:tcW w:w="1968"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B50C3B7" w14:textId="13378B9F" w:rsidR="007D392A" w:rsidRPr="008D4AB4" w:rsidRDefault="007D392A" w:rsidP="008B7FE3">
            <w:pPr>
              <w:spacing w:after="0" w:line="240" w:lineRule="auto"/>
              <w:jc w:val="cente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Общо</w:t>
            </w:r>
            <w:r w:rsidR="00EF3FB1" w:rsidRPr="008D4AB4">
              <w:rPr>
                <w:rFonts w:ascii="Times New Roman" w:eastAsia="Times New Roman" w:hAnsi="Times New Roman" w:cs="Times New Roman"/>
                <w:b/>
                <w:iCs/>
                <w:noProof/>
                <w:sz w:val="20"/>
                <w:szCs w:val="20"/>
              </w:rPr>
              <w:t xml:space="preserve"> (евро)</w:t>
            </w:r>
          </w:p>
        </w:tc>
        <w:tc>
          <w:tcPr>
            <w:tcW w:w="1718"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47130A7" w14:textId="514B47A2" w:rsidR="007D392A" w:rsidRPr="008D4AB4" w:rsidRDefault="007D392A" w:rsidP="008B7FE3">
            <w:pPr>
              <w:spacing w:after="0" w:line="240" w:lineRule="auto"/>
              <w:jc w:val="cente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Процент на съфинансиране</w:t>
            </w:r>
          </w:p>
        </w:tc>
      </w:tr>
      <w:tr w:rsidR="00344277" w:rsidRPr="008D4AB4" w14:paraId="50795471" w14:textId="77777777" w:rsidTr="006F4AB0">
        <w:trPr>
          <w:trHeight w:val="523"/>
          <w:tblHeader/>
        </w:trPr>
        <w:tc>
          <w:tcPr>
            <w:tcW w:w="1114"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0C9B284" w14:textId="77777777" w:rsidR="007D392A" w:rsidRPr="008D4AB4" w:rsidRDefault="007D392A" w:rsidP="00344277">
            <w:pPr>
              <w:spacing w:before="100"/>
              <w:rPr>
                <w:rFonts w:ascii="Times New Roman" w:hAnsi="Times New Roman" w:cs="Times New Roman"/>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267BFC9" w14:textId="77777777" w:rsidR="007D392A" w:rsidRPr="008D4AB4" w:rsidRDefault="007D392A" w:rsidP="00344277">
            <w:pPr>
              <w:spacing w:before="100"/>
              <w:rPr>
                <w:rFonts w:ascii="Times New Roman" w:hAnsi="Times New Roman" w:cs="Times New Roman"/>
                <w:color w:val="000000"/>
                <w:sz w:val="20"/>
                <w:szCs w:val="20"/>
              </w:rPr>
            </w:pPr>
          </w:p>
        </w:tc>
        <w:tc>
          <w:tcPr>
            <w:tcW w:w="1903"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010294B" w14:textId="77777777" w:rsidR="007D392A" w:rsidRPr="008D4AB4" w:rsidRDefault="007D392A" w:rsidP="00344277">
            <w:pPr>
              <w:spacing w:before="100"/>
              <w:rPr>
                <w:rFonts w:ascii="Times New Roman" w:hAnsi="Times New Roman" w:cs="Times New Roman"/>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4BDD77E" w14:textId="77777777" w:rsidR="007D392A" w:rsidRPr="008D4AB4" w:rsidRDefault="007D392A" w:rsidP="00344277">
            <w:pPr>
              <w:spacing w:before="100"/>
              <w:rPr>
                <w:rFonts w:ascii="Times New Roman" w:hAnsi="Times New Roman" w:cs="Times New Roman"/>
                <w:color w:val="000000"/>
                <w:sz w:val="20"/>
                <w:szCs w:val="20"/>
              </w:rPr>
            </w:pPr>
          </w:p>
        </w:tc>
        <w:tc>
          <w:tcPr>
            <w:tcW w:w="1968"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DA32A7F" w14:textId="77777777" w:rsidR="007D392A" w:rsidRPr="008D4AB4" w:rsidRDefault="007D392A" w:rsidP="00344277">
            <w:pPr>
              <w:spacing w:before="100"/>
              <w:rPr>
                <w:rFonts w:ascii="Times New Roman" w:hAnsi="Times New Roman" w:cs="Times New Roman"/>
                <w:color w:val="000000"/>
                <w:sz w:val="20"/>
                <w:szCs w:val="20"/>
              </w:rPr>
            </w:pPr>
          </w:p>
        </w:tc>
        <w:tc>
          <w:tcPr>
            <w:tcW w:w="1718"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7A217D6" w14:textId="77777777" w:rsidR="007D392A" w:rsidRPr="008D4AB4" w:rsidRDefault="007D392A" w:rsidP="00344277">
            <w:pPr>
              <w:spacing w:before="100"/>
              <w:rPr>
                <w:rFonts w:ascii="Times New Roman" w:hAnsi="Times New Roman" w:cs="Times New Roman"/>
                <w:color w:val="000000"/>
                <w:sz w:val="20"/>
                <w:szCs w:val="20"/>
              </w:rPr>
            </w:pPr>
          </w:p>
        </w:tc>
      </w:tr>
      <w:tr w:rsidR="007D392A" w:rsidRPr="00073A78" w14:paraId="608AF3D8" w14:textId="77777777" w:rsidTr="006F4AB0">
        <w:tc>
          <w:tcPr>
            <w:tcW w:w="111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162424" w14:textId="77777777" w:rsidR="007D392A" w:rsidRPr="00073A78" w:rsidRDefault="007D392A" w:rsidP="00344277">
            <w:pPr>
              <w:spacing w:before="100"/>
              <w:rPr>
                <w:rFonts w:ascii="Times New Roman" w:hAnsi="Times New Roman" w:cs="Times New Roman"/>
                <w:color w:val="000000"/>
                <w:sz w:val="20"/>
                <w:szCs w:val="20"/>
              </w:rPr>
            </w:pPr>
            <w:r w:rsidRPr="00073A78">
              <w:rPr>
                <w:rFonts w:ascii="Times New Roman" w:eastAsia="Times New Roman" w:hAnsi="Times New Roman" w:cs="Times New Roman"/>
                <w:color w:val="000000"/>
                <w:sz w:val="20"/>
                <w:szCs w:val="20"/>
              </w:rPr>
              <w:t>1</w:t>
            </w:r>
          </w:p>
        </w:tc>
        <w:tc>
          <w:tcPr>
            <w:tcW w:w="80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044C34" w14:textId="77777777" w:rsidR="007D392A" w:rsidRPr="00073A78" w:rsidRDefault="007D392A" w:rsidP="00344277">
            <w:pPr>
              <w:spacing w:before="100"/>
              <w:rPr>
                <w:rFonts w:ascii="Times New Roman" w:hAnsi="Times New Roman" w:cs="Times New Roman"/>
                <w:color w:val="000000"/>
                <w:sz w:val="20"/>
                <w:szCs w:val="20"/>
              </w:rPr>
            </w:pPr>
            <w:r w:rsidRPr="00073A78">
              <w:rPr>
                <w:rFonts w:ascii="Times New Roman" w:eastAsia="Times New Roman" w:hAnsi="Times New Roman" w:cs="Times New Roman"/>
                <w:color w:val="000000"/>
                <w:sz w:val="20"/>
                <w:szCs w:val="20"/>
              </w:rPr>
              <w:t>КФ</w:t>
            </w:r>
          </w:p>
        </w:tc>
        <w:tc>
          <w:tcPr>
            <w:tcW w:w="190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2DF891" w14:textId="77777777" w:rsidR="007D392A" w:rsidRPr="00073A78" w:rsidRDefault="007D392A" w:rsidP="00344277">
            <w:pPr>
              <w:spacing w:before="100"/>
              <w:jc w:val="right"/>
              <w:rPr>
                <w:rFonts w:ascii="Times New Roman" w:hAnsi="Times New Roman" w:cs="Times New Roman"/>
                <w:color w:val="000000"/>
                <w:sz w:val="20"/>
                <w:szCs w:val="20"/>
              </w:rPr>
            </w:pPr>
            <w:r w:rsidRPr="00073A78">
              <w:rPr>
                <w:rFonts w:ascii="Times New Roman" w:eastAsia="Times New Roman" w:hAnsi="Times New Roman" w:cs="Times New Roman"/>
                <w:color w:val="000000"/>
                <w:sz w:val="20"/>
                <w:szCs w:val="20"/>
              </w:rPr>
              <w:t>604 237 262,00</w:t>
            </w:r>
          </w:p>
        </w:tc>
        <w:tc>
          <w:tcPr>
            <w:tcW w:w="212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A4CED" w14:textId="77777777" w:rsidR="007D392A" w:rsidRPr="00073A78" w:rsidRDefault="007D392A" w:rsidP="00344277">
            <w:pPr>
              <w:spacing w:before="100"/>
              <w:jc w:val="right"/>
              <w:rPr>
                <w:rFonts w:ascii="Times New Roman" w:hAnsi="Times New Roman" w:cs="Times New Roman"/>
                <w:color w:val="000000"/>
                <w:sz w:val="20"/>
                <w:szCs w:val="20"/>
              </w:rPr>
            </w:pPr>
            <w:r w:rsidRPr="00073A78">
              <w:rPr>
                <w:rFonts w:ascii="Times New Roman" w:eastAsia="Times New Roman" w:hAnsi="Times New Roman" w:cs="Times New Roman"/>
                <w:color w:val="000000"/>
                <w:sz w:val="20"/>
                <w:szCs w:val="20"/>
              </w:rPr>
              <w:t>106 630 106,00</w:t>
            </w:r>
          </w:p>
        </w:tc>
        <w:tc>
          <w:tcPr>
            <w:tcW w:w="196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7D4F5D" w14:textId="77777777" w:rsidR="007D392A" w:rsidRPr="00073A78" w:rsidRDefault="007D392A" w:rsidP="00344277">
            <w:pPr>
              <w:spacing w:before="100"/>
              <w:jc w:val="right"/>
              <w:rPr>
                <w:rFonts w:ascii="Times New Roman" w:hAnsi="Times New Roman" w:cs="Times New Roman"/>
                <w:color w:val="000000"/>
                <w:sz w:val="20"/>
                <w:szCs w:val="20"/>
              </w:rPr>
            </w:pPr>
            <w:r w:rsidRPr="00073A78">
              <w:rPr>
                <w:rFonts w:ascii="Times New Roman" w:eastAsia="Times New Roman" w:hAnsi="Times New Roman" w:cs="Times New Roman"/>
                <w:color w:val="000000"/>
                <w:sz w:val="20"/>
                <w:szCs w:val="20"/>
              </w:rPr>
              <w:t>710 867 368,00</w:t>
            </w:r>
          </w:p>
        </w:tc>
        <w:tc>
          <w:tcPr>
            <w:tcW w:w="171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5A9174" w14:textId="77777777" w:rsidR="007D392A" w:rsidRPr="00073A78" w:rsidRDefault="007D392A" w:rsidP="00344277">
            <w:pPr>
              <w:spacing w:before="100"/>
              <w:jc w:val="right"/>
              <w:rPr>
                <w:rFonts w:ascii="Times New Roman" w:hAnsi="Times New Roman" w:cs="Times New Roman"/>
                <w:color w:val="000000"/>
                <w:sz w:val="20"/>
                <w:szCs w:val="20"/>
              </w:rPr>
            </w:pPr>
            <w:r w:rsidRPr="00073A78">
              <w:rPr>
                <w:rFonts w:ascii="Times New Roman" w:eastAsia="Times New Roman" w:hAnsi="Times New Roman" w:cs="Times New Roman"/>
                <w:color w:val="000000"/>
                <w:sz w:val="20"/>
                <w:szCs w:val="20"/>
              </w:rPr>
              <w:t>84,9999998875%</w:t>
            </w:r>
          </w:p>
        </w:tc>
      </w:tr>
    </w:tbl>
    <w:p w14:paraId="6FC4C68F" w14:textId="20D66653" w:rsidR="007D392A" w:rsidRPr="00073A78" w:rsidRDefault="007D392A" w:rsidP="007D392A">
      <w:pPr>
        <w:rPr>
          <w:rFonts w:ascii="Times New Roman" w:eastAsiaTheme="majorEastAsia" w:hAnsi="Times New Roman" w:cs="Times New Roman"/>
          <w:b/>
          <w:bCs/>
          <w:color w:val="5B9BD5" w:themeColor="accent1"/>
          <w:sz w:val="20"/>
          <w:szCs w:val="20"/>
        </w:rPr>
      </w:pPr>
    </w:p>
    <w:tbl>
      <w:tblPr>
        <w:tblW w:w="50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984"/>
        <w:gridCol w:w="2127"/>
        <w:gridCol w:w="1842"/>
      </w:tblGrid>
      <w:tr w:rsidR="008B7FE3" w:rsidRPr="00073A78" w14:paraId="66F06F33" w14:textId="77777777" w:rsidTr="008B7FE3">
        <w:trPr>
          <w:trHeight w:val="371"/>
          <w:tblHeader/>
        </w:trPr>
        <w:tc>
          <w:tcPr>
            <w:tcW w:w="3681"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A06EE07" w14:textId="42F00225" w:rsidR="008B7FE3" w:rsidRPr="00073A78" w:rsidRDefault="008B7FE3" w:rsidP="008B7FE3">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Процедура</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8FDEC21" w14:textId="30A15026" w:rsidR="008B7FE3" w:rsidRPr="00073A78" w:rsidRDefault="008B7FE3" w:rsidP="008B7FE3">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Финансово участие на Съюза (лева)</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05868F6" w14:textId="45D6E984" w:rsidR="008B7FE3" w:rsidRPr="00073A78" w:rsidRDefault="008B7FE3" w:rsidP="008B7FE3">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Национално участие  (лева)</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ABF56F9" w14:textId="0357193D" w:rsidR="008B7FE3" w:rsidRPr="00073A78" w:rsidRDefault="008B7FE3" w:rsidP="008B7FE3">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Общо (лева)</w:t>
            </w:r>
          </w:p>
        </w:tc>
      </w:tr>
      <w:tr w:rsidR="008B7FE3" w:rsidRPr="00073A78" w14:paraId="351DFE43" w14:textId="77777777" w:rsidTr="00073A78">
        <w:trPr>
          <w:trHeight w:val="523"/>
          <w:tblHeader/>
        </w:trPr>
        <w:tc>
          <w:tcPr>
            <w:tcW w:w="3681"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30E6E2C0" w14:textId="77777777" w:rsidR="008B7FE3" w:rsidRPr="00073A78" w:rsidRDefault="008B7FE3" w:rsidP="001C4327">
            <w:pPr>
              <w:spacing w:before="100"/>
              <w:rPr>
                <w:rFonts w:ascii="Times New Roman" w:hAnsi="Times New Roman" w:cs="Times New Roman"/>
                <w:color w:val="000000"/>
                <w:sz w:val="20"/>
                <w:szCs w:val="20"/>
              </w:rPr>
            </w:pPr>
          </w:p>
        </w:tc>
        <w:tc>
          <w:tcPr>
            <w:tcW w:w="1984"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1E934C51" w14:textId="77777777" w:rsidR="008B7FE3" w:rsidRPr="00073A78" w:rsidRDefault="008B7FE3" w:rsidP="001C4327">
            <w:pPr>
              <w:spacing w:before="100"/>
              <w:rPr>
                <w:rFonts w:ascii="Times New Roman" w:hAnsi="Times New Roman" w:cs="Times New Roman"/>
                <w:color w:val="000000"/>
                <w:sz w:val="20"/>
                <w:szCs w:val="20"/>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13E3717B" w14:textId="77777777" w:rsidR="008B7FE3" w:rsidRPr="00073A78" w:rsidRDefault="008B7FE3" w:rsidP="001C4327">
            <w:pPr>
              <w:spacing w:before="100"/>
              <w:rPr>
                <w:rFonts w:ascii="Times New Roman" w:hAnsi="Times New Roman" w:cs="Times New Roman"/>
                <w:color w:val="000000"/>
                <w:sz w:val="20"/>
                <w:szCs w:val="20"/>
              </w:rPr>
            </w:pPr>
          </w:p>
        </w:tc>
        <w:tc>
          <w:tcPr>
            <w:tcW w:w="1842"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17853C0D" w14:textId="77777777" w:rsidR="008B7FE3" w:rsidRPr="00073A78" w:rsidRDefault="008B7FE3" w:rsidP="001C4327">
            <w:pPr>
              <w:spacing w:before="100"/>
              <w:rPr>
                <w:rFonts w:ascii="Times New Roman" w:hAnsi="Times New Roman" w:cs="Times New Roman"/>
                <w:color w:val="000000"/>
                <w:sz w:val="20"/>
                <w:szCs w:val="20"/>
              </w:rPr>
            </w:pPr>
          </w:p>
        </w:tc>
      </w:tr>
      <w:tr w:rsidR="008B7FE3" w:rsidRPr="00073A78" w14:paraId="33F8A98D" w14:textId="77777777" w:rsidTr="00073A78">
        <w:tc>
          <w:tcPr>
            <w:tcW w:w="3681" w:type="dxa"/>
            <w:tcBorders>
              <w:top w:val="single" w:sz="4" w:space="0" w:color="000000"/>
              <w:left w:val="single" w:sz="4" w:space="0" w:color="000000"/>
              <w:bottom w:val="single" w:sz="4" w:space="0" w:color="auto"/>
              <w:right w:val="single" w:sz="4" w:space="0" w:color="auto"/>
            </w:tcBorders>
            <w:tcMar>
              <w:top w:w="0" w:type="dxa"/>
              <w:left w:w="60" w:type="dxa"/>
              <w:bottom w:w="80" w:type="dxa"/>
              <w:right w:w="60" w:type="dxa"/>
            </w:tcMar>
          </w:tcPr>
          <w:p w14:paraId="5AB0125A" w14:textId="0CFA0DFB" w:rsidR="008B7FE3" w:rsidRPr="00073A78" w:rsidRDefault="008B7FE3" w:rsidP="008B7FE3">
            <w:pPr>
              <w:spacing w:before="100"/>
              <w:rPr>
                <w:rFonts w:ascii="Times New Roman" w:hAnsi="Times New Roman" w:cs="Times New Roman"/>
                <w:color w:val="000000"/>
                <w:sz w:val="20"/>
                <w:szCs w:val="20"/>
              </w:rPr>
            </w:pPr>
            <w:r w:rsidRPr="00073A78">
              <w:rPr>
                <w:rFonts w:ascii="Times New Roman" w:eastAsia="Times New Roman" w:hAnsi="Times New Roman" w:cs="Times New Roman"/>
                <w:noProof/>
                <w:sz w:val="20"/>
                <w:szCs w:val="20"/>
              </w:rPr>
              <w:t xml:space="preserve">2021BG16FFPR001-1.001 „Развитие на железопътната инфраструктура по „основната“ и „широкообхватната“ </w:t>
            </w:r>
            <w:r w:rsidRPr="00073A78">
              <w:rPr>
                <w:rFonts w:ascii="Times New Roman" w:eastAsia="Times New Roman" w:hAnsi="Times New Roman" w:cs="Times New Roman"/>
                <w:noProof/>
                <w:sz w:val="20"/>
                <w:szCs w:val="20"/>
              </w:rPr>
              <w:lastRenderedPageBreak/>
              <w:t>Трансевропейска транспортна мрежа – Инвестиционни проекти“</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7C2417C2" w14:textId="6A96045B" w:rsidR="008B7FE3" w:rsidRPr="00073A78" w:rsidRDefault="008B7FE3" w:rsidP="008B7FE3">
            <w:pPr>
              <w:spacing w:before="100"/>
              <w:jc w:val="right"/>
              <w:rPr>
                <w:rFonts w:ascii="Times New Roman" w:hAnsi="Times New Roman" w:cs="Times New Roman"/>
                <w:sz w:val="20"/>
                <w:szCs w:val="20"/>
              </w:rPr>
            </w:pPr>
            <w:r w:rsidRPr="00073A78">
              <w:rPr>
                <w:rFonts w:ascii="Times New Roman" w:hAnsi="Times New Roman" w:cs="Times New Roman"/>
                <w:sz w:val="20"/>
                <w:szCs w:val="20"/>
              </w:rPr>
              <w:lastRenderedPageBreak/>
              <w:t>1 142 668 764,14</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0FB05E06" w14:textId="1831F579" w:rsidR="008B7FE3" w:rsidRPr="00073A78" w:rsidRDefault="008B7FE3" w:rsidP="008B7FE3">
            <w:pPr>
              <w:spacing w:before="100"/>
              <w:jc w:val="right"/>
              <w:rPr>
                <w:rFonts w:ascii="Times New Roman" w:hAnsi="Times New Roman" w:cs="Times New Roman"/>
                <w:sz w:val="20"/>
                <w:szCs w:val="20"/>
              </w:rPr>
            </w:pPr>
            <w:r w:rsidRPr="00073A78">
              <w:rPr>
                <w:rFonts w:ascii="Times New Roman" w:hAnsi="Times New Roman" w:cs="Times New Roman"/>
                <w:sz w:val="20"/>
                <w:szCs w:val="20"/>
              </w:rPr>
              <w:t xml:space="preserve">       201 647 430,75     </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7C13B90F" w14:textId="4FA2D156" w:rsidR="008B7FE3" w:rsidRPr="00073A78" w:rsidRDefault="008B7FE3" w:rsidP="008B7FE3">
            <w:pPr>
              <w:spacing w:before="100"/>
              <w:jc w:val="right"/>
              <w:rPr>
                <w:rFonts w:ascii="Times New Roman" w:hAnsi="Times New Roman" w:cs="Times New Roman"/>
                <w:sz w:val="20"/>
                <w:szCs w:val="20"/>
              </w:rPr>
            </w:pPr>
            <w:r w:rsidRPr="00073A78">
              <w:rPr>
                <w:rFonts w:ascii="Times New Roman" w:hAnsi="Times New Roman" w:cs="Times New Roman"/>
                <w:sz w:val="20"/>
                <w:szCs w:val="20"/>
              </w:rPr>
              <w:t>1 344 316 194,89</w:t>
            </w:r>
          </w:p>
        </w:tc>
      </w:tr>
      <w:tr w:rsidR="008B7FE3" w:rsidRPr="00073A78" w14:paraId="7BFEE1EF" w14:textId="77777777" w:rsidTr="00073A78">
        <w:tc>
          <w:tcPr>
            <w:tcW w:w="3681" w:type="dxa"/>
            <w:tcBorders>
              <w:top w:val="single" w:sz="4" w:space="0" w:color="auto"/>
              <w:left w:val="single" w:sz="4" w:space="0" w:color="auto"/>
              <w:bottom w:val="single" w:sz="4" w:space="0" w:color="auto"/>
              <w:right w:val="single" w:sz="4" w:space="0" w:color="auto"/>
            </w:tcBorders>
            <w:tcMar>
              <w:top w:w="0" w:type="dxa"/>
              <w:left w:w="60" w:type="dxa"/>
              <w:bottom w:w="80" w:type="dxa"/>
              <w:right w:w="60" w:type="dxa"/>
            </w:tcMar>
          </w:tcPr>
          <w:p w14:paraId="2CC1FCC2" w14:textId="7B49F2DC" w:rsidR="008B7FE3" w:rsidRPr="00073A78" w:rsidRDefault="008B7FE3" w:rsidP="008B7FE3">
            <w:pPr>
              <w:spacing w:before="100"/>
              <w:rPr>
                <w:rFonts w:ascii="Times New Roman" w:eastAsia="Times New Roman" w:hAnsi="Times New Roman" w:cs="Times New Roman"/>
                <w:noProof/>
                <w:sz w:val="20"/>
                <w:szCs w:val="20"/>
              </w:rPr>
            </w:pPr>
            <w:r w:rsidRPr="00073A78">
              <w:rPr>
                <w:rFonts w:ascii="Times New Roman" w:eastAsia="Times New Roman" w:hAnsi="Times New Roman" w:cs="Times New Roman"/>
                <w:noProof/>
                <w:sz w:val="20"/>
                <w:szCs w:val="20"/>
              </w:rPr>
              <w:t>2021BG16FFPR001-1.002  „Развитие на железопътната инфраструктура по „основната“ и „широкообхватната“ Трансевропейска транспортна мрежа – Техническа помощ“;</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290A5699" w14:textId="1CEAC394" w:rsidR="008B7FE3" w:rsidRPr="00073A78" w:rsidRDefault="008B7FE3" w:rsidP="008B7FE3">
            <w:pPr>
              <w:spacing w:before="100"/>
              <w:jc w:val="right"/>
              <w:rPr>
                <w:rFonts w:ascii="Times New Roman" w:eastAsia="Times New Roman" w:hAnsi="Times New Roman" w:cs="Times New Roman"/>
                <w:sz w:val="20"/>
                <w:szCs w:val="20"/>
              </w:rPr>
            </w:pPr>
            <w:r w:rsidRPr="00073A78">
              <w:rPr>
                <w:rFonts w:ascii="Times New Roman" w:hAnsi="Times New Roman" w:cs="Times New Roman"/>
                <w:sz w:val="20"/>
                <w:szCs w:val="20"/>
              </w:rPr>
              <w:t>39 116 600,00</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0CA9074C" w14:textId="755DB5B1" w:rsidR="008B7FE3" w:rsidRPr="00073A78" w:rsidRDefault="008B7FE3" w:rsidP="008B7FE3">
            <w:pPr>
              <w:spacing w:before="100"/>
              <w:jc w:val="right"/>
              <w:rPr>
                <w:rFonts w:ascii="Times New Roman" w:eastAsia="Times New Roman" w:hAnsi="Times New Roman" w:cs="Times New Roman"/>
                <w:sz w:val="20"/>
                <w:szCs w:val="20"/>
              </w:rPr>
            </w:pPr>
            <w:r w:rsidRPr="00073A78">
              <w:rPr>
                <w:rFonts w:ascii="Times New Roman" w:hAnsi="Times New Roman" w:cs="Times New Roman"/>
                <w:sz w:val="20"/>
                <w:szCs w:val="20"/>
              </w:rPr>
              <w:t xml:space="preserve">       6 902 929,47     </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4B89AEAC" w14:textId="27103898" w:rsidR="008B7FE3" w:rsidRPr="00073A78" w:rsidRDefault="008B7FE3" w:rsidP="008B7FE3">
            <w:pPr>
              <w:spacing w:before="100"/>
              <w:jc w:val="right"/>
              <w:rPr>
                <w:rFonts w:ascii="Times New Roman" w:eastAsia="Times New Roman" w:hAnsi="Times New Roman" w:cs="Times New Roman"/>
                <w:sz w:val="20"/>
                <w:szCs w:val="20"/>
              </w:rPr>
            </w:pPr>
            <w:r w:rsidRPr="00073A78">
              <w:rPr>
                <w:rFonts w:ascii="Times New Roman" w:hAnsi="Times New Roman" w:cs="Times New Roman"/>
                <w:sz w:val="20"/>
                <w:szCs w:val="20"/>
              </w:rPr>
              <w:t>46 019 529,47</w:t>
            </w:r>
          </w:p>
        </w:tc>
      </w:tr>
    </w:tbl>
    <w:p w14:paraId="158DF45B" w14:textId="77777777" w:rsidR="008B7FE3" w:rsidRPr="008D4AB4" w:rsidRDefault="008B7FE3" w:rsidP="007D392A">
      <w:pPr>
        <w:rPr>
          <w:rFonts w:ascii="Times New Roman" w:eastAsiaTheme="majorEastAsia" w:hAnsi="Times New Roman" w:cs="Times New Roman"/>
          <w:b/>
          <w:bCs/>
          <w:color w:val="5B9BD5" w:themeColor="accent1"/>
          <w:sz w:val="26"/>
          <w:szCs w:val="26"/>
        </w:rPr>
      </w:pPr>
    </w:p>
    <w:p w14:paraId="55A5E307" w14:textId="7EEDDBFC" w:rsidR="00BA2E00" w:rsidRPr="008D4AB4" w:rsidRDefault="00BA2E00"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8" w:name="_Toc136269948"/>
      <w:r w:rsidRPr="008D4AB4">
        <w:rPr>
          <w:rFonts w:ascii="Times New Roman" w:hAnsi="Times New Roman" w:cs="Times New Roman"/>
        </w:rPr>
        <w:t>Минимален</w:t>
      </w:r>
      <w:r w:rsidR="00EA11C9" w:rsidRPr="008D4AB4">
        <w:rPr>
          <w:rFonts w:ascii="Times New Roman" w:hAnsi="Times New Roman" w:cs="Times New Roman"/>
        </w:rPr>
        <w:t xml:space="preserve"> (ако е приложимо) </w:t>
      </w:r>
      <w:r w:rsidRPr="008D4AB4">
        <w:rPr>
          <w:rFonts w:ascii="Times New Roman" w:hAnsi="Times New Roman" w:cs="Times New Roman"/>
        </w:rPr>
        <w:t>и максимален размер на безвъзмездната финансова помощ за конкретен проект:</w:t>
      </w:r>
      <w:bookmarkEnd w:id="8"/>
    </w:p>
    <w:p w14:paraId="580368D8" w14:textId="14C319CE" w:rsidR="0089237A" w:rsidRPr="008D4AB4" w:rsidRDefault="0089237A"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По настоящ</w:t>
      </w:r>
      <w:r w:rsidR="00D2417E">
        <w:rPr>
          <w:rFonts w:ascii="Times New Roman" w:hAnsi="Times New Roman" w:cs="Times New Roman"/>
          <w:sz w:val="24"/>
          <w:szCs w:val="24"/>
        </w:rPr>
        <w:t>ите</w:t>
      </w:r>
      <w:r w:rsidRPr="008D4AB4">
        <w:rPr>
          <w:rFonts w:ascii="Times New Roman" w:hAnsi="Times New Roman" w:cs="Times New Roman"/>
          <w:sz w:val="24"/>
          <w:szCs w:val="24"/>
        </w:rPr>
        <w:t xml:space="preserve"> процедур</w:t>
      </w:r>
      <w:r w:rsidR="00D2417E">
        <w:rPr>
          <w:rFonts w:ascii="Times New Roman" w:hAnsi="Times New Roman" w:cs="Times New Roman"/>
          <w:sz w:val="24"/>
          <w:szCs w:val="24"/>
        </w:rPr>
        <w:t>и</w:t>
      </w:r>
      <w:r w:rsidRPr="008D4AB4">
        <w:rPr>
          <w:rFonts w:ascii="Times New Roman" w:hAnsi="Times New Roman" w:cs="Times New Roman"/>
          <w:sz w:val="24"/>
          <w:szCs w:val="24"/>
        </w:rPr>
        <w:t xml:space="preserve"> </w:t>
      </w:r>
      <w:r w:rsidR="00CB6045" w:rsidRPr="008D4AB4">
        <w:rPr>
          <w:rFonts w:ascii="Times New Roman" w:hAnsi="Times New Roman" w:cs="Times New Roman"/>
          <w:sz w:val="24"/>
          <w:szCs w:val="24"/>
        </w:rPr>
        <w:t>чрез директно предоставяне на безвъзмездна фина</w:t>
      </w:r>
      <w:r w:rsidR="009F7278" w:rsidRPr="008D4AB4">
        <w:rPr>
          <w:rFonts w:ascii="Times New Roman" w:hAnsi="Times New Roman" w:cs="Times New Roman"/>
          <w:sz w:val="24"/>
          <w:szCs w:val="24"/>
        </w:rPr>
        <w:t>нсова помощ</w:t>
      </w:r>
      <w:r w:rsidR="003F6462" w:rsidRPr="008D4AB4">
        <w:rPr>
          <w:rFonts w:ascii="Times New Roman" w:hAnsi="Times New Roman" w:cs="Times New Roman"/>
          <w:sz w:val="24"/>
          <w:szCs w:val="24"/>
        </w:rPr>
        <w:t>,</w:t>
      </w:r>
      <w:r w:rsidR="009F7278" w:rsidRPr="008D4AB4">
        <w:rPr>
          <w:rFonts w:ascii="Times New Roman" w:hAnsi="Times New Roman" w:cs="Times New Roman"/>
          <w:sz w:val="24"/>
          <w:szCs w:val="24"/>
        </w:rPr>
        <w:t xml:space="preserve">  </w:t>
      </w:r>
      <w:r w:rsidRPr="008D4AB4">
        <w:rPr>
          <w:rFonts w:ascii="Times New Roman" w:hAnsi="Times New Roman" w:cs="Times New Roman"/>
          <w:sz w:val="24"/>
          <w:szCs w:val="24"/>
        </w:rPr>
        <w:t xml:space="preserve">няма изискване за </w:t>
      </w:r>
      <w:r w:rsidRPr="008D4AB4">
        <w:rPr>
          <w:rFonts w:ascii="Times New Roman" w:hAnsi="Times New Roman" w:cs="Times New Roman"/>
          <w:b/>
          <w:sz w:val="24"/>
          <w:szCs w:val="24"/>
        </w:rPr>
        <w:t>минимален размер</w:t>
      </w:r>
      <w:r w:rsidR="004E6FCB" w:rsidRPr="008D4AB4">
        <w:rPr>
          <w:rFonts w:ascii="Times New Roman" w:hAnsi="Times New Roman" w:cs="Times New Roman"/>
          <w:sz w:val="24"/>
          <w:szCs w:val="24"/>
        </w:rPr>
        <w:t xml:space="preserve"> на </w:t>
      </w:r>
      <w:r w:rsidR="00846685" w:rsidRPr="008D4AB4">
        <w:rPr>
          <w:rFonts w:ascii="Times New Roman" w:hAnsi="Times New Roman" w:cs="Times New Roman"/>
          <w:sz w:val="24"/>
          <w:szCs w:val="24"/>
        </w:rPr>
        <w:t>безвъзмездната финансова помощ</w:t>
      </w:r>
      <w:r w:rsidR="00062F64" w:rsidRPr="008D4AB4">
        <w:rPr>
          <w:rFonts w:ascii="Times New Roman" w:hAnsi="Times New Roman" w:cs="Times New Roman"/>
          <w:sz w:val="24"/>
          <w:szCs w:val="24"/>
        </w:rPr>
        <w:t>, който да бъде заявен</w:t>
      </w:r>
      <w:r w:rsidR="00846685" w:rsidRPr="008D4AB4">
        <w:rPr>
          <w:rFonts w:ascii="Times New Roman" w:hAnsi="Times New Roman" w:cs="Times New Roman"/>
          <w:sz w:val="24"/>
          <w:szCs w:val="24"/>
        </w:rPr>
        <w:t>.</w:t>
      </w:r>
      <w:r w:rsidRPr="008D4AB4">
        <w:rPr>
          <w:rFonts w:ascii="Times New Roman" w:hAnsi="Times New Roman" w:cs="Times New Roman"/>
          <w:sz w:val="24"/>
          <w:szCs w:val="24"/>
        </w:rPr>
        <w:t xml:space="preserve"> </w:t>
      </w:r>
    </w:p>
    <w:p w14:paraId="15DA167D" w14:textId="65601BFF" w:rsidR="00BA2E00" w:rsidRPr="008D4AB4" w:rsidRDefault="00344277"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Максималният размер е до съответната стойност по измерение 1 - Област на интервенция, която съответства на дейностите по проекта и не повече от общия бюджет на процедурата.</w:t>
      </w:r>
    </w:p>
    <w:p w14:paraId="6A9D8217" w14:textId="60839696" w:rsidR="002325A3" w:rsidRPr="008D4AB4" w:rsidRDefault="002325A3"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9" w:name="_Toc136269949"/>
      <w:r w:rsidRPr="008D4AB4">
        <w:rPr>
          <w:rFonts w:ascii="Times New Roman" w:hAnsi="Times New Roman" w:cs="Times New Roman"/>
        </w:rPr>
        <w:t>Процент на съфинансиране:</w:t>
      </w:r>
      <w:bookmarkEnd w:id="9"/>
    </w:p>
    <w:p w14:paraId="37948D8A" w14:textId="530DC28F" w:rsidR="002325A3" w:rsidRPr="008D4AB4" w:rsidRDefault="00CD046B"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Интензитетът на безвъзмездната </w:t>
      </w:r>
      <w:r w:rsidR="00CB3CE5" w:rsidRPr="008D4AB4">
        <w:rPr>
          <w:rFonts w:ascii="Times New Roman" w:hAnsi="Times New Roman" w:cs="Times New Roman"/>
          <w:sz w:val="24"/>
          <w:szCs w:val="24"/>
        </w:rPr>
        <w:t xml:space="preserve">финансова </w:t>
      </w:r>
      <w:r w:rsidRPr="008D4AB4">
        <w:rPr>
          <w:rFonts w:ascii="Times New Roman" w:hAnsi="Times New Roman" w:cs="Times New Roman"/>
          <w:sz w:val="24"/>
          <w:szCs w:val="24"/>
        </w:rPr>
        <w:t xml:space="preserve">помощ е </w:t>
      </w:r>
      <w:r w:rsidR="00BC7952" w:rsidRPr="008D4AB4">
        <w:rPr>
          <w:rFonts w:ascii="Times New Roman" w:hAnsi="Times New Roman" w:cs="Times New Roman"/>
          <w:sz w:val="24"/>
          <w:szCs w:val="24"/>
        </w:rPr>
        <w:t>100%.</w:t>
      </w:r>
      <w:r w:rsidR="003558FF" w:rsidRPr="008D4AB4">
        <w:rPr>
          <w:rFonts w:ascii="Times New Roman" w:hAnsi="Times New Roman" w:cs="Times New Roman"/>
          <w:sz w:val="24"/>
          <w:szCs w:val="24"/>
        </w:rPr>
        <w:t xml:space="preserve"> </w:t>
      </w:r>
    </w:p>
    <w:p w14:paraId="5906B129" w14:textId="7C59C8E0" w:rsidR="002325A3" w:rsidRPr="008D4AB4" w:rsidRDefault="002325A3"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0" w:name="_Toc136269950"/>
      <w:r w:rsidRPr="008D4AB4">
        <w:rPr>
          <w:rFonts w:ascii="Times New Roman" w:hAnsi="Times New Roman" w:cs="Times New Roman"/>
        </w:rPr>
        <w:t>Допустими кандидати:</w:t>
      </w:r>
      <w:bookmarkEnd w:id="10"/>
      <w:r w:rsidRPr="008D4AB4">
        <w:rPr>
          <w:rFonts w:ascii="Times New Roman" w:hAnsi="Times New Roman" w:cs="Times New Roman"/>
        </w:rPr>
        <w:t xml:space="preserve"> </w:t>
      </w:r>
    </w:p>
    <w:p w14:paraId="70C75D6A" w14:textId="2A13CED4" w:rsidR="00D3273B" w:rsidRPr="008D4AB4" w:rsidRDefault="0011368E"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Допустим</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кандидат</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w:t>
      </w:r>
      <w:r w:rsidR="007303DE" w:rsidRPr="008D4AB4">
        <w:rPr>
          <w:rFonts w:ascii="Times New Roman" w:hAnsi="Times New Roman" w:cs="Times New Roman"/>
          <w:sz w:val="24"/>
          <w:szCs w:val="24"/>
        </w:rPr>
        <w:t>по процедур</w:t>
      </w:r>
      <w:r w:rsidR="00EF3FB1" w:rsidRPr="008D4AB4">
        <w:rPr>
          <w:rFonts w:ascii="Times New Roman" w:hAnsi="Times New Roman" w:cs="Times New Roman"/>
          <w:sz w:val="24"/>
          <w:szCs w:val="24"/>
        </w:rPr>
        <w:t>ите</w:t>
      </w:r>
      <w:r w:rsidR="007303DE" w:rsidRPr="008D4AB4">
        <w:rPr>
          <w:rFonts w:ascii="Times New Roman" w:hAnsi="Times New Roman" w:cs="Times New Roman"/>
          <w:sz w:val="24"/>
          <w:szCs w:val="24"/>
        </w:rPr>
        <w:t xml:space="preserve"> по смисъла на </w:t>
      </w:r>
      <w:r w:rsidR="00091E13" w:rsidRPr="008D4AB4">
        <w:rPr>
          <w:rFonts w:ascii="Times New Roman" w:hAnsi="Times New Roman" w:cs="Times New Roman"/>
          <w:sz w:val="24"/>
          <w:szCs w:val="24"/>
        </w:rPr>
        <w:t xml:space="preserve">чл. </w:t>
      </w:r>
      <w:r w:rsidR="007303DE" w:rsidRPr="008D4AB4">
        <w:rPr>
          <w:rFonts w:ascii="Times New Roman" w:hAnsi="Times New Roman" w:cs="Times New Roman"/>
          <w:sz w:val="24"/>
          <w:szCs w:val="24"/>
        </w:rPr>
        <w:t xml:space="preserve">25, ал. 1, т. 2 от </w:t>
      </w:r>
      <w:r w:rsidR="00B10409"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8D4AB4">
        <w:rPr>
          <w:rFonts w:ascii="Times New Roman" w:hAnsi="Times New Roman" w:cs="Times New Roman"/>
          <w:sz w:val="24"/>
          <w:szCs w:val="24"/>
        </w:rPr>
        <w:t>)</w:t>
      </w:r>
      <w:r w:rsidR="00B10409" w:rsidRPr="008D4AB4" w:rsidDel="00B10409">
        <w:rPr>
          <w:rFonts w:ascii="Times New Roman" w:hAnsi="Times New Roman" w:cs="Times New Roman"/>
          <w:sz w:val="24"/>
          <w:szCs w:val="24"/>
        </w:rPr>
        <w:t xml:space="preserve"> </w:t>
      </w:r>
      <w:r w:rsidR="00344277" w:rsidRPr="008D4AB4">
        <w:rPr>
          <w:rFonts w:ascii="Times New Roman" w:hAnsi="Times New Roman" w:cs="Times New Roman"/>
          <w:sz w:val="24"/>
          <w:szCs w:val="24"/>
        </w:rPr>
        <w:t>са:</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2126"/>
        <w:gridCol w:w="1276"/>
      </w:tblGrid>
      <w:tr w:rsidR="00344277" w:rsidRPr="008D4AB4" w14:paraId="7091DB32" w14:textId="77777777" w:rsidTr="001A3D2A">
        <w:trPr>
          <w:trHeight w:val="483"/>
        </w:trPr>
        <w:tc>
          <w:tcPr>
            <w:tcW w:w="6487" w:type="dxa"/>
            <w:shd w:val="clear" w:color="auto" w:fill="BDD6EE"/>
            <w:vAlign w:val="center"/>
          </w:tcPr>
          <w:p w14:paraId="7C54B478" w14:textId="77777777" w:rsidR="00344277" w:rsidRPr="008D4AB4" w:rsidRDefault="00344277" w:rsidP="00344277">
            <w:pPr>
              <w:pStyle w:val="Normal1"/>
              <w:spacing w:before="134"/>
              <w:ind w:right="141"/>
              <w:rPr>
                <w:b/>
                <w:color w:val="000000"/>
              </w:rPr>
            </w:pPr>
            <w:r w:rsidRPr="008D4AB4">
              <w:rPr>
                <w:b/>
                <w:color w:val="000000"/>
              </w:rPr>
              <w:t>Номер и наименование на процедурата по ПТС</w:t>
            </w:r>
          </w:p>
        </w:tc>
        <w:tc>
          <w:tcPr>
            <w:tcW w:w="2126" w:type="dxa"/>
            <w:shd w:val="clear" w:color="auto" w:fill="BDD6EE"/>
            <w:vAlign w:val="center"/>
          </w:tcPr>
          <w:p w14:paraId="589C4BA4" w14:textId="77777777" w:rsidR="00344277" w:rsidRPr="008D4AB4" w:rsidRDefault="00344277" w:rsidP="00344277">
            <w:pPr>
              <w:pStyle w:val="Normal1"/>
              <w:spacing w:before="134"/>
              <w:ind w:right="141"/>
              <w:rPr>
                <w:b/>
                <w:color w:val="000000"/>
              </w:rPr>
            </w:pPr>
            <w:r w:rsidRPr="008D4AB4">
              <w:rPr>
                <w:b/>
                <w:bCs/>
              </w:rPr>
              <w:t xml:space="preserve">Конкретни </w:t>
            </w:r>
            <w:r w:rsidRPr="008D4AB4">
              <w:rPr>
                <w:b/>
                <w:color w:val="000000"/>
              </w:rPr>
              <w:t>бенефициенти по процедурата</w:t>
            </w:r>
          </w:p>
        </w:tc>
        <w:tc>
          <w:tcPr>
            <w:tcW w:w="1276" w:type="dxa"/>
            <w:shd w:val="clear" w:color="auto" w:fill="BDD6EE"/>
            <w:vAlign w:val="center"/>
          </w:tcPr>
          <w:p w14:paraId="7F0EA9B7" w14:textId="77777777" w:rsidR="00344277" w:rsidRPr="008D4AB4" w:rsidRDefault="00344277" w:rsidP="00344277">
            <w:pPr>
              <w:pStyle w:val="Normal1"/>
              <w:spacing w:before="134"/>
              <w:ind w:right="141"/>
              <w:rPr>
                <w:b/>
                <w:color w:val="000000"/>
              </w:rPr>
            </w:pPr>
            <w:r w:rsidRPr="008D4AB4">
              <w:rPr>
                <w:b/>
                <w:color w:val="000000"/>
              </w:rPr>
              <w:t>Фонд</w:t>
            </w:r>
          </w:p>
        </w:tc>
      </w:tr>
      <w:tr w:rsidR="00344277" w:rsidRPr="008D4AB4" w14:paraId="71A5AA34" w14:textId="77777777" w:rsidTr="003F4E48">
        <w:tc>
          <w:tcPr>
            <w:tcW w:w="9889" w:type="dxa"/>
            <w:gridSpan w:val="3"/>
            <w:shd w:val="clear" w:color="auto" w:fill="E2EFD9" w:themeFill="accent6" w:themeFillTint="33"/>
          </w:tcPr>
          <w:p w14:paraId="269307F9" w14:textId="77777777" w:rsidR="00344277" w:rsidRPr="008D4AB4" w:rsidRDefault="00344277" w:rsidP="00344277">
            <w:pPr>
              <w:pStyle w:val="Normal1"/>
              <w:spacing w:before="120" w:beforeAutospacing="0" w:after="120" w:afterAutospacing="0"/>
              <w:ind w:right="141"/>
              <w:jc w:val="left"/>
              <w:rPr>
                <w:color w:val="000000"/>
              </w:rPr>
            </w:pPr>
            <w:r w:rsidRPr="008D4AB4">
              <w:rPr>
                <w:b/>
                <w:color w:val="000000"/>
              </w:rPr>
              <w:t>По Приоритет 1</w:t>
            </w:r>
            <w:r w:rsidRPr="008D4AB4">
              <w:rPr>
                <w:color w:val="000000"/>
              </w:rPr>
              <w:t xml:space="preserve"> </w:t>
            </w:r>
            <w:r w:rsidRPr="008D4AB4">
              <w:rPr>
                <w:color w:val="000000"/>
                <w:lang w:bidi="bg-BG"/>
              </w:rPr>
              <w:t>„Развитие на железопътната инфраструктура по „основната“ и „</w:t>
            </w:r>
            <w:proofErr w:type="spellStart"/>
            <w:r w:rsidRPr="008D4AB4">
              <w:rPr>
                <w:color w:val="000000"/>
                <w:lang w:bidi="bg-BG"/>
              </w:rPr>
              <w:t>широкообхватната</w:t>
            </w:r>
            <w:proofErr w:type="spellEnd"/>
            <w:r w:rsidRPr="008D4AB4">
              <w:rPr>
                <w:color w:val="000000"/>
                <w:lang w:bidi="bg-BG"/>
              </w:rPr>
              <w:t xml:space="preserve">“ </w:t>
            </w:r>
            <w:proofErr w:type="spellStart"/>
            <w:r w:rsidRPr="008D4AB4">
              <w:rPr>
                <w:color w:val="000000"/>
                <w:lang w:bidi="bg-BG"/>
              </w:rPr>
              <w:t>Трансевропейска</w:t>
            </w:r>
            <w:proofErr w:type="spellEnd"/>
            <w:r w:rsidRPr="008D4AB4">
              <w:rPr>
                <w:color w:val="000000"/>
                <w:lang w:bidi="bg-BG"/>
              </w:rPr>
              <w:t xml:space="preserve"> транспортна мрежа“</w:t>
            </w:r>
          </w:p>
        </w:tc>
      </w:tr>
      <w:tr w:rsidR="00344277" w:rsidRPr="008D4AB4" w14:paraId="6450F881" w14:textId="77777777" w:rsidTr="001A3D2A">
        <w:tc>
          <w:tcPr>
            <w:tcW w:w="6487" w:type="dxa"/>
          </w:tcPr>
          <w:p w14:paraId="7B7F896B" w14:textId="77777777" w:rsidR="00344277" w:rsidRPr="008D4AB4" w:rsidRDefault="00344277" w:rsidP="00344277">
            <w:pPr>
              <w:pStyle w:val="Normal1"/>
              <w:spacing w:before="120" w:beforeAutospacing="0" w:after="120" w:afterAutospacing="0"/>
              <w:ind w:right="141"/>
              <w:jc w:val="left"/>
              <w:rPr>
                <w:b/>
                <w:i/>
                <w:color w:val="000000"/>
              </w:rPr>
            </w:pPr>
            <w:r w:rsidRPr="008D4AB4">
              <w:rPr>
                <w:i/>
              </w:rPr>
              <w:t>Процедура № 2021BG16FFPR001</w:t>
            </w:r>
            <w:r w:rsidRPr="008D4AB4">
              <w:rPr>
                <w:i/>
                <w:lang w:val="en-US"/>
              </w:rPr>
              <w:t>-1.001</w:t>
            </w:r>
            <w:r w:rsidRPr="008D4AB4">
              <w:rPr>
                <w:i/>
              </w:rPr>
              <w:t xml:space="preserve"> „Развитие на железопътната инфраструктура по „основната“ и „</w:t>
            </w:r>
            <w:proofErr w:type="spellStart"/>
            <w:r w:rsidRPr="008D4AB4">
              <w:rPr>
                <w:i/>
              </w:rPr>
              <w:t>широкообхватната</w:t>
            </w:r>
            <w:proofErr w:type="spellEnd"/>
            <w:r w:rsidRPr="008D4AB4">
              <w:rPr>
                <w:i/>
              </w:rPr>
              <w:t xml:space="preserve">“ </w:t>
            </w:r>
            <w:proofErr w:type="spellStart"/>
            <w:r w:rsidRPr="008D4AB4">
              <w:rPr>
                <w:i/>
              </w:rPr>
              <w:t>Трансевропейска</w:t>
            </w:r>
            <w:proofErr w:type="spellEnd"/>
            <w:r w:rsidRPr="008D4AB4">
              <w:rPr>
                <w:i/>
              </w:rPr>
              <w:t xml:space="preserve"> транспортна мрежа – Инвестиционни проекти“</w:t>
            </w:r>
          </w:p>
        </w:tc>
        <w:tc>
          <w:tcPr>
            <w:tcW w:w="2126" w:type="dxa"/>
          </w:tcPr>
          <w:p w14:paraId="66C7C9E0" w14:textId="77777777" w:rsidR="00344277" w:rsidRPr="008D4AB4" w:rsidRDefault="00344277" w:rsidP="00C66898">
            <w:pPr>
              <w:pStyle w:val="Normal1"/>
              <w:numPr>
                <w:ilvl w:val="0"/>
                <w:numId w:val="1"/>
              </w:numPr>
              <w:spacing w:before="0" w:beforeAutospacing="0" w:after="0" w:afterAutospacing="0"/>
              <w:ind w:left="142" w:right="-108" w:hanging="142"/>
              <w:jc w:val="left"/>
              <w:rPr>
                <w:color w:val="000000"/>
              </w:rPr>
            </w:pPr>
            <w:r w:rsidRPr="008D4AB4">
              <w:rPr>
                <w:color w:val="000000"/>
              </w:rPr>
              <w:t>НКЖИ</w:t>
            </w:r>
          </w:p>
        </w:tc>
        <w:tc>
          <w:tcPr>
            <w:tcW w:w="1276" w:type="dxa"/>
          </w:tcPr>
          <w:p w14:paraId="199887E5"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p w14:paraId="0BA216CA" w14:textId="77777777" w:rsidR="00344277" w:rsidRPr="008D4AB4" w:rsidRDefault="00344277" w:rsidP="00344277">
            <w:pPr>
              <w:pStyle w:val="Normal1"/>
              <w:spacing w:before="120" w:beforeAutospacing="0" w:after="120" w:afterAutospacing="0"/>
              <w:ind w:right="141"/>
              <w:rPr>
                <w:color w:val="000000"/>
              </w:rPr>
            </w:pPr>
          </w:p>
        </w:tc>
      </w:tr>
      <w:tr w:rsidR="00344277" w:rsidRPr="008D4AB4" w14:paraId="0FEBCE9F" w14:textId="77777777" w:rsidTr="001A3D2A">
        <w:tc>
          <w:tcPr>
            <w:tcW w:w="6487" w:type="dxa"/>
          </w:tcPr>
          <w:p w14:paraId="115A64C0" w14:textId="77777777" w:rsidR="00344277" w:rsidRPr="008D4AB4" w:rsidRDefault="00344277" w:rsidP="00344277">
            <w:pPr>
              <w:pStyle w:val="Normal1"/>
              <w:spacing w:before="120" w:beforeAutospacing="0" w:after="120" w:afterAutospacing="0"/>
              <w:ind w:right="141"/>
              <w:jc w:val="left"/>
              <w:rPr>
                <w:b/>
                <w:color w:val="000000"/>
              </w:rPr>
            </w:pPr>
            <w:r w:rsidRPr="00D2417E">
              <w:rPr>
                <w:i/>
              </w:rPr>
              <w:t>Процедура №2021BG16FFPR001</w:t>
            </w:r>
            <w:r w:rsidRPr="00D2417E">
              <w:rPr>
                <w:i/>
                <w:lang w:val="en-US"/>
              </w:rPr>
              <w:t>-1.002</w:t>
            </w:r>
            <w:r w:rsidRPr="008D4AB4">
              <w:rPr>
                <w:i/>
              </w:rPr>
              <w:t xml:space="preserve"> </w:t>
            </w:r>
            <w:r w:rsidRPr="008D4AB4">
              <w:t xml:space="preserve"> </w:t>
            </w:r>
            <w:r w:rsidRPr="008D4AB4">
              <w:rPr>
                <w:i/>
              </w:rPr>
              <w:t>„Развитие на железопътната инфраструктура по „основната“ и „</w:t>
            </w:r>
            <w:proofErr w:type="spellStart"/>
            <w:r w:rsidRPr="008D4AB4">
              <w:rPr>
                <w:i/>
              </w:rPr>
              <w:t>широкообхватната</w:t>
            </w:r>
            <w:proofErr w:type="spellEnd"/>
            <w:r w:rsidRPr="008D4AB4">
              <w:rPr>
                <w:i/>
              </w:rPr>
              <w:t xml:space="preserve">“ </w:t>
            </w:r>
            <w:proofErr w:type="spellStart"/>
            <w:r w:rsidRPr="008D4AB4">
              <w:rPr>
                <w:i/>
              </w:rPr>
              <w:t>Трансевропейска</w:t>
            </w:r>
            <w:proofErr w:type="spellEnd"/>
            <w:r w:rsidRPr="008D4AB4">
              <w:rPr>
                <w:i/>
              </w:rPr>
              <w:t xml:space="preserve"> транспортна мрежа – Техническа помощ“</w:t>
            </w:r>
          </w:p>
        </w:tc>
        <w:tc>
          <w:tcPr>
            <w:tcW w:w="2126" w:type="dxa"/>
          </w:tcPr>
          <w:p w14:paraId="53D7E534" w14:textId="77777777" w:rsidR="00344277" w:rsidRPr="008D4AB4" w:rsidRDefault="00344277" w:rsidP="00C66898">
            <w:pPr>
              <w:pStyle w:val="Normal1"/>
              <w:numPr>
                <w:ilvl w:val="0"/>
                <w:numId w:val="1"/>
              </w:numPr>
              <w:spacing w:before="0" w:beforeAutospacing="0" w:after="0" w:afterAutospacing="0"/>
              <w:ind w:left="142" w:right="-108" w:hanging="142"/>
              <w:jc w:val="left"/>
              <w:rPr>
                <w:color w:val="000000"/>
              </w:rPr>
            </w:pPr>
            <w:r w:rsidRPr="008D4AB4">
              <w:rPr>
                <w:color w:val="000000"/>
              </w:rPr>
              <w:t>НКЖИ</w:t>
            </w:r>
          </w:p>
        </w:tc>
        <w:tc>
          <w:tcPr>
            <w:tcW w:w="1276" w:type="dxa"/>
          </w:tcPr>
          <w:p w14:paraId="1C80D25C"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p w14:paraId="1512DE6E" w14:textId="77777777" w:rsidR="00344277" w:rsidRPr="008D4AB4" w:rsidRDefault="00344277" w:rsidP="00344277">
            <w:pPr>
              <w:pStyle w:val="Normal1"/>
              <w:spacing w:before="120" w:beforeAutospacing="0" w:after="120" w:afterAutospacing="0"/>
              <w:ind w:right="141"/>
              <w:rPr>
                <w:color w:val="000000"/>
              </w:rPr>
            </w:pPr>
          </w:p>
        </w:tc>
      </w:tr>
    </w:tbl>
    <w:p w14:paraId="16048FE4" w14:textId="4012FEA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0F4356F1" w14:textId="1662C23B" w:rsidR="003F4E48" w:rsidRPr="008D4AB4" w:rsidRDefault="003F4E48" w:rsidP="003F4E48">
      <w:pPr>
        <w:pStyle w:val="ListParagraph"/>
        <w:spacing w:after="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lastRenderedPageBreak/>
        <w:t>Кандидатът следва да разполага с необходимия административен, финансов и оперативен капацитет, който да гарантира успешното изпълнение на дейностите, заложени в съответните проекти.</w:t>
      </w:r>
    </w:p>
    <w:p w14:paraId="5B666DD4" w14:textId="5FD53064" w:rsidR="002325A3" w:rsidRPr="008D4AB4" w:rsidRDefault="002325A3"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1" w:name="_Toc136269951"/>
      <w:r w:rsidRPr="008D4AB4">
        <w:rPr>
          <w:rFonts w:ascii="Times New Roman" w:hAnsi="Times New Roman" w:cs="Times New Roman"/>
        </w:rPr>
        <w:t>Допустими партньори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11"/>
    </w:p>
    <w:p w14:paraId="039045DF" w14:textId="77777777" w:rsidR="002325A3" w:rsidRPr="008D4AB4" w:rsidRDefault="002D1F6A" w:rsidP="003F4E48">
      <w:pPr>
        <w:pStyle w:val="ListParagraph"/>
        <w:pBdr>
          <w:top w:val="single" w:sz="4" w:space="1" w:color="auto"/>
          <w:left w:val="single" w:sz="4" w:space="4" w:color="auto"/>
          <w:bottom w:val="single" w:sz="4" w:space="1" w:color="auto"/>
          <w:right w:val="single" w:sz="4" w:space="12" w:color="auto"/>
        </w:pBdr>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Неприложимо </w:t>
      </w:r>
    </w:p>
    <w:p w14:paraId="50D5260C" w14:textId="715F5B5A" w:rsidR="002325A3" w:rsidRPr="008D4AB4" w:rsidRDefault="004E6370" w:rsidP="00C66898">
      <w:pPr>
        <w:pStyle w:val="Heading2"/>
        <w:numPr>
          <w:ilvl w:val="0"/>
          <w:numId w:val="25"/>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2" w:name="_Toc136269952"/>
      <w:r w:rsidRPr="008D4AB4">
        <w:rPr>
          <w:rFonts w:ascii="Times New Roman" w:hAnsi="Times New Roman" w:cs="Times New Roman"/>
        </w:rPr>
        <w:t>Д</w:t>
      </w:r>
      <w:r w:rsidR="002325A3" w:rsidRPr="008D4AB4">
        <w:rPr>
          <w:rFonts w:ascii="Times New Roman" w:hAnsi="Times New Roman" w:cs="Times New Roman"/>
        </w:rPr>
        <w:t>ейности, допустими за финансиране:</w:t>
      </w:r>
      <w:bookmarkEnd w:id="12"/>
    </w:p>
    <w:p w14:paraId="2034B56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За да бъдат допустими дейностите, трябва да отговарят на следните условия: </w:t>
      </w:r>
    </w:p>
    <w:p w14:paraId="2120BEB0"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разпоредбите на Регламент (ЕС) 2021/1060;</w:t>
      </w:r>
    </w:p>
    <w:p w14:paraId="0040203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предвиденото в програма „Транспортна свързаност“ 2021-2027 г., да гарантират постигането на целите на настоящите процедури и да осигуряват ефективен принос за постигането на целите на Програмата;</w:t>
      </w:r>
    </w:p>
    <w:p w14:paraId="37215D69"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извършени от допустим бенефициент и да са изплатени в рамките на общата продължителност на операцията;</w:t>
      </w:r>
    </w:p>
    <w:p w14:paraId="16096728"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хоризонталните принципи, съгласно чл. 9 от Регламент (ЕС) 2021/1060;</w:t>
      </w:r>
    </w:p>
    <w:p w14:paraId="01C71B83"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w:t>
      </w:r>
      <w:proofErr w:type="spellStart"/>
      <w:r w:rsidRPr="00AC53C6">
        <w:rPr>
          <w:rFonts w:ascii="Times New Roman" w:eastAsia="Times New Roman" w:hAnsi="Times New Roman" w:cs="Times New Roman"/>
          <w:sz w:val="24"/>
          <w:szCs w:val="24"/>
          <w:lang w:eastAsia="bg-BG"/>
        </w:rPr>
        <w:t>недискриминация</w:t>
      </w:r>
      <w:proofErr w:type="spellEnd"/>
      <w:r w:rsidRPr="00AC53C6">
        <w:rPr>
          <w:rFonts w:ascii="Times New Roman" w:eastAsia="Times New Roman" w:hAnsi="Times New Roman" w:cs="Times New Roman"/>
          <w:sz w:val="24"/>
          <w:szCs w:val="24"/>
          <w:lang w:eastAsia="bg-BG"/>
        </w:rPr>
        <w:t xml:space="preserve"> при осигурена конкуренция на най-широка основа;</w:t>
      </w:r>
    </w:p>
    <w:p w14:paraId="4E7729F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се реализират в рамките на наличния бюджет и да имат ясни и реалистични количествени резултати;</w:t>
      </w:r>
    </w:p>
    <w:p w14:paraId="59D32CF8" w14:textId="4C9287A2" w:rsidR="008D4AB4"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w:t>
      </w:r>
      <w:proofErr w:type="spellStart"/>
      <w:r w:rsidRPr="00AC53C6">
        <w:rPr>
          <w:rFonts w:ascii="Times New Roman" w:eastAsia="Times New Roman" w:hAnsi="Times New Roman" w:cs="Times New Roman"/>
          <w:sz w:val="24"/>
          <w:szCs w:val="24"/>
          <w:lang w:eastAsia="bg-BG"/>
        </w:rPr>
        <w:t>ненанасяне</w:t>
      </w:r>
      <w:proofErr w:type="spellEnd"/>
      <w:r w:rsidRPr="00AC53C6">
        <w:rPr>
          <w:rFonts w:ascii="Times New Roman" w:eastAsia="Times New Roman" w:hAnsi="Times New Roman" w:cs="Times New Roman"/>
          <w:sz w:val="24"/>
          <w:szCs w:val="24"/>
          <w:lang w:eastAsia="bg-BG"/>
        </w:rPr>
        <w:t xml:space="preserve"> на значителни вреди, така че да не се засяга в значителна степен постигането както на екологичната, така и на социалната цел.</w:t>
      </w:r>
    </w:p>
    <w:p w14:paraId="5D16D55B" w14:textId="77777777" w:rsidR="003032BD" w:rsidRPr="008D4AB4" w:rsidRDefault="003032BD" w:rsidP="003032BD">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lang w:eastAsia="bg-BG"/>
        </w:rPr>
        <w:t>Кохезионният фонд</w:t>
      </w:r>
      <w:r w:rsidRPr="008D4AB4">
        <w:rPr>
          <w:rFonts w:ascii="Times New Roman" w:eastAsia="Times New Roman" w:hAnsi="Times New Roman" w:cs="Times New Roman"/>
          <w:sz w:val="24"/>
          <w:szCs w:val="24"/>
          <w:lang w:eastAsia="bg-BG"/>
        </w:rPr>
        <w:t xml:space="preserve"> подкрепя следните дейности</w:t>
      </w:r>
      <w:r>
        <w:rPr>
          <w:rFonts w:ascii="Times New Roman" w:eastAsia="Times New Roman" w:hAnsi="Times New Roman" w:cs="Times New Roman"/>
          <w:sz w:val="24"/>
          <w:szCs w:val="24"/>
          <w:lang w:eastAsia="bg-BG"/>
        </w:rPr>
        <w:t xml:space="preserve"> съгласно</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ч</w:t>
      </w:r>
      <w:r w:rsidRPr="008D4AB4">
        <w:rPr>
          <w:rFonts w:ascii="Times New Roman" w:eastAsia="Times New Roman" w:hAnsi="Times New Roman" w:cs="Times New Roman"/>
          <w:sz w:val="24"/>
          <w:szCs w:val="24"/>
          <w:lang w:eastAsia="bg-BG"/>
        </w:rPr>
        <w:t xml:space="preserve">лен </w:t>
      </w:r>
      <w:r>
        <w:rPr>
          <w:rFonts w:ascii="Times New Roman" w:eastAsia="Times New Roman" w:hAnsi="Times New Roman" w:cs="Times New Roman"/>
          <w:sz w:val="24"/>
          <w:szCs w:val="24"/>
          <w:lang w:eastAsia="bg-BG"/>
        </w:rPr>
        <w:t>6 на Регламент 2021/1058</w:t>
      </w:r>
      <w:r w:rsidRPr="008D4AB4">
        <w:rPr>
          <w:rFonts w:ascii="Times New Roman" w:eastAsia="Times New Roman" w:hAnsi="Times New Roman" w:cs="Times New Roman"/>
          <w:sz w:val="24"/>
          <w:szCs w:val="24"/>
          <w:lang w:eastAsia="bg-BG"/>
        </w:rPr>
        <w:t>:</w:t>
      </w:r>
    </w:p>
    <w:p w14:paraId="5003ECA8" w14:textId="77777777" w:rsidR="003032BD" w:rsidRPr="008D4AB4" w:rsidRDefault="003032BD" w:rsidP="003032BD">
      <w:pPr>
        <w:pStyle w:val="ListParagraph"/>
        <w:numPr>
          <w:ilvl w:val="0"/>
          <w:numId w:val="3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областта на околната среда, включително инвестиции, свързани с устойчивото развитие и енергетиката, които предполагат ползи за околната среда, с особен акцент върху енергията от възобновяеми източници;</w:t>
      </w:r>
    </w:p>
    <w:p w14:paraId="419AD8C0" w14:textId="77777777" w:rsidR="003032BD" w:rsidRPr="008D4AB4" w:rsidRDefault="003032BD" w:rsidP="003032BD">
      <w:pPr>
        <w:pStyle w:val="ListParagraph"/>
        <w:numPr>
          <w:ilvl w:val="0"/>
          <w:numId w:val="3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TEN-T;</w:t>
      </w:r>
    </w:p>
    <w:p w14:paraId="6C7A10EB" w14:textId="77777777" w:rsidR="003032BD" w:rsidRPr="008D4AB4" w:rsidRDefault="003032BD" w:rsidP="003032BD">
      <w:pPr>
        <w:pStyle w:val="ListParagraph"/>
        <w:numPr>
          <w:ilvl w:val="0"/>
          <w:numId w:val="3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p>
    <w:p w14:paraId="21E7F90A" w14:textId="77777777" w:rsidR="003032BD" w:rsidRPr="008D4AB4" w:rsidRDefault="003032BD" w:rsidP="003032BD">
      <w:pPr>
        <w:pStyle w:val="ListParagraph"/>
        <w:numPr>
          <w:ilvl w:val="0"/>
          <w:numId w:val="3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p>
    <w:p w14:paraId="264F2D2C" w14:textId="77777777" w:rsidR="008D4AB4" w:rsidRDefault="008D4AB4" w:rsidP="008D4AB4">
      <w:pPr>
        <w:pStyle w:val="ListParagraph"/>
        <w:shd w:val="clear" w:color="auto" w:fill="FFFFFF"/>
        <w:spacing w:before="120" w:after="0" w:line="312" w:lineRule="atLeast"/>
        <w:ind w:left="1287"/>
        <w:jc w:val="both"/>
        <w:rPr>
          <w:rFonts w:ascii="Times New Roman" w:eastAsia="Times New Roman" w:hAnsi="Times New Roman" w:cs="Times New Roman"/>
          <w:sz w:val="24"/>
          <w:szCs w:val="24"/>
          <w:lang w:eastAsia="bg-BG"/>
        </w:rPr>
      </w:pPr>
    </w:p>
    <w:p w14:paraId="1C217061" w14:textId="17A11F6E" w:rsidR="001F15FC" w:rsidRPr="008D4AB4" w:rsidRDefault="001F15FC" w:rsidP="00AC6346">
      <w:pPr>
        <w:pStyle w:val="ListParagraph"/>
        <w:ind w:left="0" w:firstLine="708"/>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Допустими</w:t>
      </w:r>
      <w:r w:rsidR="00174401" w:rsidRPr="008D4AB4">
        <w:rPr>
          <w:rFonts w:ascii="Times New Roman" w:eastAsia="Times New Roman" w:hAnsi="Times New Roman" w:cs="Times New Roman"/>
          <w:sz w:val="24"/>
          <w:szCs w:val="24"/>
          <w:lang w:eastAsia="bg-BG"/>
        </w:rPr>
        <w:t>те</w:t>
      </w:r>
      <w:r w:rsidRPr="008D4AB4">
        <w:rPr>
          <w:rFonts w:ascii="Times New Roman" w:eastAsia="Times New Roman" w:hAnsi="Times New Roman" w:cs="Times New Roman"/>
          <w:sz w:val="24"/>
          <w:szCs w:val="24"/>
          <w:lang w:eastAsia="bg-BG"/>
        </w:rPr>
        <w:t xml:space="preserve"> дейности, допринасящи за постигане на целите на приоритет</w:t>
      </w:r>
      <w:r w:rsidR="00B937CF">
        <w:rPr>
          <w:rFonts w:ascii="Times New Roman" w:eastAsia="Times New Roman" w:hAnsi="Times New Roman" w:cs="Times New Roman"/>
          <w:sz w:val="24"/>
          <w:szCs w:val="24"/>
          <w:lang w:eastAsia="bg-BG"/>
        </w:rPr>
        <w:t xml:space="preserve"> 1</w:t>
      </w:r>
      <w:r w:rsidRPr="008D4AB4">
        <w:rPr>
          <w:rFonts w:ascii="Times New Roman" w:eastAsia="Times New Roman" w:hAnsi="Times New Roman" w:cs="Times New Roman"/>
          <w:sz w:val="24"/>
          <w:szCs w:val="24"/>
          <w:lang w:eastAsia="bg-BG"/>
        </w:rPr>
        <w:t xml:space="preserve"> </w:t>
      </w:r>
      <w:r w:rsidR="00B533FF">
        <w:rPr>
          <w:rFonts w:ascii="Times New Roman" w:eastAsia="Times New Roman" w:hAnsi="Times New Roman" w:cs="Times New Roman"/>
          <w:sz w:val="24"/>
          <w:szCs w:val="24"/>
          <w:lang w:eastAsia="bg-BG"/>
        </w:rPr>
        <w:t>„</w:t>
      </w:r>
      <w:r w:rsidR="00B533FF" w:rsidRPr="00C76B39">
        <w:rPr>
          <w:rFonts w:ascii="Times New Roman" w:eastAsia="Times New Roman" w:hAnsi="Times New Roman" w:cs="Times New Roman"/>
          <w:b/>
          <w:i/>
          <w:sz w:val="24"/>
          <w:szCs w:val="24"/>
          <w:lang w:eastAsia="bg-BG"/>
        </w:rPr>
        <w:t>Развитие на железопътната инфраструктура по „основната“ и „</w:t>
      </w:r>
      <w:proofErr w:type="spellStart"/>
      <w:r w:rsidR="00B533FF" w:rsidRPr="00C76B39">
        <w:rPr>
          <w:rFonts w:ascii="Times New Roman" w:eastAsia="Times New Roman" w:hAnsi="Times New Roman" w:cs="Times New Roman"/>
          <w:b/>
          <w:i/>
          <w:sz w:val="24"/>
          <w:szCs w:val="24"/>
          <w:lang w:eastAsia="bg-BG"/>
        </w:rPr>
        <w:t>широкообхватната</w:t>
      </w:r>
      <w:proofErr w:type="spellEnd"/>
      <w:r w:rsidR="00B533FF" w:rsidRPr="00C76B39">
        <w:rPr>
          <w:rFonts w:ascii="Times New Roman" w:eastAsia="Times New Roman" w:hAnsi="Times New Roman" w:cs="Times New Roman"/>
          <w:b/>
          <w:i/>
          <w:sz w:val="24"/>
          <w:szCs w:val="24"/>
          <w:lang w:eastAsia="bg-BG"/>
        </w:rPr>
        <w:t xml:space="preserve">“ </w:t>
      </w:r>
      <w:proofErr w:type="spellStart"/>
      <w:r w:rsidR="00B533FF" w:rsidRPr="00C76B39">
        <w:rPr>
          <w:rFonts w:ascii="Times New Roman" w:eastAsia="Times New Roman" w:hAnsi="Times New Roman" w:cs="Times New Roman"/>
          <w:b/>
          <w:i/>
          <w:sz w:val="24"/>
          <w:szCs w:val="24"/>
          <w:lang w:eastAsia="bg-BG"/>
        </w:rPr>
        <w:t>Трансевропейска</w:t>
      </w:r>
      <w:proofErr w:type="spellEnd"/>
      <w:r w:rsidR="00B533FF" w:rsidRPr="00C76B39">
        <w:rPr>
          <w:rFonts w:ascii="Times New Roman" w:eastAsia="Times New Roman" w:hAnsi="Times New Roman" w:cs="Times New Roman"/>
          <w:b/>
          <w:i/>
          <w:sz w:val="24"/>
          <w:szCs w:val="24"/>
          <w:lang w:eastAsia="bg-BG"/>
        </w:rPr>
        <w:t xml:space="preserve"> транспортна мрежа“</w:t>
      </w:r>
      <w:r w:rsidR="00B533FF">
        <w:rPr>
          <w:rFonts w:ascii="Times New Roman" w:eastAsia="Times New Roman" w:hAnsi="Times New Roman" w:cs="Times New Roman"/>
          <w:b/>
          <w:i/>
          <w:sz w:val="24"/>
          <w:szCs w:val="24"/>
          <w:lang w:eastAsia="bg-BG"/>
        </w:rPr>
        <w:t xml:space="preserve"> </w:t>
      </w:r>
      <w:r w:rsidR="008D4AB4">
        <w:rPr>
          <w:rFonts w:ascii="Times New Roman" w:eastAsia="Times New Roman" w:hAnsi="Times New Roman" w:cs="Times New Roman"/>
          <w:sz w:val="24"/>
          <w:szCs w:val="24"/>
          <w:lang w:eastAsia="bg-BG"/>
        </w:rPr>
        <w:t xml:space="preserve">на ПТС </w:t>
      </w:r>
      <w:r w:rsidR="003F6462" w:rsidRPr="008D4AB4">
        <w:rPr>
          <w:rFonts w:ascii="Times New Roman" w:eastAsia="Times New Roman" w:hAnsi="Times New Roman" w:cs="Times New Roman"/>
          <w:sz w:val="24"/>
          <w:szCs w:val="24"/>
          <w:lang w:eastAsia="bg-BG"/>
        </w:rPr>
        <w:t>са както следва</w:t>
      </w:r>
      <w:r w:rsidRPr="008D4AB4">
        <w:rPr>
          <w:rFonts w:ascii="Times New Roman" w:eastAsia="Times New Roman" w:hAnsi="Times New Roman" w:cs="Times New Roman"/>
          <w:sz w:val="24"/>
          <w:szCs w:val="24"/>
          <w:lang w:eastAsia="bg-BG"/>
        </w:rPr>
        <w:t>:</w:t>
      </w:r>
      <w:r w:rsidR="00D7131A">
        <w:rPr>
          <w:rFonts w:ascii="Times New Roman" w:eastAsia="Times New Roman" w:hAnsi="Times New Roman" w:cs="Times New Roman"/>
          <w:sz w:val="24"/>
          <w:szCs w:val="24"/>
          <w:lang w:eastAsia="bg-BG"/>
        </w:rPr>
        <w:t xml:space="preserve"> </w:t>
      </w:r>
      <w:r w:rsidR="00D7131A" w:rsidRPr="00D7131A">
        <w:rPr>
          <w:rFonts w:ascii="Times New Roman" w:eastAsia="Times New Roman" w:hAnsi="Times New Roman" w:cs="Times New Roman"/>
          <w:sz w:val="24"/>
          <w:szCs w:val="24"/>
          <w:lang w:eastAsia="bg-BG"/>
        </w:rPr>
        <w:lastRenderedPageBreak/>
        <w:t>дейности за 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подготовката/завършване на подготовката на инвестиционни проекти за развитие на железопътната инфраструктура по ТEN-T</w:t>
      </w:r>
    </w:p>
    <w:p w14:paraId="5B8C84C2" w14:textId="77777777" w:rsidR="00EF3FB1" w:rsidRPr="008D4AB4" w:rsidRDefault="00EF3FB1" w:rsidP="00F70DF6">
      <w:pPr>
        <w:pStyle w:val="ListParagraph"/>
        <w:ind w:hanging="720"/>
        <w:jc w:val="both"/>
        <w:rPr>
          <w:rFonts w:ascii="Times New Roman" w:eastAsia="Times New Roman" w:hAnsi="Times New Roman" w:cs="Times New Roman"/>
          <w:b/>
          <w:sz w:val="24"/>
          <w:szCs w:val="24"/>
          <w:lang w:eastAsia="bg-BG"/>
        </w:rPr>
      </w:pPr>
    </w:p>
    <w:p w14:paraId="5A957B8E" w14:textId="44CFE2BB" w:rsidR="00713C57" w:rsidRDefault="00713C57" w:rsidP="00F70DF6">
      <w:pPr>
        <w:pStyle w:val="ListParagraph"/>
        <w:ind w:hanging="720"/>
        <w:jc w:val="both"/>
        <w:rPr>
          <w:rFonts w:ascii="Times New Roman" w:eastAsia="Times New Roman" w:hAnsi="Times New Roman" w:cs="Times New Roman"/>
          <w:b/>
          <w:sz w:val="24"/>
          <w:szCs w:val="24"/>
          <w:lang w:eastAsia="bg-BG"/>
        </w:rPr>
      </w:pPr>
      <w:r w:rsidRPr="0047161F">
        <w:rPr>
          <w:rFonts w:ascii="Times New Roman" w:eastAsia="Times New Roman" w:hAnsi="Times New Roman" w:cs="Times New Roman"/>
          <w:b/>
          <w:sz w:val="24"/>
          <w:szCs w:val="24"/>
          <w:lang w:eastAsia="bg-BG"/>
        </w:rPr>
        <w:t>За изпълнение на дейностите ще бъдат финансирани изброените проекти.</w:t>
      </w:r>
    </w:p>
    <w:p w14:paraId="7639FEB7" w14:textId="77777777" w:rsidR="00B533FF" w:rsidRPr="0047161F" w:rsidRDefault="00B533FF" w:rsidP="00F70DF6">
      <w:pPr>
        <w:pStyle w:val="ListParagraph"/>
        <w:ind w:hanging="720"/>
        <w:jc w:val="both"/>
        <w:rPr>
          <w:rFonts w:ascii="Times New Roman" w:eastAsia="Times New Roman" w:hAnsi="Times New Roman" w:cs="Times New Roman"/>
          <w:b/>
          <w:sz w:val="24"/>
          <w:szCs w:val="24"/>
          <w:lang w:eastAsia="bg-BG"/>
        </w:rPr>
      </w:pPr>
    </w:p>
    <w:p w14:paraId="5CB3C740" w14:textId="237212EF" w:rsidR="00B533FF" w:rsidRPr="003365BF" w:rsidRDefault="00713C57" w:rsidP="00C66898">
      <w:pPr>
        <w:pStyle w:val="ListParagraph"/>
        <w:numPr>
          <w:ilvl w:val="0"/>
          <w:numId w:val="26"/>
        </w:numPr>
        <w:jc w:val="both"/>
        <w:rPr>
          <w:rFonts w:ascii="Times New Roman" w:eastAsia="Times New Roman" w:hAnsi="Times New Roman" w:cs="Times New Roman"/>
          <w:sz w:val="24"/>
          <w:szCs w:val="24"/>
          <w:lang w:eastAsia="bg-BG"/>
        </w:rPr>
      </w:pPr>
      <w:r w:rsidRPr="003365BF">
        <w:rPr>
          <w:rFonts w:ascii="Times New Roman" w:eastAsia="Times New Roman" w:hAnsi="Times New Roman" w:cs="Times New Roman"/>
          <w:b/>
          <w:sz w:val="24"/>
          <w:szCs w:val="24"/>
          <w:lang w:eastAsia="bg-BG"/>
        </w:rPr>
        <w:t xml:space="preserve">Модернизация на </w:t>
      </w:r>
      <w:proofErr w:type="spellStart"/>
      <w:r w:rsidRPr="003365BF">
        <w:rPr>
          <w:rFonts w:ascii="Times New Roman" w:eastAsia="Times New Roman" w:hAnsi="Times New Roman" w:cs="Times New Roman"/>
          <w:b/>
          <w:sz w:val="24"/>
          <w:szCs w:val="24"/>
          <w:lang w:eastAsia="bg-BG"/>
        </w:rPr>
        <w:t>ж.п</w:t>
      </w:r>
      <w:proofErr w:type="spellEnd"/>
      <w:r w:rsidRPr="003365BF">
        <w:rPr>
          <w:rFonts w:ascii="Times New Roman" w:eastAsia="Times New Roman" w:hAnsi="Times New Roman" w:cs="Times New Roman"/>
          <w:b/>
          <w:sz w:val="24"/>
          <w:szCs w:val="24"/>
          <w:lang w:eastAsia="bg-BG"/>
        </w:rPr>
        <w:t xml:space="preserve">. линия София – Пловдив: жп участък Елин Пелин-Костенец, фаза 2: </w:t>
      </w:r>
      <w:r w:rsidRPr="003365BF">
        <w:rPr>
          <w:rFonts w:ascii="Times New Roman" w:eastAsia="Times New Roman" w:hAnsi="Times New Roman" w:cs="Times New Roman"/>
          <w:sz w:val="24"/>
          <w:szCs w:val="24"/>
          <w:lang w:eastAsia="bg-BG"/>
        </w:rPr>
        <w:t>планирано е изпълнение (цялостно или частично) на следните дейности по обособени позиции:</w:t>
      </w:r>
    </w:p>
    <w:p w14:paraId="46F3427D" w14:textId="3B7D9B18" w:rsidR="00B533FF" w:rsidRDefault="00713C57" w:rsidP="00B533FF">
      <w:pPr>
        <w:pStyle w:val="ListParagraph"/>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 </w:t>
      </w:r>
    </w:p>
    <w:p w14:paraId="1F3A9D50" w14:textId="3D71E973" w:rsidR="00B533FF" w:rsidRDefault="00713C57" w:rsidP="00AC6346">
      <w:pPr>
        <w:pStyle w:val="ListParagraph"/>
        <w:numPr>
          <w:ilvl w:val="0"/>
          <w:numId w:val="5"/>
        </w:numPr>
        <w:ind w:left="0" w:firstLine="567"/>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„Модернизация на железопътната отсечка от км 22+554 до км 42+200“ (горно строене; контактна мрежа; телекомуникации; съоръжения; рекултивация; тестове); </w:t>
      </w:r>
    </w:p>
    <w:p w14:paraId="3D15025A" w14:textId="77777777" w:rsidR="00B533FF" w:rsidRDefault="00B533FF" w:rsidP="00AC6346">
      <w:pPr>
        <w:pStyle w:val="ListParagraph"/>
        <w:ind w:left="0" w:firstLine="567"/>
        <w:jc w:val="both"/>
        <w:rPr>
          <w:rFonts w:ascii="Times New Roman" w:eastAsia="Times New Roman" w:hAnsi="Times New Roman" w:cs="Times New Roman"/>
          <w:sz w:val="24"/>
          <w:szCs w:val="24"/>
          <w:lang w:eastAsia="bg-BG"/>
        </w:rPr>
      </w:pPr>
    </w:p>
    <w:p w14:paraId="30415FAB" w14:textId="5A44FD8B" w:rsidR="00B533FF" w:rsidRDefault="00713C57" w:rsidP="00AC6346">
      <w:pPr>
        <w:pStyle w:val="ListParagraph"/>
        <w:numPr>
          <w:ilvl w:val="0"/>
          <w:numId w:val="5"/>
        </w:numPr>
        <w:ind w:left="0" w:firstLine="567"/>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„Модернизация на железопътната отсечка от км 42+200 до км 62+400“ (надлези; информация и публичност; околна среда; сигнализация и телекомуникации; тестове; пресичания; малки съоръжения) и</w:t>
      </w:r>
    </w:p>
    <w:p w14:paraId="53D6A1B9" w14:textId="77777777" w:rsidR="00B533FF" w:rsidRPr="00B533FF" w:rsidRDefault="00B533FF" w:rsidP="00AC6346">
      <w:pPr>
        <w:pStyle w:val="ListParagraph"/>
        <w:ind w:left="0" w:firstLine="567"/>
        <w:rPr>
          <w:rFonts w:ascii="Times New Roman" w:eastAsia="Times New Roman" w:hAnsi="Times New Roman" w:cs="Times New Roman"/>
          <w:sz w:val="24"/>
          <w:szCs w:val="24"/>
          <w:lang w:eastAsia="bg-BG"/>
        </w:rPr>
      </w:pPr>
    </w:p>
    <w:p w14:paraId="2EDACAB2" w14:textId="3E188E43" w:rsidR="00B533FF" w:rsidRDefault="00713C57" w:rsidP="00AC6346">
      <w:pPr>
        <w:pStyle w:val="ListParagraph"/>
        <w:numPr>
          <w:ilvl w:val="0"/>
          <w:numId w:val="5"/>
        </w:numPr>
        <w:ind w:left="0" w:firstLine="567"/>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„Модернизация на железопътната отсечка от км 62+400 до км 73+598“ (съоръжения, включително спирка, мостове, тунели; земни работи; виадукт; пресичания; горно строене; контактна мрежа; доставки; информация и публичност и околна среда; телекомуникации). </w:t>
      </w:r>
    </w:p>
    <w:p w14:paraId="5083E248" w14:textId="77777777" w:rsidR="00B533FF" w:rsidRDefault="00B533FF" w:rsidP="00B533FF">
      <w:pPr>
        <w:pStyle w:val="ListParagraph"/>
        <w:jc w:val="both"/>
        <w:rPr>
          <w:rFonts w:ascii="Times New Roman" w:eastAsia="Times New Roman" w:hAnsi="Times New Roman" w:cs="Times New Roman"/>
          <w:sz w:val="24"/>
          <w:szCs w:val="24"/>
          <w:lang w:eastAsia="bg-BG"/>
        </w:rPr>
      </w:pPr>
    </w:p>
    <w:p w14:paraId="48673C83" w14:textId="78DF51D0" w:rsidR="00713C57" w:rsidRDefault="00713C57" w:rsidP="00AC6346">
      <w:pPr>
        <w:pStyle w:val="ListParagraph"/>
        <w:ind w:left="0" w:firstLine="567"/>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Фаза 2 включва и всички съпътстващи строителството дейности – строителен надзор, авторски надзор, археологическо наблюдение по време на строителството, техническа помощ за управление на проекта.</w:t>
      </w:r>
    </w:p>
    <w:p w14:paraId="2A52928C" w14:textId="77777777" w:rsidR="00B533FF" w:rsidRPr="0047161F" w:rsidRDefault="00B533FF" w:rsidP="00B533FF">
      <w:pPr>
        <w:pStyle w:val="ListParagraph"/>
        <w:jc w:val="both"/>
        <w:rPr>
          <w:rFonts w:ascii="Times New Roman" w:eastAsia="Times New Roman" w:hAnsi="Times New Roman" w:cs="Times New Roman"/>
          <w:sz w:val="24"/>
          <w:szCs w:val="24"/>
          <w:lang w:eastAsia="bg-BG"/>
        </w:rPr>
      </w:pPr>
    </w:p>
    <w:p w14:paraId="5D5599C1" w14:textId="06CF41F3" w:rsidR="00B533FF" w:rsidRDefault="00713C57" w:rsidP="00C66898">
      <w:pPr>
        <w:pStyle w:val="ListParagraph"/>
        <w:numPr>
          <w:ilvl w:val="0"/>
          <w:numId w:val="26"/>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b/>
          <w:sz w:val="24"/>
          <w:szCs w:val="24"/>
          <w:lang w:eastAsia="bg-BG"/>
        </w:rPr>
        <w:t xml:space="preserve">Модернизацията на </w:t>
      </w:r>
      <w:proofErr w:type="spellStart"/>
      <w:r w:rsidRPr="0047161F">
        <w:rPr>
          <w:rFonts w:ascii="Times New Roman" w:eastAsia="Times New Roman" w:hAnsi="Times New Roman" w:cs="Times New Roman"/>
          <w:b/>
          <w:sz w:val="24"/>
          <w:szCs w:val="24"/>
          <w:lang w:eastAsia="bg-BG"/>
        </w:rPr>
        <w:t>ж.п</w:t>
      </w:r>
      <w:proofErr w:type="spellEnd"/>
      <w:r w:rsidRPr="0047161F">
        <w:rPr>
          <w:rFonts w:ascii="Times New Roman" w:eastAsia="Times New Roman" w:hAnsi="Times New Roman" w:cs="Times New Roman"/>
          <w:b/>
          <w:sz w:val="24"/>
          <w:szCs w:val="24"/>
          <w:lang w:eastAsia="bg-BG"/>
        </w:rPr>
        <w:t xml:space="preserve">. линията София – Драгоман – Сръбска граница: жп участък Волуяк - Драгоман, фаза 2: </w:t>
      </w:r>
      <w:r w:rsidRPr="0047161F">
        <w:rPr>
          <w:rFonts w:ascii="Times New Roman" w:eastAsia="Times New Roman" w:hAnsi="Times New Roman" w:cs="Times New Roman"/>
          <w:sz w:val="24"/>
          <w:szCs w:val="24"/>
          <w:lang w:eastAsia="bg-BG"/>
        </w:rPr>
        <w:t xml:space="preserve">предвижда се изпълнението на дейности по: </w:t>
      </w:r>
    </w:p>
    <w:p w14:paraId="438E0C96"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нов железен път от км 9+200 до 14+700 и от 15+700 до км 27+622 с дължина 17,422 км; </w:t>
      </w:r>
    </w:p>
    <w:p w14:paraId="4B0E9E07"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подновен/модернизиран железен път от км 9+200 до 14+700 и от 15+700 до км 27+622 с дължина 17,422 км;</w:t>
      </w:r>
    </w:p>
    <w:p w14:paraId="03165D58" w14:textId="758CECB4"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железопътни мостове от км 11+041, км 14+391, км 29+457; </w:t>
      </w:r>
    </w:p>
    <w:p w14:paraId="225D5C39"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пътни надлези и пешеходни подлези/надлези - пешеходен подлез км 21+672,74, </w:t>
      </w:r>
    </w:p>
    <w:p w14:paraId="09B9BEB8"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пътен надлез/подлез на км 12+900, км 15+400,17+677, км 21+250, км 33+657,72, км 34+029,14; </w:t>
      </w:r>
    </w:p>
    <w:p w14:paraId="254E0BA9"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коловози в гарите - жп гари Петърч – 3 коловоза;</w:t>
      </w:r>
    </w:p>
    <w:p w14:paraId="6C6D41A0"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контактна мрежа - нова контактна мрежа, включително SCADA от км 9+200 до 14+700 и от 15+700 до</w:t>
      </w:r>
      <w:r w:rsidR="00B533FF">
        <w:rPr>
          <w:rFonts w:ascii="Times New Roman" w:eastAsia="Times New Roman" w:hAnsi="Times New Roman" w:cs="Times New Roman"/>
          <w:sz w:val="24"/>
          <w:szCs w:val="24"/>
          <w:lang w:eastAsia="bg-BG"/>
        </w:rPr>
        <w:t xml:space="preserve"> км 27+622 с дължина 17,422 км </w:t>
      </w:r>
    </w:p>
    <w:p w14:paraId="4F1C7856"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подновена/модернизирана контактна мрежа от км 9+200 до 14+700 и от 15+700 до км 27+622 с дължина 17,422 км; </w:t>
      </w:r>
    </w:p>
    <w:p w14:paraId="2BDFEDE4" w14:textId="42383C7A" w:rsidR="00713C57"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сгради - приемни здания – Петърч, Сливница; Сигнализация и телекомуникации за гарите в участъка – Костинброд, Петърч, Сливница, Алдомировци и Драгоман; ERTMS.</w:t>
      </w:r>
    </w:p>
    <w:p w14:paraId="0274F6B5" w14:textId="77777777" w:rsidR="00B533FF" w:rsidRPr="0047161F" w:rsidRDefault="00B533FF" w:rsidP="00B533FF">
      <w:pPr>
        <w:pStyle w:val="ListParagraph"/>
        <w:ind w:left="1440"/>
        <w:jc w:val="both"/>
        <w:rPr>
          <w:rFonts w:ascii="Times New Roman" w:eastAsia="Times New Roman" w:hAnsi="Times New Roman" w:cs="Times New Roman"/>
          <w:sz w:val="24"/>
          <w:szCs w:val="24"/>
          <w:lang w:eastAsia="bg-BG"/>
        </w:rPr>
      </w:pPr>
    </w:p>
    <w:p w14:paraId="4813E257" w14:textId="3CA1627E" w:rsidR="00B533FF" w:rsidRPr="00B533FF" w:rsidRDefault="00713C57" w:rsidP="00C66898">
      <w:pPr>
        <w:pStyle w:val="ListParagraph"/>
        <w:numPr>
          <w:ilvl w:val="0"/>
          <w:numId w:val="26"/>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b/>
          <w:sz w:val="24"/>
          <w:szCs w:val="24"/>
          <w:lang w:eastAsia="bg-BG"/>
        </w:rPr>
        <w:lastRenderedPageBreak/>
        <w:t xml:space="preserve">Модернизация на </w:t>
      </w:r>
      <w:proofErr w:type="spellStart"/>
      <w:r w:rsidRPr="00B533FF">
        <w:rPr>
          <w:rFonts w:ascii="Times New Roman" w:eastAsia="Times New Roman" w:hAnsi="Times New Roman" w:cs="Times New Roman"/>
          <w:b/>
          <w:sz w:val="24"/>
          <w:szCs w:val="24"/>
          <w:lang w:eastAsia="bg-BG"/>
        </w:rPr>
        <w:t>ж.п</w:t>
      </w:r>
      <w:proofErr w:type="spellEnd"/>
      <w:r w:rsidRPr="00B533FF">
        <w:rPr>
          <w:rFonts w:ascii="Times New Roman" w:eastAsia="Times New Roman" w:hAnsi="Times New Roman" w:cs="Times New Roman"/>
          <w:b/>
          <w:sz w:val="24"/>
          <w:szCs w:val="24"/>
          <w:lang w:eastAsia="bg-BG"/>
        </w:rPr>
        <w:t xml:space="preserve">. линия София-Перник-Радомир, участък Перник-Радомир: </w:t>
      </w:r>
      <w:r w:rsidRPr="00B533FF">
        <w:rPr>
          <w:rFonts w:ascii="Times New Roman" w:eastAsia="Times New Roman" w:hAnsi="Times New Roman" w:cs="Times New Roman"/>
          <w:sz w:val="24"/>
          <w:szCs w:val="24"/>
          <w:lang w:eastAsia="bg-BG"/>
        </w:rPr>
        <w:t xml:space="preserve">проектът включва дейностите по модернизацията на участъка от гара Перник-Разделителна до гара Радомир с линейна дължина 17 км. </w:t>
      </w:r>
    </w:p>
    <w:p w14:paraId="5EFACCEC"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Проектът включва </w:t>
      </w:r>
      <w:proofErr w:type="spellStart"/>
      <w:r w:rsidRPr="0047161F">
        <w:rPr>
          <w:rFonts w:ascii="Times New Roman" w:eastAsia="Times New Roman" w:hAnsi="Times New Roman" w:cs="Times New Roman"/>
          <w:sz w:val="24"/>
          <w:szCs w:val="24"/>
          <w:lang w:eastAsia="bg-BG"/>
        </w:rPr>
        <w:t>отчуждителни</w:t>
      </w:r>
      <w:proofErr w:type="spellEnd"/>
      <w:r w:rsidRPr="0047161F">
        <w:rPr>
          <w:rFonts w:ascii="Times New Roman" w:eastAsia="Times New Roman" w:hAnsi="Times New Roman" w:cs="Times New Roman"/>
          <w:sz w:val="24"/>
          <w:szCs w:val="24"/>
          <w:lang w:eastAsia="bg-BG"/>
        </w:rPr>
        <w:t xml:space="preserve"> процедури, техническо проектиране за обхода на Батановци, работни чертежи за обхода на Батановци и за участък Перник – Радомир</w:t>
      </w:r>
      <w:r w:rsidRPr="00B533FF">
        <w:rPr>
          <w:rFonts w:ascii="Times New Roman" w:eastAsia="Times New Roman" w:hAnsi="Times New Roman" w:cs="Times New Roman"/>
          <w:sz w:val="24"/>
          <w:szCs w:val="24"/>
          <w:lang w:eastAsia="bg-BG"/>
        </w:rPr>
        <w:t>;</w:t>
      </w:r>
    </w:p>
    <w:p w14:paraId="6B4EED32"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sz w:val="24"/>
          <w:szCs w:val="24"/>
          <w:lang w:eastAsia="bg-BG"/>
        </w:rPr>
        <w:t>земно платно, съгласно техническите изисквания;</w:t>
      </w:r>
    </w:p>
    <w:p w14:paraId="522675FD"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sz w:val="24"/>
          <w:szCs w:val="24"/>
          <w:lang w:eastAsia="bg-BG"/>
        </w:rPr>
        <w:t xml:space="preserve">укрепени и защитени откоси на изкопи и насипи; </w:t>
      </w:r>
    </w:p>
    <w:p w14:paraId="28A3400E"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sz w:val="24"/>
          <w:szCs w:val="24"/>
          <w:lang w:eastAsia="bg-BG"/>
        </w:rPr>
        <w:t xml:space="preserve">работи по железен път и контактна мрежа по участъка Перник-Радомир; </w:t>
      </w:r>
    </w:p>
    <w:p w14:paraId="1A271876"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sz w:val="24"/>
          <w:szCs w:val="24"/>
          <w:lang w:eastAsia="bg-BG"/>
        </w:rPr>
        <w:t xml:space="preserve">нови съоръжения (отводнителни; жп съоръжения, вкл. тунели и мостове; </w:t>
      </w:r>
    </w:p>
    <w:p w14:paraId="6A63CC41"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sz w:val="24"/>
          <w:szCs w:val="24"/>
          <w:lang w:eastAsia="bg-BG"/>
        </w:rPr>
        <w:t xml:space="preserve">подлези и надлези; контактна мрежа и електрозахранване; </w:t>
      </w:r>
    </w:p>
    <w:p w14:paraId="23E89B60"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sz w:val="24"/>
          <w:szCs w:val="24"/>
          <w:lang w:eastAsia="bg-BG"/>
        </w:rPr>
        <w:t xml:space="preserve">осигурителна техника и телекомуникации; шумозащитни съоръжения); </w:t>
      </w:r>
    </w:p>
    <w:p w14:paraId="504C67D1" w14:textId="77777777" w:rsidR="00B533FF"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sz w:val="24"/>
          <w:szCs w:val="24"/>
          <w:lang w:eastAsia="bg-BG"/>
        </w:rPr>
        <w:t xml:space="preserve">модернизация и изграждане на гарови съоръжения; </w:t>
      </w:r>
    </w:p>
    <w:p w14:paraId="61B75E41" w14:textId="3EBEA0A6" w:rsidR="00713C57" w:rsidRDefault="00713C57" w:rsidP="00C66898">
      <w:pPr>
        <w:pStyle w:val="ListParagraph"/>
        <w:numPr>
          <w:ilvl w:val="0"/>
          <w:numId w:val="27"/>
        </w:numPr>
        <w:jc w:val="both"/>
        <w:rPr>
          <w:rFonts w:ascii="Times New Roman" w:eastAsia="Times New Roman" w:hAnsi="Times New Roman" w:cs="Times New Roman"/>
          <w:sz w:val="24"/>
          <w:szCs w:val="24"/>
          <w:lang w:eastAsia="bg-BG"/>
        </w:rPr>
      </w:pPr>
      <w:r w:rsidRPr="00B533FF">
        <w:rPr>
          <w:rFonts w:ascii="Times New Roman" w:eastAsia="Times New Roman" w:hAnsi="Times New Roman" w:cs="Times New Roman"/>
          <w:sz w:val="24"/>
          <w:szCs w:val="24"/>
          <w:lang w:eastAsia="bg-BG"/>
        </w:rPr>
        <w:t>реконструирани пресичания с техническа инфраструктура.</w:t>
      </w:r>
    </w:p>
    <w:p w14:paraId="3225D50D" w14:textId="77777777" w:rsidR="00B533FF" w:rsidRPr="00B533FF" w:rsidRDefault="00B533FF" w:rsidP="00B533FF">
      <w:pPr>
        <w:pStyle w:val="ListParagraph"/>
        <w:ind w:left="1440"/>
        <w:jc w:val="both"/>
        <w:rPr>
          <w:rFonts w:ascii="Times New Roman" w:eastAsia="Times New Roman" w:hAnsi="Times New Roman" w:cs="Times New Roman"/>
          <w:sz w:val="24"/>
          <w:szCs w:val="24"/>
          <w:lang w:eastAsia="bg-BG"/>
        </w:rPr>
      </w:pPr>
    </w:p>
    <w:p w14:paraId="2C74CFA4" w14:textId="070F7A83" w:rsidR="00B533FF" w:rsidRDefault="00713C57" w:rsidP="00C66898">
      <w:pPr>
        <w:pStyle w:val="ListParagraph"/>
        <w:numPr>
          <w:ilvl w:val="0"/>
          <w:numId w:val="26"/>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b/>
          <w:sz w:val="24"/>
          <w:szCs w:val="24"/>
          <w:lang w:eastAsia="bg-BG"/>
        </w:rPr>
        <w:t xml:space="preserve">Изграждане на жп връзка между България и Северна Македония: </w:t>
      </w:r>
      <w:r w:rsidRPr="0047161F">
        <w:rPr>
          <w:rFonts w:ascii="Times New Roman" w:eastAsia="Times New Roman" w:hAnsi="Times New Roman" w:cs="Times New Roman"/>
          <w:sz w:val="24"/>
          <w:szCs w:val="24"/>
          <w:lang w:eastAsia="bg-BG"/>
        </w:rPr>
        <w:t xml:space="preserve">проектът е от общ интерес, в съответствие с член 4 от Регламент 1315/2013, и включва: </w:t>
      </w:r>
    </w:p>
    <w:p w14:paraId="1671DB07" w14:textId="77777777" w:rsidR="00B533FF" w:rsidRDefault="00B533FF" w:rsidP="00B533FF">
      <w:pPr>
        <w:pStyle w:val="ListParagraph"/>
        <w:jc w:val="both"/>
        <w:rPr>
          <w:rFonts w:ascii="Times New Roman" w:eastAsia="Times New Roman" w:hAnsi="Times New Roman" w:cs="Times New Roman"/>
          <w:b/>
          <w:sz w:val="24"/>
          <w:szCs w:val="24"/>
          <w:lang w:eastAsia="bg-BG"/>
        </w:rPr>
      </w:pPr>
    </w:p>
    <w:p w14:paraId="4949D926" w14:textId="77777777" w:rsidR="00B533FF" w:rsidRDefault="00713C57" w:rsidP="00C66898">
      <w:pPr>
        <w:pStyle w:val="ListParagraph"/>
        <w:numPr>
          <w:ilvl w:val="0"/>
          <w:numId w:val="28"/>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изграждане на железопътната инфраструктура от км 76+400 до граница със Северна Македония; изграждане на железопътен тунел </w:t>
      </w:r>
      <w:proofErr w:type="spellStart"/>
      <w:r w:rsidRPr="0047161F">
        <w:rPr>
          <w:rFonts w:ascii="Times New Roman" w:eastAsia="Times New Roman" w:hAnsi="Times New Roman" w:cs="Times New Roman"/>
          <w:sz w:val="24"/>
          <w:szCs w:val="24"/>
          <w:lang w:eastAsia="bg-BG"/>
        </w:rPr>
        <w:t>Деве</w:t>
      </w:r>
      <w:proofErr w:type="spellEnd"/>
      <w:r w:rsidRPr="0047161F">
        <w:rPr>
          <w:rFonts w:ascii="Times New Roman" w:eastAsia="Times New Roman" w:hAnsi="Times New Roman" w:cs="Times New Roman"/>
          <w:sz w:val="24"/>
          <w:szCs w:val="24"/>
          <w:lang w:eastAsia="bg-BG"/>
        </w:rPr>
        <w:t xml:space="preserve"> Баир на територията на България;</w:t>
      </w:r>
    </w:p>
    <w:p w14:paraId="56C6E0D7" w14:textId="77777777" w:rsidR="00B533FF" w:rsidRDefault="00713C57" w:rsidP="00C66898">
      <w:pPr>
        <w:pStyle w:val="ListParagraph"/>
        <w:numPr>
          <w:ilvl w:val="0"/>
          <w:numId w:val="28"/>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въвеждане на системата SCADA; </w:t>
      </w:r>
    </w:p>
    <w:p w14:paraId="5B1B87D4" w14:textId="77777777" w:rsidR="00B533FF" w:rsidRDefault="00713C57" w:rsidP="00C66898">
      <w:pPr>
        <w:pStyle w:val="ListParagraph"/>
        <w:numPr>
          <w:ilvl w:val="0"/>
          <w:numId w:val="28"/>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модернизация на осигурителната техника и телекомуникационните системи в гарите чрез внедряване на ERTMS; </w:t>
      </w:r>
    </w:p>
    <w:p w14:paraId="20C740B4" w14:textId="3B3EC19C" w:rsidR="00713C57" w:rsidRDefault="00713C57" w:rsidP="00C66898">
      <w:pPr>
        <w:pStyle w:val="ListParagraph"/>
        <w:numPr>
          <w:ilvl w:val="0"/>
          <w:numId w:val="28"/>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въвеждане на системи за пожароизвестяване и видео наблюдение в тунели, контролирани от Централен диспечерски пункт в София.</w:t>
      </w:r>
    </w:p>
    <w:p w14:paraId="71965F4D" w14:textId="77777777" w:rsidR="00B533FF" w:rsidRPr="0047161F" w:rsidRDefault="00B533FF" w:rsidP="00B533FF">
      <w:pPr>
        <w:pStyle w:val="ListParagraph"/>
        <w:ind w:left="1440"/>
        <w:jc w:val="both"/>
        <w:rPr>
          <w:rFonts w:ascii="Times New Roman" w:eastAsia="Times New Roman" w:hAnsi="Times New Roman" w:cs="Times New Roman"/>
          <w:sz w:val="24"/>
          <w:szCs w:val="24"/>
          <w:lang w:eastAsia="bg-BG"/>
        </w:rPr>
      </w:pPr>
    </w:p>
    <w:p w14:paraId="298B1277" w14:textId="387261DB" w:rsidR="00B533FF" w:rsidRDefault="00713C57" w:rsidP="00C66898">
      <w:pPr>
        <w:pStyle w:val="ListParagraph"/>
        <w:numPr>
          <w:ilvl w:val="0"/>
          <w:numId w:val="26"/>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b/>
          <w:sz w:val="24"/>
          <w:szCs w:val="24"/>
          <w:lang w:eastAsia="bg-BG"/>
        </w:rPr>
        <w:t xml:space="preserve">Доизграждане на съоръженията по жп линия Карнобат-Синдел: </w:t>
      </w:r>
      <w:r w:rsidRPr="0047161F">
        <w:rPr>
          <w:rFonts w:ascii="Times New Roman" w:eastAsia="Times New Roman" w:hAnsi="Times New Roman" w:cs="Times New Roman"/>
          <w:sz w:val="24"/>
          <w:szCs w:val="24"/>
          <w:lang w:eastAsia="bg-BG"/>
        </w:rPr>
        <w:t xml:space="preserve">проектът е с хоризонтален приоритет и е проект от общ интерес в съответствие с член 7 от Регламент 1315/2013. </w:t>
      </w:r>
    </w:p>
    <w:p w14:paraId="3262ED27" w14:textId="6CB11EA3" w:rsidR="00713C57" w:rsidRDefault="00713C57" w:rsidP="00B533FF">
      <w:pPr>
        <w:pStyle w:val="ListParagraph"/>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Предвидените дейности включват доизграждане на съоръженията по жп линия Карнобат-Синдел, вкл. внедряване на ERTMS.</w:t>
      </w:r>
    </w:p>
    <w:p w14:paraId="61F148C7" w14:textId="77777777" w:rsidR="00B533FF" w:rsidRPr="0047161F" w:rsidRDefault="00B533FF" w:rsidP="00B533FF">
      <w:pPr>
        <w:pStyle w:val="ListParagraph"/>
        <w:jc w:val="both"/>
        <w:rPr>
          <w:rFonts w:ascii="Times New Roman" w:eastAsia="Times New Roman" w:hAnsi="Times New Roman" w:cs="Times New Roman"/>
          <w:sz w:val="24"/>
          <w:szCs w:val="24"/>
          <w:lang w:eastAsia="bg-BG"/>
        </w:rPr>
      </w:pPr>
    </w:p>
    <w:p w14:paraId="3ED27E0C" w14:textId="23C5F280" w:rsidR="00A97C19" w:rsidRDefault="00713C57" w:rsidP="00C66898">
      <w:pPr>
        <w:pStyle w:val="ListParagraph"/>
        <w:numPr>
          <w:ilvl w:val="0"/>
          <w:numId w:val="26"/>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b/>
          <w:sz w:val="24"/>
          <w:szCs w:val="24"/>
          <w:lang w:eastAsia="bg-BG"/>
        </w:rPr>
        <w:t xml:space="preserve">Модернизация на </w:t>
      </w:r>
      <w:proofErr w:type="spellStart"/>
      <w:r w:rsidRPr="0047161F">
        <w:rPr>
          <w:rFonts w:ascii="Times New Roman" w:eastAsia="Times New Roman" w:hAnsi="Times New Roman" w:cs="Times New Roman"/>
          <w:b/>
          <w:sz w:val="24"/>
          <w:szCs w:val="24"/>
          <w:lang w:eastAsia="bg-BG"/>
        </w:rPr>
        <w:t>ж.п</w:t>
      </w:r>
      <w:proofErr w:type="spellEnd"/>
      <w:r w:rsidRPr="0047161F">
        <w:rPr>
          <w:rFonts w:ascii="Times New Roman" w:eastAsia="Times New Roman" w:hAnsi="Times New Roman" w:cs="Times New Roman"/>
          <w:b/>
          <w:sz w:val="24"/>
          <w:szCs w:val="24"/>
          <w:lang w:eastAsia="bg-BG"/>
        </w:rPr>
        <w:t xml:space="preserve">. линия София-Перник-Радомир, участък София-Перник: </w:t>
      </w:r>
      <w:r w:rsidRPr="0047161F">
        <w:rPr>
          <w:rFonts w:ascii="Times New Roman" w:eastAsia="Times New Roman" w:hAnsi="Times New Roman" w:cs="Times New Roman"/>
          <w:sz w:val="24"/>
          <w:szCs w:val="24"/>
          <w:lang w:eastAsia="bg-BG"/>
        </w:rPr>
        <w:t xml:space="preserve">проектът включва: </w:t>
      </w:r>
    </w:p>
    <w:p w14:paraId="7917FCFD" w14:textId="77777777" w:rsidR="00A97C19" w:rsidRDefault="00713C57" w:rsidP="00C66898">
      <w:pPr>
        <w:pStyle w:val="ListParagraph"/>
        <w:numPr>
          <w:ilvl w:val="0"/>
          <w:numId w:val="29"/>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земно платно, съгласно техническите изисквания; </w:t>
      </w:r>
    </w:p>
    <w:p w14:paraId="4310495A" w14:textId="77777777" w:rsidR="00A97C19" w:rsidRDefault="00713C57" w:rsidP="00C66898">
      <w:pPr>
        <w:pStyle w:val="ListParagraph"/>
        <w:numPr>
          <w:ilvl w:val="0"/>
          <w:numId w:val="29"/>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укрепени и защитени откоси на изкопи и насипи; </w:t>
      </w:r>
    </w:p>
    <w:p w14:paraId="1EAC738C" w14:textId="77777777" w:rsidR="00A97C19" w:rsidRDefault="00713C57" w:rsidP="00C66898">
      <w:pPr>
        <w:pStyle w:val="ListParagraph"/>
        <w:numPr>
          <w:ilvl w:val="0"/>
          <w:numId w:val="29"/>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нови съоръжения (отводнителни; жп съоръжения, вкл. тунели и мостове; </w:t>
      </w:r>
    </w:p>
    <w:p w14:paraId="40A52176" w14:textId="77777777" w:rsidR="00A97C19" w:rsidRDefault="00713C57" w:rsidP="00C66898">
      <w:pPr>
        <w:pStyle w:val="ListParagraph"/>
        <w:numPr>
          <w:ilvl w:val="0"/>
          <w:numId w:val="29"/>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подлези и надлези;</w:t>
      </w:r>
    </w:p>
    <w:p w14:paraId="7AE1C0B4" w14:textId="77777777" w:rsidR="00A97C19" w:rsidRDefault="00713C57" w:rsidP="00C66898">
      <w:pPr>
        <w:pStyle w:val="ListParagraph"/>
        <w:numPr>
          <w:ilvl w:val="0"/>
          <w:numId w:val="29"/>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контактна мрежа и електрозахранване; </w:t>
      </w:r>
    </w:p>
    <w:p w14:paraId="609EC864" w14:textId="77777777" w:rsidR="00A97C19" w:rsidRDefault="00713C57" w:rsidP="00C66898">
      <w:pPr>
        <w:pStyle w:val="ListParagraph"/>
        <w:numPr>
          <w:ilvl w:val="0"/>
          <w:numId w:val="29"/>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 xml:space="preserve">осигурителна техника и телекомуникации; </w:t>
      </w:r>
    </w:p>
    <w:p w14:paraId="12364288" w14:textId="191BF550" w:rsidR="00713C57" w:rsidRPr="0047161F" w:rsidRDefault="00713C57" w:rsidP="00C66898">
      <w:pPr>
        <w:pStyle w:val="ListParagraph"/>
        <w:numPr>
          <w:ilvl w:val="0"/>
          <w:numId w:val="29"/>
        </w:numPr>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sz w:val="24"/>
          <w:szCs w:val="24"/>
          <w:lang w:eastAsia="bg-BG"/>
        </w:rPr>
        <w:t>шумозащитни съоръжения); реконструирани пресичания с техническа инфраструктура.</w:t>
      </w:r>
    </w:p>
    <w:p w14:paraId="46A30CB6" w14:textId="6A1AB080" w:rsidR="00713C57" w:rsidRPr="0047161F" w:rsidRDefault="00713C57" w:rsidP="00AC6346">
      <w:pPr>
        <w:pStyle w:val="ListParagraph"/>
        <w:numPr>
          <w:ilvl w:val="0"/>
          <w:numId w:val="26"/>
        </w:numPr>
        <w:jc w:val="both"/>
        <w:rPr>
          <w:rFonts w:ascii="Times New Roman" w:eastAsia="Times New Roman" w:hAnsi="Times New Roman" w:cs="Times New Roman"/>
          <w:b/>
          <w:sz w:val="24"/>
          <w:szCs w:val="24"/>
          <w:lang w:eastAsia="bg-BG"/>
        </w:rPr>
      </w:pPr>
      <w:r w:rsidRPr="0047161F">
        <w:rPr>
          <w:rFonts w:ascii="Times New Roman" w:eastAsia="Times New Roman" w:hAnsi="Times New Roman" w:cs="Times New Roman"/>
          <w:b/>
          <w:sz w:val="24"/>
          <w:szCs w:val="24"/>
          <w:lang w:eastAsia="bg-BG"/>
        </w:rPr>
        <w:t xml:space="preserve">Внедряване на ERTMS, ниво 2 по </w:t>
      </w:r>
      <w:r w:rsidR="006F1734">
        <w:rPr>
          <w:rFonts w:ascii="Times New Roman" w:eastAsia="Times New Roman" w:hAnsi="Times New Roman" w:cs="Times New Roman"/>
          <w:b/>
          <w:sz w:val="24"/>
          <w:szCs w:val="24"/>
          <w:lang w:eastAsia="bg-BG"/>
        </w:rPr>
        <w:t xml:space="preserve">железопътни </w:t>
      </w:r>
      <w:r w:rsidRPr="0047161F">
        <w:rPr>
          <w:rFonts w:ascii="Times New Roman" w:eastAsia="Times New Roman" w:hAnsi="Times New Roman" w:cs="Times New Roman"/>
          <w:b/>
          <w:sz w:val="24"/>
          <w:szCs w:val="24"/>
          <w:lang w:eastAsia="bg-BG"/>
        </w:rPr>
        <w:t>линии, извън горепосочените.</w:t>
      </w:r>
    </w:p>
    <w:p w14:paraId="4F3E797D" w14:textId="77777777" w:rsidR="00713C57" w:rsidRPr="0047161F" w:rsidRDefault="00713C57" w:rsidP="00F70DF6">
      <w:pPr>
        <w:pStyle w:val="ListParagraph"/>
        <w:ind w:hanging="720"/>
        <w:jc w:val="both"/>
        <w:rPr>
          <w:rFonts w:ascii="Times New Roman" w:eastAsia="Times New Roman" w:hAnsi="Times New Roman" w:cs="Times New Roman"/>
          <w:b/>
          <w:sz w:val="24"/>
          <w:szCs w:val="24"/>
          <w:lang w:eastAsia="bg-BG"/>
        </w:rPr>
      </w:pPr>
    </w:p>
    <w:p w14:paraId="50FC2F5C" w14:textId="577D89DB" w:rsid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Предвидено е внедряване на ERTMS ниво 2 (ETCS и GSM-</w:t>
      </w:r>
      <w:r>
        <w:rPr>
          <w:rFonts w:ascii="Times New Roman" w:eastAsia="Times New Roman" w:hAnsi="Times New Roman" w:cs="Times New Roman"/>
          <w:sz w:val="24"/>
          <w:szCs w:val="24"/>
          <w:lang w:eastAsia="bg-BG"/>
        </w:rPr>
        <w:t xml:space="preserve">R), диспечерска централизация с </w:t>
      </w:r>
      <w:r w:rsidRPr="006F1734">
        <w:rPr>
          <w:rFonts w:ascii="Times New Roman" w:eastAsia="Times New Roman" w:hAnsi="Times New Roman" w:cs="Times New Roman"/>
          <w:sz w:val="24"/>
          <w:szCs w:val="24"/>
          <w:lang w:eastAsia="bg-BG"/>
        </w:rPr>
        <w:t xml:space="preserve">включено проектиране, доставка, строителство и въвеждане в експлоатация на: </w:t>
      </w:r>
    </w:p>
    <w:p w14:paraId="56FF0B61" w14:textId="77777777" w:rsid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 xml:space="preserve">- ERTMS - част ETCS, пътно оборудване; </w:t>
      </w:r>
    </w:p>
    <w:p w14:paraId="3C5754B1" w14:textId="77777777" w:rsid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 ERTMS - част GSM-R (или по-новото поколение цифрова радио система за железопътни приложения FRMCS) с резервирано ниво на покритие и апаратура за ниво 2 на ETCS;</w:t>
      </w:r>
    </w:p>
    <w:p w14:paraId="68D6F546" w14:textId="77777777" w:rsid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 xml:space="preserve"> - Изграждане на диспечерска централизация с автоматично управление движението на влаковете и влаковата р</w:t>
      </w:r>
      <w:r>
        <w:rPr>
          <w:rFonts w:ascii="Times New Roman" w:eastAsia="Times New Roman" w:hAnsi="Times New Roman" w:cs="Times New Roman"/>
          <w:sz w:val="24"/>
          <w:szCs w:val="24"/>
          <w:lang w:eastAsia="bg-BG"/>
        </w:rPr>
        <w:t>абота и радио-блок център (RBC)</w:t>
      </w:r>
      <w:r w:rsidRPr="006F1734">
        <w:rPr>
          <w:rFonts w:ascii="Times New Roman" w:eastAsia="Times New Roman" w:hAnsi="Times New Roman" w:cs="Times New Roman"/>
          <w:sz w:val="24"/>
          <w:szCs w:val="24"/>
          <w:lang w:eastAsia="bg-BG"/>
        </w:rPr>
        <w:t xml:space="preserve">; </w:t>
      </w:r>
    </w:p>
    <w:p w14:paraId="23DD314A" w14:textId="77777777" w:rsid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 xml:space="preserve">- маршрутно-компютърни централизации на гари с осигурен интерфейс към диспечерската централизация и RBC; </w:t>
      </w:r>
    </w:p>
    <w:p w14:paraId="7B582944" w14:textId="77777777" w:rsid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 xml:space="preserve">- автоблокировка с броячи на оси; </w:t>
      </w:r>
    </w:p>
    <w:p w14:paraId="7BA1017B" w14:textId="77777777" w:rsid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 xml:space="preserve">- подмяна на прелези с ръчно управление или автоматични с технически амортизирана апаратура с нова апаратура с броячи на оси на прелези; </w:t>
      </w:r>
    </w:p>
    <w:p w14:paraId="13527F29" w14:textId="77777777" w:rsid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 изграждане на модерна цифров</w:t>
      </w:r>
      <w:r>
        <w:rPr>
          <w:rFonts w:ascii="Times New Roman" w:eastAsia="Times New Roman" w:hAnsi="Times New Roman" w:cs="Times New Roman"/>
          <w:sz w:val="24"/>
          <w:szCs w:val="24"/>
          <w:lang w:eastAsia="bg-BG"/>
        </w:rPr>
        <w:t>а IP телекомуникационна система</w:t>
      </w:r>
      <w:r w:rsidRPr="006F1734">
        <w:rPr>
          <w:rFonts w:ascii="Times New Roman" w:eastAsia="Times New Roman" w:hAnsi="Times New Roman" w:cs="Times New Roman"/>
          <w:sz w:val="24"/>
          <w:szCs w:val="24"/>
          <w:lang w:eastAsia="bg-BG"/>
        </w:rPr>
        <w:t xml:space="preserve">; </w:t>
      </w:r>
    </w:p>
    <w:p w14:paraId="67428178" w14:textId="645105A5" w:rsidR="006F1734" w:rsidRPr="006F1734" w:rsidRDefault="006F1734" w:rsidP="00AC6346">
      <w:pPr>
        <w:pStyle w:val="ListParagraph"/>
        <w:ind w:left="0" w:firstLine="567"/>
        <w:jc w:val="both"/>
        <w:rPr>
          <w:rFonts w:ascii="Times New Roman" w:eastAsia="Times New Roman" w:hAnsi="Times New Roman" w:cs="Times New Roman"/>
          <w:sz w:val="24"/>
          <w:szCs w:val="24"/>
          <w:lang w:eastAsia="bg-BG"/>
        </w:rPr>
      </w:pPr>
      <w:r w:rsidRPr="006F1734">
        <w:rPr>
          <w:rFonts w:ascii="Times New Roman" w:eastAsia="Times New Roman" w:hAnsi="Times New Roman" w:cs="Times New Roman"/>
          <w:sz w:val="24"/>
          <w:szCs w:val="24"/>
          <w:lang w:eastAsia="bg-BG"/>
        </w:rPr>
        <w:t>- пътнически информационни системи (</w:t>
      </w:r>
      <w:proofErr w:type="spellStart"/>
      <w:r w:rsidRPr="006F1734">
        <w:rPr>
          <w:rFonts w:ascii="Times New Roman" w:eastAsia="Times New Roman" w:hAnsi="Times New Roman" w:cs="Times New Roman"/>
          <w:sz w:val="24"/>
          <w:szCs w:val="24"/>
          <w:lang w:eastAsia="bg-BG"/>
        </w:rPr>
        <w:t>оповестителна</w:t>
      </w:r>
      <w:proofErr w:type="spellEnd"/>
      <w:r w:rsidRPr="006F1734">
        <w:rPr>
          <w:rFonts w:ascii="Times New Roman" w:eastAsia="Times New Roman" w:hAnsi="Times New Roman" w:cs="Times New Roman"/>
          <w:sz w:val="24"/>
          <w:szCs w:val="24"/>
          <w:lang w:eastAsia="bg-BG"/>
        </w:rPr>
        <w:t xml:space="preserve"> </w:t>
      </w:r>
      <w:proofErr w:type="spellStart"/>
      <w:r w:rsidRPr="006F1734">
        <w:rPr>
          <w:rFonts w:ascii="Times New Roman" w:eastAsia="Times New Roman" w:hAnsi="Times New Roman" w:cs="Times New Roman"/>
          <w:sz w:val="24"/>
          <w:szCs w:val="24"/>
          <w:lang w:eastAsia="bg-BG"/>
        </w:rPr>
        <w:t>високоговоряща</w:t>
      </w:r>
      <w:proofErr w:type="spellEnd"/>
      <w:r w:rsidRPr="006F1734">
        <w:rPr>
          <w:rFonts w:ascii="Times New Roman" w:eastAsia="Times New Roman" w:hAnsi="Times New Roman" w:cs="Times New Roman"/>
          <w:sz w:val="24"/>
          <w:szCs w:val="24"/>
          <w:lang w:eastAsia="bg-BG"/>
        </w:rPr>
        <w:t xml:space="preserve"> система, електронни табла, часовникови системи); - изграждане на видеонаблюдение на гари, гарови райони и прелези.</w:t>
      </w:r>
    </w:p>
    <w:p w14:paraId="0190EE1D" w14:textId="770D13C7" w:rsidR="00713C57" w:rsidRPr="0047161F" w:rsidRDefault="00713C57" w:rsidP="001A3D2A">
      <w:pPr>
        <w:ind w:firstLine="567"/>
        <w:jc w:val="both"/>
        <w:rPr>
          <w:rFonts w:ascii="Times New Roman" w:eastAsia="Times New Roman" w:hAnsi="Times New Roman" w:cs="Times New Roman"/>
          <w:sz w:val="24"/>
          <w:szCs w:val="24"/>
          <w:lang w:eastAsia="bg-BG"/>
        </w:rPr>
      </w:pPr>
      <w:r w:rsidRPr="0047161F">
        <w:rPr>
          <w:rFonts w:ascii="Times New Roman" w:eastAsia="Times New Roman" w:hAnsi="Times New Roman" w:cs="Times New Roman"/>
          <w:b/>
          <w:sz w:val="24"/>
          <w:szCs w:val="24"/>
          <w:lang w:eastAsia="bg-BG"/>
        </w:rPr>
        <w:t xml:space="preserve">Проектите включват мерки за адаптиране към климата: </w:t>
      </w:r>
      <w:r w:rsidRPr="0047161F">
        <w:rPr>
          <w:rFonts w:ascii="Times New Roman" w:eastAsia="Times New Roman" w:hAnsi="Times New Roman" w:cs="Times New Roman"/>
          <w:sz w:val="24"/>
          <w:szCs w:val="24"/>
          <w:lang w:eastAsia="bg-BG"/>
        </w:rPr>
        <w:t xml:space="preserve">изграждане на дренажни и канализационни системи, укрепване на долното строене и изграждане на укрепителни съоръжения за обезпечаване устойчивостта на железопътната инфраструктура и адаптацията й към климатичните промени. </w:t>
      </w:r>
    </w:p>
    <w:p w14:paraId="0B419EB8" w14:textId="54BC05BD" w:rsidR="00F26E9D" w:rsidRPr="00AC6346" w:rsidRDefault="00635B38" w:rsidP="00B937CF">
      <w:pPr>
        <w:ind w:firstLine="567"/>
        <w:jc w:val="both"/>
        <w:rPr>
          <w:rFonts w:ascii="Times New Roman" w:eastAsia="Times New Roman" w:hAnsi="Times New Roman" w:cs="Times New Roman"/>
          <w:sz w:val="24"/>
          <w:szCs w:val="24"/>
          <w:lang w:eastAsia="bg-BG"/>
        </w:rPr>
      </w:pPr>
      <w:r w:rsidRPr="00AC6346">
        <w:rPr>
          <w:rFonts w:ascii="Times New Roman" w:eastAsia="Times New Roman" w:hAnsi="Times New Roman" w:cs="Times New Roman"/>
          <w:sz w:val="24"/>
          <w:szCs w:val="24"/>
          <w:lang w:eastAsia="bg-BG"/>
        </w:rPr>
        <w:t xml:space="preserve">Всички предвидени проекти </w:t>
      </w:r>
      <w:r w:rsidR="00AC53C6" w:rsidRPr="00AC6346">
        <w:rPr>
          <w:rFonts w:ascii="Times New Roman" w:eastAsia="Times New Roman" w:hAnsi="Times New Roman" w:cs="Times New Roman"/>
          <w:sz w:val="24"/>
          <w:szCs w:val="24"/>
          <w:lang w:eastAsia="bg-BG"/>
        </w:rPr>
        <w:t xml:space="preserve">по ПТС </w:t>
      </w:r>
      <w:r w:rsidRPr="00AC6346">
        <w:rPr>
          <w:rFonts w:ascii="Times New Roman" w:eastAsia="Times New Roman" w:hAnsi="Times New Roman" w:cs="Times New Roman"/>
          <w:sz w:val="24"/>
          <w:szCs w:val="24"/>
          <w:lang w:eastAsia="bg-BG"/>
        </w:rPr>
        <w:t xml:space="preserve">съответстват на принципа „за </w:t>
      </w:r>
      <w:proofErr w:type="spellStart"/>
      <w:r w:rsidRPr="00AC6346">
        <w:rPr>
          <w:rFonts w:ascii="Times New Roman" w:eastAsia="Times New Roman" w:hAnsi="Times New Roman" w:cs="Times New Roman"/>
          <w:sz w:val="24"/>
          <w:szCs w:val="24"/>
          <w:lang w:eastAsia="bg-BG"/>
        </w:rPr>
        <w:t>ненанасяне</w:t>
      </w:r>
      <w:proofErr w:type="spellEnd"/>
      <w:r w:rsidRPr="00AC6346">
        <w:rPr>
          <w:rFonts w:ascii="Times New Roman" w:eastAsia="Times New Roman" w:hAnsi="Times New Roman" w:cs="Times New Roman"/>
          <w:sz w:val="24"/>
          <w:szCs w:val="24"/>
          <w:lang w:eastAsia="bg-BG"/>
        </w:rPr>
        <w:t xml:space="preserve"> на значителни вреди“ по смисъла на чл. 17 от Регламент (ЕС) 2020/852. Видовете действия са оценени като съвместими съгласно техническите насоки на Механизма за възстановяване и устойчивост /RRF DNSH/.</w:t>
      </w:r>
    </w:p>
    <w:p w14:paraId="0C5459DB" w14:textId="43C5B477" w:rsidR="0008198A" w:rsidRPr="007A0B0A" w:rsidRDefault="00874505" w:rsidP="00890E38">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t>За всеки проект</w:t>
      </w:r>
      <w:r w:rsidR="009879E3" w:rsidRPr="007A0B0A">
        <w:rPr>
          <w:rFonts w:ascii="Times New Roman" w:eastAsia="Times New Roman" w:hAnsi="Times New Roman" w:cs="Times New Roman"/>
          <w:iCs/>
          <w:sz w:val="24"/>
          <w:szCs w:val="24"/>
          <w:lang w:eastAsia="bg-BG"/>
        </w:rPr>
        <w:t xml:space="preserve"> </w:t>
      </w:r>
      <w:r w:rsidR="009879E3" w:rsidRPr="007A0B0A">
        <w:rPr>
          <w:rFonts w:ascii="Times New Roman" w:eastAsia="Times New Roman" w:hAnsi="Times New Roman" w:cs="Times New Roman"/>
          <w:sz w:val="24"/>
          <w:szCs w:val="24"/>
          <w:lang w:eastAsia="bg-BG"/>
        </w:rPr>
        <w:t>конкретният бенефициент</w:t>
      </w:r>
      <w:r w:rsidR="001A27BD">
        <w:rPr>
          <w:rFonts w:ascii="Times New Roman" w:eastAsia="Times New Roman" w:hAnsi="Times New Roman" w:cs="Times New Roman"/>
          <w:sz w:val="24"/>
          <w:szCs w:val="24"/>
          <w:lang w:eastAsia="bg-BG"/>
        </w:rPr>
        <w:t xml:space="preserve"> НКЖИ </w:t>
      </w:r>
      <w:r w:rsidR="009879E3" w:rsidRPr="007A0B0A">
        <w:rPr>
          <w:rFonts w:ascii="Times New Roman" w:eastAsia="Times New Roman" w:hAnsi="Times New Roman" w:cs="Times New Roman"/>
          <w:iCs/>
          <w:sz w:val="24"/>
          <w:szCs w:val="24"/>
          <w:lang w:eastAsia="bg-BG"/>
        </w:rPr>
        <w:t>подава Формуляр за кандидатстване, с приложени към него прил</w:t>
      </w:r>
      <w:r w:rsidR="001A27BD">
        <w:rPr>
          <w:rFonts w:ascii="Times New Roman" w:eastAsia="Times New Roman" w:hAnsi="Times New Roman" w:cs="Times New Roman"/>
          <w:iCs/>
          <w:sz w:val="24"/>
          <w:szCs w:val="24"/>
          <w:lang w:eastAsia="bg-BG"/>
        </w:rPr>
        <w:t>ожими документи, посочени в т. 21</w:t>
      </w:r>
      <w:r w:rsidR="009879E3" w:rsidRPr="007A0B0A">
        <w:rPr>
          <w:rFonts w:ascii="Times New Roman" w:eastAsia="Times New Roman" w:hAnsi="Times New Roman" w:cs="Times New Roman"/>
          <w:iCs/>
          <w:sz w:val="24"/>
          <w:szCs w:val="24"/>
          <w:lang w:eastAsia="bg-BG"/>
        </w:rPr>
        <w:t xml:space="preserve"> от настоящите Условия за кандидатстване. </w:t>
      </w:r>
    </w:p>
    <w:p w14:paraId="7926ED67" w14:textId="3AA35F06" w:rsidR="009879E3" w:rsidRPr="008D4AB4" w:rsidRDefault="00CB0880" w:rsidP="00890E38">
      <w:pPr>
        <w:pStyle w:val="ListParagraph"/>
        <w:ind w:left="0" w:firstLine="567"/>
        <w:jc w:val="both"/>
        <w:rPr>
          <w:rFonts w:ascii="Times New Roman" w:eastAsia="Times New Roman" w:hAnsi="Times New Roman" w:cs="Times New Roman"/>
          <w:iCs/>
          <w:sz w:val="24"/>
          <w:szCs w:val="24"/>
          <w:lang w:eastAsia="bg-BG"/>
        </w:rPr>
      </w:pPr>
      <w:r w:rsidRPr="008D4AB4">
        <w:rPr>
          <w:rFonts w:ascii="Times New Roman" w:eastAsia="Times New Roman" w:hAnsi="Times New Roman" w:cs="Times New Roman"/>
          <w:iCs/>
          <w:sz w:val="24"/>
          <w:szCs w:val="24"/>
          <w:lang w:eastAsia="bg-BG"/>
        </w:rPr>
        <w:t xml:space="preserve">Периодът </w:t>
      </w:r>
      <w:r w:rsidR="00F73785" w:rsidRPr="008D4AB4">
        <w:rPr>
          <w:rFonts w:ascii="Times New Roman" w:eastAsia="Times New Roman" w:hAnsi="Times New Roman" w:cs="Times New Roman"/>
          <w:iCs/>
          <w:sz w:val="24"/>
          <w:szCs w:val="24"/>
          <w:lang w:eastAsia="bg-BG"/>
        </w:rPr>
        <w:t>з</w:t>
      </w:r>
      <w:r w:rsidRPr="008D4AB4">
        <w:rPr>
          <w:rFonts w:ascii="Times New Roman" w:eastAsia="Times New Roman" w:hAnsi="Times New Roman" w:cs="Times New Roman"/>
          <w:iCs/>
          <w:sz w:val="24"/>
          <w:szCs w:val="24"/>
          <w:lang w:eastAsia="bg-BG"/>
        </w:rPr>
        <w:t>а извършване на разходите</w:t>
      </w:r>
      <w:r w:rsidR="00B23ACB">
        <w:rPr>
          <w:rFonts w:ascii="Times New Roman" w:eastAsia="Times New Roman" w:hAnsi="Times New Roman" w:cs="Times New Roman"/>
          <w:iCs/>
          <w:sz w:val="24"/>
          <w:szCs w:val="24"/>
          <w:lang w:eastAsia="bg-BG"/>
        </w:rPr>
        <w:t xml:space="preserve"> за проектите е съгласн</w:t>
      </w:r>
      <w:r w:rsidR="003032BD">
        <w:rPr>
          <w:rFonts w:ascii="Times New Roman" w:eastAsia="Times New Roman" w:hAnsi="Times New Roman" w:cs="Times New Roman"/>
          <w:iCs/>
          <w:sz w:val="24"/>
          <w:szCs w:val="24"/>
          <w:lang w:eastAsia="bg-BG"/>
        </w:rPr>
        <w:t>о</w:t>
      </w:r>
      <w:r w:rsidR="00B23ACB">
        <w:rPr>
          <w:rFonts w:ascii="Times New Roman" w:eastAsia="Times New Roman" w:hAnsi="Times New Roman" w:cs="Times New Roman"/>
          <w:iCs/>
          <w:sz w:val="24"/>
          <w:szCs w:val="24"/>
          <w:lang w:eastAsia="bg-BG"/>
        </w:rPr>
        <w:t xml:space="preserve"> графикът им за изпълнение, но не по-късно от 31.12.2029 г</w:t>
      </w:r>
      <w:r w:rsidR="00D21623">
        <w:rPr>
          <w:rFonts w:ascii="Times New Roman" w:eastAsia="Times New Roman" w:hAnsi="Times New Roman" w:cs="Times New Roman"/>
          <w:iCs/>
          <w:sz w:val="24"/>
          <w:szCs w:val="24"/>
          <w:lang w:eastAsia="bg-BG"/>
        </w:rPr>
        <w:t>.</w:t>
      </w:r>
    </w:p>
    <w:p w14:paraId="656E92F5" w14:textId="77777777" w:rsidR="00D32B8F" w:rsidRPr="008D4AB4" w:rsidRDefault="00D32B8F" w:rsidP="00EA7EF4">
      <w:pPr>
        <w:pStyle w:val="ListParagraph"/>
        <w:ind w:left="0"/>
        <w:jc w:val="both"/>
        <w:rPr>
          <w:rFonts w:ascii="Times New Roman" w:eastAsia="Times New Roman" w:hAnsi="Times New Roman" w:cs="Times New Roman"/>
          <w:b/>
          <w:sz w:val="24"/>
          <w:szCs w:val="24"/>
          <w:lang w:eastAsia="bg-BG"/>
        </w:rPr>
      </w:pPr>
    </w:p>
    <w:p w14:paraId="092A5C14" w14:textId="6D327DB3" w:rsidR="0008198A" w:rsidRPr="008D4AB4" w:rsidRDefault="00D32B8F" w:rsidP="0008198A">
      <w:pPr>
        <w:pStyle w:val="ListParagraph"/>
        <w:pBdr>
          <w:top w:val="single" w:sz="4" w:space="1" w:color="auto"/>
          <w:left w:val="single" w:sz="4" w:space="4" w:color="auto"/>
          <w:bottom w:val="single" w:sz="4" w:space="1" w:color="auto"/>
          <w:right w:val="single" w:sz="4" w:space="4" w:color="auto"/>
        </w:pBdr>
        <w:shd w:val="clear" w:color="auto" w:fill="DEEAF6" w:themeFill="accent1" w:themeFillTint="33"/>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shd w:val="clear" w:color="auto" w:fill="DEEAF6" w:themeFill="accent1" w:themeFillTint="33"/>
          <w:lang w:eastAsia="bg-BG"/>
        </w:rPr>
        <w:t>ВАЖНО</w:t>
      </w:r>
      <w:r w:rsidRPr="008D4AB4">
        <w:rPr>
          <w:rFonts w:ascii="Times New Roman" w:eastAsia="Times New Roman" w:hAnsi="Times New Roman" w:cs="Times New Roman"/>
          <w:sz w:val="24"/>
          <w:szCs w:val="24"/>
          <w:shd w:val="clear" w:color="auto" w:fill="DEEAF6" w:themeFill="accent1" w:themeFillTint="33"/>
          <w:lang w:eastAsia="bg-BG"/>
        </w:rPr>
        <w:t>: При осъществяването на дейностите в областта на електронното управление и</w:t>
      </w:r>
      <w:r w:rsidRPr="008D4AB4">
        <w:rPr>
          <w:rFonts w:ascii="Times New Roman" w:eastAsia="Times New Roman" w:hAnsi="Times New Roman" w:cs="Times New Roman"/>
          <w:sz w:val="24"/>
          <w:szCs w:val="24"/>
          <w:lang w:eastAsia="bg-BG"/>
        </w:rPr>
        <w:t xml:space="preserve">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8D4AB4">
        <w:rPr>
          <w:rFonts w:ascii="Times New Roman" w:eastAsia="Times New Roman" w:hAnsi="Times New Roman" w:cs="Times New Roman"/>
          <w:sz w:val="24"/>
          <w:szCs w:val="24"/>
          <w:lang w:eastAsia="bg-BG"/>
        </w:rPr>
        <w:t xml:space="preserve">те административни </w:t>
      </w:r>
      <w:r w:rsidRPr="008D4AB4">
        <w:rPr>
          <w:rFonts w:ascii="Times New Roman" w:eastAsia="Times New Roman" w:hAnsi="Times New Roman" w:cs="Times New Roman"/>
          <w:sz w:val="24"/>
          <w:szCs w:val="24"/>
          <w:lang w:eastAsia="bg-BG"/>
        </w:rPr>
        <w:t>услуги.</w:t>
      </w:r>
    </w:p>
    <w:p w14:paraId="79699E6D" w14:textId="6333D338" w:rsidR="008A376E" w:rsidRPr="008D4AB4" w:rsidRDefault="00CF2360" w:rsidP="00CF16B0">
      <w:pPr>
        <w:spacing w:line="240" w:lineRule="auto"/>
        <w:ind w:firstLine="708"/>
        <w:jc w:val="both"/>
        <w:rPr>
          <w:rFonts w:ascii="Times New Roman" w:hAnsi="Times New Roman" w:cs="Times New Roman"/>
          <w:sz w:val="24"/>
          <w:szCs w:val="24"/>
        </w:rPr>
      </w:pPr>
      <w:r w:rsidRPr="007A0B0A">
        <w:rPr>
          <w:rFonts w:ascii="Times New Roman" w:hAnsi="Times New Roman" w:cs="Times New Roman"/>
          <w:sz w:val="24"/>
          <w:szCs w:val="24"/>
        </w:rPr>
        <w:t xml:space="preserve">В случай на изменение на ПТС, при което са настъпили промени в допустимите дейности, изменението се прилага </w:t>
      </w:r>
      <w:r w:rsidR="00CF16B0">
        <w:rPr>
          <w:rFonts w:ascii="Times New Roman" w:hAnsi="Times New Roman" w:cs="Times New Roman"/>
          <w:sz w:val="24"/>
          <w:szCs w:val="24"/>
        </w:rPr>
        <w:t xml:space="preserve">автоматично </w:t>
      </w:r>
      <w:r w:rsidRPr="007A0B0A">
        <w:rPr>
          <w:rFonts w:ascii="Times New Roman" w:hAnsi="Times New Roman" w:cs="Times New Roman"/>
          <w:sz w:val="24"/>
          <w:szCs w:val="24"/>
        </w:rPr>
        <w:t>в настоящите насоки от датата на одобрението на програмата от ЕК.</w:t>
      </w:r>
      <w:r w:rsidR="00CF16B0">
        <w:rPr>
          <w:rFonts w:ascii="Times New Roman" w:hAnsi="Times New Roman" w:cs="Times New Roman"/>
          <w:sz w:val="24"/>
          <w:szCs w:val="24"/>
        </w:rPr>
        <w:t xml:space="preserve"> </w:t>
      </w:r>
    </w:p>
    <w:p w14:paraId="12ED2287" w14:textId="67833EB7" w:rsidR="00FB28D2" w:rsidRPr="008D4AB4" w:rsidRDefault="008F616E" w:rsidP="0008198A">
      <w:pPr>
        <w:pBdr>
          <w:top w:val="single" w:sz="4" w:space="1" w:color="auto"/>
          <w:left w:val="single" w:sz="4" w:space="4" w:color="auto"/>
          <w:bottom w:val="single" w:sz="4" w:space="1" w:color="auto"/>
          <w:right w:val="single" w:sz="4" w:space="4" w:color="auto"/>
        </w:pBdr>
        <w:shd w:val="clear" w:color="auto" w:fill="DEEAF6" w:themeFill="accent1" w:themeFillTint="33"/>
        <w:spacing w:line="240" w:lineRule="auto"/>
        <w:jc w:val="both"/>
        <w:rPr>
          <w:rFonts w:ascii="Times New Roman" w:hAnsi="Times New Roman" w:cs="Times New Roman"/>
          <w:sz w:val="24"/>
          <w:szCs w:val="24"/>
        </w:rPr>
      </w:pPr>
      <w:r w:rsidRPr="008D4AB4">
        <w:rPr>
          <w:rFonts w:ascii="Times New Roman" w:hAnsi="Times New Roman" w:cs="Times New Roman"/>
          <w:b/>
          <w:sz w:val="24"/>
          <w:szCs w:val="24"/>
        </w:rPr>
        <w:lastRenderedPageBreak/>
        <w:t>ВАЖНО:</w:t>
      </w:r>
      <w:r w:rsidRPr="008D4AB4">
        <w:rPr>
          <w:rFonts w:ascii="Times New Roman" w:hAnsi="Times New Roman" w:cs="Times New Roman"/>
          <w:sz w:val="24"/>
          <w:szCs w:val="24"/>
        </w:rPr>
        <w:t xml:space="preserve"> Кандидатът няма право да подава </w:t>
      </w:r>
      <w:r w:rsidR="006F0FEA" w:rsidRPr="008D4AB4">
        <w:rPr>
          <w:rFonts w:ascii="Times New Roman" w:hAnsi="Times New Roman" w:cs="Times New Roman"/>
          <w:sz w:val="24"/>
          <w:szCs w:val="24"/>
        </w:rPr>
        <w:t xml:space="preserve">Формуляр за кандидатстване </w:t>
      </w:r>
      <w:r w:rsidRPr="008D4AB4">
        <w:rPr>
          <w:rFonts w:ascii="Times New Roman" w:hAnsi="Times New Roman" w:cs="Times New Roman"/>
          <w:sz w:val="24"/>
          <w:szCs w:val="24"/>
        </w:rPr>
        <w:t xml:space="preserve">за </w:t>
      </w:r>
      <w:r w:rsidR="009E21BF" w:rsidRPr="008D4AB4">
        <w:rPr>
          <w:rFonts w:ascii="Times New Roman" w:hAnsi="Times New Roman" w:cs="Times New Roman"/>
          <w:sz w:val="24"/>
          <w:szCs w:val="24"/>
        </w:rPr>
        <w:t>операции</w:t>
      </w:r>
      <w:r w:rsidRPr="008D4AB4">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6BD73FE5" w:rsidR="002325A3" w:rsidRPr="008D4AB4" w:rsidRDefault="003D562F" w:rsidP="002D68A3">
      <w:pPr>
        <w:pStyle w:val="Heading2"/>
        <w:numPr>
          <w:ilvl w:val="0"/>
          <w:numId w:val="25"/>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3" w:name="_Toc136269953"/>
      <w:r w:rsidRPr="008D4AB4">
        <w:rPr>
          <w:rFonts w:ascii="Times New Roman" w:hAnsi="Times New Roman" w:cs="Times New Roman"/>
        </w:rPr>
        <w:t>Категории р</w:t>
      </w:r>
      <w:r w:rsidR="002325A3" w:rsidRPr="008D4AB4">
        <w:rPr>
          <w:rFonts w:ascii="Times New Roman" w:hAnsi="Times New Roman" w:cs="Times New Roman"/>
        </w:rPr>
        <w:t>азходи, допустими за финансиране:</w:t>
      </w:r>
      <w:bookmarkEnd w:id="13"/>
    </w:p>
    <w:p w14:paraId="706EA400" w14:textId="38392A62" w:rsidR="00336E80" w:rsidRPr="008D4AB4" w:rsidRDefault="00336E80" w:rsidP="00115659">
      <w:pPr>
        <w:spacing w:line="240" w:lineRule="auto"/>
        <w:ind w:firstLine="708"/>
        <w:jc w:val="both"/>
        <w:rPr>
          <w:rFonts w:ascii="Times New Roman" w:hAnsi="Times New Roman" w:cs="Times New Roman"/>
          <w:sz w:val="24"/>
          <w:szCs w:val="24"/>
        </w:rPr>
      </w:pPr>
      <w:bookmarkStart w:id="14" w:name="_Toc442298722"/>
      <w:r w:rsidRPr="008D4AB4">
        <w:rPr>
          <w:rFonts w:ascii="Times New Roman" w:hAnsi="Times New Roman" w:cs="Times New Roman"/>
          <w:sz w:val="24"/>
          <w:szCs w:val="24"/>
        </w:rPr>
        <w:t>Допустимостта на разходите се определя въз основа на националните правила, освен в случаите, в които са определени специални правила във или въз основа на Регламент 2021/1060  или Регламент 2021/1058.</w:t>
      </w:r>
    </w:p>
    <w:p w14:paraId="6CC3FDCC" w14:textId="1692D873" w:rsidR="001603B0" w:rsidRPr="008D4AB4" w:rsidRDefault="001603B0" w:rsidP="00C66898">
      <w:pPr>
        <w:pStyle w:val="Heading2"/>
        <w:numPr>
          <w:ilvl w:val="1"/>
          <w:numId w:val="25"/>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5" w:name="_Toc136269954"/>
      <w:r w:rsidRPr="008D4AB4">
        <w:rPr>
          <w:rFonts w:ascii="Times New Roman" w:hAnsi="Times New Roman" w:cs="Times New Roman"/>
        </w:rPr>
        <w:t>Условия за допустимост на разходите</w:t>
      </w:r>
      <w:bookmarkEnd w:id="14"/>
      <w:bookmarkEnd w:id="15"/>
    </w:p>
    <w:p w14:paraId="08BCD0E4" w14:textId="77777777" w:rsidR="00115659" w:rsidRPr="008D4AB4" w:rsidRDefault="00115659" w:rsidP="00115659">
      <w:pPr>
        <w:spacing w:after="24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Допустимите разходи </w:t>
      </w:r>
      <w:r w:rsidRPr="008D4AB4">
        <w:rPr>
          <w:rFonts w:ascii="Times New Roman" w:eastAsia="Calibri" w:hAnsi="Times New Roman" w:cs="Times New Roman"/>
          <w:sz w:val="24"/>
          <w:szCs w:val="24"/>
        </w:rPr>
        <w:t xml:space="preserve">следва да са извършени законосъобразно и </w:t>
      </w:r>
      <w:r w:rsidRPr="008D4AB4">
        <w:rPr>
          <w:rFonts w:ascii="Times New Roman" w:hAnsi="Times New Roman" w:cs="Times New Roman"/>
          <w:sz w:val="24"/>
          <w:szCs w:val="24"/>
        </w:rPr>
        <w:t xml:space="preserve">не трябва да противоречат на правилата, описани в Регламент (ЕС) 2021/1060 на Европейския парламент и на Съвета от 24 юни 2021 година </w:t>
      </w:r>
      <w:r w:rsidRPr="008D4AB4">
        <w:rPr>
          <w:rFonts w:ascii="Times New Roman" w:hAnsi="Times New Roman" w:cs="Times New Roman"/>
          <w:i/>
          <w:sz w:val="24"/>
          <w:szCs w:val="24"/>
        </w:rPr>
        <w:t xml:space="preserve">за установяване на </w:t>
      </w:r>
      <w:proofErr w:type="spellStart"/>
      <w:r w:rsidRPr="008D4AB4">
        <w:rPr>
          <w:rFonts w:ascii="Times New Roman" w:hAnsi="Times New Roman" w:cs="Times New Roman"/>
          <w:i/>
          <w:sz w:val="24"/>
          <w:szCs w:val="24"/>
        </w:rPr>
        <w:t>общоприложимите</w:t>
      </w:r>
      <w:proofErr w:type="spellEnd"/>
      <w:r w:rsidRPr="008D4AB4">
        <w:rPr>
          <w:rFonts w:ascii="Times New Roman" w:hAnsi="Times New Roman" w:cs="Times New Roman"/>
          <w:i/>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8D4AB4">
        <w:rPr>
          <w:rFonts w:ascii="Times New Roman" w:hAnsi="Times New Roman" w:cs="Times New Roman"/>
          <w:i/>
          <w:sz w:val="24"/>
          <w:szCs w:val="24"/>
        </w:rPr>
        <w:t>аквакултури</w:t>
      </w:r>
      <w:proofErr w:type="spellEnd"/>
      <w:r w:rsidRPr="008D4AB4">
        <w:rPr>
          <w:rFonts w:ascii="Times New Roman" w:hAnsi="Times New Roman" w:cs="Times New Roman"/>
          <w:i/>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D4AB4">
        <w:rPr>
          <w:rFonts w:ascii="Times New Roman" w:hAnsi="Times New Roman" w:cs="Times New Roman"/>
          <w:sz w:val="24"/>
          <w:szCs w:val="24"/>
        </w:rPr>
        <w:t xml:space="preserve">, Регламент (ЕС) 2021/1058 на Европейския парламент и на Съвета от 24 юни 2021 година </w:t>
      </w:r>
      <w:hyperlink r:id="rId10" w:tooltip="32021R1058" w:history="1">
        <w:r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Pr="008D4AB4">
        <w:rPr>
          <w:rFonts w:ascii="Times New Roman" w:hAnsi="Times New Roman" w:cs="Times New Roman"/>
          <w:sz w:val="24"/>
          <w:szCs w:val="24"/>
        </w:rPr>
        <w:t xml:space="preserve">, Регламент (ЕС, </w:t>
      </w:r>
      <w:proofErr w:type="spellStart"/>
      <w:r w:rsidRPr="008D4AB4">
        <w:rPr>
          <w:rFonts w:ascii="Times New Roman" w:hAnsi="Times New Roman" w:cs="Times New Roman"/>
          <w:sz w:val="24"/>
          <w:szCs w:val="24"/>
        </w:rPr>
        <w:t>Евратом</w:t>
      </w:r>
      <w:proofErr w:type="spellEnd"/>
      <w:r w:rsidRPr="008D4AB4">
        <w:rPr>
          <w:rFonts w:ascii="Times New Roman" w:hAnsi="Times New Roman" w:cs="Times New Roman"/>
          <w:sz w:val="24"/>
          <w:szCs w:val="24"/>
        </w:rPr>
        <w:t xml:space="preserve">) 2018/1046 на Европейския парламент и на Съвета от 18 юли 2018 година </w:t>
      </w:r>
      <w:r w:rsidRPr="008D4AB4">
        <w:rPr>
          <w:rFonts w:ascii="Times New Roman" w:hAnsi="Times New Roman" w:cs="Times New Roman"/>
          <w:i/>
          <w:sz w:val="24"/>
          <w:szCs w:val="24"/>
        </w:rPr>
        <w:t>за финансовите правила, приложими за общия бюджет на Съюза</w:t>
      </w:r>
      <w:r w:rsidRPr="008D4AB4">
        <w:rPr>
          <w:rFonts w:ascii="Times New Roman" w:hAnsi="Times New Roman" w:cs="Times New Roman"/>
          <w:sz w:val="24"/>
          <w:szCs w:val="24"/>
        </w:rPr>
        <w:t xml:space="preserve">, </w:t>
      </w:r>
      <w:r w:rsidRPr="008D4AB4">
        <w:rPr>
          <w:rFonts w:ascii="Times New Roman" w:hAnsi="Times New Roman" w:cs="Times New Roman"/>
          <w:i/>
          <w:sz w:val="24"/>
          <w:szCs w:val="24"/>
        </w:rPr>
        <w:t xml:space="preserve">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D4AB4">
        <w:rPr>
          <w:rFonts w:ascii="Times New Roman" w:hAnsi="Times New Roman" w:cs="Times New Roman"/>
          <w:i/>
          <w:sz w:val="24"/>
          <w:szCs w:val="24"/>
        </w:rPr>
        <w:t>Евратом</w:t>
      </w:r>
      <w:proofErr w:type="spellEnd"/>
      <w:r w:rsidRPr="008D4AB4">
        <w:rPr>
          <w:rFonts w:ascii="Times New Roman" w:hAnsi="Times New Roman" w:cs="Times New Roman"/>
          <w:i/>
          <w:sz w:val="24"/>
          <w:szCs w:val="24"/>
        </w:rPr>
        <w:t>) № 966/2012</w:t>
      </w:r>
      <w:r w:rsidRPr="008D4AB4">
        <w:rPr>
          <w:rFonts w:ascii="Times New Roman" w:hAnsi="Times New Roman" w:cs="Times New Roman"/>
          <w:sz w:val="24"/>
          <w:szCs w:val="24"/>
        </w:rPr>
        <w:t>),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и настоящите Условия за кандидатстване.</w:t>
      </w:r>
    </w:p>
    <w:p w14:paraId="1AEDA75A" w14:textId="50393145" w:rsidR="004966C5" w:rsidRPr="008D4AB4" w:rsidRDefault="004966C5"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Съгласно чл. 63 </w:t>
      </w:r>
      <w:r w:rsidRPr="008D4AB4">
        <w:rPr>
          <w:rFonts w:ascii="Times New Roman" w:hAnsi="Times New Roman" w:cs="Times New Roman"/>
          <w:sz w:val="24"/>
          <w:szCs w:val="24"/>
        </w:rPr>
        <w:t>на Регламент 2021/1060 относно допустимостта на разходите:</w:t>
      </w:r>
    </w:p>
    <w:p w14:paraId="289C6C34" w14:textId="210B3C71" w:rsidR="00115659" w:rsidRPr="008D4AB4" w:rsidRDefault="00115659" w:rsidP="00C66898">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4966C5" w:rsidRPr="008D4AB4">
        <w:rPr>
          <w:rFonts w:ascii="Times New Roman" w:eastAsia="Times New Roman" w:hAnsi="Times New Roman" w:cs="Times New Roman"/>
          <w:sz w:val="24"/>
          <w:szCs w:val="24"/>
          <w:lang w:eastAsia="bg-BG"/>
        </w:rPr>
        <w:t xml:space="preserve">нт </w:t>
      </w:r>
      <w:r w:rsidRPr="008D4AB4">
        <w:rPr>
          <w:rFonts w:ascii="Times New Roman" w:eastAsia="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w:t>
      </w:r>
      <w:r w:rsidRPr="008D4AB4">
        <w:rPr>
          <w:rFonts w:ascii="Times New Roman" w:eastAsia="Times New Roman" w:hAnsi="Times New Roman" w:cs="Times New Roman"/>
          <w:b/>
          <w:sz w:val="24"/>
          <w:szCs w:val="24"/>
          <w:lang w:eastAsia="bg-BG"/>
        </w:rPr>
        <w:t>ранната</w:t>
      </w:r>
      <w:r w:rsidRPr="008D4AB4">
        <w:rPr>
          <w:rFonts w:ascii="Times New Roman" w:eastAsia="Times New Roman" w:hAnsi="Times New Roman" w:cs="Times New Roman"/>
          <w:sz w:val="24"/>
          <w:szCs w:val="24"/>
          <w:lang w:eastAsia="bg-BG"/>
        </w:rPr>
        <w:t xml:space="preserve"> от двете дати, и 31 декември 2029 г.</w:t>
      </w:r>
    </w:p>
    <w:p w14:paraId="13EFD6D8"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разходи, възстановени съгласно член 53, параграф 1, букви б), в) и е), действията, представляващи основание за възстановяване, трябва да са извършени между датата на представяне на програмата на Комисията или от 1 януари 2021 г., като се взема по-ранната от двете дати, и 31 декември 2029 г.</w:t>
      </w:r>
    </w:p>
    <w:p w14:paraId="7311C8AC" w14:textId="54E94A4F" w:rsidR="00115659" w:rsidRPr="00115659" w:rsidRDefault="00115659" w:rsidP="00C66898">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ЕФРР разходите, свързани с операции, обхващащи повече от една категория региони, както е посочено в член 108, параграф 2, в рамките на дадена държава членка, се разпределят между съответните категории региони на пропорционална основа в съответствие с обективни критерии.</w:t>
      </w:r>
    </w:p>
    <w:p w14:paraId="671702B9" w14:textId="77777777" w:rsidR="004966C5" w:rsidRPr="008D4AB4" w:rsidRDefault="00115659" w:rsidP="00C66898">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Цяла операция или част от операция може да се изпълнява извън държава членка, включително извън територията на Съюза, при условие че операцията допринася за целите на програмата.</w:t>
      </w:r>
    </w:p>
    <w:p w14:paraId="7DD4A6CD" w14:textId="77777777" w:rsidR="004966C5" w:rsidRPr="008D4AB4" w:rsidRDefault="00115659" w:rsidP="00C66898">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lastRenderedPageBreak/>
        <w:t>За безвъзмездни средства под формите, посочени в член 53, параграф 1, букви б), в) и г), разходите, които са допустими за получаване на принос от фондовете, са равни на сумите, изчислени в съответствие с член 53, параграф 3.</w:t>
      </w:r>
    </w:p>
    <w:p w14:paraId="44884153" w14:textId="77777777" w:rsidR="004966C5" w:rsidRPr="008D4AB4" w:rsidRDefault="00115659" w:rsidP="00C66898">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Не се избират за подкрепа от фондовете операции, които са били физически завършени или изцяло изпълнени преди подаването на заявлението за финансиране по програмата, независимо дали са направени всички свързани с тях плащания. </w:t>
      </w:r>
    </w:p>
    <w:p w14:paraId="13E4E368" w14:textId="77777777" w:rsidR="004966C5" w:rsidRPr="008D4AB4" w:rsidRDefault="00115659" w:rsidP="00C66898">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Разходи, които станат допустими вследствие на изменение на програмата, са допустими от датата на подаване на </w:t>
      </w:r>
      <w:r w:rsidR="004966C5" w:rsidRPr="008D4AB4">
        <w:rPr>
          <w:rFonts w:ascii="Times New Roman" w:eastAsia="Times New Roman" w:hAnsi="Times New Roman" w:cs="Times New Roman"/>
          <w:sz w:val="24"/>
          <w:szCs w:val="24"/>
          <w:lang w:eastAsia="bg-BG"/>
        </w:rPr>
        <w:t>съответното искане до Комисията.</w:t>
      </w:r>
    </w:p>
    <w:p w14:paraId="4A4E1183" w14:textId="1215EC83" w:rsidR="00115659" w:rsidRPr="008D4AB4" w:rsidRDefault="004966C5" w:rsidP="00C66898">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ЕФРР и</w:t>
      </w:r>
      <w:r w:rsidR="00115659" w:rsidRPr="008D4AB4">
        <w:rPr>
          <w:rFonts w:ascii="Times New Roman" w:eastAsia="Times New Roman" w:hAnsi="Times New Roman" w:cs="Times New Roman"/>
          <w:sz w:val="24"/>
          <w:szCs w:val="24"/>
          <w:lang w:eastAsia="bg-BG"/>
        </w:rPr>
        <w:t xml:space="preserve"> Кохезионния фонд разходите стават допустими вследствие на изменение на програмата, когато към програмата се добави нов вид интервенция, посоч</w:t>
      </w:r>
      <w:r w:rsidRPr="008D4AB4">
        <w:rPr>
          <w:rFonts w:ascii="Times New Roman" w:eastAsia="Times New Roman" w:hAnsi="Times New Roman" w:cs="Times New Roman"/>
          <w:sz w:val="24"/>
          <w:szCs w:val="24"/>
          <w:lang w:eastAsia="bg-BG"/>
        </w:rPr>
        <w:t>ена в таблица 1 от приложение I</w:t>
      </w:r>
      <w:r w:rsidR="00115659" w:rsidRPr="008D4AB4">
        <w:rPr>
          <w:rFonts w:ascii="Times New Roman" w:eastAsia="Times New Roman" w:hAnsi="Times New Roman" w:cs="Times New Roman"/>
          <w:sz w:val="24"/>
          <w:szCs w:val="24"/>
          <w:lang w:eastAsia="bg-BG"/>
        </w:rPr>
        <w:t>.</w:t>
      </w:r>
    </w:p>
    <w:p w14:paraId="3002B997" w14:textId="5FB4F679"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Когато </w:t>
      </w:r>
      <w:r w:rsidR="00161013">
        <w:rPr>
          <w:rFonts w:ascii="Times New Roman" w:eastAsia="Times New Roman" w:hAnsi="Times New Roman" w:cs="Times New Roman"/>
          <w:sz w:val="24"/>
          <w:szCs w:val="24"/>
          <w:lang w:eastAsia="bg-BG"/>
        </w:rPr>
        <w:t>ПТС</w:t>
      </w:r>
      <w:r w:rsidRPr="00115659">
        <w:rPr>
          <w:rFonts w:ascii="Times New Roman" w:eastAsia="Times New Roman" w:hAnsi="Times New Roman" w:cs="Times New Roman"/>
          <w:sz w:val="24"/>
          <w:szCs w:val="24"/>
          <w:lang w:eastAsia="bg-BG"/>
        </w:rPr>
        <w:t xml:space="preserve"> се изменя с цел реакция при природни бедствия, допустимостта на разходите във връзка с това изменение започва от датата на настъпване на природното бедствие.</w:t>
      </w:r>
    </w:p>
    <w:p w14:paraId="6CF347A1" w14:textId="78CB8F95" w:rsidR="004966C5" w:rsidRPr="008D4AB4" w:rsidRDefault="00115659" w:rsidP="00C66898">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Една операция може да получава подкрепа от един или няколко фонда или от една или няколко програми и от други инструменти на Съюза. В такива случаи разходите, декларирани в заявлението за плащане за един от фондовете, не се декларират за нито една от следните:</w:t>
      </w:r>
      <w:r w:rsidR="004966C5" w:rsidRPr="008D4AB4">
        <w:rPr>
          <w:rFonts w:ascii="Times New Roman" w:hAnsi="Times New Roman" w:cs="Times New Roman"/>
        </w:rPr>
        <w:t xml:space="preserve"> </w:t>
      </w:r>
      <w:r w:rsidR="004966C5" w:rsidRPr="008D4AB4">
        <w:rPr>
          <w:rFonts w:ascii="Times New Roman" w:eastAsia="Times New Roman" w:hAnsi="Times New Roman" w:cs="Times New Roman"/>
          <w:sz w:val="24"/>
          <w:szCs w:val="24"/>
          <w:lang w:eastAsia="bg-BG"/>
        </w:rPr>
        <w:t>а) подкрепа от друг фонд или инструмент на Съюза; б) подкрепа от същия фонд по друга програма.</w:t>
      </w:r>
    </w:p>
    <w:p w14:paraId="590D825C" w14:textId="01CE1150" w:rsidR="00115659" w:rsidRDefault="00115659"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Размерът на разходите, които се вписват в заявлението за плащане на един фонд, може да се изчисли за всеки от фондовете и за съответната програма или програми на пропорционална база в съответствие с документа, в който са определени условията за предоставяне на подкрепата.</w:t>
      </w:r>
    </w:p>
    <w:p w14:paraId="4EA67233" w14:textId="31911916"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ЗУСЕФСУ, разпоредбите на Регламент № 2018/1046, Регламент (ЕС) 2021/1058, Регламент (ЕС) 2021/1060 и приложимото национално законодателство за финансовата рамка 2021 – 2027. Разходите следва да са извършени в съответствие с принципа на доброто финансово управление, съгласно чл. 33 на Регламент (ЕС, ЕВРАТОМ) № 2018/1046 на Европейския парламент и на Съвета (Финансовият регламент). При 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6277F148" w14:textId="45BCDB6B"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Съгласно чл. 57, ал. 1 от ЗУСЕФСУ, за да бъдат допустими, разходите трябва да отговарят е</w:t>
      </w:r>
      <w:r w:rsidR="008D4AB4" w:rsidRPr="008D4AB4">
        <w:rPr>
          <w:rFonts w:ascii="Times New Roman" w:eastAsia="Times New Roman" w:hAnsi="Times New Roman" w:cs="Times New Roman"/>
          <w:sz w:val="24"/>
          <w:szCs w:val="24"/>
          <w:lang w:eastAsia="bg-BG"/>
        </w:rPr>
        <w:t>дновременно на следните условия</w:t>
      </w:r>
      <w:r w:rsidRPr="008D4AB4">
        <w:rPr>
          <w:rFonts w:ascii="Times New Roman" w:eastAsia="Times New Roman" w:hAnsi="Times New Roman" w:cs="Times New Roman"/>
          <w:sz w:val="24"/>
          <w:szCs w:val="24"/>
          <w:lang w:eastAsia="bg-BG"/>
        </w:rPr>
        <w:t>:</w:t>
      </w:r>
    </w:p>
    <w:p w14:paraId="2E70406F"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дейности, съответстващи на предвидените в одобрения проект и се</w:t>
      </w:r>
    </w:p>
    <w:p w14:paraId="23649DAB"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извършват от допустими бенефициенти по ПТС;</w:t>
      </w:r>
    </w:p>
    <w:p w14:paraId="66017D90"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попадат във включени в документите по чл. 26, ал. 1 от ЗУСЕФСУ и в одобрения проект категории разходи;</w:t>
      </w:r>
    </w:p>
    <w:p w14:paraId="623AF259"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не надхвърлят праговете за съответната категория в документите по чл.</w:t>
      </w:r>
    </w:p>
    <w:p w14:paraId="0A7035E6"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26, ал. 1 от ЗУСЕФСУ и в одобрения проект;</w:t>
      </w:r>
    </w:p>
    <w:p w14:paraId="0DD06BCF"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реално доставени продукти, извършени услуги, строителни и</w:t>
      </w:r>
    </w:p>
    <w:p w14:paraId="0FC4A0F8"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монтажни работи и положен труд;</w:t>
      </w:r>
    </w:p>
    <w:p w14:paraId="0560097D"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lastRenderedPageBreak/>
        <w:t>разходите са извършени законосъобразно съгласно приложимото право на Европейския съюз и българското законодателство;</w:t>
      </w:r>
    </w:p>
    <w:p w14:paraId="5058A726"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7411331F"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p>
    <w:p w14:paraId="52E30FB1"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съобразени с приложимите правила за предоставяне на държавни помощи;</w:t>
      </w:r>
    </w:p>
    <w:p w14:paraId="6BDDD4A3" w14:textId="77777777" w:rsidR="00115659" w:rsidRPr="008D4AB4" w:rsidRDefault="00115659" w:rsidP="00C66898">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правилата определени в нормативните актове на Министерски съвет по чл. 59, ал. 1 от ЗУСЕФСУ.</w:t>
      </w:r>
    </w:p>
    <w:p w14:paraId="176807B5" w14:textId="4860B615" w:rsidR="001603B0" w:rsidRPr="008D4AB4" w:rsidRDefault="001603B0" w:rsidP="00C66898">
      <w:pPr>
        <w:pStyle w:val="Heading2"/>
        <w:numPr>
          <w:ilvl w:val="1"/>
          <w:numId w:val="25"/>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6" w:name="_Toc442298723"/>
      <w:bookmarkStart w:id="17" w:name="_Toc136269955"/>
      <w:r w:rsidRPr="008D4AB4">
        <w:rPr>
          <w:rFonts w:ascii="Times New Roman" w:hAnsi="Times New Roman" w:cs="Times New Roman"/>
        </w:rPr>
        <w:t>Допустими разходи</w:t>
      </w:r>
      <w:bookmarkEnd w:id="16"/>
      <w:bookmarkEnd w:id="17"/>
    </w:p>
    <w:p w14:paraId="24837EE9" w14:textId="0C1BC41A" w:rsidR="00115659" w:rsidRPr="008D4AB4" w:rsidRDefault="00115659" w:rsidP="00F51ABD">
      <w:pPr>
        <w:spacing w:after="240" w:line="240" w:lineRule="auto"/>
        <w:ind w:firstLine="567"/>
        <w:jc w:val="both"/>
        <w:rPr>
          <w:rFonts w:ascii="Times New Roman" w:hAnsi="Times New Roman" w:cs="Times New Roman"/>
          <w:sz w:val="24"/>
          <w:szCs w:val="24"/>
        </w:rPr>
      </w:pPr>
      <w:r w:rsidRPr="008D4AB4">
        <w:rPr>
          <w:rFonts w:ascii="Times New Roman" w:hAnsi="Times New Roman" w:cs="Times New Roman"/>
          <w:sz w:val="24"/>
          <w:szCs w:val="24"/>
        </w:rPr>
        <w:t>За да бъдат допустими разходите по настоящата процедура чрез директно представяне на БФП,</w:t>
      </w:r>
      <w:r w:rsidRPr="008D4AB4" w:rsidDel="00965669">
        <w:rPr>
          <w:rFonts w:ascii="Times New Roman" w:hAnsi="Times New Roman" w:cs="Times New Roman"/>
          <w:sz w:val="24"/>
          <w:szCs w:val="24"/>
        </w:rPr>
        <w:t xml:space="preserve"> </w:t>
      </w:r>
      <w:r w:rsidRPr="008D4AB4">
        <w:rPr>
          <w:rFonts w:ascii="Times New Roman" w:hAnsi="Times New Roman" w:cs="Times New Roman"/>
          <w:sz w:val="24"/>
          <w:szCs w:val="24"/>
        </w:rPr>
        <w:t xml:space="preserve">трябва да отговарят на </w:t>
      </w:r>
      <w:r w:rsidR="00BB2944">
        <w:rPr>
          <w:rFonts w:ascii="Times New Roman" w:eastAsia="Times New Roman" w:hAnsi="Times New Roman" w:cs="Times New Roman"/>
          <w:sz w:val="24"/>
          <w:szCs w:val="24"/>
          <w:lang w:eastAsia="bg-BG"/>
        </w:rPr>
        <w:t xml:space="preserve">условията по т.14.1 от настоящите условия за кандидатстване </w:t>
      </w:r>
      <w:r w:rsidR="00BB2944">
        <w:rPr>
          <w:rFonts w:ascii="Times New Roman" w:hAnsi="Times New Roman" w:cs="Times New Roman"/>
          <w:sz w:val="24"/>
          <w:szCs w:val="24"/>
        </w:rPr>
        <w:t xml:space="preserve">и на </w:t>
      </w:r>
      <w:r w:rsidRPr="008D4AB4">
        <w:rPr>
          <w:rFonts w:ascii="Times New Roman" w:hAnsi="Times New Roman" w:cs="Times New Roman"/>
          <w:sz w:val="24"/>
          <w:szCs w:val="24"/>
        </w:rPr>
        <w:t xml:space="preserve">следните условия: </w:t>
      </w:r>
    </w:p>
    <w:p w14:paraId="0F31667A" w14:textId="6579C2EC" w:rsidR="007551DA" w:rsidRPr="008D4AB4" w:rsidRDefault="00BD6743" w:rsidP="0008198A">
      <w:pPr>
        <w:spacing w:after="240" w:line="240" w:lineRule="auto"/>
        <w:jc w:val="both"/>
        <w:rPr>
          <w:rFonts w:ascii="Times New Roman" w:hAnsi="Times New Roman" w:cs="Times New Roman"/>
          <w:sz w:val="24"/>
          <w:szCs w:val="24"/>
        </w:rPr>
      </w:pPr>
      <w:r w:rsidRPr="008D4AB4">
        <w:rPr>
          <w:rFonts w:ascii="Times New Roman" w:hAnsi="Times New Roman" w:cs="Times New Roman"/>
          <w:sz w:val="24"/>
          <w:szCs w:val="24"/>
        </w:rPr>
        <w:t>Допустими по настоящата процедура се следните разходи:</w:t>
      </w:r>
    </w:p>
    <w:p w14:paraId="5CB9607F" w14:textId="1D1B6A37" w:rsidR="00BD6743" w:rsidRPr="008D4AB4" w:rsidRDefault="00BD6743" w:rsidP="00C66898">
      <w:pPr>
        <w:pStyle w:val="ListParagraph"/>
        <w:numPr>
          <w:ilvl w:val="0"/>
          <w:numId w:val="8"/>
        </w:numPr>
        <w:spacing w:after="0" w:line="240" w:lineRule="auto"/>
        <w:ind w:right="142"/>
        <w:jc w:val="both"/>
        <w:rPr>
          <w:rFonts w:ascii="Times New Roman" w:hAnsi="Times New Roman" w:cs="Times New Roman"/>
          <w:sz w:val="24"/>
          <w:szCs w:val="24"/>
        </w:rPr>
      </w:pPr>
      <w:r w:rsidRPr="008D4AB4">
        <w:rPr>
          <w:rFonts w:ascii="Times New Roman" w:hAnsi="Times New Roman" w:cs="Times New Roman"/>
          <w:sz w:val="24"/>
          <w:szCs w:val="24"/>
          <w:lang w:eastAsia="bg-BG"/>
        </w:rPr>
        <w:t>Разходи</w:t>
      </w:r>
      <w:r w:rsidRPr="008D4AB4">
        <w:rPr>
          <w:rFonts w:ascii="Times New Roman" w:hAnsi="Times New Roman" w:cs="Times New Roman"/>
          <w:sz w:val="24"/>
          <w:szCs w:val="24"/>
        </w:rPr>
        <w:t>, свързани с изпълнението на посоче</w:t>
      </w:r>
      <w:r w:rsidR="00C3540A" w:rsidRPr="008D4AB4">
        <w:rPr>
          <w:rFonts w:ascii="Times New Roman" w:hAnsi="Times New Roman" w:cs="Times New Roman"/>
          <w:sz w:val="24"/>
          <w:szCs w:val="24"/>
        </w:rPr>
        <w:t>ните в т. 13 дейности</w:t>
      </w:r>
      <w:r w:rsidRPr="008D4AB4">
        <w:rPr>
          <w:rFonts w:ascii="Times New Roman" w:hAnsi="Times New Roman" w:cs="Times New Roman"/>
          <w:sz w:val="24"/>
          <w:szCs w:val="24"/>
        </w:rPr>
        <w:t>.</w:t>
      </w:r>
    </w:p>
    <w:p w14:paraId="6FE00E73" w14:textId="0DE767EA" w:rsidR="0024378B" w:rsidRPr="008D4AB4"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дейности, определени и извършени под отговорността на управляващ орган </w:t>
      </w:r>
      <w:r w:rsidR="006B573B" w:rsidRPr="008D4AB4">
        <w:rPr>
          <w:rFonts w:ascii="Times New Roman" w:hAnsi="Times New Roman" w:cs="Times New Roman"/>
          <w:sz w:val="24"/>
          <w:szCs w:val="24"/>
          <w:lang w:eastAsia="bg-BG"/>
        </w:rPr>
        <w:t xml:space="preserve">на ПТС </w:t>
      </w:r>
      <w:r w:rsidR="0024378B" w:rsidRPr="008D4AB4">
        <w:rPr>
          <w:rFonts w:ascii="Times New Roman" w:hAnsi="Times New Roman" w:cs="Times New Roman"/>
          <w:sz w:val="24"/>
          <w:szCs w:val="24"/>
          <w:lang w:eastAsia="bg-BG"/>
        </w:rPr>
        <w:t xml:space="preserve">и съгласно критериите за </w:t>
      </w:r>
      <w:r w:rsidR="006B573B" w:rsidRPr="008D4AB4">
        <w:rPr>
          <w:rFonts w:ascii="Times New Roman" w:hAnsi="Times New Roman" w:cs="Times New Roman"/>
          <w:sz w:val="24"/>
          <w:szCs w:val="24"/>
          <w:lang w:eastAsia="bg-BG"/>
        </w:rPr>
        <w:t>подбор</w:t>
      </w:r>
      <w:r w:rsidR="0024378B" w:rsidRPr="008D4AB4">
        <w:rPr>
          <w:rFonts w:ascii="Times New Roman" w:hAnsi="Times New Roman" w:cs="Times New Roman"/>
          <w:sz w:val="24"/>
          <w:szCs w:val="24"/>
          <w:lang w:eastAsia="bg-BG"/>
        </w:rPr>
        <w:t xml:space="preserve"> на операции, одобрени от Комитет за наблюдение</w:t>
      </w:r>
      <w:r w:rsidR="006B573B" w:rsidRPr="008D4AB4">
        <w:rPr>
          <w:rFonts w:ascii="Times New Roman" w:hAnsi="Times New Roman" w:cs="Times New Roman"/>
          <w:sz w:val="24"/>
          <w:szCs w:val="24"/>
          <w:lang w:eastAsia="bg-BG"/>
        </w:rPr>
        <w:t xml:space="preserve"> на ПТС</w:t>
      </w:r>
      <w:r w:rsidR="0024378B" w:rsidRPr="008D4AB4">
        <w:rPr>
          <w:rFonts w:ascii="Times New Roman" w:hAnsi="Times New Roman" w:cs="Times New Roman"/>
          <w:sz w:val="24"/>
          <w:szCs w:val="24"/>
          <w:lang w:eastAsia="bg-BG"/>
        </w:rPr>
        <w:t xml:space="preserve">; </w:t>
      </w:r>
    </w:p>
    <w:p w14:paraId="01973F7A" w14:textId="12D85077" w:rsidR="0024378B" w:rsidRPr="008D4AB4"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извършени от допустим по съответния приоритет на </w:t>
      </w:r>
      <w:r w:rsidR="006B573B" w:rsidRPr="008D4AB4">
        <w:rPr>
          <w:rFonts w:ascii="Times New Roman" w:hAnsi="Times New Roman" w:cs="Times New Roman"/>
          <w:sz w:val="24"/>
          <w:szCs w:val="24"/>
          <w:lang w:eastAsia="bg-BG"/>
        </w:rPr>
        <w:t>ПТС</w:t>
      </w:r>
      <w:r w:rsidR="0024378B" w:rsidRPr="008D4AB4">
        <w:rPr>
          <w:rFonts w:ascii="Times New Roman" w:hAnsi="Times New Roman" w:cs="Times New Roman"/>
          <w:sz w:val="24"/>
          <w:szCs w:val="24"/>
          <w:lang w:eastAsia="bg-BG"/>
        </w:rPr>
        <w:t xml:space="preserve"> бенефициент; </w:t>
      </w:r>
    </w:p>
    <w:p w14:paraId="226ADBCD" w14:textId="58D5D355" w:rsidR="0024378B" w:rsidRPr="008D4AB4"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Категориите </w:t>
      </w:r>
      <w:r w:rsidR="0024378B" w:rsidRPr="008D4AB4">
        <w:rPr>
          <w:rFonts w:ascii="Times New Roman" w:hAnsi="Times New Roman" w:cs="Times New Roman"/>
          <w:sz w:val="24"/>
          <w:szCs w:val="24"/>
          <w:lang w:eastAsia="bg-BG"/>
        </w:rPr>
        <w:t xml:space="preserve">разходи да са включени в договора за предоставяне на финансова подкрепа; </w:t>
      </w:r>
    </w:p>
    <w:p w14:paraId="739E74A0" w14:textId="108A5EFB" w:rsidR="009C544A"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Изборът </w:t>
      </w:r>
      <w:r w:rsidR="0024378B" w:rsidRPr="008D4AB4">
        <w:rPr>
          <w:rFonts w:ascii="Times New Roman" w:hAnsi="Times New Roman" w:cs="Times New Roman"/>
          <w:sz w:val="24"/>
          <w:szCs w:val="24"/>
          <w:lang w:eastAsia="bg-BG"/>
        </w:rPr>
        <w:t>на изпълнител за реализираните дейно</w:t>
      </w:r>
      <w:r w:rsidR="006B573B" w:rsidRPr="008D4AB4">
        <w:rPr>
          <w:rFonts w:ascii="Times New Roman" w:hAnsi="Times New Roman" w:cs="Times New Roman"/>
          <w:sz w:val="24"/>
          <w:szCs w:val="24"/>
          <w:lang w:eastAsia="bg-BG"/>
        </w:rPr>
        <w:t xml:space="preserve">сти </w:t>
      </w:r>
      <w:r w:rsidR="0024378B" w:rsidRPr="008D4AB4">
        <w:rPr>
          <w:rFonts w:ascii="Times New Roman" w:hAnsi="Times New Roman" w:cs="Times New Roman"/>
          <w:sz w:val="24"/>
          <w:szCs w:val="24"/>
          <w:lang w:eastAsia="bg-BG"/>
        </w:rPr>
        <w:t>(</w:t>
      </w:r>
      <w:r w:rsidR="006B573B" w:rsidRPr="008D4AB4">
        <w:rPr>
          <w:rFonts w:ascii="Times New Roman" w:hAnsi="Times New Roman" w:cs="Times New Roman"/>
          <w:sz w:val="24"/>
          <w:szCs w:val="24"/>
          <w:lang w:eastAsia="bg-BG"/>
        </w:rPr>
        <w:t xml:space="preserve">СМР, </w:t>
      </w:r>
      <w:r w:rsidR="0024378B" w:rsidRPr="008D4AB4">
        <w:rPr>
          <w:rFonts w:ascii="Times New Roman" w:hAnsi="Times New Roman" w:cs="Times New Roman"/>
          <w:sz w:val="24"/>
          <w:szCs w:val="24"/>
          <w:lang w:eastAsia="bg-BG"/>
        </w:rPr>
        <w:t>услуги и/или доставки) да е извършен в съответствие с действащото национално и с европейското законодателство</w:t>
      </w:r>
      <w:r>
        <w:rPr>
          <w:rFonts w:ascii="Times New Roman" w:hAnsi="Times New Roman" w:cs="Times New Roman"/>
          <w:sz w:val="24"/>
          <w:szCs w:val="24"/>
          <w:lang w:eastAsia="bg-BG"/>
        </w:rPr>
        <w:t xml:space="preserve"> за възлагане на обществени поръчки. </w:t>
      </w:r>
    </w:p>
    <w:p w14:paraId="3D6D96EC" w14:textId="05A58A31" w:rsidR="0024378B" w:rsidRPr="008D4AB4"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тях да е налична адекватна одитна следа, включително да са спазени разпоредбите за наличност на документите по чл. </w:t>
      </w:r>
      <w:r w:rsidR="006B573B" w:rsidRPr="008D4AB4">
        <w:rPr>
          <w:rFonts w:ascii="Times New Roman" w:hAnsi="Times New Roman" w:cs="Times New Roman"/>
          <w:sz w:val="24"/>
          <w:szCs w:val="24"/>
          <w:lang w:eastAsia="bg-BG"/>
        </w:rPr>
        <w:t xml:space="preserve">69, </w:t>
      </w:r>
      <w:proofErr w:type="spellStart"/>
      <w:r w:rsidR="006B573B" w:rsidRPr="008D4AB4">
        <w:rPr>
          <w:rFonts w:ascii="Times New Roman" w:hAnsi="Times New Roman" w:cs="Times New Roman"/>
          <w:sz w:val="24"/>
          <w:szCs w:val="24"/>
          <w:lang w:eastAsia="bg-BG"/>
        </w:rPr>
        <w:t>пар</w:t>
      </w:r>
      <w:proofErr w:type="spellEnd"/>
      <w:r w:rsidR="006B573B" w:rsidRPr="008D4AB4">
        <w:rPr>
          <w:rFonts w:ascii="Times New Roman" w:hAnsi="Times New Roman" w:cs="Times New Roman"/>
          <w:sz w:val="24"/>
          <w:szCs w:val="24"/>
          <w:lang w:eastAsia="bg-BG"/>
        </w:rPr>
        <w:t>. 6</w:t>
      </w:r>
      <w:r w:rsidR="0024378B" w:rsidRPr="008D4AB4">
        <w:rPr>
          <w:rFonts w:ascii="Times New Roman" w:hAnsi="Times New Roman" w:cs="Times New Roman"/>
          <w:sz w:val="24"/>
          <w:szCs w:val="24"/>
          <w:lang w:eastAsia="bg-BG"/>
        </w:rPr>
        <w:t xml:space="preserve"> от </w:t>
      </w:r>
      <w:r w:rsidR="006B573B" w:rsidRPr="008D4AB4">
        <w:rPr>
          <w:rFonts w:ascii="Times New Roman" w:hAnsi="Times New Roman" w:cs="Times New Roman"/>
          <w:sz w:val="24"/>
          <w:szCs w:val="24"/>
          <w:lang w:eastAsia="bg-BG"/>
        </w:rPr>
        <w:t>Регламент (ЕС) 2021/1060 на Европейския парламент и на Съвета от 24 юни 2021 година и Приложение XIII към него</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в съответствие с чл. 57, ал. 1, т. 7 от ЗУСЕФСУ, включително да са спазени изискванията за съхраняване на документите по чл. 82 от Регламент (ЕС) 2021/1060.</w:t>
      </w:r>
    </w:p>
    <w:p w14:paraId="3043A9BC" w14:textId="32B05611" w:rsidR="0024378B" w:rsidRPr="008D4AB4"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отразени в счетоводната документация на бенефициента чрез отделни счетоводни аналитични сметки или в отделна счетоводна система; </w:t>
      </w:r>
    </w:p>
    <w:p w14:paraId="53D3C0F8" w14:textId="48859A7C" w:rsidR="009C544A" w:rsidRPr="009C544A" w:rsidRDefault="009C544A" w:rsidP="00C66898">
      <w:pPr>
        <w:pStyle w:val="ListParagraph"/>
        <w:numPr>
          <w:ilvl w:val="0"/>
          <w:numId w:val="8"/>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Pr="009C544A">
        <w:rPr>
          <w:rFonts w:ascii="Times New Roman" w:hAnsi="Times New Roman" w:cs="Times New Roman"/>
          <w:sz w:val="24"/>
          <w:szCs w:val="24"/>
        </w:rPr>
        <w:t>разходо</w:t>
      </w:r>
      <w:proofErr w:type="spellEnd"/>
      <w:r w:rsidRPr="009C544A">
        <w:rPr>
          <w:rFonts w:ascii="Times New Roman" w:hAnsi="Times New Roman" w:cs="Times New Roman"/>
          <w:sz w:val="24"/>
          <w:szCs w:val="24"/>
        </w:rPr>
        <w:t>-оправдателни документи.</w:t>
      </w:r>
    </w:p>
    <w:p w14:paraId="2ED36E82" w14:textId="16FC3B7E" w:rsidR="0024378B" w:rsidRPr="008D4AB4"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за съфинансирани продукти и услуги, които са реално доставени, съобразно предварително заложените в договора за предоставяне на финансова подкрепа изисквания</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24378B" w:rsidRPr="008D4AB4">
        <w:rPr>
          <w:rFonts w:ascii="Times New Roman" w:hAnsi="Times New Roman" w:cs="Times New Roman"/>
          <w:sz w:val="24"/>
          <w:szCs w:val="24"/>
          <w:lang w:eastAsia="bg-BG"/>
        </w:rPr>
        <w:t>;</w:t>
      </w:r>
    </w:p>
    <w:p w14:paraId="00434992" w14:textId="1458D2BB" w:rsidR="0024378B" w:rsidRPr="008D4AB4"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В </w:t>
      </w:r>
      <w:r w:rsidR="0024378B" w:rsidRPr="008D4AB4">
        <w:rPr>
          <w:rFonts w:ascii="Times New Roman" w:hAnsi="Times New Roman" w:cs="Times New Roman"/>
          <w:sz w:val="24"/>
          <w:szCs w:val="24"/>
          <w:lang w:eastAsia="bg-BG"/>
        </w:rPr>
        <w:t>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14:paraId="306A1F6F" w14:textId="38943810" w:rsidR="0024378B" w:rsidRPr="008D4AB4" w:rsidRDefault="009C544A"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 xml:space="preserve">Да </w:t>
      </w:r>
      <w:r w:rsidR="0024378B" w:rsidRPr="008D4AB4">
        <w:rPr>
          <w:rFonts w:ascii="Times New Roman" w:hAnsi="Times New Roman" w:cs="Times New Roman"/>
          <w:sz w:val="24"/>
          <w:szCs w:val="24"/>
          <w:lang w:eastAsia="bg-BG"/>
        </w:rPr>
        <w:t>са извършени в съответствие с принципа на доброто финансово уп</w:t>
      </w:r>
      <w:r w:rsidR="00621D29" w:rsidRPr="008D4AB4">
        <w:rPr>
          <w:rFonts w:ascii="Times New Roman" w:hAnsi="Times New Roman" w:cs="Times New Roman"/>
          <w:sz w:val="24"/>
          <w:szCs w:val="24"/>
          <w:lang w:eastAsia="bg-BG"/>
        </w:rPr>
        <w:t>равление в съответствие с чл. 33</w:t>
      </w:r>
      <w:r w:rsidR="0024378B" w:rsidRPr="008D4AB4">
        <w:rPr>
          <w:rFonts w:ascii="Times New Roman" w:hAnsi="Times New Roman" w:cs="Times New Roman"/>
          <w:sz w:val="24"/>
          <w:szCs w:val="24"/>
          <w:lang w:eastAsia="bg-BG"/>
        </w:rPr>
        <w:t xml:space="preserve"> на </w:t>
      </w:r>
      <w:r w:rsidR="00621D29" w:rsidRPr="008D4AB4">
        <w:rPr>
          <w:rFonts w:ascii="Times New Roman" w:hAnsi="Times New Roman" w:cs="Times New Roman"/>
          <w:sz w:val="24"/>
          <w:szCs w:val="24"/>
          <w:lang w:eastAsia="bg-BG"/>
        </w:rPr>
        <w:t xml:space="preserve">Регламент (ЕС, </w:t>
      </w:r>
      <w:proofErr w:type="spellStart"/>
      <w:r w:rsidR="00621D29" w:rsidRPr="008D4AB4">
        <w:rPr>
          <w:rFonts w:ascii="Times New Roman" w:hAnsi="Times New Roman" w:cs="Times New Roman"/>
          <w:sz w:val="24"/>
          <w:szCs w:val="24"/>
          <w:lang w:eastAsia="bg-BG"/>
        </w:rPr>
        <w:t>Евратом</w:t>
      </w:r>
      <w:proofErr w:type="spellEnd"/>
      <w:r w:rsidR="00621D29" w:rsidRPr="008D4AB4">
        <w:rPr>
          <w:rFonts w:ascii="Times New Roman" w:hAnsi="Times New Roman" w:cs="Times New Roman"/>
          <w:sz w:val="24"/>
          <w:szCs w:val="24"/>
          <w:lang w:eastAsia="bg-BG"/>
        </w:rPr>
        <w:t>) 2018/1046 на Европейския парламент и на Съвета от 18 юли 2018 година</w:t>
      </w:r>
      <w:r w:rsidR="0024378B" w:rsidRPr="008D4AB4">
        <w:rPr>
          <w:rFonts w:ascii="Times New Roman" w:hAnsi="Times New Roman" w:cs="Times New Roman"/>
          <w:sz w:val="24"/>
          <w:szCs w:val="24"/>
          <w:lang w:eastAsia="bg-BG"/>
        </w:rPr>
        <w:t xml:space="preserve">. </w:t>
      </w:r>
    </w:p>
    <w:p w14:paraId="40B5E311" w14:textId="24B18EDC" w:rsidR="00336E80" w:rsidRPr="008D4AB4" w:rsidRDefault="00336E80"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BB2944">
        <w:rPr>
          <w:rFonts w:ascii="Times New Roman" w:hAnsi="Times New Roman" w:cs="Times New Roman"/>
          <w:sz w:val="24"/>
          <w:szCs w:val="24"/>
          <w:lang w:eastAsia="bg-BG"/>
        </w:rPr>
        <w:t>нт</w:t>
      </w:r>
      <w:r w:rsidRPr="008D4AB4">
        <w:rPr>
          <w:rFonts w:ascii="Times New Roman" w:hAnsi="Times New Roman" w:cs="Times New Roman"/>
          <w:sz w:val="24"/>
          <w:szCs w:val="24"/>
          <w:lang w:eastAsia="bg-BG"/>
        </w:rPr>
        <w:t xml:space="preserve"> </w:t>
      </w:r>
      <w:r w:rsidR="009C544A">
        <w:rPr>
          <w:rFonts w:ascii="Times New Roman" w:hAnsi="Times New Roman" w:cs="Times New Roman"/>
          <w:sz w:val="24"/>
          <w:szCs w:val="24"/>
          <w:lang w:eastAsia="bg-BG"/>
        </w:rPr>
        <w:t xml:space="preserve">по ПТС </w:t>
      </w:r>
      <w:r w:rsidRPr="008D4AB4">
        <w:rPr>
          <w:rFonts w:ascii="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r w:rsidR="009C544A">
        <w:rPr>
          <w:rFonts w:ascii="Times New Roman" w:hAnsi="Times New Roman" w:cs="Times New Roman"/>
          <w:sz w:val="24"/>
          <w:szCs w:val="24"/>
          <w:lang w:eastAsia="bg-BG"/>
        </w:rPr>
        <w:t xml:space="preserve"> Разходите следва д</w:t>
      </w:r>
      <w:r w:rsidR="009C544A" w:rsidRPr="009C544A">
        <w:rPr>
          <w:rFonts w:ascii="Times New Roman" w:hAnsi="Times New Roman" w:cs="Times New Roman"/>
          <w:sz w:val="24"/>
          <w:szCs w:val="24"/>
          <w:lang w:eastAsia="bg-BG"/>
        </w:rPr>
        <w:t xml:space="preserve">а бъдат извършени в периода от </w:t>
      </w:r>
      <w:r w:rsidR="009C544A">
        <w:rPr>
          <w:rFonts w:ascii="Times New Roman" w:hAnsi="Times New Roman" w:cs="Times New Roman"/>
          <w:sz w:val="24"/>
          <w:szCs w:val="24"/>
          <w:lang w:eastAsia="bg-BG"/>
        </w:rPr>
        <w:t xml:space="preserve">01.01.2021 г. до 31.12.2029 г. </w:t>
      </w:r>
      <w:r w:rsidR="009C544A" w:rsidRPr="009C544A">
        <w:rPr>
          <w:rFonts w:ascii="Times New Roman" w:hAnsi="Times New Roman" w:cs="Times New Roman"/>
          <w:sz w:val="24"/>
          <w:szCs w:val="24"/>
          <w:lang w:eastAsia="bg-BG"/>
        </w:rPr>
        <w:t xml:space="preserve">и </w:t>
      </w:r>
      <w:proofErr w:type="spellStart"/>
      <w:r w:rsidR="009C544A" w:rsidRPr="009C544A">
        <w:rPr>
          <w:rFonts w:ascii="Times New Roman" w:hAnsi="Times New Roman" w:cs="Times New Roman"/>
          <w:sz w:val="24"/>
          <w:szCs w:val="24"/>
          <w:lang w:eastAsia="bg-BG"/>
        </w:rPr>
        <w:t>разходооправдателните</w:t>
      </w:r>
      <w:proofErr w:type="spellEnd"/>
      <w:r w:rsidR="009C544A" w:rsidRPr="009C544A">
        <w:rPr>
          <w:rFonts w:ascii="Times New Roman" w:hAnsi="Times New Roman" w:cs="Times New Roman"/>
          <w:sz w:val="24"/>
          <w:szCs w:val="24"/>
          <w:lang w:eastAsia="bg-BG"/>
        </w:rPr>
        <w:t xml:space="preserve"> документи, свързани с изпълнението на допустимите по проекта/ бюджетната линия дейности, следва да бъдат издадени в периода на допустимост на разходите.</w:t>
      </w:r>
    </w:p>
    <w:p w14:paraId="3F99C6A3" w14:textId="5AA78DC8" w:rsidR="009C544A" w:rsidRPr="009C544A" w:rsidRDefault="009C544A" w:rsidP="00C66898">
      <w:pPr>
        <w:pStyle w:val="ListParagraph"/>
        <w:numPr>
          <w:ilvl w:val="0"/>
          <w:numId w:val="8"/>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32FC543" w14:textId="1C72D06B" w:rsidR="0024378B" w:rsidRPr="008D4AB4" w:rsidRDefault="0024378B"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станали допустими в резултат на изменение в програма,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     </w:t>
      </w:r>
    </w:p>
    <w:p w14:paraId="6AAF825D" w14:textId="77777777" w:rsidR="0024378B" w:rsidRPr="008D4AB4" w:rsidRDefault="0024378B" w:rsidP="00C66898">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 са разходите по операции, осъществени в програмния район на програмата.  При одобрение от управляващия орган на съответната оперативна програма са допустими разходи и по операции, съфинансирани от ЕФРР и КФ, които</w:t>
      </w:r>
      <w:r w:rsidRPr="008D4AB4">
        <w:rPr>
          <w:rFonts w:ascii="Times New Roman" w:hAnsi="Times New Roman" w:cs="Times New Roman"/>
          <w:color w:val="000000"/>
          <w:sz w:val="24"/>
          <w:szCs w:val="24"/>
          <w:lang w:eastAsia="bg-BG"/>
        </w:rPr>
        <w:t xml:space="preserve"> се осъществяват извън програмния район, но в границите на Европейския съюз, при условие че е изпълнено всяко от следните условия</w:t>
      </w:r>
      <w:r w:rsidRPr="008D4AB4">
        <w:rPr>
          <w:rFonts w:ascii="Times New Roman" w:hAnsi="Times New Roman" w:cs="Times New Roman"/>
          <w:sz w:val="24"/>
          <w:szCs w:val="24"/>
          <w:lang w:eastAsia="bg-BG"/>
        </w:rPr>
        <w:t>:</w:t>
      </w:r>
    </w:p>
    <w:p w14:paraId="6A29209F"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операцията е в полза на програмния район;</w:t>
      </w:r>
    </w:p>
    <w:p w14:paraId="46D550BF"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общата сума, разпределена по програмата за операции извън програмния район, не надвишава 15 на сто от подкрепата от ЕФРР или КФ на ниво приоритет;</w:t>
      </w:r>
    </w:p>
    <w:p w14:paraId="00879931"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комитетът за наблюдение на съответната програма е одобрил съответната операция или съответните видове операции;</w:t>
      </w:r>
    </w:p>
    <w:p w14:paraId="6D0C8C31"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задълженията на органите по програмата във връзка с управлението, контрола и одита по отношение на операцията се изпълняват от органите, които отговарят за програмата, по която операцията получава финансова подкрепа, или те сключват споразумения с органите в района, в който се изпълнява операцията.</w:t>
      </w:r>
    </w:p>
    <w:p w14:paraId="156B3821" w14:textId="77777777" w:rsidR="0024378B" w:rsidRPr="008D4AB4"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При възстановяване на действително направени и платени допустими разходи максималните размери за всеки отделен вид разход се определят спрямо общите допустими разходи по операцията. В отделни случаи, когато даден разход е пряко обвързан с друг вид разход, като основа може да се използват общите допустими разходи за съответния вид, с който е обвързан. </w:t>
      </w:r>
    </w:p>
    <w:p w14:paraId="4D550076" w14:textId="77777777" w:rsidR="0024378B" w:rsidRPr="008D4AB4" w:rsidRDefault="0024378B" w:rsidP="00C66898">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възстановяване на действително направени и платени допустими разходи се определят следните максимални размери за определени категории разходи:</w:t>
      </w:r>
    </w:p>
    <w:p w14:paraId="50FF8ABB"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организация и управление - до 10 на сто от общите допустими разходи по операцията; </w:t>
      </w:r>
    </w:p>
    <w:p w14:paraId="7679F5EE"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публичност и визуализация – до 2 на сто от общите допустими разходи за операции, при които размерът на финансовата подкрепа не превишава левовата равностойност на 100 000 евро, и до 1 на сто от общите допустими разходи на всички останали операции; </w:t>
      </w:r>
    </w:p>
    <w:p w14:paraId="1033C49D"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 за командировъчни пари –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p>
    <w:p w14:paraId="2D0A746F" w14:textId="77777777" w:rsidR="0024378B" w:rsidRPr="008D4AB4"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lang w:eastAsia="bg-BG"/>
        </w:rPr>
      </w:pPr>
      <w:r w:rsidRPr="008D4AB4">
        <w:rPr>
          <w:rFonts w:ascii="Times New Roman" w:hAnsi="Times New Roman" w:cs="Times New Roman"/>
          <w:sz w:val="24"/>
          <w:szCs w:val="24"/>
          <w:lang w:eastAsia="bg-BG"/>
        </w:rPr>
        <w:lastRenderedPageBreak/>
        <w:t>Когато изпълнението на операция поражда непреки разходи, те могат да бъдат изчислени</w:t>
      </w:r>
      <w:r w:rsidRPr="008D4AB4">
        <w:rPr>
          <w:rFonts w:ascii="Times New Roman" w:hAnsi="Times New Roman" w:cs="Times New Roman"/>
          <w:color w:val="000000"/>
          <w:sz w:val="24"/>
          <w:szCs w:val="24"/>
          <w:lang w:eastAsia="bg-BG"/>
        </w:rPr>
        <w:t xml:space="preserve"> като единна ставка по един от следните начини:</w:t>
      </w:r>
    </w:p>
    <w:p w14:paraId="05217F0D"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в размер до 25 на сто от допустимите преки разходи, при условие че ставката се изчислява въз основа на коректен, справедлив и проверим метод на изчисление или въз основа на метод, прилаган в рамките на национални схеми за предоставяне на безвъзмездна финансова помощ за подобен тип операция и бенефициент;</w:t>
      </w:r>
    </w:p>
    <w:p w14:paraId="7113B617"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единна ставка в размер до 15 на сто от допустимите преки разходи за персонал, без да се изисква да се извършват изчисления за определянето на приложимата ставка; </w:t>
      </w:r>
    </w:p>
    <w:p w14:paraId="1C3D7C2E" w14:textId="77777777" w:rsidR="0024378B" w:rsidRPr="008D4AB4" w:rsidRDefault="0024378B" w:rsidP="00C66898">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прилагана към допустимите преки разходи въз основа на съществуващите методи и съответстващите ставки, приложими в политиките на Европейския съюз за подобен тип операция и бенефициент.</w:t>
      </w:r>
    </w:p>
    <w:p w14:paraId="2FD3BAD0" w14:textId="3CA3E52A" w:rsidR="00BF1A49" w:rsidRPr="00BF1A49" w:rsidRDefault="00BF1A49" w:rsidP="00C66898">
      <w:pPr>
        <w:pStyle w:val="ListParagraph"/>
        <w:numPr>
          <w:ilvl w:val="1"/>
          <w:numId w:val="8"/>
        </w:numPr>
        <w:tabs>
          <w:tab w:val="left" w:pos="1418"/>
        </w:tabs>
        <w:spacing w:after="0" w:line="240" w:lineRule="auto"/>
        <w:ind w:left="0" w:right="142" w:firstLine="567"/>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Разходи за екипи, отговорни за управление и/или изпълнение на проектите, са допустими, когато:</w:t>
      </w:r>
    </w:p>
    <w:p w14:paraId="68B28052"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управлението и/или изпълнението се осъществява само от служители на бенефициента;</w:t>
      </w:r>
    </w:p>
    <w:p w14:paraId="22F1C3ED"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14:paraId="2FF6116C"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3. управлението и/или изпълнението се осъществява изцяло от външни за бенефициента лица, избрани в съответствие с националното законодателство.</w:t>
      </w:r>
    </w:p>
    <w:p w14:paraId="0E072A2A" w14:textId="6A8FD9C2" w:rsidR="00BF1A49" w:rsidRPr="00BF1A49" w:rsidRDefault="00BF1A49" w:rsidP="00C66898">
      <w:pPr>
        <w:pStyle w:val="ListParagraph"/>
        <w:numPr>
          <w:ilvl w:val="1"/>
          <w:numId w:val="8"/>
        </w:numPr>
        <w:tabs>
          <w:tab w:val="left" w:pos="1418"/>
        </w:tabs>
        <w:spacing w:after="0" w:line="240" w:lineRule="auto"/>
        <w:ind w:left="0" w:right="142" w:firstLine="567"/>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Когато безвъзмездна финансова помощ и възстановима помощ се предоставят под формата по </w:t>
      </w:r>
      <w:r w:rsidRPr="009838B8">
        <w:rPr>
          <w:rFonts w:ascii="Times New Roman" w:eastAsia="Times New Roman" w:hAnsi="Times New Roman" w:cs="Times New Roman"/>
          <w:color w:val="000000"/>
          <w:sz w:val="24"/>
          <w:szCs w:val="24"/>
          <w:lang w:eastAsia="bg-BG"/>
        </w:rPr>
        <w:t>чл. 55, ал. 1, т. 1</w:t>
      </w:r>
      <w:r w:rsidR="009838B8">
        <w:rPr>
          <w:rFonts w:ascii="Times New Roman" w:eastAsia="Times New Roman" w:hAnsi="Times New Roman" w:cs="Times New Roman"/>
          <w:color w:val="000000"/>
          <w:sz w:val="24"/>
          <w:szCs w:val="24"/>
          <w:lang w:eastAsia="bg-BG"/>
        </w:rPr>
        <w:t xml:space="preserve"> от</w:t>
      </w:r>
      <w:r w:rsidRPr="009838B8">
        <w:rPr>
          <w:rFonts w:ascii="Times New Roman" w:eastAsia="Times New Roman" w:hAnsi="Times New Roman" w:cs="Times New Roman"/>
          <w:color w:val="000000"/>
          <w:sz w:val="24"/>
          <w:szCs w:val="24"/>
          <w:lang w:eastAsia="bg-BG"/>
        </w:rPr>
        <w:t xml:space="preserve"> ЗУСЕФСУ</w:t>
      </w:r>
      <w:r w:rsidRPr="00BF1A49">
        <w:rPr>
          <w:rFonts w:ascii="Times New Roman" w:eastAsia="Times New Roman" w:hAnsi="Times New Roman" w:cs="Times New Roman"/>
          <w:color w:val="000000"/>
          <w:sz w:val="24"/>
          <w:szCs w:val="24"/>
          <w:lang w:eastAsia="bg-BG"/>
        </w:rPr>
        <w:t>, дейностите по изпълнение и/или управление се възлагат, както следва:</w:t>
      </w:r>
    </w:p>
    <w:p w14:paraId="43E93D23"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с длъжностната характеристика на служителя, нает от бенефициента по трудово или служебно правоотношение;</w:t>
      </w:r>
    </w:p>
    <w:p w14:paraId="65DB442D"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дейности, изпълнявани извън установеното работно време и длъжностна характеристика на служителя, се възлагат при следните условия:</w:t>
      </w:r>
    </w:p>
    <w:p w14:paraId="27D351BC" w14:textId="19E1C292"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а) със заповед на органа по назначаване, съответно на работодателя, на служителя по служебно правоотношение, съответно трудово правоотношение, в държавната администрация, с негово съгласие и срещу възнаграждение са възложени допълнителни задължения във връзка с управлението и/или изпълнението на проект, или</w:t>
      </w:r>
    </w:p>
    <w:p w14:paraId="70F35589" w14:textId="77777777"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б) със служителя по трудово правоотношение е сключен трудов договор по реда на </w:t>
      </w:r>
      <w:r w:rsidRPr="009838B8">
        <w:rPr>
          <w:rFonts w:ascii="Times New Roman" w:eastAsia="Times New Roman" w:hAnsi="Times New Roman" w:cs="Times New Roman"/>
          <w:color w:val="000000"/>
          <w:sz w:val="24"/>
          <w:szCs w:val="24"/>
          <w:lang w:eastAsia="bg-BG"/>
        </w:rPr>
        <w:t>чл. 110 от Кодекса на труда</w:t>
      </w:r>
      <w:r w:rsidRPr="00BF1A49">
        <w:rPr>
          <w:rFonts w:ascii="Times New Roman" w:eastAsia="Times New Roman" w:hAnsi="Times New Roman" w:cs="Times New Roman"/>
          <w:color w:val="000000"/>
          <w:sz w:val="24"/>
          <w:szCs w:val="24"/>
          <w:lang w:eastAsia="bg-BG"/>
        </w:rPr>
        <w:t> във връзка с управлението и/или изпълнението на проект;</w:t>
      </w:r>
    </w:p>
    <w:p w14:paraId="42256A78" w14:textId="0B74C65C" w:rsidR="00BF1A49" w:rsidRPr="007A0B0A"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7A0B0A">
        <w:rPr>
          <w:rFonts w:ascii="Times New Roman" w:eastAsia="Times New Roman" w:hAnsi="Times New Roman" w:cs="Times New Roman"/>
          <w:color w:val="000000"/>
          <w:sz w:val="24"/>
          <w:szCs w:val="24"/>
          <w:lang w:eastAsia="bg-BG"/>
        </w:rPr>
        <w:t xml:space="preserve">3. извън случаите по т. 1 и 2 за дейности по проекта с лицето е сключен договор съгласно правилата по чл. 49, ал. 2 </w:t>
      </w:r>
      <w:r w:rsidR="009838B8" w:rsidRPr="007A0B0A">
        <w:rPr>
          <w:rFonts w:ascii="Times New Roman" w:eastAsia="Times New Roman" w:hAnsi="Times New Roman" w:cs="Times New Roman"/>
          <w:color w:val="000000"/>
          <w:sz w:val="24"/>
          <w:szCs w:val="24"/>
          <w:lang w:eastAsia="bg-BG"/>
        </w:rPr>
        <w:t xml:space="preserve">от </w:t>
      </w:r>
      <w:r w:rsidRPr="007A0B0A">
        <w:rPr>
          <w:rFonts w:ascii="Times New Roman" w:eastAsia="Times New Roman" w:hAnsi="Times New Roman" w:cs="Times New Roman"/>
          <w:color w:val="000000"/>
          <w:sz w:val="24"/>
          <w:szCs w:val="24"/>
          <w:lang w:eastAsia="bg-BG"/>
        </w:rPr>
        <w:t>ЗУСЕФСУ.</w:t>
      </w:r>
    </w:p>
    <w:p w14:paraId="78CE7966" w14:textId="71091664" w:rsidR="0024378B" w:rsidRPr="008D4AB4" w:rsidRDefault="0024378B" w:rsidP="00C66898">
      <w:pPr>
        <w:pStyle w:val="ListParagraph"/>
        <w:numPr>
          <w:ilvl w:val="1"/>
          <w:numId w:val="8"/>
        </w:numPr>
        <w:tabs>
          <w:tab w:val="left" w:pos="1276"/>
        </w:tabs>
        <w:spacing w:after="0" w:line="240" w:lineRule="auto"/>
        <w:ind w:left="0" w:right="142" w:firstLine="567"/>
        <w:jc w:val="both"/>
        <w:rPr>
          <w:rFonts w:ascii="Times New Roman" w:hAnsi="Times New Roman" w:cs="Times New Roman"/>
          <w:lang w:eastAsia="bg-BG"/>
        </w:rPr>
      </w:pPr>
      <w:r w:rsidRPr="007A0B0A">
        <w:rPr>
          <w:rFonts w:ascii="Times New Roman" w:hAnsi="Times New Roman" w:cs="Times New Roman"/>
          <w:sz w:val="24"/>
          <w:szCs w:val="24"/>
          <w:lang w:eastAsia="bg-BG"/>
        </w:rPr>
        <w:t>Размерът</w:t>
      </w:r>
      <w:r w:rsidRPr="007A0B0A">
        <w:rPr>
          <w:rFonts w:ascii="Times New Roman" w:hAnsi="Times New Roman" w:cs="Times New Roman"/>
          <w:b/>
          <w:color w:val="000000"/>
          <w:sz w:val="24"/>
          <w:szCs w:val="24"/>
          <w:lang w:eastAsia="bg-BG"/>
        </w:rPr>
        <w:t xml:space="preserve"> на часовата ставка на възнаграждение</w:t>
      </w:r>
      <w:r w:rsidRPr="007A0B0A">
        <w:rPr>
          <w:rFonts w:ascii="Times New Roman" w:hAnsi="Times New Roman" w:cs="Times New Roman"/>
          <w:color w:val="000000"/>
          <w:sz w:val="24"/>
          <w:szCs w:val="24"/>
          <w:lang w:eastAsia="bg-BG"/>
        </w:rPr>
        <w:t xml:space="preserve"> на служителя за изпълнението на дейности по управление и изпълнение на операции следва да не превишава</w:t>
      </w:r>
      <w:r w:rsidRPr="008D4AB4">
        <w:rPr>
          <w:rFonts w:ascii="Times New Roman" w:hAnsi="Times New Roman" w:cs="Times New Roman"/>
          <w:color w:val="000000"/>
          <w:sz w:val="24"/>
          <w:szCs w:val="24"/>
          <w:lang w:eastAsia="bg-BG"/>
        </w:rPr>
        <w:t xml:space="preserve"> размера на възнаграждение на часова база, което лицето получава за изпълнение на дейности по основното си служеб</w:t>
      </w:r>
      <w:r w:rsidR="00123FCD">
        <w:rPr>
          <w:rFonts w:ascii="Times New Roman" w:hAnsi="Times New Roman" w:cs="Times New Roman"/>
          <w:color w:val="000000"/>
          <w:sz w:val="24"/>
          <w:szCs w:val="24"/>
          <w:lang w:eastAsia="bg-BG"/>
        </w:rPr>
        <w:t xml:space="preserve">но или трудово правоотношение. </w:t>
      </w:r>
      <w:r w:rsidRPr="008D4AB4">
        <w:rPr>
          <w:rFonts w:ascii="Times New Roman" w:hAnsi="Times New Roman" w:cs="Times New Roman"/>
          <w:color w:val="000000"/>
          <w:sz w:val="24"/>
          <w:szCs w:val="24"/>
          <w:lang w:eastAsia="bg-BG"/>
        </w:rPr>
        <w:t>Изчисляване на приложимата часова ставка при определяне на разходите за персонал, свързани с изпълнението на даден проект, като годишните брутни разходи за трудови възнаграждения в счетоводните отчети за последната г</w:t>
      </w:r>
      <w:r w:rsidR="003032BD">
        <w:rPr>
          <w:rFonts w:ascii="Times New Roman" w:hAnsi="Times New Roman" w:cs="Times New Roman"/>
          <w:color w:val="000000"/>
          <w:sz w:val="24"/>
          <w:szCs w:val="24"/>
          <w:lang w:eastAsia="bg-BG"/>
        </w:rPr>
        <w:t>одина се разделят на 1720 часа.</w:t>
      </w:r>
    </w:p>
    <w:p w14:paraId="353B3774" w14:textId="77777777" w:rsidR="0024378B" w:rsidRPr="008D4AB4" w:rsidRDefault="0024378B" w:rsidP="00C66898">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предоставяне на безвъзмездна финансова помощ амортизационните разходи може да бъдат считани за допустими, при условие, че:</w:t>
      </w:r>
    </w:p>
    <w:p w14:paraId="3BCB3A34" w14:textId="77777777" w:rsidR="0024378B" w:rsidRPr="008D4AB4" w:rsidRDefault="0024378B" w:rsidP="00C66898">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разходът се отнася за дейности и разходи, допустими за съответната операция;</w:t>
      </w:r>
    </w:p>
    <w:p w14:paraId="7E84A74A" w14:textId="77777777" w:rsidR="0024378B" w:rsidRPr="008D4AB4" w:rsidRDefault="0024378B" w:rsidP="00C66898">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изчислени в съответствие със Закона за корпоративното подоходно облагане;</w:t>
      </w:r>
    </w:p>
    <w:p w14:paraId="4212D03F" w14:textId="77777777" w:rsidR="0024378B" w:rsidRPr="008D4AB4" w:rsidRDefault="0024378B" w:rsidP="00C66898">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размерът на разходите е надлежно удостоверен с придружаваща документация, имаща равностойна доказателствена стойност на фактури за допустими разходи;</w:t>
      </w:r>
    </w:p>
    <w:p w14:paraId="66CBDF38" w14:textId="77777777" w:rsidR="0024378B" w:rsidRPr="008D4AB4" w:rsidRDefault="0024378B" w:rsidP="00C66898">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се отнасят изключително за периода на финансова подкрепа на операцията;</w:t>
      </w:r>
    </w:p>
    <w:p w14:paraId="363F5B7C" w14:textId="77777777" w:rsidR="0024378B" w:rsidRPr="008D4AB4" w:rsidRDefault="0024378B" w:rsidP="00C66898">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активите не са закупени дори частично с безвъзмездна финансова помощ.</w:t>
      </w:r>
    </w:p>
    <w:p w14:paraId="1B62BABB" w14:textId="1E3BC52D" w:rsidR="00527B1D" w:rsidRDefault="0024378B" w:rsidP="00C66898">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Данък върху добавената стойност </w:t>
      </w:r>
      <w:r w:rsidR="00527B1D">
        <w:rPr>
          <w:rFonts w:ascii="Times New Roman" w:hAnsi="Times New Roman" w:cs="Times New Roman"/>
          <w:sz w:val="24"/>
          <w:szCs w:val="24"/>
          <w:lang w:eastAsia="bg-BG"/>
        </w:rPr>
        <w:t>е допустим</w:t>
      </w:r>
      <w:r w:rsidR="00527B1D" w:rsidRPr="00527B1D">
        <w:rPr>
          <w:rFonts w:ascii="Times New Roman" w:hAnsi="Times New Roman" w:cs="Times New Roman"/>
          <w:sz w:val="24"/>
          <w:szCs w:val="24"/>
          <w:lang w:eastAsia="bg-BG"/>
        </w:rPr>
        <w:t xml:space="preserve"> за операции с общ размер на разходите</w:t>
      </w:r>
      <w:r w:rsidR="00F51ABD">
        <w:rPr>
          <w:rStyle w:val="FootnoteReference"/>
          <w:rFonts w:ascii="Times New Roman" w:hAnsi="Times New Roman" w:cs="Times New Roman"/>
          <w:sz w:val="24"/>
          <w:szCs w:val="24"/>
          <w:lang w:eastAsia="bg-BG"/>
        </w:rPr>
        <w:footnoteReference w:id="2"/>
      </w:r>
      <w:r w:rsidR="00F51ABD">
        <w:rPr>
          <w:rFonts w:ascii="Times New Roman" w:hAnsi="Times New Roman" w:cs="Times New Roman"/>
          <w:sz w:val="24"/>
          <w:szCs w:val="24"/>
          <w:lang w:eastAsia="bg-BG"/>
        </w:rPr>
        <w:t>:</w:t>
      </w:r>
    </w:p>
    <w:p w14:paraId="38AF45DF" w14:textId="78FE06E5" w:rsidR="00527B1D" w:rsidRDefault="00527B1D" w:rsidP="00C66898">
      <w:pPr>
        <w:pStyle w:val="ListParagraph"/>
        <w:numPr>
          <w:ilvl w:val="2"/>
          <w:numId w:val="8"/>
        </w:numPr>
        <w:tabs>
          <w:tab w:val="left" w:pos="1276"/>
          <w:tab w:val="left" w:pos="1701"/>
        </w:tabs>
        <w:spacing w:after="0" w:line="240" w:lineRule="auto"/>
        <w:ind w:right="142"/>
        <w:jc w:val="both"/>
        <w:rPr>
          <w:rFonts w:ascii="Times New Roman" w:hAnsi="Times New Roman" w:cs="Times New Roman"/>
          <w:sz w:val="24"/>
          <w:szCs w:val="24"/>
          <w:lang w:eastAsia="bg-BG"/>
        </w:rPr>
      </w:pPr>
      <w:r w:rsidRPr="00527B1D">
        <w:rPr>
          <w:rFonts w:ascii="Times New Roman" w:hAnsi="Times New Roman" w:cs="Times New Roman"/>
          <w:sz w:val="24"/>
          <w:szCs w:val="24"/>
          <w:lang w:eastAsia="bg-BG"/>
        </w:rPr>
        <w:t>под 5 000 000 EUR (вкл. ДДС);</w:t>
      </w:r>
    </w:p>
    <w:p w14:paraId="0070E459" w14:textId="480A3091" w:rsidR="00527B1D" w:rsidRPr="008D4AB4" w:rsidRDefault="00527B1D" w:rsidP="00C66898">
      <w:pPr>
        <w:pStyle w:val="ListParagraph"/>
        <w:numPr>
          <w:ilvl w:val="2"/>
          <w:numId w:val="8"/>
        </w:numPr>
        <w:tabs>
          <w:tab w:val="left" w:pos="1276"/>
          <w:tab w:val="left" w:pos="1701"/>
        </w:tabs>
        <w:spacing w:after="0" w:line="240" w:lineRule="auto"/>
        <w:ind w:right="142"/>
        <w:jc w:val="both"/>
        <w:rPr>
          <w:rFonts w:ascii="Times New Roman" w:hAnsi="Times New Roman" w:cs="Times New Roman"/>
          <w:sz w:val="24"/>
          <w:szCs w:val="24"/>
          <w:lang w:eastAsia="bg-BG"/>
        </w:rPr>
      </w:pPr>
      <w:r w:rsidRPr="00527B1D">
        <w:rPr>
          <w:rFonts w:ascii="Times New Roman" w:hAnsi="Times New Roman" w:cs="Times New Roman"/>
          <w:sz w:val="24"/>
          <w:szCs w:val="24"/>
          <w:lang w:eastAsia="bg-BG"/>
        </w:rPr>
        <w:t>най-малко 5 000 000 EUR (вкл. ДДС), когато ДДС не подлежи на възстановяване съгласно националното законодателство в областта на ДДС</w:t>
      </w:r>
      <w:r>
        <w:rPr>
          <w:rFonts w:ascii="Times New Roman" w:hAnsi="Times New Roman" w:cs="Times New Roman"/>
          <w:sz w:val="24"/>
          <w:szCs w:val="24"/>
          <w:lang w:eastAsia="bg-BG"/>
        </w:rPr>
        <w:t>;</w:t>
      </w:r>
    </w:p>
    <w:p w14:paraId="43B530B0" w14:textId="77777777" w:rsidR="0024378B" w:rsidRPr="008D4AB4" w:rsidRDefault="0024378B" w:rsidP="00C66898">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разходи, извършени във връзка с </w:t>
      </w:r>
      <w:r w:rsidRPr="008D4AB4">
        <w:rPr>
          <w:rFonts w:ascii="Times New Roman" w:hAnsi="Times New Roman" w:cs="Times New Roman"/>
          <w:sz w:val="24"/>
          <w:szCs w:val="24"/>
          <w:lang w:eastAsia="bg-BG"/>
        </w:rPr>
        <w:t>лизингови операции</w:t>
      </w:r>
      <w:r w:rsidRPr="008D4AB4">
        <w:rPr>
          <w:rFonts w:ascii="Times New Roman" w:hAnsi="Times New Roman" w:cs="Times New Roman"/>
          <w:color w:val="000000"/>
          <w:sz w:val="24"/>
          <w:szCs w:val="24"/>
          <w:lang w:eastAsia="bg-BG"/>
        </w:rPr>
        <w:t>, са единствено лизинговите вноски при спазване на следните изисквания:</w:t>
      </w:r>
    </w:p>
    <w:p w14:paraId="1919B99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лизинговите вноски са дължими и платени до изтичане на срока за изпълнение на операцията, финансирана по оперативната програма;</w:t>
      </w:r>
    </w:p>
    <w:p w14:paraId="0AF18DA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6FD50C0C"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максималната допустима цена е по-ниска от пазарната цена за закупуване на актива.</w:t>
      </w:r>
    </w:p>
    <w:p w14:paraId="5B3C1F45" w14:textId="77777777" w:rsidR="0024378B" w:rsidRPr="008D4AB4" w:rsidRDefault="0024378B" w:rsidP="00C66898">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Разходите за </w:t>
      </w:r>
      <w:r w:rsidRPr="008D4AB4">
        <w:rPr>
          <w:rFonts w:ascii="Times New Roman" w:hAnsi="Times New Roman" w:cs="Times New Roman"/>
          <w:sz w:val="24"/>
          <w:szCs w:val="24"/>
          <w:lang w:eastAsia="bg-BG"/>
        </w:rPr>
        <w:t>закупуване на земя и/или придобиване на ограничени вещни права</w:t>
      </w:r>
      <w:r w:rsidRPr="008D4AB4">
        <w:rPr>
          <w:rFonts w:ascii="Times New Roman" w:hAnsi="Times New Roman" w:cs="Times New Roman"/>
          <w:color w:val="000000"/>
          <w:sz w:val="24"/>
          <w:szCs w:val="24"/>
          <w:lang w:eastAsia="bg-BG"/>
        </w:rPr>
        <w:t xml:space="preserve"> са </w:t>
      </w: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при спа</w:t>
      </w:r>
      <w:r w:rsidRPr="008D4AB4">
        <w:rPr>
          <w:rFonts w:ascii="Times New Roman" w:hAnsi="Times New Roman" w:cs="Times New Roman"/>
          <w:sz w:val="24"/>
          <w:szCs w:val="24"/>
          <w:lang w:eastAsia="bg-BG"/>
        </w:rPr>
        <w:t>зване на следните условия:</w:t>
      </w:r>
    </w:p>
    <w:p w14:paraId="2C887E19"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към датата на покупката земята няма вещни и облигационни тежести, които да ограничават свободното й използване за целите на операцията, което се удостоверява с официални документи, издадени от компетентните държавни органи;</w:t>
      </w:r>
    </w:p>
    <w:p w14:paraId="0B5A4B5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продавачът не е закупил земята с публична безвъзмездна помощ дори и частично в периода за последните 10 години преди подаване на проектното предложение;</w:t>
      </w:r>
    </w:p>
    <w:p w14:paraId="220A172A"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да има пряка връзка между покупката на земята и/или придобиването на ограничени вещни права и целта на проекта, която трябва да е отразена в договора или в заповедта за предоставяне на финансова подкрепа;</w:t>
      </w:r>
    </w:p>
    <w:p w14:paraId="78275AB4"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4. да има издаден документ от сертифициран оценител или от съответно упълномощен служебен орган, удостоверяващ, че цената на придобиване не надвишава пазарната стойност.</w:t>
      </w:r>
    </w:p>
    <w:p w14:paraId="18CFB14A" w14:textId="77777777" w:rsidR="0024378B" w:rsidRPr="008D4AB4"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Закупуването на незастроени и застроени земи</w:t>
      </w:r>
      <w:r w:rsidRPr="008D4AB4">
        <w:rPr>
          <w:rFonts w:ascii="Times New Roman" w:hAnsi="Times New Roman" w:cs="Times New Roman"/>
          <w:color w:val="000000"/>
          <w:sz w:val="24"/>
          <w:szCs w:val="24"/>
          <w:lang w:eastAsia="bg-BG"/>
        </w:rPr>
        <w:t xml:space="preserve"> е допустимо на стойност </w:t>
      </w:r>
      <w:r w:rsidRPr="008D4AB4">
        <w:rPr>
          <w:rFonts w:ascii="Times New Roman" w:hAnsi="Times New Roman" w:cs="Times New Roman"/>
          <w:sz w:val="24"/>
          <w:szCs w:val="24"/>
          <w:lang w:eastAsia="bg-BG"/>
        </w:rPr>
        <w:t>до 10 на сто от общите допустими разходи</w:t>
      </w:r>
      <w:r w:rsidRPr="008D4AB4">
        <w:rPr>
          <w:rFonts w:ascii="Times New Roman" w:hAnsi="Times New Roman" w:cs="Times New Roman"/>
          <w:color w:val="000000"/>
          <w:sz w:val="24"/>
          <w:szCs w:val="24"/>
          <w:lang w:eastAsia="bg-BG"/>
        </w:rPr>
        <w:t xml:space="preserve">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на сто. При изключителни и добре обосновани случаи може </w:t>
      </w:r>
      <w:r w:rsidRPr="008D4AB4">
        <w:rPr>
          <w:rFonts w:ascii="Times New Roman" w:hAnsi="Times New Roman" w:cs="Times New Roman"/>
          <w:color w:val="000000"/>
          <w:sz w:val="24"/>
          <w:szCs w:val="24"/>
          <w:lang w:eastAsia="bg-BG"/>
        </w:rPr>
        <w:lastRenderedPageBreak/>
        <w:t>да се разреши по-висок процент от горепосочените проценти за операции, свързани с опазване на околната среда.</w:t>
      </w:r>
    </w:p>
    <w:p w14:paraId="72D12E22" w14:textId="77777777" w:rsidR="0024378B" w:rsidRPr="008D4AB4"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Допустими за финансиране са следните разходи, при условие че са </w:t>
      </w:r>
      <w:r w:rsidRPr="008D4AB4">
        <w:rPr>
          <w:rFonts w:ascii="Times New Roman" w:hAnsi="Times New Roman" w:cs="Times New Roman"/>
          <w:sz w:val="24"/>
          <w:szCs w:val="24"/>
          <w:lang w:eastAsia="bg-BG"/>
        </w:rPr>
        <w:t>пряко свързани</w:t>
      </w:r>
      <w:r w:rsidRPr="008D4AB4">
        <w:rPr>
          <w:rFonts w:ascii="Times New Roman" w:hAnsi="Times New Roman" w:cs="Times New Roman"/>
          <w:color w:val="000000"/>
          <w:sz w:val="24"/>
          <w:szCs w:val="24"/>
          <w:lang w:eastAsia="bg-BG"/>
        </w:rPr>
        <w:t xml:space="preserve"> с финансираните операции или дейности и са необходими за тяхната подготовка и осъществяване:</w:t>
      </w:r>
    </w:p>
    <w:p w14:paraId="5DE3CE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1. разходи за </w:t>
      </w:r>
      <w:r w:rsidRPr="008D4AB4">
        <w:rPr>
          <w:rFonts w:ascii="Times New Roman" w:hAnsi="Times New Roman" w:cs="Times New Roman"/>
          <w:b/>
          <w:sz w:val="24"/>
          <w:szCs w:val="24"/>
          <w:lang w:eastAsia="bg-BG"/>
        </w:rPr>
        <w:t>застраховки</w:t>
      </w:r>
      <w:r w:rsidRPr="008D4AB4">
        <w:rPr>
          <w:rFonts w:ascii="Times New Roman" w:hAnsi="Times New Roman" w:cs="Times New Roman"/>
          <w:sz w:val="24"/>
          <w:szCs w:val="24"/>
          <w:lang w:eastAsia="bg-BG"/>
        </w:rPr>
        <w:t xml:space="preserve"> на придобитите в резултат на дейността дълготрайни материални активи, ако те са свързани с изискванията, наложени от съответния управляващ орган;</w:t>
      </w:r>
    </w:p>
    <w:p w14:paraId="07808F06"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2. разходи за </w:t>
      </w:r>
      <w:r w:rsidRPr="008D4AB4">
        <w:rPr>
          <w:rFonts w:ascii="Times New Roman" w:hAnsi="Times New Roman" w:cs="Times New Roman"/>
          <w:b/>
          <w:sz w:val="24"/>
          <w:szCs w:val="24"/>
          <w:lang w:eastAsia="bg-BG"/>
        </w:rPr>
        <w:t>юридически консултации и нотариални услуги</w:t>
      </w:r>
      <w:r w:rsidRPr="008D4AB4">
        <w:rPr>
          <w:rFonts w:ascii="Times New Roman" w:hAnsi="Times New Roman" w:cs="Times New Roman"/>
          <w:sz w:val="24"/>
          <w:szCs w:val="24"/>
          <w:lang w:eastAsia="bg-BG"/>
        </w:rPr>
        <w:t>;</w:t>
      </w:r>
    </w:p>
    <w:p w14:paraId="69FB8D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3. разходи за </w:t>
      </w:r>
      <w:r w:rsidRPr="008D4AB4">
        <w:rPr>
          <w:rFonts w:ascii="Times New Roman" w:hAnsi="Times New Roman" w:cs="Times New Roman"/>
          <w:b/>
          <w:sz w:val="24"/>
          <w:szCs w:val="24"/>
          <w:lang w:eastAsia="bg-BG"/>
        </w:rPr>
        <w:t>технически и финансови експертизи</w:t>
      </w:r>
      <w:r w:rsidRPr="008D4AB4">
        <w:rPr>
          <w:rFonts w:ascii="Times New Roman" w:hAnsi="Times New Roman" w:cs="Times New Roman"/>
          <w:sz w:val="24"/>
          <w:szCs w:val="24"/>
          <w:lang w:eastAsia="bg-BG"/>
        </w:rPr>
        <w:t>;</w:t>
      </w:r>
    </w:p>
    <w:p w14:paraId="727AF8C3"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4. разходи за </w:t>
      </w:r>
      <w:r w:rsidRPr="008D4AB4">
        <w:rPr>
          <w:rFonts w:ascii="Times New Roman" w:hAnsi="Times New Roman" w:cs="Times New Roman"/>
          <w:b/>
          <w:sz w:val="24"/>
          <w:szCs w:val="24"/>
          <w:lang w:eastAsia="bg-BG"/>
        </w:rPr>
        <w:t>счетоводство</w:t>
      </w:r>
      <w:r w:rsidRPr="008D4AB4">
        <w:rPr>
          <w:rFonts w:ascii="Times New Roman" w:hAnsi="Times New Roman" w:cs="Times New Roman"/>
          <w:sz w:val="24"/>
          <w:szCs w:val="24"/>
          <w:lang w:eastAsia="bg-BG"/>
        </w:rPr>
        <w:t>.</w:t>
      </w:r>
    </w:p>
    <w:p w14:paraId="36B95814" w14:textId="7211AFE0" w:rsidR="0024378B" w:rsidRPr="008D4AB4"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sz w:val="24"/>
          <w:szCs w:val="24"/>
          <w:lang w:eastAsia="bg-BG"/>
        </w:rPr>
        <w:t xml:space="preserve"> за подготовката на инвестиционни проекти, включени в допустимите дейности по съответната приоритетна ос на </w:t>
      </w:r>
      <w:r w:rsidR="00527B1D">
        <w:rPr>
          <w:rFonts w:ascii="Times New Roman" w:hAnsi="Times New Roman" w:cs="Times New Roman"/>
          <w:sz w:val="24"/>
          <w:szCs w:val="24"/>
          <w:lang w:eastAsia="bg-BG"/>
        </w:rPr>
        <w:t>ПТС</w:t>
      </w:r>
      <w:r w:rsidRPr="008D4AB4">
        <w:rPr>
          <w:rFonts w:ascii="Times New Roman" w:hAnsi="Times New Roman" w:cs="Times New Roman"/>
          <w:sz w:val="24"/>
          <w:szCs w:val="24"/>
          <w:lang w:eastAsia="bg-BG"/>
        </w:rPr>
        <w:t>;</w:t>
      </w:r>
    </w:p>
    <w:p w14:paraId="7F74D0BA" w14:textId="67770299" w:rsidR="0024378B" w:rsidRPr="00E9290C"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8D4AB4">
        <w:rPr>
          <w:rFonts w:ascii="Times New Roman" w:hAnsi="Times New Roman" w:cs="Times New Roman"/>
          <w:sz w:val="24"/>
          <w:szCs w:val="24"/>
          <w:lang w:eastAsia="bg-BG"/>
        </w:rPr>
        <w:t>Разходи, свързани с приложението на политиките по околна среда и изменението на климата (</w:t>
      </w:r>
      <w:r w:rsidRPr="00E9290C">
        <w:rPr>
          <w:rFonts w:ascii="Times New Roman" w:hAnsi="Times New Roman" w:cs="Times New Roman"/>
          <w:color w:val="000000"/>
          <w:sz w:val="24"/>
          <w:szCs w:val="24"/>
          <w:lang w:eastAsia="bg-BG"/>
        </w:rPr>
        <w:t>доклади за оценка на въздействието върху околната среда, оценка за съвместимост</w:t>
      </w:r>
      <w:r w:rsidR="00527B1D" w:rsidRPr="00E9290C">
        <w:rPr>
          <w:rFonts w:ascii="Times New Roman" w:hAnsi="Times New Roman" w:cs="Times New Roman"/>
          <w:color w:val="000000"/>
          <w:sz w:val="24"/>
          <w:szCs w:val="24"/>
          <w:lang w:eastAsia="bg-BG"/>
        </w:rPr>
        <w:t>, DNSH, климатична устойчивост, НАТУРА 2000 и т.н.</w:t>
      </w:r>
      <w:r w:rsidRPr="00E9290C">
        <w:rPr>
          <w:rFonts w:ascii="Times New Roman" w:hAnsi="Times New Roman" w:cs="Times New Roman"/>
          <w:color w:val="000000"/>
          <w:sz w:val="24"/>
          <w:szCs w:val="24"/>
          <w:lang w:eastAsia="bg-BG"/>
        </w:rPr>
        <w:t xml:space="preserve">), </w:t>
      </w:r>
    </w:p>
    <w:p w14:paraId="3F786B21" w14:textId="625C0A14" w:rsidR="0024378B" w:rsidRPr="00E9290C"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 за подготовка на формуляр за кандидатстване за финансиране на проекти по </w:t>
      </w:r>
      <w:r w:rsidR="00527B1D" w:rsidRPr="00E9290C">
        <w:rPr>
          <w:rFonts w:ascii="Times New Roman" w:hAnsi="Times New Roman" w:cs="Times New Roman"/>
          <w:color w:val="000000"/>
          <w:sz w:val="24"/>
          <w:szCs w:val="24"/>
          <w:lang w:eastAsia="bg-BG"/>
        </w:rPr>
        <w:t>ПТС</w:t>
      </w:r>
      <w:r w:rsidRPr="00E9290C">
        <w:rPr>
          <w:rFonts w:ascii="Times New Roman" w:hAnsi="Times New Roman" w:cs="Times New Roman"/>
          <w:color w:val="000000"/>
          <w:sz w:val="24"/>
          <w:szCs w:val="24"/>
          <w:lang w:eastAsia="bg-BG"/>
        </w:rPr>
        <w:t>, включително за изготвяне</w:t>
      </w:r>
      <w:r w:rsidR="00527B1D" w:rsidRPr="00E9290C">
        <w:rPr>
          <w:rFonts w:ascii="Times New Roman" w:hAnsi="Times New Roman" w:cs="Times New Roman"/>
          <w:color w:val="000000"/>
          <w:sz w:val="24"/>
          <w:szCs w:val="24"/>
          <w:lang w:eastAsia="bg-BG"/>
        </w:rPr>
        <w:t xml:space="preserve">/актуализиране </w:t>
      </w:r>
      <w:r w:rsidRPr="00E9290C">
        <w:rPr>
          <w:rFonts w:ascii="Times New Roman" w:hAnsi="Times New Roman" w:cs="Times New Roman"/>
          <w:color w:val="000000"/>
          <w:sz w:val="24"/>
          <w:szCs w:val="24"/>
          <w:lang w:eastAsia="bg-BG"/>
        </w:rPr>
        <w:t xml:space="preserve">на анализ „Разходи – ползи“, </w:t>
      </w:r>
      <w:proofErr w:type="spellStart"/>
      <w:r w:rsidRPr="00E9290C">
        <w:rPr>
          <w:rFonts w:ascii="Times New Roman" w:hAnsi="Times New Roman" w:cs="Times New Roman"/>
          <w:color w:val="000000"/>
          <w:sz w:val="24"/>
          <w:szCs w:val="24"/>
          <w:lang w:eastAsia="bg-BG"/>
        </w:rPr>
        <w:t>предпроектни</w:t>
      </w:r>
      <w:proofErr w:type="spellEnd"/>
      <w:r w:rsidRPr="00E9290C">
        <w:rPr>
          <w:rFonts w:ascii="Times New Roman" w:hAnsi="Times New Roman" w:cs="Times New Roman"/>
          <w:color w:val="000000"/>
          <w:sz w:val="24"/>
          <w:szCs w:val="24"/>
          <w:lang w:eastAsia="bg-BG"/>
        </w:rPr>
        <w:t xml:space="preserve">, геоложки, археологически, технически проучвания, </w:t>
      </w:r>
      <w:proofErr w:type="spellStart"/>
      <w:r w:rsidRPr="00E9290C">
        <w:rPr>
          <w:rFonts w:ascii="Times New Roman" w:hAnsi="Times New Roman" w:cs="Times New Roman"/>
          <w:color w:val="000000"/>
          <w:sz w:val="24"/>
          <w:szCs w:val="24"/>
          <w:lang w:eastAsia="bg-BG"/>
        </w:rPr>
        <w:t>геодезически</w:t>
      </w:r>
      <w:proofErr w:type="spellEnd"/>
      <w:r w:rsidRPr="00E9290C">
        <w:rPr>
          <w:rFonts w:ascii="Times New Roman" w:hAnsi="Times New Roman" w:cs="Times New Roman"/>
          <w:color w:val="000000"/>
          <w:sz w:val="24"/>
          <w:szCs w:val="24"/>
          <w:lang w:eastAsia="bg-BG"/>
        </w:rPr>
        <w:t xml:space="preserve"> заснемания, за проектиране (идейни, технически, работни и др. проекти), за оценка на съответствието на проектите съгласно действащото законодателство и за други необходими анализи и проучвания;</w:t>
      </w:r>
    </w:p>
    <w:p w14:paraId="09B298B3" w14:textId="77777777" w:rsidR="0024378B" w:rsidRPr="00E9290C"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Разходи, свързани с набавянето на необходимите разрешителни документи, изискващи се от националното законодателство, технически планове и свързаните с тях такси, дължими на съответните компетентни органи;</w:t>
      </w:r>
    </w:p>
    <w:p w14:paraId="2398B7FD" w14:textId="77777777" w:rsidR="0024378B" w:rsidRPr="00E9290C"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Разходите за закупуване на земя и/или придобиване на ограничени вещни права и/или на застроени недвижими имоти са допустими, в случай че земята става собственост на държавата или на лице, на което са възложени публични/ </w:t>
      </w:r>
      <w:proofErr w:type="spellStart"/>
      <w:r w:rsidRPr="00E9290C">
        <w:rPr>
          <w:rFonts w:ascii="Times New Roman" w:hAnsi="Times New Roman" w:cs="Times New Roman"/>
          <w:color w:val="000000"/>
          <w:sz w:val="24"/>
          <w:szCs w:val="24"/>
          <w:lang w:eastAsia="bg-BG"/>
        </w:rPr>
        <w:t>публичноправни</w:t>
      </w:r>
      <w:proofErr w:type="spellEnd"/>
      <w:r w:rsidRPr="00E9290C">
        <w:rPr>
          <w:rFonts w:ascii="Times New Roman" w:hAnsi="Times New Roman" w:cs="Times New Roman"/>
          <w:color w:val="000000"/>
          <w:sz w:val="24"/>
          <w:szCs w:val="24"/>
          <w:lang w:eastAsia="bg-BG"/>
        </w:rPr>
        <w:t xml:space="preserve"> функции.</w:t>
      </w:r>
    </w:p>
    <w:p w14:paraId="34D717CA" w14:textId="77777777" w:rsidR="0024378B" w:rsidRPr="008D4AB4" w:rsidRDefault="0024378B"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color w:val="000000"/>
          <w:sz w:val="24"/>
          <w:szCs w:val="24"/>
          <w:lang w:eastAsia="bg-BG"/>
        </w:rPr>
        <w:t xml:space="preserve"> за закупуване на дълготрайни материални активи, в т.ч. транспортни средства, при следните условия:</w:t>
      </w:r>
    </w:p>
    <w:p w14:paraId="3AB860AC" w14:textId="77777777" w:rsidR="0024378B" w:rsidRPr="008D4AB4" w:rsidRDefault="0024378B" w:rsidP="0024378B">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 закупените активи са необходими за изпълнението и/или управлението на операцията и не са постоянно инсталирани на мястото на изпълнение;</w:t>
      </w:r>
    </w:p>
    <w:p w14:paraId="4E617A7A" w14:textId="77777777" w:rsidR="0024378B" w:rsidRPr="007A0B0A" w:rsidRDefault="0024378B" w:rsidP="0024378B">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б) след приключването на операцията активите са без остатъчна стойност при прилагане на правилата за изчисляване на амортизации съгласно Закона за корпоративното </w:t>
      </w:r>
      <w:r w:rsidRPr="007A0B0A">
        <w:rPr>
          <w:rFonts w:ascii="Times New Roman" w:hAnsi="Times New Roman" w:cs="Times New Roman"/>
          <w:sz w:val="24"/>
          <w:szCs w:val="24"/>
          <w:lang w:eastAsia="bg-BG"/>
        </w:rPr>
        <w:t>подоходно облагане.</w:t>
      </w:r>
    </w:p>
    <w:p w14:paraId="0CA48BEA" w14:textId="18E2D261" w:rsidR="0024378B" w:rsidRPr="007A0B0A" w:rsidRDefault="00E9290C" w:rsidP="00C66898">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7A0B0A">
        <w:rPr>
          <w:rFonts w:ascii="Times New Roman" w:hAnsi="Times New Roman" w:cs="Times New Roman"/>
          <w:sz w:val="24"/>
          <w:szCs w:val="24"/>
          <w:lang w:eastAsia="bg-BG"/>
        </w:rPr>
        <w:t>Н</w:t>
      </w:r>
      <w:r w:rsidR="0024378B" w:rsidRPr="007A0B0A">
        <w:rPr>
          <w:rFonts w:ascii="Times New Roman" w:hAnsi="Times New Roman" w:cs="Times New Roman"/>
          <w:sz w:val="24"/>
          <w:szCs w:val="24"/>
          <w:lang w:eastAsia="bg-BG"/>
        </w:rPr>
        <w:t xml:space="preserve">епредвидени разходи за инвестиционните проекти, които не могат да надвишават 10 на сто от </w:t>
      </w:r>
      <w:r w:rsidR="0024378B" w:rsidRPr="007A0B0A">
        <w:rPr>
          <w:rFonts w:ascii="Times New Roman" w:hAnsi="Times New Roman" w:cs="Times New Roman"/>
          <w:color w:val="000000"/>
          <w:sz w:val="24"/>
          <w:szCs w:val="24"/>
          <w:lang w:eastAsia="bg-BG"/>
        </w:rPr>
        <w:t>общата</w:t>
      </w:r>
      <w:r w:rsidR="0024378B" w:rsidRPr="007A0B0A">
        <w:rPr>
          <w:rFonts w:ascii="Times New Roman" w:hAnsi="Times New Roman" w:cs="Times New Roman"/>
          <w:sz w:val="24"/>
          <w:szCs w:val="24"/>
          <w:lang w:eastAsia="bg-BG"/>
        </w:rPr>
        <w:t xml:space="preserve"> сума на разходите след приспад</w:t>
      </w:r>
      <w:r w:rsidR="00BF4CE2">
        <w:rPr>
          <w:rFonts w:ascii="Times New Roman" w:hAnsi="Times New Roman" w:cs="Times New Roman"/>
          <w:sz w:val="24"/>
          <w:szCs w:val="24"/>
          <w:lang w:eastAsia="bg-BG"/>
        </w:rPr>
        <w:t>ането на непредвидените разходи.</w:t>
      </w:r>
    </w:p>
    <w:p w14:paraId="418AD978" w14:textId="64F0082B" w:rsidR="009976F4" w:rsidRPr="008D4AB4" w:rsidRDefault="009976F4" w:rsidP="00C66898">
      <w:pPr>
        <w:pStyle w:val="Heading2"/>
        <w:numPr>
          <w:ilvl w:val="1"/>
          <w:numId w:val="25"/>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8" w:name="_Toc442298724"/>
      <w:bookmarkStart w:id="19" w:name="_Toc136269956"/>
      <w:r w:rsidRPr="008D4AB4">
        <w:rPr>
          <w:rFonts w:ascii="Times New Roman" w:hAnsi="Times New Roman" w:cs="Times New Roman"/>
        </w:rPr>
        <w:t>Недопустими разходи</w:t>
      </w:r>
      <w:bookmarkEnd w:id="18"/>
      <w:bookmarkEnd w:id="19"/>
    </w:p>
    <w:p w14:paraId="6353684A" w14:textId="3F21853A" w:rsidR="00166F22" w:rsidRDefault="00166F22" w:rsidP="004966C5">
      <w:pPr>
        <w:spacing w:after="120" w:line="240" w:lineRule="auto"/>
        <w:ind w:firstLine="708"/>
        <w:jc w:val="both"/>
        <w:rPr>
          <w:rFonts w:ascii="Times New Roman" w:hAnsi="Times New Roman" w:cs="Times New Roman"/>
          <w:sz w:val="24"/>
          <w:szCs w:val="24"/>
        </w:rPr>
      </w:pPr>
      <w:r w:rsidRPr="005B30FA">
        <w:rPr>
          <w:rFonts w:ascii="inherit" w:eastAsia="Times New Roman" w:hAnsi="inherit" w:cs="Times New Roman"/>
          <w:sz w:val="24"/>
          <w:szCs w:val="24"/>
        </w:rPr>
        <w:t xml:space="preserve">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w:t>
      </w:r>
      <w:proofErr w:type="spellStart"/>
      <w:r w:rsidRPr="005B30FA">
        <w:rPr>
          <w:rFonts w:ascii="inherit" w:eastAsia="Times New Roman" w:hAnsi="inherit" w:cs="Times New Roman"/>
          <w:sz w:val="24"/>
          <w:szCs w:val="24"/>
        </w:rPr>
        <w:t>непредставени</w:t>
      </w:r>
      <w:proofErr w:type="spellEnd"/>
      <w:r w:rsidRPr="005B30FA">
        <w:rPr>
          <w:rFonts w:ascii="inherit" w:eastAsia="Times New Roman" w:hAnsi="inherit" w:cs="Times New Roman"/>
          <w:sz w:val="24"/>
          <w:szCs w:val="24"/>
        </w:rPr>
        <w:t xml:space="preserve"> за съфинансиране разходи</w:t>
      </w:r>
      <w:r>
        <w:rPr>
          <w:rFonts w:ascii="inherit" w:eastAsia="Times New Roman" w:hAnsi="inherit" w:cs="Times New Roman"/>
          <w:sz w:val="24"/>
          <w:szCs w:val="24"/>
        </w:rPr>
        <w:t xml:space="preserve">. </w:t>
      </w:r>
    </w:p>
    <w:p w14:paraId="06C5A9C3" w14:textId="24015CD7" w:rsidR="000509F6" w:rsidRPr="008D4AB4" w:rsidRDefault="000509F6" w:rsidP="004966C5">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8D4AB4">
        <w:rPr>
          <w:rFonts w:ascii="Times New Roman" w:hAnsi="Times New Roman" w:cs="Times New Roman"/>
          <w:sz w:val="24"/>
          <w:szCs w:val="24"/>
        </w:rPr>
        <w:t>н</w:t>
      </w:r>
      <w:r w:rsidRPr="008D4AB4">
        <w:rPr>
          <w:rFonts w:ascii="Times New Roman" w:hAnsi="Times New Roman" w:cs="Times New Roman"/>
          <w:sz w:val="24"/>
          <w:szCs w:val="24"/>
        </w:rPr>
        <w:t xml:space="preserve">а </w:t>
      </w:r>
      <w:r w:rsidR="004A0156" w:rsidRPr="008D4AB4">
        <w:rPr>
          <w:rFonts w:ascii="Times New Roman" w:hAnsi="Times New Roman" w:cs="Times New Roman"/>
          <w:sz w:val="24"/>
          <w:szCs w:val="24"/>
        </w:rPr>
        <w:t xml:space="preserve">Европейските фондове за споделено управление </w:t>
      </w:r>
      <w:r w:rsidRPr="008D4AB4">
        <w:rPr>
          <w:rFonts w:ascii="Times New Roman" w:hAnsi="Times New Roman" w:cs="Times New Roman"/>
          <w:sz w:val="24"/>
          <w:szCs w:val="24"/>
        </w:rPr>
        <w:t>(</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2021/1060 </w:t>
      </w:r>
      <w:r w:rsidR="00474DB7" w:rsidRPr="008D4AB4">
        <w:rPr>
          <w:rFonts w:ascii="Times New Roman" w:hAnsi="Times New Roman" w:cs="Times New Roman"/>
          <w:sz w:val="24"/>
          <w:szCs w:val="24"/>
        </w:rPr>
        <w:t xml:space="preserve">на </w:t>
      </w:r>
      <w:r w:rsidR="00F13FA9" w:rsidRPr="008D4AB4">
        <w:rPr>
          <w:rFonts w:ascii="Times New Roman" w:hAnsi="Times New Roman" w:cs="Times New Roman"/>
          <w:sz w:val="24"/>
          <w:szCs w:val="24"/>
        </w:rPr>
        <w:t>Е</w:t>
      </w:r>
      <w:r w:rsidR="00474DB7" w:rsidRPr="008D4AB4">
        <w:rPr>
          <w:rFonts w:ascii="Times New Roman" w:hAnsi="Times New Roman" w:cs="Times New Roman"/>
          <w:sz w:val="24"/>
          <w:szCs w:val="24"/>
        </w:rPr>
        <w:t xml:space="preserve">вропейския парламент и на </w:t>
      </w:r>
      <w:r w:rsidR="00F13FA9" w:rsidRPr="008D4AB4">
        <w:rPr>
          <w:rFonts w:ascii="Times New Roman" w:hAnsi="Times New Roman" w:cs="Times New Roman"/>
          <w:sz w:val="24"/>
          <w:szCs w:val="24"/>
        </w:rPr>
        <w:t>С</w:t>
      </w:r>
      <w:r w:rsidR="00474DB7" w:rsidRPr="008D4AB4">
        <w:rPr>
          <w:rFonts w:ascii="Times New Roman" w:hAnsi="Times New Roman" w:cs="Times New Roman"/>
          <w:sz w:val="24"/>
          <w:szCs w:val="24"/>
        </w:rPr>
        <w:t xml:space="preserve">ъвета </w:t>
      </w:r>
      <w:r w:rsidR="004A0156" w:rsidRPr="008D4AB4">
        <w:rPr>
          <w:rFonts w:ascii="Times New Roman" w:hAnsi="Times New Roman" w:cs="Times New Roman"/>
          <w:sz w:val="24"/>
          <w:szCs w:val="24"/>
        </w:rPr>
        <w:lastRenderedPageBreak/>
        <w:t xml:space="preserve">от 24 юни 2021 година </w:t>
      </w:r>
      <w:r w:rsidR="004A0156" w:rsidRPr="008D4AB4">
        <w:rPr>
          <w:rFonts w:ascii="Times New Roman" w:hAnsi="Times New Roman" w:cs="Times New Roman"/>
          <w:i/>
          <w:sz w:val="24"/>
          <w:szCs w:val="24"/>
        </w:rPr>
        <w:t xml:space="preserve">за установяване на </w:t>
      </w:r>
      <w:proofErr w:type="spellStart"/>
      <w:r w:rsidR="004A0156" w:rsidRPr="008D4AB4">
        <w:rPr>
          <w:rFonts w:ascii="Times New Roman" w:hAnsi="Times New Roman" w:cs="Times New Roman"/>
          <w:i/>
          <w:sz w:val="24"/>
          <w:szCs w:val="24"/>
        </w:rPr>
        <w:t>общоприложимите</w:t>
      </w:r>
      <w:proofErr w:type="spellEnd"/>
      <w:r w:rsidR="004A0156" w:rsidRPr="008D4AB4">
        <w:rPr>
          <w:rFonts w:ascii="Times New Roman" w:hAnsi="Times New Roman" w:cs="Times New Roman"/>
          <w:i/>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4A0156" w:rsidRPr="008D4AB4">
        <w:rPr>
          <w:rFonts w:ascii="Times New Roman" w:hAnsi="Times New Roman" w:cs="Times New Roman"/>
          <w:i/>
          <w:sz w:val="24"/>
          <w:szCs w:val="24"/>
        </w:rPr>
        <w:t>аквакултури</w:t>
      </w:r>
      <w:proofErr w:type="spellEnd"/>
      <w:r w:rsidR="004A0156" w:rsidRPr="008D4AB4">
        <w:rPr>
          <w:rFonts w:ascii="Times New Roman" w:hAnsi="Times New Roman" w:cs="Times New Roman"/>
          <w:i/>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2021/1058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24 юни 2021 година </w:t>
      </w:r>
      <w:hyperlink r:id="rId11" w:tooltip="32021R1058" w:history="1">
        <w:r w:rsidR="004A0156"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w:t>
      </w:r>
      <w:proofErr w:type="spellStart"/>
      <w:r w:rsidR="004A0156" w:rsidRPr="008D4AB4">
        <w:rPr>
          <w:rFonts w:ascii="Times New Roman" w:hAnsi="Times New Roman" w:cs="Times New Roman"/>
          <w:sz w:val="24"/>
          <w:szCs w:val="24"/>
        </w:rPr>
        <w:t>Евратом</w:t>
      </w:r>
      <w:proofErr w:type="spellEnd"/>
      <w:r w:rsidR="004A0156" w:rsidRPr="008D4AB4">
        <w:rPr>
          <w:rFonts w:ascii="Times New Roman" w:hAnsi="Times New Roman" w:cs="Times New Roman"/>
          <w:sz w:val="24"/>
          <w:szCs w:val="24"/>
        </w:rPr>
        <w:t xml:space="preserve">) 2018/1046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18 юли 2018 година </w:t>
      </w:r>
      <w:r w:rsidR="004A0156" w:rsidRPr="008D4AB4">
        <w:rPr>
          <w:rFonts w:ascii="Times New Roman" w:hAnsi="Times New Roman" w:cs="Times New Roman"/>
          <w:i/>
          <w:sz w:val="24"/>
          <w:szCs w:val="24"/>
        </w:rPr>
        <w:t xml:space="preserve">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A0156" w:rsidRPr="008D4AB4">
        <w:rPr>
          <w:rFonts w:ascii="Times New Roman" w:hAnsi="Times New Roman" w:cs="Times New Roman"/>
          <w:i/>
          <w:sz w:val="24"/>
          <w:szCs w:val="24"/>
        </w:rPr>
        <w:t>Евратом</w:t>
      </w:r>
      <w:proofErr w:type="spellEnd"/>
      <w:r w:rsidR="004A0156" w:rsidRPr="008D4AB4">
        <w:rPr>
          <w:rFonts w:ascii="Times New Roman" w:hAnsi="Times New Roman" w:cs="Times New Roman"/>
          <w:i/>
          <w:sz w:val="24"/>
          <w:szCs w:val="24"/>
        </w:rPr>
        <w:t>) № 966/2012</w:t>
      </w:r>
      <w:r w:rsidRPr="008D4AB4">
        <w:rPr>
          <w:rFonts w:ascii="Times New Roman" w:hAnsi="Times New Roman" w:cs="Times New Roman"/>
          <w:i/>
          <w:sz w:val="24"/>
          <w:szCs w:val="24"/>
        </w:rPr>
        <w:t>)</w:t>
      </w:r>
      <w:r w:rsidRPr="008D4AB4">
        <w:rPr>
          <w:rFonts w:ascii="Times New Roman" w:hAnsi="Times New Roman" w:cs="Times New Roman"/>
          <w:sz w:val="24"/>
          <w:szCs w:val="24"/>
        </w:rPr>
        <w:t xml:space="preserve">, </w:t>
      </w:r>
      <w:r w:rsidR="004A0156"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8D4AB4">
        <w:rPr>
          <w:rFonts w:ascii="Times New Roman" w:hAnsi="Times New Roman" w:cs="Times New Roman"/>
          <w:sz w:val="24"/>
          <w:szCs w:val="24"/>
        </w:rPr>
        <w:t xml:space="preserve"> </w:t>
      </w:r>
      <w:r w:rsidRPr="008D4AB4">
        <w:rPr>
          <w:rFonts w:ascii="Times New Roman" w:hAnsi="Times New Roman" w:cs="Times New Roman"/>
          <w:sz w:val="24"/>
          <w:szCs w:val="24"/>
        </w:rPr>
        <w:t>национални правила за допустимост на разходите</w:t>
      </w:r>
      <w:r w:rsidR="00346133" w:rsidRPr="008D4AB4">
        <w:rPr>
          <w:rFonts w:ascii="Times New Roman" w:hAnsi="Times New Roman" w:cs="Times New Roman"/>
          <w:sz w:val="24"/>
          <w:szCs w:val="24"/>
        </w:rPr>
        <w:t xml:space="preserve"> за средствата от ЕФСУ</w:t>
      </w:r>
      <w:r w:rsidR="00AF0179" w:rsidRPr="008D4AB4">
        <w:rPr>
          <w:rFonts w:ascii="Times New Roman" w:hAnsi="Times New Roman" w:cs="Times New Roman"/>
          <w:sz w:val="24"/>
          <w:szCs w:val="24"/>
        </w:rPr>
        <w:t xml:space="preserve">. </w:t>
      </w:r>
    </w:p>
    <w:p w14:paraId="65712F50" w14:textId="77777777" w:rsidR="00EC03CF" w:rsidRPr="008D4AB4" w:rsidRDefault="004966C5"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w:t>
      </w:r>
      <w:r w:rsidRPr="004966C5">
        <w:rPr>
          <w:rFonts w:ascii="Times New Roman" w:hAnsi="Times New Roman" w:cs="Times New Roman"/>
          <w:sz w:val="24"/>
          <w:szCs w:val="24"/>
        </w:rPr>
        <w:t>лен 64</w:t>
      </w:r>
      <w:r w:rsidRPr="008D4AB4">
        <w:rPr>
          <w:rFonts w:ascii="Times New Roman" w:hAnsi="Times New Roman" w:cs="Times New Roman"/>
          <w:sz w:val="24"/>
          <w:szCs w:val="24"/>
        </w:rPr>
        <w:t xml:space="preserve"> на Регламент 2021/</w:t>
      </w:r>
      <w:r w:rsidR="00EC03CF" w:rsidRPr="008D4AB4">
        <w:rPr>
          <w:rFonts w:ascii="Times New Roman" w:hAnsi="Times New Roman" w:cs="Times New Roman"/>
          <w:sz w:val="24"/>
          <w:szCs w:val="24"/>
        </w:rPr>
        <w:t xml:space="preserve">1060 относно недопустимите </w:t>
      </w:r>
      <w:r w:rsidRPr="008D4AB4">
        <w:rPr>
          <w:rFonts w:ascii="Times New Roman" w:hAnsi="Times New Roman" w:cs="Times New Roman"/>
          <w:sz w:val="24"/>
          <w:szCs w:val="24"/>
        </w:rPr>
        <w:t>разход</w:t>
      </w:r>
      <w:r w:rsidR="00EC03CF" w:rsidRPr="008D4AB4">
        <w:rPr>
          <w:rFonts w:ascii="Times New Roman" w:hAnsi="Times New Roman" w:cs="Times New Roman"/>
          <w:sz w:val="24"/>
          <w:szCs w:val="24"/>
        </w:rPr>
        <w:t>и:</w:t>
      </w:r>
    </w:p>
    <w:p w14:paraId="5A4CC901" w14:textId="5B61049D" w:rsidR="004966C5" w:rsidRPr="008D4AB4" w:rsidRDefault="00EC03CF" w:rsidP="00C66898">
      <w:pPr>
        <w:pStyle w:val="ListParagraph"/>
        <w:numPr>
          <w:ilvl w:val="0"/>
          <w:numId w:val="10"/>
        </w:numPr>
        <w:spacing w:after="120" w:line="240" w:lineRule="auto"/>
        <w:jc w:val="both"/>
        <w:rPr>
          <w:rFonts w:ascii="Times New Roman" w:eastAsia="Times New Roman" w:hAnsi="Times New Roman" w:cs="Times New Roman"/>
          <w:color w:val="333333"/>
          <w:sz w:val="24"/>
          <w:szCs w:val="24"/>
          <w:lang w:eastAsia="bg-BG"/>
        </w:rPr>
      </w:pPr>
      <w:r w:rsidRPr="008D4AB4">
        <w:rPr>
          <w:rFonts w:ascii="Times New Roman" w:eastAsia="Times New Roman" w:hAnsi="Times New Roman" w:cs="Times New Roman"/>
          <w:color w:val="333333"/>
          <w:sz w:val="24"/>
          <w:szCs w:val="24"/>
          <w:lang w:eastAsia="bg-BG"/>
        </w:rPr>
        <w:t>Следните разходи не са допустими за получаване на принос от фондовете:</w:t>
      </w:r>
    </w:p>
    <w:p w14:paraId="2F8E1A25" w14:textId="5BADB698"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а) лихви по дългове, освен във връзка с безвъзмездни средства, предоставени под формата на лихвени субсидии или субсидии за гаранционни такси;</w:t>
      </w:r>
    </w:p>
    <w:p w14:paraId="798DD927" w14:textId="2E393601" w:rsidR="00EC03CF" w:rsidRPr="008D4AB4" w:rsidRDefault="00EC03CF" w:rsidP="00843132">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D4AB4">
        <w:rPr>
          <w:rFonts w:ascii="Times New Roman" w:hAnsi="Times New Roman" w:cs="Times New Roman"/>
          <w:sz w:val="24"/>
          <w:szCs w:val="24"/>
        </w:rPr>
        <w:t>б) покупка на земя на стойност над 10 % от общите допустими разходи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w:t>
      </w:r>
      <w:r w:rsidR="00843132" w:rsidRPr="008D4AB4">
        <w:rPr>
          <w:rFonts w:ascii="Times New Roman" w:hAnsi="Times New Roman" w:cs="Times New Roman"/>
          <w:sz w:val="24"/>
          <w:szCs w:val="24"/>
        </w:rPr>
        <w:t xml:space="preserve">. </w:t>
      </w:r>
      <w:r w:rsidR="00843132" w:rsidRPr="004966C5">
        <w:rPr>
          <w:rFonts w:ascii="Times New Roman" w:eastAsia="Times New Roman" w:hAnsi="Times New Roman" w:cs="Times New Roman"/>
          <w:color w:val="333333"/>
          <w:sz w:val="24"/>
          <w:szCs w:val="24"/>
          <w:lang w:eastAsia="bg-BG"/>
        </w:rPr>
        <w:t xml:space="preserve">Буква б) </w:t>
      </w:r>
      <w:r w:rsidR="00843132" w:rsidRPr="008D4AB4">
        <w:rPr>
          <w:rFonts w:ascii="Times New Roman" w:eastAsia="Times New Roman" w:hAnsi="Times New Roman" w:cs="Times New Roman"/>
          <w:color w:val="333333"/>
          <w:sz w:val="24"/>
          <w:szCs w:val="24"/>
          <w:lang w:eastAsia="bg-BG"/>
        </w:rPr>
        <w:t xml:space="preserve">по т.1 </w:t>
      </w:r>
      <w:r w:rsidR="00843132" w:rsidRPr="004966C5">
        <w:rPr>
          <w:rFonts w:ascii="Times New Roman" w:eastAsia="Times New Roman" w:hAnsi="Times New Roman" w:cs="Times New Roman"/>
          <w:color w:val="333333"/>
          <w:sz w:val="24"/>
          <w:szCs w:val="24"/>
          <w:lang w:eastAsia="bg-BG"/>
        </w:rPr>
        <w:t>не се прилага за операции, свързани с опазването на околната среда.</w:t>
      </w:r>
      <w:r w:rsidRPr="008D4AB4">
        <w:rPr>
          <w:rFonts w:ascii="Times New Roman" w:hAnsi="Times New Roman" w:cs="Times New Roman"/>
          <w:sz w:val="24"/>
          <w:szCs w:val="24"/>
        </w:rPr>
        <w:t xml:space="preserve">; </w:t>
      </w:r>
    </w:p>
    <w:p w14:paraId="51D09398" w14:textId="3FCAE14A"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в) данък върху добавената стойност (ДДС) освен:</w:t>
      </w:r>
    </w:p>
    <w:p w14:paraId="49BB13BF" w14:textId="18D99DB2" w:rsidR="00EC03CF" w:rsidRPr="008D4AB4" w:rsidRDefault="00EC03CF" w:rsidP="00EC03CF">
      <w:pPr>
        <w:spacing w:after="120" w:line="240" w:lineRule="auto"/>
        <w:ind w:firstLine="1276"/>
        <w:jc w:val="both"/>
        <w:rPr>
          <w:rFonts w:ascii="Times New Roman" w:hAnsi="Times New Roman" w:cs="Times New Roman"/>
          <w:sz w:val="24"/>
          <w:szCs w:val="24"/>
        </w:rPr>
      </w:pPr>
      <w:r w:rsidRPr="008D4AB4">
        <w:rPr>
          <w:rFonts w:ascii="Times New Roman" w:hAnsi="Times New Roman" w:cs="Times New Roman"/>
          <w:sz w:val="24"/>
          <w:szCs w:val="24"/>
        </w:rPr>
        <w:t>i)</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за операции с общ размер на разходите под 5 000 000 EUR (вкл. ДДС);</w:t>
      </w:r>
    </w:p>
    <w:p w14:paraId="28F164F3" w14:textId="7FFF6D4D" w:rsidR="00EC03CF" w:rsidRPr="008D4AB4" w:rsidRDefault="00EC03CF" w:rsidP="00EC03CF">
      <w:pPr>
        <w:spacing w:after="120" w:line="240" w:lineRule="auto"/>
        <w:ind w:firstLine="1276"/>
        <w:jc w:val="both"/>
        <w:rPr>
          <w:rFonts w:ascii="Times New Roman" w:hAnsi="Times New Roman" w:cs="Times New Roman"/>
          <w:sz w:val="24"/>
          <w:szCs w:val="24"/>
        </w:rPr>
      </w:pPr>
      <w:r w:rsidRPr="008D4AB4">
        <w:rPr>
          <w:rFonts w:ascii="Times New Roman" w:hAnsi="Times New Roman" w:cs="Times New Roman"/>
          <w:sz w:val="24"/>
          <w:szCs w:val="24"/>
        </w:rPr>
        <w:t>ii)</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за операции с общ размер на разходите най-малко 5 000 000 EUR (вкл. ДДС), когато ДДС не подлежи на възстановяване съгласно националното законодателство в областта на ДДС;</w:t>
      </w:r>
    </w:p>
    <w:p w14:paraId="780A5B86" w14:textId="77777777" w:rsidR="004966C5" w:rsidRPr="008D4AB4" w:rsidRDefault="004966C5" w:rsidP="00D4692B">
      <w:pPr>
        <w:spacing w:after="120" w:line="240" w:lineRule="auto"/>
        <w:jc w:val="both"/>
        <w:rPr>
          <w:rFonts w:ascii="Times New Roman" w:hAnsi="Times New Roman" w:cs="Times New Roman"/>
          <w:sz w:val="24"/>
          <w:szCs w:val="24"/>
        </w:rPr>
      </w:pPr>
    </w:p>
    <w:p w14:paraId="6A42342C" w14:textId="7395AC15" w:rsidR="00EC03CF" w:rsidRPr="008D4AB4" w:rsidRDefault="005357AF" w:rsidP="00843132">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Съгласно член 7</w:t>
      </w:r>
      <w:r w:rsidR="00EC03CF" w:rsidRPr="008D4AB4">
        <w:rPr>
          <w:rFonts w:ascii="Times New Roman" w:hAnsi="Times New Roman" w:cs="Times New Roman"/>
          <w:sz w:val="24"/>
          <w:szCs w:val="24"/>
        </w:rPr>
        <w:t xml:space="preserve"> на Регламент 2021/1058 „Изключване от обхвата на ЕФРР и Кохезионния фонд“</w:t>
      </w:r>
      <w:r>
        <w:rPr>
          <w:rFonts w:ascii="Times New Roman" w:hAnsi="Times New Roman" w:cs="Times New Roman"/>
          <w:sz w:val="24"/>
          <w:szCs w:val="24"/>
        </w:rPr>
        <w:t>,</w:t>
      </w:r>
      <w:r w:rsidR="00843132" w:rsidRPr="008D4AB4">
        <w:rPr>
          <w:rFonts w:ascii="Times New Roman" w:hAnsi="Times New Roman" w:cs="Times New Roman"/>
          <w:sz w:val="24"/>
          <w:szCs w:val="24"/>
        </w:rPr>
        <w:t xml:space="preserve"> </w:t>
      </w:r>
      <w:r w:rsidR="00EC03CF" w:rsidRPr="008D4AB4">
        <w:rPr>
          <w:rFonts w:ascii="Times New Roman" w:hAnsi="Times New Roman" w:cs="Times New Roman"/>
          <w:sz w:val="24"/>
          <w:szCs w:val="24"/>
        </w:rPr>
        <w:t>ЕФРР и Кохезионният фонд не подкрепят:</w:t>
      </w:r>
    </w:p>
    <w:p w14:paraId="7D5D55E1" w14:textId="765CBF31"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а) извеждането от експлоатация или изграждането на атомни електроцентрали;</w:t>
      </w:r>
    </w:p>
    <w:p w14:paraId="013D31AF" w14:textId="4AC3855F"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б) инвестиции за постигане на намаляване на емисиите на парникови газове от дейности, посочени в приложение I към Директива 2003/87/ЕО;</w:t>
      </w:r>
    </w:p>
    <w:p w14:paraId="6717E76C" w14:textId="35A48865"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в) производството, преработката и продажбата на тютюн и тютюневи изделия;</w:t>
      </w:r>
    </w:p>
    <w:p w14:paraId="0E6F6EB9" w14:textId="2560C820"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 xml:space="preserve">г) </w:t>
      </w:r>
      <w:proofErr w:type="spellStart"/>
      <w:r w:rsidRPr="008D4AB4">
        <w:rPr>
          <w:rFonts w:ascii="Times New Roman" w:hAnsi="Times New Roman" w:cs="Times New Roman"/>
          <w:sz w:val="24"/>
          <w:szCs w:val="24"/>
        </w:rPr>
        <w:t>предприятиe</w:t>
      </w:r>
      <w:proofErr w:type="spellEnd"/>
      <w:r w:rsidRPr="008D4AB4">
        <w:rPr>
          <w:rFonts w:ascii="Times New Roman" w:hAnsi="Times New Roman" w:cs="Times New Roman"/>
          <w:sz w:val="24"/>
          <w:szCs w:val="24"/>
        </w:rPr>
        <w:t xml:space="preserve"> в затруднено положение, както e </w:t>
      </w:r>
      <w:proofErr w:type="spellStart"/>
      <w:r w:rsidRPr="008D4AB4">
        <w:rPr>
          <w:rFonts w:ascii="Times New Roman" w:hAnsi="Times New Roman" w:cs="Times New Roman"/>
          <w:sz w:val="24"/>
          <w:szCs w:val="24"/>
        </w:rPr>
        <w:t>определенo</w:t>
      </w:r>
      <w:proofErr w:type="spellEnd"/>
      <w:r w:rsidRPr="008D4AB4">
        <w:rPr>
          <w:rFonts w:ascii="Times New Roman" w:hAnsi="Times New Roman" w:cs="Times New Roman"/>
          <w:sz w:val="24"/>
          <w:szCs w:val="24"/>
        </w:rPr>
        <w:t xml:space="preserve"> в член 2, точка 18 от Регламент (ЕС) № 651/2014, освен ако предоставянето на подкрепа е разрешено по силата на правила за предоставяне на помощ </w:t>
      </w:r>
      <w:proofErr w:type="spellStart"/>
      <w:r w:rsidRPr="008D4AB4">
        <w:rPr>
          <w:rFonts w:ascii="Times New Roman" w:hAnsi="Times New Roman" w:cs="Times New Roman"/>
          <w:sz w:val="24"/>
          <w:szCs w:val="24"/>
        </w:rPr>
        <w:t>de</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minimis</w:t>
      </w:r>
      <w:proofErr w:type="spellEnd"/>
      <w:r w:rsidRPr="008D4AB4">
        <w:rPr>
          <w:rFonts w:ascii="Times New Roman" w:hAnsi="Times New Roman" w:cs="Times New Roman"/>
          <w:sz w:val="24"/>
          <w:szCs w:val="24"/>
        </w:rPr>
        <w:t xml:space="preserve"> или на правила за временна държавна помощ, предназначени за справяне с извънредни обстоятелства;</w:t>
      </w:r>
    </w:p>
    <w:p w14:paraId="18177135" w14:textId="2396380B"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д) инвестиции в летищна инфраструктура, с изключение на най-отдалечените региони, или в съществуващи регионални летища, както е определено в член 2, точка 153 от Регламент (ЕС) № 651/2014, във всеки от следните случаи:</w:t>
      </w:r>
    </w:p>
    <w:p w14:paraId="646896C2" w14:textId="6D0FACE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при мерките за смекчаване на въздействието върху околната среда; или</w:t>
      </w:r>
    </w:p>
    <w:p w14:paraId="648FDCE5" w14:textId="04E0A57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lastRenderedPageBreak/>
        <w:t>ii) при системи за сигурност, безопасност и управление на въздушното движение, произтичащи от системата за управление на въздушното движение;</w:t>
      </w:r>
    </w:p>
    <w:p w14:paraId="4025E8E5" w14:textId="7905F77D"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е) инвестиции за обезвреждане на отпадъците в депа за отпадъци, с изключение на:</w:t>
      </w:r>
    </w:p>
    <w:p w14:paraId="75B3E1FF" w14:textId="27BF5ED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най-отдалечените региони, само в надлежно обосновани случаи; или</w:t>
      </w:r>
    </w:p>
    <w:p w14:paraId="6803FF3E" w14:textId="56FE9A2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71D7073" w14:textId="7C681AAC"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ж) инвестиции за увеличаване на капацитета на съоръжения за третиране на остатъчни отпадъци, с изключение на:</w:t>
      </w:r>
    </w:p>
    <w:p w14:paraId="5AC80388" w14:textId="7B5A0961" w:rsidR="00EC03CF" w:rsidRPr="008D4AB4" w:rsidRDefault="00EC03CF" w:rsidP="00C66898">
      <w:pPr>
        <w:pStyle w:val="ListParagraph"/>
        <w:numPr>
          <w:ilvl w:val="0"/>
          <w:numId w:val="11"/>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най-отдалечените региони, само в надлежно обосновани случаи;</w:t>
      </w:r>
    </w:p>
    <w:p w14:paraId="6C95844E" w14:textId="466FC553" w:rsidR="00EC03CF" w:rsidRPr="008D4AB4" w:rsidRDefault="00EC03CF" w:rsidP="00C66898">
      <w:pPr>
        <w:pStyle w:val="ListParagraph"/>
        <w:numPr>
          <w:ilvl w:val="0"/>
          <w:numId w:val="11"/>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инвестициите в технологии за оползотворяване на материали остатъчни отпадъци за целите на кръговата икономика;</w:t>
      </w:r>
    </w:p>
    <w:p w14:paraId="37F86E48" w14:textId="0EA3B39A"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з)</w:t>
      </w:r>
      <w:r w:rsidR="001105E2">
        <w:rPr>
          <w:rFonts w:ascii="Times New Roman" w:hAnsi="Times New Roman" w:cs="Times New Roman"/>
          <w:sz w:val="24"/>
          <w:szCs w:val="24"/>
        </w:rPr>
        <w:t xml:space="preserve"> </w:t>
      </w:r>
      <w:r w:rsidRPr="008D4AB4">
        <w:rPr>
          <w:rFonts w:ascii="Times New Roman" w:hAnsi="Times New Roman" w:cs="Times New Roman"/>
          <w:sz w:val="24"/>
          <w:szCs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w:t>
      </w:r>
    </w:p>
    <w:p w14:paraId="69CB9788" w14:textId="5A986B88" w:rsidR="00EC03CF" w:rsidRPr="008D4AB4" w:rsidRDefault="00EC03CF" w:rsidP="00C66898">
      <w:pPr>
        <w:pStyle w:val="ListParagraph"/>
        <w:numPr>
          <w:ilvl w:val="0"/>
          <w:numId w:val="14"/>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замяната на отоплителни системи на твърди изкопаеми горива, а именно въглища, торф, лигнитни въглища, нефтени шисти, с газови отоплителни системи с цел:</w:t>
      </w:r>
    </w:p>
    <w:p w14:paraId="10E56E56" w14:textId="05354EC3" w:rsidR="00EC03CF" w:rsidRPr="008D4AB4" w:rsidRDefault="00843132" w:rsidP="00843132">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w:t>
      </w:r>
      <w:r w:rsidR="00EC03CF" w:rsidRPr="008D4AB4">
        <w:rPr>
          <w:rFonts w:ascii="Times New Roman" w:hAnsi="Times New Roman" w:cs="Times New Roman"/>
          <w:sz w:val="24"/>
          <w:szCs w:val="24"/>
        </w:rPr>
        <w:t>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7798E09D" w14:textId="2AFBB379"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9C52F59" w14:textId="0CC364E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p w14:paraId="3249DA8F" w14:textId="2276FC95" w:rsidR="00EC03CF" w:rsidRPr="008D4AB4" w:rsidRDefault="00EC03CF" w:rsidP="00C66898">
      <w:pPr>
        <w:pStyle w:val="ListParagraph"/>
        <w:numPr>
          <w:ilvl w:val="0"/>
          <w:numId w:val="14"/>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8D4AB4">
        <w:rPr>
          <w:rFonts w:ascii="Times New Roman" w:hAnsi="Times New Roman" w:cs="Times New Roman"/>
          <w:sz w:val="24"/>
          <w:szCs w:val="24"/>
        </w:rPr>
        <w:t>нисковъглеродни</w:t>
      </w:r>
      <w:proofErr w:type="spellEnd"/>
      <w:r w:rsidRPr="008D4AB4">
        <w:rPr>
          <w:rFonts w:ascii="Times New Roman" w:hAnsi="Times New Roman" w:cs="Times New Roman"/>
          <w:sz w:val="24"/>
          <w:szCs w:val="24"/>
        </w:rPr>
        <w:t xml:space="preserve"> газове, като водород, </w:t>
      </w:r>
      <w:proofErr w:type="spellStart"/>
      <w:r w:rsidRPr="008D4AB4">
        <w:rPr>
          <w:rFonts w:ascii="Times New Roman" w:hAnsi="Times New Roman" w:cs="Times New Roman"/>
          <w:sz w:val="24"/>
          <w:szCs w:val="24"/>
        </w:rPr>
        <w:t>биометан</w:t>
      </w:r>
      <w:proofErr w:type="spellEnd"/>
      <w:r w:rsidRPr="008D4AB4">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095610F4" w14:textId="1E089467" w:rsidR="00EC03CF" w:rsidRPr="008D4AB4" w:rsidRDefault="00EC03CF" w:rsidP="00C66898">
      <w:pPr>
        <w:pStyle w:val="ListParagraph"/>
        <w:numPr>
          <w:ilvl w:val="0"/>
          <w:numId w:val="14"/>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w:t>
      </w:r>
    </w:p>
    <w:p w14:paraId="171F4683" w14:textId="0BF4180C" w:rsidR="00EC03CF" w:rsidRPr="008D4AB4" w:rsidRDefault="00EC03CF" w:rsidP="00C66898">
      <w:pPr>
        <w:pStyle w:val="ListParagraph"/>
        <w:numPr>
          <w:ilvl w:val="0"/>
          <w:numId w:val="12"/>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чисти превозни средства, както е определено в Директива 2009/33/ЕО на Европейския парламент и на Съвета (22) за обществени цели; и</w:t>
      </w:r>
    </w:p>
    <w:p w14:paraId="1ACDF2F1" w14:textId="6DD1AAFA" w:rsidR="004966C5" w:rsidRDefault="00EC03CF" w:rsidP="00C66898">
      <w:pPr>
        <w:pStyle w:val="ListParagraph"/>
        <w:numPr>
          <w:ilvl w:val="0"/>
          <w:numId w:val="12"/>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превозни средства, въздухоплавателни средства и плавателни съдове, проектирани и конструирани или приспособени за използване от службите за гражданска защита и противопожарните служби.</w:t>
      </w:r>
    </w:p>
    <w:p w14:paraId="5DEBC55B" w14:textId="1FF68A84" w:rsidR="00AF67D5" w:rsidRPr="00144B34" w:rsidRDefault="00AF67D5"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наем на машини, съоръжения и оборудване за постоянно ползване след приключване на проекта;</w:t>
      </w:r>
    </w:p>
    <w:p w14:paraId="58AE6FD2" w14:textId="67E20663" w:rsidR="00AF67D5" w:rsidRPr="00144B34" w:rsidRDefault="005357AF"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разходи </w:t>
      </w:r>
      <w:r w:rsidR="00AF67D5" w:rsidRPr="00144B34">
        <w:rPr>
          <w:rFonts w:ascii="Times New Roman" w:hAnsi="Times New Roman" w:cs="Times New Roman"/>
          <w:sz w:val="24"/>
          <w:szCs w:val="24"/>
        </w:rPr>
        <w:t>за закупуване на дълготрайни материални активи, в т.ч. транспортни средства, които не отговарят на условията в предишната точка;</w:t>
      </w:r>
    </w:p>
    <w:p w14:paraId="675D561A" w14:textId="2B459D28" w:rsidR="00AF67D5" w:rsidRPr="00144B34" w:rsidRDefault="00AF67D5"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последваща експлоатация и поддръжка (освен гаранционната поддръжка);</w:t>
      </w:r>
    </w:p>
    <w:p w14:paraId="0550A191" w14:textId="5254AC61" w:rsidR="00AF67D5" w:rsidRPr="00144B34" w:rsidRDefault="00AF67D5"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5E777EE6" w14:textId="24606FD9" w:rsidR="00AF67D5" w:rsidRPr="00144B34" w:rsidRDefault="00AF67D5"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глоби, финансови санкции и разходи за разрешаване на спорове;</w:t>
      </w:r>
    </w:p>
    <w:p w14:paraId="26376759" w14:textId="19A71D5C" w:rsidR="00AF67D5" w:rsidRPr="00144B34" w:rsidRDefault="00AF67D5"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lastRenderedPageBreak/>
        <w:t xml:space="preserve">ДДС върху недопустими дейности; </w:t>
      </w:r>
    </w:p>
    <w:p w14:paraId="15EF73A6" w14:textId="6CC5FDA3" w:rsidR="00AF67D5" w:rsidRPr="00144B34" w:rsidRDefault="00AF67D5"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закупуване на дълготрайни материални активи – втора употреба;</w:t>
      </w:r>
    </w:p>
    <w:p w14:paraId="1F77D2A2" w14:textId="2145BE79" w:rsidR="00501B6C" w:rsidRPr="00144B34" w:rsidRDefault="00501B6C"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79F4CA7E" w14:textId="1CCED145" w:rsidR="00501B6C" w:rsidRPr="00144B34" w:rsidRDefault="00501B6C"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разходи, които вече са финансирани със средства от ЕФСУ или чрез други инструменти на Европейския съюз, както и с други публични средства, различни от тези на бенефициента; </w:t>
      </w:r>
    </w:p>
    <w:p w14:paraId="285EBA56" w14:textId="41799C42" w:rsidR="00501B6C" w:rsidRPr="00144B34" w:rsidRDefault="00501B6C" w:rsidP="00C66898">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с цел гарантиране в максимална степен на спазването на принципа за „</w:t>
      </w:r>
      <w:proofErr w:type="spellStart"/>
      <w:r w:rsidRPr="00144B34">
        <w:rPr>
          <w:rFonts w:ascii="Times New Roman" w:hAnsi="Times New Roman" w:cs="Times New Roman"/>
          <w:sz w:val="24"/>
          <w:szCs w:val="24"/>
        </w:rPr>
        <w:t>ненанасяне</w:t>
      </w:r>
      <w:proofErr w:type="spellEnd"/>
      <w:r w:rsidRPr="00144B34">
        <w:rPr>
          <w:rFonts w:ascii="Times New Roman" w:hAnsi="Times New Roman" w:cs="Times New Roman"/>
          <w:sz w:val="24"/>
          <w:szCs w:val="24"/>
        </w:rPr>
        <w:t xml:space="preserve"> на значителни вреди“, по процедурата няма да се финансират разходи за: </w:t>
      </w:r>
    </w:p>
    <w:p w14:paraId="53F6757F"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 дейности и активи, свързани с изкопаеми горива, включително използване надолу по веригата; </w:t>
      </w:r>
    </w:p>
    <w:p w14:paraId="3CBA1FC3"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555C4C3E" w14:textId="1CAD7EA1"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iii) дейности и активи, свързани със сметища, инсталации за изгаряне на отпадъци и заводи за механично-биологично третиране; </w:t>
      </w:r>
    </w:p>
    <w:p w14:paraId="11C9E810" w14:textId="2935EAFE"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iv) дейности и активи, при които дългосрочното обезвреждане на отпадъци може да причини вреда на околната среда.</w:t>
      </w:r>
    </w:p>
    <w:p w14:paraId="55F0A6A5" w14:textId="3867F56F" w:rsidR="005357AF" w:rsidRPr="008D4AB4" w:rsidRDefault="005357AF" w:rsidP="005357AF">
      <w:pPr>
        <w:spacing w:after="120" w:line="240" w:lineRule="auto"/>
        <w:jc w:val="both"/>
        <w:rPr>
          <w:rFonts w:ascii="Times New Roman" w:hAnsi="Times New Roman" w:cs="Times New Roman"/>
          <w:sz w:val="24"/>
          <w:szCs w:val="24"/>
        </w:rPr>
      </w:pPr>
      <w:r w:rsidRPr="007A0B0A">
        <w:rPr>
          <w:rFonts w:ascii="Times New Roman" w:hAnsi="Times New Roman" w:cs="Times New Roman"/>
          <w:sz w:val="24"/>
          <w:szCs w:val="24"/>
        </w:rPr>
        <w:t xml:space="preserve">Управляващият орган може както да нанесе корекции </w:t>
      </w:r>
      <w:r>
        <w:rPr>
          <w:rFonts w:ascii="Times New Roman" w:hAnsi="Times New Roman" w:cs="Times New Roman"/>
          <w:sz w:val="24"/>
          <w:szCs w:val="24"/>
        </w:rPr>
        <w:t xml:space="preserve">в проектното предложение </w:t>
      </w:r>
      <w:r w:rsidRPr="007A0B0A">
        <w:rPr>
          <w:rFonts w:ascii="Times New Roman" w:hAnsi="Times New Roman" w:cs="Times New Roman"/>
          <w:sz w:val="24"/>
          <w:szCs w:val="24"/>
        </w:rPr>
        <w:t>във връзка с установени в процеса на оценката недопустими разходи</w:t>
      </w:r>
      <w:r>
        <w:rPr>
          <w:rFonts w:ascii="Times New Roman" w:hAnsi="Times New Roman" w:cs="Times New Roman"/>
          <w:sz w:val="24"/>
          <w:szCs w:val="24"/>
        </w:rPr>
        <w:t>, така</w:t>
      </w:r>
      <w:r w:rsidRPr="007A0B0A">
        <w:rPr>
          <w:rFonts w:ascii="Times New Roman" w:hAnsi="Times New Roman" w:cs="Times New Roman"/>
          <w:sz w:val="24"/>
          <w:szCs w:val="24"/>
        </w:rPr>
        <w:t xml:space="preserve"> и</w:t>
      </w:r>
      <w:r w:rsidR="0052261F">
        <w:rPr>
          <w:rFonts w:ascii="Times New Roman" w:hAnsi="Times New Roman" w:cs="Times New Roman"/>
          <w:sz w:val="24"/>
          <w:szCs w:val="24"/>
        </w:rPr>
        <w:t xml:space="preserve"> </w:t>
      </w:r>
      <w:r w:rsidRPr="007A0B0A">
        <w:rPr>
          <w:rFonts w:ascii="Times New Roman" w:hAnsi="Times New Roman" w:cs="Times New Roman"/>
          <w:sz w:val="24"/>
          <w:szCs w:val="24"/>
        </w:rPr>
        <w:t xml:space="preserve">на кандидата </w:t>
      </w:r>
      <w:r>
        <w:rPr>
          <w:rFonts w:ascii="Times New Roman" w:hAnsi="Times New Roman" w:cs="Times New Roman"/>
          <w:sz w:val="24"/>
          <w:szCs w:val="24"/>
        </w:rPr>
        <w:t xml:space="preserve">да </w:t>
      </w:r>
      <w:r w:rsidRPr="007A0B0A">
        <w:rPr>
          <w:rFonts w:ascii="Times New Roman" w:hAnsi="Times New Roman" w:cs="Times New Roman"/>
          <w:sz w:val="24"/>
          <w:szCs w:val="24"/>
        </w:rPr>
        <w:t xml:space="preserve">се предоставят указания и срок за отстраняване на установените </w:t>
      </w:r>
      <w:proofErr w:type="spellStart"/>
      <w:r w:rsidRPr="007A0B0A">
        <w:rPr>
          <w:rFonts w:ascii="Times New Roman" w:hAnsi="Times New Roman" w:cs="Times New Roman"/>
          <w:sz w:val="24"/>
          <w:szCs w:val="24"/>
        </w:rPr>
        <w:t>нередовности</w:t>
      </w:r>
      <w:proofErr w:type="spellEnd"/>
      <w:r w:rsidRPr="007A0B0A">
        <w:rPr>
          <w:rFonts w:ascii="Times New Roman" w:hAnsi="Times New Roman" w:cs="Times New Roman"/>
          <w:sz w:val="24"/>
          <w:szCs w:val="24"/>
        </w:rPr>
        <w:t xml:space="preserve">, </w:t>
      </w:r>
      <w:proofErr w:type="spellStart"/>
      <w:r w:rsidRPr="007A0B0A">
        <w:rPr>
          <w:rFonts w:ascii="Times New Roman" w:hAnsi="Times New Roman" w:cs="Times New Roman"/>
          <w:sz w:val="24"/>
          <w:szCs w:val="24"/>
        </w:rPr>
        <w:t>непълноти</w:t>
      </w:r>
      <w:proofErr w:type="spellEnd"/>
      <w:r w:rsidRPr="007A0B0A">
        <w:rPr>
          <w:rFonts w:ascii="Times New Roman" w:hAnsi="Times New Roman" w:cs="Times New Roman"/>
          <w:sz w:val="24"/>
          <w:szCs w:val="24"/>
        </w:rPr>
        <w:t xml:space="preserve"> и/или несъответствия.</w:t>
      </w:r>
      <w:r w:rsidRPr="008D4AB4">
        <w:rPr>
          <w:rFonts w:ascii="Times New Roman" w:hAnsi="Times New Roman" w:cs="Times New Roman"/>
          <w:sz w:val="24"/>
          <w:szCs w:val="24"/>
        </w:rPr>
        <w:t xml:space="preserve"> </w:t>
      </w:r>
    </w:p>
    <w:p w14:paraId="74FE75F1" w14:textId="46936004" w:rsidR="00CB14EE" w:rsidRPr="008D4AB4" w:rsidRDefault="00CB14EE" w:rsidP="00C66898">
      <w:pPr>
        <w:pStyle w:val="Heading2"/>
        <w:numPr>
          <w:ilvl w:val="0"/>
          <w:numId w:val="25"/>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0" w:name="_Toc136269957"/>
      <w:r w:rsidRPr="008D4AB4">
        <w:rPr>
          <w:rFonts w:ascii="Times New Roman" w:hAnsi="Times New Roman" w:cs="Times New Roman"/>
        </w:rPr>
        <w:t>Допустими целеви групи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0"/>
    </w:p>
    <w:p w14:paraId="60FF89FF" w14:textId="3C74D249" w:rsidR="00AB1047" w:rsidRPr="008D4AB4" w:rsidRDefault="00D4692B" w:rsidP="00D4692B">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Неприложимо</w:t>
      </w:r>
    </w:p>
    <w:p w14:paraId="465DE7C2" w14:textId="4E4E50A6" w:rsidR="0052720E" w:rsidRPr="008D4AB4" w:rsidRDefault="00F7626C" w:rsidP="00C66898">
      <w:pPr>
        <w:pStyle w:val="Heading2"/>
        <w:numPr>
          <w:ilvl w:val="0"/>
          <w:numId w:val="25"/>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1" w:name="_Toc136269958"/>
      <w:r w:rsidRPr="008D4AB4">
        <w:rPr>
          <w:rFonts w:ascii="Times New Roman" w:hAnsi="Times New Roman" w:cs="Times New Roman"/>
        </w:rPr>
        <w:t>Приложим режим на минимални/държавни помощи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1"/>
      <w:r w:rsidR="0038451C" w:rsidRPr="008D4AB4">
        <w:rPr>
          <w:rFonts w:ascii="Times New Roman" w:hAnsi="Times New Roman" w:cs="Times New Roman"/>
          <w:sz w:val="24"/>
          <w:szCs w:val="24"/>
        </w:rPr>
        <w:t xml:space="preserve"> </w:t>
      </w:r>
    </w:p>
    <w:p w14:paraId="5853D2B0" w14:textId="39C39E9B" w:rsidR="00886EDC" w:rsidRDefault="00D95844" w:rsidP="00CD2CB9">
      <w:pPr>
        <w:pStyle w:val="NormalWeb"/>
        <w:ind w:firstLine="567"/>
        <w:jc w:val="both"/>
        <w:rPr>
          <w:color w:val="000000"/>
        </w:rPr>
      </w:pPr>
      <w:r w:rsidRPr="00A25C54">
        <w:rPr>
          <w:color w:val="000000"/>
        </w:rPr>
        <w:t xml:space="preserve">За установяване дали чрез  БФП  по </w:t>
      </w:r>
      <w:r>
        <w:rPr>
          <w:color w:val="000000"/>
        </w:rPr>
        <w:t>допустимите дейности</w:t>
      </w:r>
      <w:r w:rsidRPr="00A25C54">
        <w:rPr>
          <w:color w:val="000000"/>
        </w:rPr>
        <w:t xml:space="preserve">  </w:t>
      </w:r>
      <w:r>
        <w:rPr>
          <w:color w:val="000000"/>
        </w:rPr>
        <w:t xml:space="preserve">по </w:t>
      </w:r>
      <w:r w:rsidR="002648E7">
        <w:rPr>
          <w:color w:val="000000"/>
        </w:rPr>
        <w:t xml:space="preserve">процедурите по </w:t>
      </w:r>
      <w:r w:rsidR="002648E7">
        <w:rPr>
          <w:b/>
          <w:i/>
        </w:rPr>
        <w:t>Приоритет 1</w:t>
      </w:r>
      <w:r w:rsidR="002648E7" w:rsidRPr="00C76B39">
        <w:t xml:space="preserve"> </w:t>
      </w:r>
      <w:r w:rsidR="002648E7">
        <w:t xml:space="preserve">- </w:t>
      </w:r>
      <w:r w:rsidR="002648E7" w:rsidRPr="00C76B39">
        <w:rPr>
          <w:b/>
          <w:i/>
        </w:rPr>
        <w:t>Развитие на железопътната инфраструктура по „основната“ и „</w:t>
      </w:r>
      <w:proofErr w:type="spellStart"/>
      <w:r w:rsidR="002648E7" w:rsidRPr="00C76B39">
        <w:rPr>
          <w:b/>
          <w:i/>
        </w:rPr>
        <w:t>широкообхватната</w:t>
      </w:r>
      <w:proofErr w:type="spellEnd"/>
      <w:r w:rsidR="002648E7" w:rsidRPr="00C76B39">
        <w:rPr>
          <w:b/>
          <w:i/>
        </w:rPr>
        <w:t xml:space="preserve">“ </w:t>
      </w:r>
      <w:proofErr w:type="spellStart"/>
      <w:r w:rsidR="002648E7" w:rsidRPr="00C76B39">
        <w:rPr>
          <w:b/>
          <w:i/>
        </w:rPr>
        <w:t>Трансевропейска</w:t>
      </w:r>
      <w:proofErr w:type="spellEnd"/>
      <w:r w:rsidR="002648E7" w:rsidRPr="00C76B39">
        <w:rPr>
          <w:b/>
          <w:i/>
        </w:rPr>
        <w:t xml:space="preserve"> транспортна мрежа“</w:t>
      </w:r>
      <w:r w:rsidR="002648E7">
        <w:rPr>
          <w:b/>
          <w:i/>
        </w:rPr>
        <w:t xml:space="preserve"> </w:t>
      </w:r>
      <w:r w:rsidRPr="00A25C54">
        <w:rPr>
          <w:color w:val="000000"/>
        </w:rPr>
        <w:t>ще бъде предоставена  държавна</w:t>
      </w:r>
      <w:r>
        <w:rPr>
          <w:color w:val="000000"/>
        </w:rPr>
        <w:t xml:space="preserve"> помощ по ПТС, УО е извършил предварителна </w:t>
      </w:r>
      <w:r w:rsidRPr="00A25C54">
        <w:rPr>
          <w:color w:val="000000"/>
        </w:rPr>
        <w:t>проверка за наличие на държавни помощи (ДП)</w:t>
      </w:r>
      <w:r>
        <w:rPr>
          <w:color w:val="000000"/>
        </w:rPr>
        <w:t>.</w:t>
      </w:r>
      <w:r w:rsidRPr="00A25C54">
        <w:rPr>
          <w:color w:val="000000"/>
        </w:rPr>
        <w:t> </w:t>
      </w:r>
    </w:p>
    <w:p w14:paraId="613B9B69" w14:textId="61ECF56E" w:rsidR="0073369C" w:rsidRDefault="00886EDC" w:rsidP="002648E7">
      <w:pPr>
        <w:pStyle w:val="NormalWeb"/>
        <w:ind w:firstLine="567"/>
        <w:jc w:val="both"/>
      </w:pPr>
      <w:r>
        <w:t>По процедурите</w:t>
      </w:r>
      <w:r w:rsidR="00A44BFD">
        <w:t>, посочени в настоящите насоки</w:t>
      </w:r>
      <w:r>
        <w:t xml:space="preserve"> се предвижда финансиране </w:t>
      </w:r>
      <w:r w:rsidR="00A44BFD">
        <w:t xml:space="preserve">на проекти с бенефициент </w:t>
      </w:r>
      <w:r w:rsidR="00A44BFD" w:rsidRPr="00A44BFD">
        <w:rPr>
          <w:b/>
        </w:rPr>
        <w:t>НКЖИ</w:t>
      </w:r>
      <w:r w:rsidR="00A44BFD">
        <w:t xml:space="preserve"> </w:t>
      </w:r>
      <w:r>
        <w:t>за осъществяване единствено на дейности с нестопански характер – инвестиции за железопътна инфраструктура,</w:t>
      </w:r>
      <w:r w:rsidR="00704903">
        <w:t xml:space="preserve"> които представляват публична държавна  инфраструктура</w:t>
      </w:r>
      <w:r w:rsidR="0073369C">
        <w:t xml:space="preserve"> и в тази връзка представляват „законов монопол“</w:t>
      </w:r>
      <w:r w:rsidR="00704903">
        <w:t>,</w:t>
      </w:r>
      <w:r>
        <w:t xml:space="preserve"> информационни системи в </w:t>
      </w:r>
      <w:r w:rsidR="0073369C">
        <w:t>железопътния</w:t>
      </w:r>
      <w:r w:rsidR="0073369C">
        <w:rPr>
          <w:lang w:val="en-US"/>
        </w:rPr>
        <w:t xml:space="preserve"> </w:t>
      </w:r>
      <w:r w:rsidR="0073369C">
        <w:t>транспорт</w:t>
      </w:r>
      <w:r>
        <w:t>,</w:t>
      </w:r>
      <w:r w:rsidR="00704903">
        <w:t xml:space="preserve"> </w:t>
      </w:r>
      <w:r>
        <w:t xml:space="preserve">мерки за безопасността в </w:t>
      </w:r>
      <w:r w:rsidR="0073369C">
        <w:t>железопътния транспорт</w:t>
      </w:r>
      <w:r w:rsidR="00704903">
        <w:t xml:space="preserve"> </w:t>
      </w:r>
      <w:r>
        <w:t xml:space="preserve">и </w:t>
      </w:r>
      <w:r w:rsidR="00704903">
        <w:t xml:space="preserve">други, свързани с публични функции на държавата и </w:t>
      </w:r>
      <w:r>
        <w:t>в тях не се извършва икономическа дейност.</w:t>
      </w:r>
      <w:r w:rsidR="00A44BFD">
        <w:t xml:space="preserve"> </w:t>
      </w:r>
    </w:p>
    <w:p w14:paraId="253F3C36" w14:textId="77777777" w:rsidR="0073369C" w:rsidRDefault="0061760B" w:rsidP="0073369C">
      <w:pPr>
        <w:pStyle w:val="NormalWeb"/>
        <w:ind w:firstLine="567"/>
        <w:jc w:val="both"/>
      </w:pPr>
      <w:r w:rsidRPr="005109BA">
        <w:rPr>
          <w:b/>
        </w:rPr>
        <w:t>По приоритет 1</w:t>
      </w:r>
      <w:r>
        <w:t xml:space="preserve"> с бенефициент </w:t>
      </w:r>
      <w:r w:rsidRPr="005109BA">
        <w:rPr>
          <w:b/>
        </w:rPr>
        <w:t>НКЖИ</w:t>
      </w:r>
      <w:r w:rsidR="001B67DE">
        <w:rPr>
          <w:b/>
        </w:rPr>
        <w:t xml:space="preserve"> </w:t>
      </w:r>
      <w:r w:rsidR="001B67DE" w:rsidRPr="001B67DE">
        <w:t xml:space="preserve">с приложим режим </w:t>
      </w:r>
      <w:r w:rsidR="00EC57ED">
        <w:rPr>
          <w:b/>
        </w:rPr>
        <w:t>„</w:t>
      </w:r>
      <w:proofErr w:type="spellStart"/>
      <w:r w:rsidR="00EC57ED">
        <w:rPr>
          <w:b/>
        </w:rPr>
        <w:t>не</w:t>
      </w:r>
      <w:r w:rsidR="001B67DE" w:rsidRPr="001B67DE">
        <w:rPr>
          <w:b/>
        </w:rPr>
        <w:t>помощ</w:t>
      </w:r>
      <w:proofErr w:type="spellEnd"/>
      <w:r w:rsidR="001B67DE" w:rsidRPr="001B67DE">
        <w:rPr>
          <w:b/>
        </w:rPr>
        <w:t>“</w:t>
      </w:r>
      <w:r w:rsidR="001B67DE" w:rsidRPr="001B67DE">
        <w:t xml:space="preserve"> – помощ извън обхвата на чл. 107, </w:t>
      </w:r>
      <w:proofErr w:type="spellStart"/>
      <w:r w:rsidR="001B67DE" w:rsidRPr="001B67DE">
        <w:t>пар</w:t>
      </w:r>
      <w:proofErr w:type="spellEnd"/>
      <w:r w:rsidR="001B67DE" w:rsidRPr="001B67DE">
        <w:t xml:space="preserve">. 1 от ДФЕС </w:t>
      </w:r>
      <w:r>
        <w:t xml:space="preserve">се предвижда да се финансират дейности </w:t>
      </w:r>
      <w:r w:rsidR="005277F1">
        <w:t xml:space="preserve">за </w:t>
      </w:r>
      <w:r w:rsidR="005277F1" w:rsidRPr="001B67DE">
        <w:rPr>
          <w:b/>
          <w:u w:val="single"/>
        </w:rPr>
        <w:t xml:space="preserve">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w:t>
      </w:r>
      <w:r w:rsidR="005277F1" w:rsidRPr="001B67DE">
        <w:rPr>
          <w:b/>
          <w:u w:val="single"/>
        </w:rPr>
        <w:lastRenderedPageBreak/>
        <w:t>подготовката/завършване на подготовката на инвестиционни проекти за развитие на железопътната инфраструктура по ТEN-T</w:t>
      </w:r>
      <w:r w:rsidR="005109BA">
        <w:t xml:space="preserve"> за проекти: </w:t>
      </w:r>
    </w:p>
    <w:p w14:paraId="4797F11D" w14:textId="77777777" w:rsidR="0073369C" w:rsidRDefault="005109BA" w:rsidP="0073369C">
      <w:pPr>
        <w:pStyle w:val="NormalWeb"/>
        <w:ind w:firstLine="567"/>
        <w:jc w:val="both"/>
      </w:pPr>
      <w:r w:rsidRPr="005109BA">
        <w:t xml:space="preserve">Модернизация на </w:t>
      </w:r>
      <w:proofErr w:type="spellStart"/>
      <w:r w:rsidRPr="005109BA">
        <w:t>ж.п</w:t>
      </w:r>
      <w:proofErr w:type="spellEnd"/>
      <w:r w:rsidRPr="005109BA">
        <w:t>. линия София – Пловдив: жп участък Елин Пелин-Костенец, фаза 2</w:t>
      </w:r>
      <w:r>
        <w:t xml:space="preserve">; </w:t>
      </w:r>
      <w:r w:rsidRPr="005109BA">
        <w:t xml:space="preserve">Модернизацията на </w:t>
      </w:r>
      <w:proofErr w:type="spellStart"/>
      <w:r w:rsidRPr="005109BA">
        <w:t>ж.п</w:t>
      </w:r>
      <w:proofErr w:type="spellEnd"/>
      <w:r w:rsidRPr="005109BA">
        <w:t>. линията София – Драгоман – Сръбска граница: жп участък Волуяк - Драгоман, фаза 2</w:t>
      </w:r>
      <w:r>
        <w:t xml:space="preserve">, </w:t>
      </w:r>
      <w:r w:rsidRPr="005109BA">
        <w:t xml:space="preserve"> </w:t>
      </w:r>
    </w:p>
    <w:p w14:paraId="7DBC051C" w14:textId="77777777" w:rsidR="0073369C" w:rsidRDefault="005109BA" w:rsidP="0073369C">
      <w:pPr>
        <w:pStyle w:val="NormalWeb"/>
        <w:ind w:firstLine="567"/>
        <w:jc w:val="both"/>
      </w:pPr>
      <w:r w:rsidRPr="005109BA">
        <w:t xml:space="preserve">Модернизация на </w:t>
      </w:r>
      <w:proofErr w:type="spellStart"/>
      <w:r w:rsidRPr="005109BA">
        <w:t>ж.п</w:t>
      </w:r>
      <w:proofErr w:type="spellEnd"/>
      <w:r w:rsidRPr="005109BA">
        <w:t>. линия София-Перник-Р</w:t>
      </w:r>
      <w:r>
        <w:t xml:space="preserve">адомир, участък Перник-Радомир, </w:t>
      </w:r>
      <w:r w:rsidRPr="005109BA">
        <w:t>Изграждане на жп връзка межд</w:t>
      </w:r>
      <w:r>
        <w:t xml:space="preserve">у България и Северна Македония, </w:t>
      </w:r>
    </w:p>
    <w:p w14:paraId="1F2D8305" w14:textId="77777777" w:rsidR="0073369C" w:rsidRDefault="005109BA" w:rsidP="0073369C">
      <w:pPr>
        <w:pStyle w:val="NormalWeb"/>
        <w:ind w:firstLine="567"/>
        <w:jc w:val="both"/>
      </w:pPr>
      <w:r w:rsidRPr="005109BA">
        <w:t>Доизграждане на съоръжения</w:t>
      </w:r>
      <w:r w:rsidR="005E20A1">
        <w:t xml:space="preserve">та по жп линия Карнобат-Синдел, </w:t>
      </w:r>
      <w:r w:rsidRPr="005E20A1">
        <w:t xml:space="preserve">Модернизация на </w:t>
      </w:r>
      <w:proofErr w:type="spellStart"/>
      <w:r w:rsidRPr="005E20A1">
        <w:t>ж.п</w:t>
      </w:r>
      <w:proofErr w:type="spellEnd"/>
      <w:r w:rsidRPr="005E20A1">
        <w:t>. линия София-Перник-Радомир, участък София-Перник</w:t>
      </w:r>
      <w:r w:rsidR="005E20A1">
        <w:t xml:space="preserve">, </w:t>
      </w:r>
    </w:p>
    <w:p w14:paraId="3FFDF8F2" w14:textId="422C4382" w:rsidR="00F7357E" w:rsidRDefault="005109BA" w:rsidP="00F7357E">
      <w:pPr>
        <w:pStyle w:val="NormalWeb"/>
        <w:spacing w:after="0"/>
        <w:ind w:firstLine="567"/>
        <w:jc w:val="both"/>
      </w:pPr>
      <w:r w:rsidRPr="005E20A1">
        <w:t>Внедряване на E</w:t>
      </w:r>
      <w:r w:rsidR="005E20A1">
        <w:t>RTMS</w:t>
      </w:r>
      <w:r w:rsidR="0012134A">
        <w:t xml:space="preserve"> (</w:t>
      </w:r>
      <w:r w:rsidR="0012134A" w:rsidRPr="0012134A">
        <w:t>Системата има два основни компонента: Европейската система за управление на влакове (ETCS); както и радиосистема за гласова комуникация и обмен на данни между релсовия път и влака, използваща стандартна GSM технология, но с честоти, запазени специално за железопътния транспорт (GSM-R)</w:t>
      </w:r>
      <w:r w:rsidR="0012134A">
        <w:t>)</w:t>
      </w:r>
      <w:r w:rsidR="005E20A1">
        <w:t xml:space="preserve">, ниво 2 по линии, извън </w:t>
      </w:r>
      <w:r w:rsidRPr="005E20A1">
        <w:t>посочените.</w:t>
      </w:r>
      <w:r w:rsidR="00F7357E">
        <w:t xml:space="preserve"> </w:t>
      </w:r>
      <w:r w:rsidR="00F7357E" w:rsidRPr="004F4AE9">
        <w:t xml:space="preserve">За да оперират нормално влаковете в железопътната мрежа, трябва да има системи за жп сигнализация, които да позволяват </w:t>
      </w:r>
      <w:r w:rsidR="00F7357E" w:rsidRPr="00F7357E">
        <w:rPr>
          <w:u w:val="single"/>
        </w:rPr>
        <w:t>управлението на безопасно железопътно движение</w:t>
      </w:r>
      <w:r w:rsidR="00F7357E" w:rsidRPr="004F4AE9">
        <w:t xml:space="preserve"> и предотвратяването на влакови катастрофи. Тези системи обикновено се състоят от оборудване, монтирано по железопътните линии и на борда на локомотиви или цели влакови композиции.</w:t>
      </w:r>
      <w:r w:rsidR="00F7357E">
        <w:t xml:space="preserve"> Настоящите проекти </w:t>
      </w:r>
      <w:r w:rsidR="00F7357E" w:rsidRPr="00F7357E">
        <w:rPr>
          <w:u w:val="single"/>
        </w:rPr>
        <w:t xml:space="preserve">с бенефициент НКЖИ са само за оборудване </w:t>
      </w:r>
      <w:r w:rsidR="0012134A">
        <w:rPr>
          <w:u w:val="single"/>
          <w:lang w:val="en-US"/>
        </w:rPr>
        <w:t>ERTMS</w:t>
      </w:r>
      <w:r w:rsidR="00F7357E" w:rsidRPr="0012134A">
        <w:t>,</w:t>
      </w:r>
      <w:r w:rsidR="00F7357E" w:rsidRPr="00F7357E">
        <w:rPr>
          <w:u w:val="single"/>
        </w:rPr>
        <w:t xml:space="preserve"> монтирано на железопътните линии няма да се финансира оборудване на борда на подвижен състав. </w:t>
      </w:r>
      <w:r w:rsidR="00F7357E" w:rsidRPr="00F7357E">
        <w:t>Освен това, Решение № 2012/88/ЕС23 изисква инсталирането на ERTMS за всички железопътни проекти, финансирани със средства на ЕС, независимо от тяхното местоположение. Новите или обновените линии трябва да бъдат оборудвани с ERTMS, дори в случаите, когато крайният срок за внедряването по тези линии е 2050 г. или по-късно, съгласно регламента за TEN-T</w:t>
      </w:r>
      <w:r w:rsidR="003365BF">
        <w:t>.</w:t>
      </w:r>
    </w:p>
    <w:p w14:paraId="0A511E77" w14:textId="17DFD54A" w:rsidR="00121669" w:rsidRDefault="009E4B41" w:rsidP="009B6E58">
      <w:pPr>
        <w:pStyle w:val="NormalWeb"/>
        <w:ind w:firstLine="567"/>
        <w:jc w:val="both"/>
      </w:pPr>
      <w:r w:rsidRPr="009B6E58">
        <w:t xml:space="preserve">Докато управлението </w:t>
      </w:r>
      <w:r w:rsidR="00121669" w:rsidRPr="009B6E58">
        <w:t>на железопътна инфраструктура</w:t>
      </w:r>
      <w:r w:rsidRPr="009B6E58">
        <w:t xml:space="preserve"> </w:t>
      </w:r>
      <w:r w:rsidR="00121669" w:rsidRPr="009B6E58">
        <w:t xml:space="preserve">може да представлява стопанска дейност, </w:t>
      </w:r>
      <w:r w:rsidR="00121669" w:rsidRPr="009B6E58">
        <w:rPr>
          <w:b/>
        </w:rPr>
        <w:t>изграждането на железопътна инфраструктура</w:t>
      </w:r>
      <w:r w:rsidR="00121669" w:rsidRPr="009B6E58">
        <w:t>, която е достъпна за потенциални ползватели при равни и недискриминационни условия — за разлика от експлоатацията на инфраструктурата — обикновено отговаря на условията, посочени в точка 211</w:t>
      </w:r>
      <w:r w:rsidRPr="009B6E58">
        <w:t xml:space="preserve"> от </w:t>
      </w:r>
      <w:r w:rsidR="00DF188F" w:rsidRPr="009B6E58">
        <w:t>Известие на Комисията относно понятието за държавна помощ, посочено в член 107, параграф 1 от Договора за функционирането на Европейския съюз - 2016/C 262/01 (Известието)</w:t>
      </w:r>
      <w:r w:rsidR="00121669" w:rsidRPr="009B6E58">
        <w:t>, и неговото финансиране следователно обикновено не влияе на търговията между държавите членки или не нарушава конкуренцията. За да се гарантира, че цялото финансиране на даден проект не е предмет на правилата за държавна помощ, държавите членки трябва също да гарантират, че са изпълнени условията, определени в съображение 212</w:t>
      </w:r>
      <w:r w:rsidR="00DF188F" w:rsidRPr="009B6E58">
        <w:t xml:space="preserve"> от Известието</w:t>
      </w:r>
      <w:r w:rsidR="00121669" w:rsidRPr="009B6E58">
        <w:t>.</w:t>
      </w:r>
    </w:p>
    <w:p w14:paraId="3439C40B" w14:textId="03B402AD" w:rsidR="005277F1" w:rsidRDefault="00BF5003" w:rsidP="009B6E58">
      <w:pPr>
        <w:pStyle w:val="NormalWeb"/>
        <w:ind w:firstLine="567"/>
        <w:jc w:val="both"/>
      </w:pPr>
      <w:r>
        <w:t>НКЖИ е националният управител на железопътната инфраструктура, който предлага напълно отворен и равен достъп до жп инфраструктурата (включително коловози, терминали и комуникация) на всички оператори на пътнически и товарни влакове. Що се отнася до изграждането и управлението на жп инфрастру</w:t>
      </w:r>
      <w:r w:rsidR="005277F1">
        <w:t xml:space="preserve">ктура, се има предвид, че </w:t>
      </w:r>
      <w:r>
        <w:t xml:space="preserve">НКЖИ: </w:t>
      </w:r>
    </w:p>
    <w:p w14:paraId="3B2720B0" w14:textId="77777777" w:rsidR="00730999" w:rsidRDefault="00BF5003" w:rsidP="009B6E58">
      <w:pPr>
        <w:pStyle w:val="NormalWeb"/>
        <w:ind w:firstLine="567"/>
        <w:jc w:val="both"/>
      </w:pPr>
      <w:r>
        <w:t>- е държавно предприятие, регистрирано по чл. 62, ал. 3 от Търговския закон, създадено на основание чл. 9, ал. 1 от Закона за железопътния транспорт (З</w:t>
      </w:r>
      <w:r w:rsidR="00DF188F">
        <w:t>Ж</w:t>
      </w:r>
      <w:r>
        <w:t xml:space="preserve">Т). </w:t>
      </w:r>
    </w:p>
    <w:p w14:paraId="5D2E6692" w14:textId="77777777" w:rsidR="00730999" w:rsidRDefault="00BF5003" w:rsidP="009B6E58">
      <w:pPr>
        <w:pStyle w:val="NormalWeb"/>
        <w:ind w:firstLine="567"/>
        <w:jc w:val="both"/>
      </w:pPr>
      <w:r>
        <w:lastRenderedPageBreak/>
        <w:t xml:space="preserve">- е 100% собственост </w:t>
      </w:r>
      <w:r w:rsidR="000D20A0">
        <w:t xml:space="preserve">на Министерството на транспортна </w:t>
      </w:r>
      <w:r>
        <w:t xml:space="preserve">и съобщения, НКЖИ не може да извършва икономически дейности. </w:t>
      </w:r>
    </w:p>
    <w:p w14:paraId="61D974CE" w14:textId="77777777" w:rsidR="00730999" w:rsidRDefault="00BF5003" w:rsidP="009B6E58">
      <w:pPr>
        <w:pStyle w:val="NormalWeb"/>
        <w:ind w:firstLine="567"/>
        <w:jc w:val="both"/>
      </w:pPr>
      <w:r>
        <w:t xml:space="preserve">- по чл.10, т.2 от ЗЖТ предметът му на дейност включва изпълнение на дейности по развитие, ремонт, поддръжка и експлоатация на жп инфраструктура; </w:t>
      </w:r>
    </w:p>
    <w:p w14:paraId="3055A4AB" w14:textId="77777777" w:rsidR="00730999" w:rsidRDefault="00BF5003" w:rsidP="009B6E58">
      <w:pPr>
        <w:pStyle w:val="NormalWeb"/>
        <w:ind w:firstLine="567"/>
        <w:jc w:val="both"/>
      </w:pPr>
      <w:r>
        <w:t xml:space="preserve">- съгласно чл.3 от ЗЖТ обектите на жп инфраструктура и земята, върху която са построени или която е предназначена да се използва за тяхното изграждане, са държавна собственост; </w:t>
      </w:r>
    </w:p>
    <w:p w14:paraId="38268491" w14:textId="77777777" w:rsidR="00730999" w:rsidRDefault="00BF5003" w:rsidP="009B6E58">
      <w:pPr>
        <w:pStyle w:val="NormalWeb"/>
        <w:ind w:firstLine="567"/>
        <w:jc w:val="both"/>
      </w:pPr>
      <w:r>
        <w:t>- всички изпълнители на</w:t>
      </w:r>
      <w:r w:rsidR="00730999">
        <w:t xml:space="preserve"> дейностите в рамките на проектите</w:t>
      </w:r>
      <w:r>
        <w:t xml:space="preserve"> ще бъдат избрани въз основа на открита, публична и недискриминационна процедура за възлагане на обществени поръчки по Закона за обществените поръчки. </w:t>
      </w:r>
    </w:p>
    <w:p w14:paraId="674313B8" w14:textId="77777777" w:rsidR="00730999" w:rsidRDefault="00730999" w:rsidP="00CD2CB9">
      <w:pPr>
        <w:pStyle w:val="NormalWeb"/>
        <w:ind w:firstLine="567"/>
        <w:jc w:val="both"/>
      </w:pPr>
      <w:r>
        <w:t>- съгласно чл. 10., ал.1, т. 3 от ЗЖТ НКЖИ определя и събира инфраструктурните такси от лицензираните железопътни превозвачи в съответствие с методика, приета от Министерския съвет и съгласно чл. 35, ал. 5 от ЗЖТ п</w:t>
      </w:r>
      <w:r w:rsidRPr="00730999">
        <w:t>риходите от инфраструктурни такси се разходват изцяло за поддържането на железопътната инфраструктура, като се покриват разходите на управителя на инфраструктурата, извършени за осъществяването на превозите от железопътните превозвачи.</w:t>
      </w:r>
    </w:p>
    <w:p w14:paraId="116D7BF1" w14:textId="030B5433" w:rsidR="00730999" w:rsidRDefault="00730999" w:rsidP="009B6E58">
      <w:pPr>
        <w:pStyle w:val="NormalWeb"/>
        <w:ind w:firstLine="567"/>
        <w:jc w:val="both"/>
      </w:pPr>
      <w:r>
        <w:t>- ж</w:t>
      </w:r>
      <w:r w:rsidRPr="00730999">
        <w:t>елезопътните превозвачи имат право на достъп до железопътната инфраструктура и до обслужващите съоръжения за извършване на всички видове железопътни услуги за превоз на пътници и товари при справедливи, недискриминационни и прозрачни условия. Това право включва достъп до инфраструктурата, която свързва морските и речните пристанища с другите обслужващи съоръжения, и до инфраструктурата, която обслужва или би могла да обслужва повече от един краен потребител.</w:t>
      </w:r>
    </w:p>
    <w:p w14:paraId="196274EA" w14:textId="3E1330A2" w:rsidR="008467F6" w:rsidRPr="00694AA2" w:rsidRDefault="008467F6" w:rsidP="004F4AE9">
      <w:pPr>
        <w:pStyle w:val="NormalWeb"/>
        <w:ind w:firstLine="567"/>
        <w:jc w:val="both"/>
      </w:pPr>
      <w:r w:rsidRPr="00694AA2">
        <w:t>„</w:t>
      </w:r>
      <w:r w:rsidRPr="0073369C">
        <w:rPr>
          <w:b/>
        </w:rPr>
        <w:t>Европейска система за управление на железопътното движение (ERTMS)</w:t>
      </w:r>
      <w:r w:rsidRPr="00694AA2">
        <w:t xml:space="preserve">“ означава системата, определена в точка 2.2 от приложението към Регламент (ЕС) 2016/919 на Комисията относно техническата спецификация за оперативна съвместимост на подсистемите „Контрол, управление и сигнализация“ на железопътната система в Европейския съюз. </w:t>
      </w:r>
    </w:p>
    <w:p w14:paraId="1C7B3AE6" w14:textId="18A0E20F" w:rsidR="00007FF9" w:rsidRPr="008467F6" w:rsidRDefault="00007FF9" w:rsidP="008467F6">
      <w:pPr>
        <w:pStyle w:val="NormalWeb"/>
        <w:spacing w:after="0"/>
        <w:ind w:firstLine="567"/>
        <w:jc w:val="both"/>
        <w:rPr>
          <w:color w:val="333333"/>
          <w:sz w:val="27"/>
          <w:szCs w:val="27"/>
          <w:shd w:val="clear" w:color="auto" w:fill="FFFFFF"/>
        </w:rPr>
      </w:pPr>
      <w:r>
        <w:t xml:space="preserve">ERTMS следва да се разгръща по непрекъснат начин не само в основната мрежа, разширената основна мрежа и </w:t>
      </w:r>
      <w:proofErr w:type="spellStart"/>
      <w:r>
        <w:t>широкообхватната</w:t>
      </w:r>
      <w:proofErr w:type="spellEnd"/>
      <w:r>
        <w:t xml:space="preserve"> мрежа, включително в градските възли, но и по маршрутите за достъп до </w:t>
      </w:r>
      <w:proofErr w:type="spellStart"/>
      <w:r>
        <w:t>мултимодални</w:t>
      </w:r>
      <w:proofErr w:type="spellEnd"/>
      <w:r>
        <w:t xml:space="preserve"> терминали.</w:t>
      </w:r>
    </w:p>
    <w:p w14:paraId="6CFA0FE5" w14:textId="6E913077" w:rsidR="00007FF9" w:rsidRDefault="00007FF9" w:rsidP="00007FF9">
      <w:pPr>
        <w:pStyle w:val="NormalWeb"/>
        <w:spacing w:before="0" w:beforeAutospacing="0" w:after="0" w:afterAutospacing="0"/>
        <w:ind w:firstLine="567"/>
        <w:jc w:val="both"/>
      </w:pPr>
      <w:r>
        <w:t xml:space="preserve">Тъй като внедряването на основана на радиосистема ERTMS допълнително допринася за премахването на националните правила, засягащи експлоатацията, държавите членки следва да гарантират, че от 2025 г. ще бъде въведена единствено основана на радиосистема ERTMS, а до 2050 г. цялата </w:t>
      </w:r>
      <w:proofErr w:type="spellStart"/>
      <w:r>
        <w:t>трансевропейска</w:t>
      </w:r>
      <w:proofErr w:type="spellEnd"/>
      <w:r>
        <w:t xml:space="preserve"> транспортна мрежа ще бъде оборудвана с основана на радиосистема ERTMS.</w:t>
      </w:r>
      <w:r w:rsidR="00F7357E">
        <w:t xml:space="preserve"> </w:t>
      </w:r>
    </w:p>
    <w:p w14:paraId="5040C13F" w14:textId="77777777" w:rsidR="00007FF9" w:rsidRDefault="00007FF9" w:rsidP="00007FF9">
      <w:pPr>
        <w:pStyle w:val="NormalWeb"/>
        <w:spacing w:before="0" w:beforeAutospacing="0" w:after="0" w:afterAutospacing="0"/>
        <w:ind w:firstLine="567"/>
        <w:jc w:val="both"/>
      </w:pPr>
    </w:p>
    <w:p w14:paraId="5E4BD454" w14:textId="61F13584" w:rsidR="00007FF9" w:rsidRDefault="00007FF9" w:rsidP="00007FF9">
      <w:pPr>
        <w:pStyle w:val="NormalWeb"/>
        <w:spacing w:before="0" w:beforeAutospacing="0" w:after="0" w:afterAutospacing="0"/>
        <w:ind w:firstLine="567"/>
        <w:jc w:val="both"/>
      </w:pPr>
      <w:r>
        <w:t>Разгръщането на ERTMS следва да бъде съчетано с регулаторен срок за извеждане от експлоатация на системите от клас B по железопътната линия, което превръща ERTMS</w:t>
      </w:r>
      <w:r w:rsidR="005357AF">
        <w:t xml:space="preserve"> в</w:t>
      </w:r>
      <w:r>
        <w:t xml:space="preserve"> единствената система за сигнализация, използвана в държавите членки. Извеждането от експлоатация на системите от клас B по железопътната линия ще доведе до значителни икономии за управителите на инфраструктура при поддръжката, тъй като внедряването на </w:t>
      </w:r>
      <w:r>
        <w:lastRenderedPageBreak/>
        <w:t>ERTMS и поддържането на допълнителни системи по железопътната линия за продължителен период е много скъпо и сложно. Системите от клас B следва да бъдат премахнати по координиран начин до 2040 г. с достатъчен преходен период, така че железопътните предприятия да могат да предвидят промяната и да приемат най-подходящата стратегия за прехвърляне. Тъй като е система, ERTMS се нуждае от синхронизирано внедряване както по железопътната линия, така и на борда на влаковете, а пълните предимства на системата се проявяват след оборудването както на влаковете, така и на железопътната линия.</w:t>
      </w:r>
    </w:p>
    <w:p w14:paraId="71B8906A" w14:textId="22F2F91F" w:rsidR="00121669" w:rsidRDefault="00BF5003" w:rsidP="00730999">
      <w:pPr>
        <w:pStyle w:val="NormalWeb"/>
        <w:ind w:firstLine="567"/>
        <w:jc w:val="both"/>
      </w:pPr>
      <w:r>
        <w:t xml:space="preserve">Предвид гореизложеното може да се приеме, че НКЖИ е единственият и изключителен управител на жп инфраструктура в България и дейността ѝ не може да се извършва на пазарен принцип. В това си качество компанията е включена като конкретен бенефициент по ПТС. </w:t>
      </w:r>
    </w:p>
    <w:p w14:paraId="7DE4DFE8" w14:textId="77777777" w:rsidR="00121669" w:rsidRDefault="00BF5003" w:rsidP="005277F1">
      <w:pPr>
        <w:pStyle w:val="NormalWeb"/>
        <w:ind w:firstLine="567"/>
        <w:jc w:val="both"/>
      </w:pPr>
      <w:r>
        <w:t>Средствата, които ще бъдат отпуснати по Кохезионния фонд и други източници на публично ф</w:t>
      </w:r>
      <w:r w:rsidR="005277F1">
        <w:t>инансиране, ще предоставят на</w:t>
      </w:r>
      <w:r>
        <w:t xml:space="preserve"> НКЖИ задачата да организира тръжни процедури за строителство и доставка на необходимите машини и оборудване за изграждане на железопътната инфраструктура в рамките на проекта. В този контекст може да се приеме, че по отношение на изграждането на железопътната инфраструктура няма да получи икономически ползи от та</w:t>
      </w:r>
      <w:r w:rsidR="005277F1">
        <w:t xml:space="preserve">зи дейност. </w:t>
      </w:r>
    </w:p>
    <w:p w14:paraId="46464385" w14:textId="5E90BFC6" w:rsidR="0073369C" w:rsidRDefault="005277F1" w:rsidP="005277F1">
      <w:pPr>
        <w:pStyle w:val="NormalWeb"/>
        <w:ind w:firstLine="567"/>
        <w:jc w:val="both"/>
      </w:pPr>
      <w:r>
        <w:t xml:space="preserve">На първо място, </w:t>
      </w:r>
      <w:r w:rsidR="00BF5003">
        <w:t>НКЖИ и държавата ще притежават новопостроената жп ин</w:t>
      </w:r>
      <w:r>
        <w:t>фраструктура. На второ място,</w:t>
      </w:r>
      <w:r w:rsidR="00BF5003">
        <w:t xml:space="preserve"> НКЖИ няма да получи плащане по проекта освен плащания на изпълнители, възложени да изграждат инфраструктурата в рамките на от проектите. По отношение на жп инфраструктурата, НКЖИ функционира като </w:t>
      </w:r>
      <w:r w:rsidR="00BF5003" w:rsidRPr="00D86E14">
        <w:t xml:space="preserve">„законов“ </w:t>
      </w:r>
      <w:r w:rsidR="00BF5003">
        <w:t xml:space="preserve"> монопол, което изключва всяка възможност за въздействие върху конкуренцията. При тези условия може да се приеме, че проектите изключват държавна помощ. Вземайки предвид разпоредбите на ЗЖТ по отношение на изпълнението на неговата основна дейност, включително изпъл</w:t>
      </w:r>
      <w:r>
        <w:t xml:space="preserve">нението на проектите по ПТС, </w:t>
      </w:r>
      <w:r w:rsidR="00BF5003">
        <w:t>НКЖИ изпълн</w:t>
      </w:r>
      <w:r w:rsidR="00010B97">
        <w:t>ява кумулативно условията на т</w:t>
      </w:r>
      <w:r w:rsidR="00BF5003">
        <w:t xml:space="preserve">. 188 от Известието на комисията, а именно: </w:t>
      </w:r>
    </w:p>
    <w:p w14:paraId="7D90ACC7" w14:textId="77777777" w:rsidR="0073369C" w:rsidRDefault="00BF5003" w:rsidP="005277F1">
      <w:pPr>
        <w:pStyle w:val="NormalWeb"/>
        <w:ind w:firstLine="567"/>
        <w:jc w:val="both"/>
      </w:pPr>
      <w:r>
        <w:t xml:space="preserve">- НКЖИ е единственият и изключителен управител на железопътната инфраструктура в България, отговорен за нейното развитие, ремонт, поддръжка и експлоатация на национално ниво. Като такава, компанията е включена като конкретен бенефициент по ПТС; </w:t>
      </w:r>
    </w:p>
    <w:p w14:paraId="6952D5AB" w14:textId="1F9DA35B" w:rsidR="0073369C" w:rsidRDefault="00BF5003" w:rsidP="005277F1">
      <w:pPr>
        <w:pStyle w:val="NormalWeb"/>
        <w:ind w:firstLine="567"/>
        <w:jc w:val="both"/>
      </w:pPr>
      <w:r>
        <w:t>- Що се отнася до изпълнението на проект</w:t>
      </w:r>
      <w:r w:rsidR="00694AA2">
        <w:t>ите</w:t>
      </w:r>
      <w:r>
        <w:t xml:space="preserve">, правният </w:t>
      </w:r>
      <w:r w:rsidR="00694AA2">
        <w:t xml:space="preserve">законов </w:t>
      </w:r>
      <w:r>
        <w:t>монопол, упражняван о</w:t>
      </w:r>
      <w:r w:rsidR="005277F1">
        <w:t xml:space="preserve">т </w:t>
      </w:r>
      <w:r>
        <w:t xml:space="preserve">НКЖИ, изключва всяка възможност за конкуренция за изключителния мениджър; </w:t>
      </w:r>
    </w:p>
    <w:p w14:paraId="1BA8410F" w14:textId="77777777" w:rsidR="0073369C" w:rsidRDefault="00BF5003" w:rsidP="005277F1">
      <w:pPr>
        <w:pStyle w:val="NormalWeb"/>
        <w:ind w:firstLine="567"/>
        <w:jc w:val="both"/>
      </w:pPr>
      <w:r>
        <w:t>- Дейността по подготовка на развитието на жп инфраструктур</w:t>
      </w:r>
      <w:r w:rsidR="005277F1">
        <w:t>ата в България, извършвана от</w:t>
      </w:r>
      <w:r>
        <w:t xml:space="preserve"> НКЖИ, по смисъла на ЗЖТ, не се конкурира с други услуги, тъй като е възложена от закона; </w:t>
      </w:r>
    </w:p>
    <w:p w14:paraId="72EE0F09" w14:textId="77777777" w:rsidR="00F51891" w:rsidRDefault="00BF5003" w:rsidP="005277F1">
      <w:pPr>
        <w:pStyle w:val="NormalWeb"/>
        <w:ind w:firstLine="567"/>
        <w:jc w:val="both"/>
      </w:pPr>
      <w:r>
        <w:t xml:space="preserve">- Железопътната инфраструктура е изградена върху земя, която е публична държавна собственост, съответно проектите за изграждане/ модернизация/ рехабилитация на жп инфраструктура се изпълняват върху земя, която е публична държавна собственост. </w:t>
      </w:r>
    </w:p>
    <w:p w14:paraId="4496D332" w14:textId="31CC5989" w:rsidR="00BF5003" w:rsidRPr="007A0B0A" w:rsidRDefault="00BF5003" w:rsidP="005277F1">
      <w:pPr>
        <w:pStyle w:val="NormalWeb"/>
        <w:ind w:firstLine="567"/>
        <w:jc w:val="both"/>
      </w:pPr>
      <w:r>
        <w:t xml:space="preserve">Ето защо </w:t>
      </w:r>
      <w:r w:rsidR="005277F1">
        <w:t xml:space="preserve">може да се приеме, че </w:t>
      </w:r>
      <w:r>
        <w:t xml:space="preserve">НКЖИ </w:t>
      </w:r>
      <w:r w:rsidRPr="0073369C">
        <w:rPr>
          <w:u w:val="single"/>
        </w:rPr>
        <w:t>не упражнява</w:t>
      </w:r>
      <w:r>
        <w:t xml:space="preserve"> своите дейности, включително дейностите в рамките на </w:t>
      </w:r>
      <w:r w:rsidR="006F1734">
        <w:t>настоящите</w:t>
      </w:r>
      <w:r w:rsidRPr="007A0B0A">
        <w:t xml:space="preserve"> проект</w:t>
      </w:r>
      <w:r w:rsidR="006F1734">
        <w:t>и</w:t>
      </w:r>
      <w:r w:rsidRPr="007A0B0A">
        <w:t>, извън територията на България.</w:t>
      </w:r>
    </w:p>
    <w:p w14:paraId="3308DB22" w14:textId="0354CA82" w:rsidR="0073369C" w:rsidRDefault="0061760B" w:rsidP="004A7762">
      <w:pPr>
        <w:pStyle w:val="NormalWeb"/>
        <w:ind w:firstLine="567"/>
        <w:jc w:val="both"/>
      </w:pPr>
      <w:r w:rsidRPr="007A0B0A">
        <w:rPr>
          <w:color w:val="000000"/>
        </w:rPr>
        <w:lastRenderedPageBreak/>
        <w:t>Съгласно чл. 10 от ЗЖТ предметът и на дейност на НКЖИ, включва извършване на дейности по развитието, ремонта, поддържането и експлоатацията на железопътната инфраструктура и управление на влаковата работа</w:t>
      </w:r>
      <w:r w:rsidRPr="004F79C2">
        <w:rPr>
          <w:color w:val="000000"/>
        </w:rPr>
        <w:t xml:space="preserve"> в железопътната инфраструктура при спазване на изискванията за безопасност, надеждност и сигурност</w:t>
      </w:r>
      <w:r>
        <w:rPr>
          <w:color w:val="000000"/>
        </w:rPr>
        <w:t>,</w:t>
      </w:r>
      <w:r w:rsidRPr="0045476E">
        <w:rPr>
          <w:color w:val="000000"/>
        </w:rPr>
        <w:t xml:space="preserve"> </w:t>
      </w:r>
      <w:r w:rsidRPr="00391CEB">
        <w:rPr>
          <w:color w:val="000000"/>
        </w:rPr>
        <w:t xml:space="preserve">т.е. не съществуват предпоставки за нарушаване конкуренцията и/или създаване на условия за </w:t>
      </w:r>
      <w:r w:rsidRPr="00D86E14">
        <w:t xml:space="preserve">пряко или непряко икономическо предимство. </w:t>
      </w:r>
    </w:p>
    <w:p w14:paraId="3D85AB65" w14:textId="5D0E2F19" w:rsidR="0061760B" w:rsidRDefault="006F1734" w:rsidP="006721BE">
      <w:pPr>
        <w:pStyle w:val="NormalWeb"/>
        <w:ind w:firstLine="567"/>
        <w:jc w:val="both"/>
      </w:pPr>
      <w:r>
        <w:t>В този контекст, по отношение на изграждането на железопътната инфраструктура, компанията няма да получи никакви икономически предимства от тази своя дейност, пр</w:t>
      </w:r>
      <w:r w:rsidR="00010B97">
        <w:t>оектите</w:t>
      </w:r>
      <w:r>
        <w:t xml:space="preserve"> не съдържа</w:t>
      </w:r>
      <w:r w:rsidR="00010B97">
        <w:t>т</w:t>
      </w:r>
      <w:r>
        <w:t xml:space="preserve"> държавна помощ, която да е несъвместима с правилата на Съюза </w:t>
      </w:r>
      <w:r w:rsidR="0061760B" w:rsidRPr="00030D14">
        <w:rPr>
          <w:bCs/>
        </w:rPr>
        <w:t>и в тази връзка</w:t>
      </w:r>
      <w:r w:rsidR="0061760B">
        <w:rPr>
          <w:bCs/>
        </w:rPr>
        <w:t xml:space="preserve"> </w:t>
      </w:r>
      <w:r w:rsidR="0061760B" w:rsidRPr="00030D14">
        <w:rPr>
          <w:bCs/>
        </w:rPr>
        <w:t>финансиране</w:t>
      </w:r>
      <w:r w:rsidR="0061760B">
        <w:rPr>
          <w:bCs/>
        </w:rPr>
        <w:t>то на проект</w:t>
      </w:r>
      <w:r w:rsidR="00BF5003">
        <w:rPr>
          <w:bCs/>
        </w:rPr>
        <w:t xml:space="preserve">ите </w:t>
      </w:r>
      <w:r w:rsidR="0061760B">
        <w:rPr>
          <w:bCs/>
        </w:rPr>
        <w:t xml:space="preserve">е </w:t>
      </w:r>
      <w:proofErr w:type="spellStart"/>
      <w:r w:rsidR="0061760B" w:rsidRPr="009B6E58">
        <w:rPr>
          <w:b/>
          <w:bCs/>
        </w:rPr>
        <w:t>непомощ</w:t>
      </w:r>
      <w:proofErr w:type="spellEnd"/>
      <w:r w:rsidR="0061760B" w:rsidRPr="00D86E14">
        <w:t>.</w:t>
      </w:r>
    </w:p>
    <w:p w14:paraId="732B1D33" w14:textId="6DCF4673" w:rsidR="006721BE" w:rsidRDefault="006721BE" w:rsidP="006721BE">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Съгласно чл. 38, ал. 1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580C2171" w14:textId="7DEEA4B1" w:rsidR="006721BE" w:rsidRDefault="006721BE" w:rsidP="006721BE">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приложимите разпоредби на европейското и националното законодателство.</w:t>
      </w:r>
    </w:p>
    <w:p w14:paraId="47312033" w14:textId="41942CBE" w:rsidR="00B95BD8" w:rsidRDefault="00B95BD8" w:rsidP="006721BE">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Съгласно чл. 44 от Закона за държавните помощи </w:t>
      </w:r>
      <w:r w:rsidRPr="00B95BD8">
        <w:rPr>
          <w:rFonts w:ascii="Times New Roman" w:hAnsi="Times New Roman" w:cs="Times New Roman"/>
          <w:sz w:val="24"/>
          <w:szCs w:val="24"/>
        </w:rPr>
        <w:t>администраторът на помощ е длъжен да не предоставя нова държавна помощ на предприятие, което не е изпълнило решение на Европейската комисия по чл. 38, ал. 1 и не е възстановило изцяло неправомерна и несъвместима държавна помощ или неправилно използвана държавна помощ.</w:t>
      </w:r>
    </w:p>
    <w:p w14:paraId="646BC5E3" w14:textId="4348BCA3" w:rsidR="006721BE" w:rsidRDefault="006721BE" w:rsidP="006721BE">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В случай на влезли в сила изменения на Европейската или националната нормативна уредба</w:t>
      </w:r>
      <w:r w:rsidRPr="006721BE">
        <w:rPr>
          <w:rFonts w:ascii="Times New Roman" w:hAnsi="Times New Roman" w:cs="Times New Roman"/>
          <w:sz w:val="24"/>
          <w:szCs w:val="24"/>
        </w:rPr>
        <w:t xml:space="preserve"> или изменение в проектите</w:t>
      </w:r>
      <w:r>
        <w:rPr>
          <w:rFonts w:ascii="Times New Roman" w:hAnsi="Times New Roman" w:cs="Times New Roman"/>
          <w:sz w:val="24"/>
          <w:szCs w:val="24"/>
        </w:rPr>
        <w:t xml:space="preserve"> ще бъде </w:t>
      </w:r>
      <w:r w:rsidR="00B95BD8">
        <w:rPr>
          <w:rFonts w:ascii="Times New Roman" w:hAnsi="Times New Roman" w:cs="Times New Roman"/>
          <w:sz w:val="24"/>
          <w:szCs w:val="24"/>
        </w:rPr>
        <w:t>извършена</w:t>
      </w:r>
      <w:r>
        <w:rPr>
          <w:rFonts w:ascii="Times New Roman" w:hAnsi="Times New Roman" w:cs="Times New Roman"/>
          <w:sz w:val="24"/>
          <w:szCs w:val="24"/>
        </w:rPr>
        <w:t xml:space="preserve"> допълнителна оценка на мерките за съответствие с правилата за държавните помощи, а при необходимост и изменение на настоящите Условия за кандидатстване.</w:t>
      </w:r>
    </w:p>
    <w:p w14:paraId="0160F357" w14:textId="77D9AAA1" w:rsidR="001D79C3" w:rsidRPr="008D4AB4" w:rsidRDefault="001D79C3" w:rsidP="00C66898">
      <w:pPr>
        <w:pStyle w:val="Heading2"/>
        <w:numPr>
          <w:ilvl w:val="0"/>
          <w:numId w:val="25"/>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2" w:name="_Toc136269959"/>
      <w:r w:rsidRPr="008D4AB4">
        <w:rPr>
          <w:rFonts w:ascii="Times New Roman" w:hAnsi="Times New Roman" w:cs="Times New Roman"/>
        </w:rPr>
        <w:t>Хоризонтални политики:</w:t>
      </w:r>
      <w:bookmarkEnd w:id="22"/>
    </w:p>
    <w:p w14:paraId="7F63F41E" w14:textId="06C54C6D" w:rsidR="00CB0F31" w:rsidRPr="008D4AB4" w:rsidRDefault="009A1C99"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При изпълнение на </w:t>
      </w:r>
      <w:r w:rsidR="00D4692B" w:rsidRPr="008D4AB4">
        <w:rPr>
          <w:rFonts w:ascii="Times New Roman" w:eastAsia="Calibri" w:hAnsi="Times New Roman" w:cs="Times New Roman"/>
          <w:sz w:val="24"/>
          <w:szCs w:val="24"/>
        </w:rPr>
        <w:t>проекта</w:t>
      </w:r>
      <w:r w:rsidR="00C3540A" w:rsidRPr="008D4AB4">
        <w:rPr>
          <w:rFonts w:ascii="Times New Roman" w:eastAsia="Calibri" w:hAnsi="Times New Roman" w:cs="Times New Roman"/>
          <w:sz w:val="24"/>
          <w:szCs w:val="24"/>
        </w:rPr>
        <w:t>/</w:t>
      </w:r>
      <w:r w:rsidR="00D4692B"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 xml:space="preserve">финансовия план конкретният бенефициент се задължава да спазва </w:t>
      </w:r>
      <w:r w:rsidR="00CB0F31" w:rsidRPr="008D4AB4">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 устойчиво развитие, включително опазване на околната среда, на равенството между мъжете и жените, на равните възможности и </w:t>
      </w:r>
      <w:proofErr w:type="spellStart"/>
      <w:r w:rsidRPr="008D4AB4">
        <w:rPr>
          <w:rFonts w:ascii="Times New Roman" w:eastAsia="Calibri" w:hAnsi="Times New Roman" w:cs="Times New Roman"/>
          <w:sz w:val="24"/>
          <w:szCs w:val="24"/>
        </w:rPr>
        <w:t>недискриминация</w:t>
      </w:r>
      <w:proofErr w:type="spellEnd"/>
      <w:r w:rsidRPr="008D4AB4">
        <w:rPr>
          <w:rFonts w:ascii="Times New Roman" w:eastAsia="Calibri" w:hAnsi="Times New Roman" w:cs="Times New Roman"/>
          <w:sz w:val="24"/>
          <w:szCs w:val="24"/>
        </w:rPr>
        <w:t>, включително достъпност за хора с увреждания;</w:t>
      </w:r>
    </w:p>
    <w:p w14:paraId="66743343" w14:textId="5F8869AD"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Хартата на основните права на Европейския съюз;</w:t>
      </w:r>
    </w:p>
    <w:p w14:paraId="12DF88C7"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 за </w:t>
      </w:r>
      <w:proofErr w:type="spellStart"/>
      <w:r w:rsidRPr="008D4AB4">
        <w:rPr>
          <w:rFonts w:ascii="Times New Roman" w:eastAsia="Calibri" w:hAnsi="Times New Roman" w:cs="Times New Roman"/>
          <w:sz w:val="24"/>
          <w:szCs w:val="24"/>
        </w:rPr>
        <w:t>ненанасяне</w:t>
      </w:r>
      <w:proofErr w:type="spellEnd"/>
      <w:r w:rsidRPr="008D4AB4">
        <w:rPr>
          <w:rFonts w:ascii="Times New Roman" w:eastAsia="Calibri" w:hAnsi="Times New Roman" w:cs="Times New Roman"/>
          <w:sz w:val="24"/>
          <w:szCs w:val="24"/>
        </w:rPr>
        <w:t xml:space="preserve"> на значителни вреди по смисъла на Регламент (ЕС) 2020/852.</w:t>
      </w:r>
    </w:p>
    <w:p w14:paraId="1D580CCE" w14:textId="1717C8B0" w:rsidR="00CB0F31" w:rsidRPr="008D4AB4" w:rsidRDefault="00CB0F31" w:rsidP="003C4E6B">
      <w:pPr>
        <w:contextualSpacing/>
        <w:jc w:val="both"/>
        <w:rPr>
          <w:rFonts w:ascii="Times New Roman" w:eastAsia="Calibri" w:hAnsi="Times New Roman" w:cs="Times New Roman"/>
          <w:sz w:val="24"/>
          <w:szCs w:val="24"/>
          <w:lang w:val="en-US"/>
        </w:rPr>
      </w:pPr>
    </w:p>
    <w:p w14:paraId="6DD53458" w14:textId="615086E7" w:rsidR="004639B8" w:rsidRPr="007A0B0A" w:rsidRDefault="004639B8" w:rsidP="004639B8">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Кандидатът следва да аргументира (в секция 11 „Допълнителна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w:t>
      </w:r>
      <w:r w:rsidRPr="007A0B0A">
        <w:rPr>
          <w:rFonts w:ascii="Times New Roman" w:eastAsia="Calibri" w:hAnsi="Times New Roman" w:cs="Times New Roman"/>
          <w:sz w:val="24"/>
          <w:szCs w:val="24"/>
        </w:rPr>
        <w:lastRenderedPageBreak/>
        <w:t>на Конвенцията на ООН за правата на хората с увреждания“, как предложените дейности съответстват и допринасят за реализиране на хоризонталните политики, както и прилагането</w:t>
      </w:r>
    </w:p>
    <w:p w14:paraId="2745FED1" w14:textId="77777777" w:rsidR="004639B8" w:rsidRPr="008D4AB4" w:rsidRDefault="004639B8" w:rsidP="004639B8">
      <w:pPr>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на Хартата на основни права на ЕС и Конвенцията на ООН за правата на</w:t>
      </w:r>
      <w:r w:rsidRPr="008D4AB4">
        <w:rPr>
          <w:rFonts w:ascii="Times New Roman" w:eastAsia="Calibri" w:hAnsi="Times New Roman" w:cs="Times New Roman"/>
          <w:sz w:val="24"/>
          <w:szCs w:val="24"/>
        </w:rPr>
        <w:t xml:space="preserve"> хората с увреждания.</w:t>
      </w:r>
    </w:p>
    <w:p w14:paraId="079D5A57" w14:textId="5624CEEA" w:rsidR="004639B8"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За целта кандидатът следва Насоки за прилагане на Хартата на основните права на ЕС, </w:t>
      </w:r>
      <w:hyperlink r:id="rId12" w:history="1">
        <w:r w:rsidR="009E4B41" w:rsidRPr="00CC05CB">
          <w:rPr>
            <w:rStyle w:val="Hyperlink"/>
            <w:rFonts w:ascii="Times New Roman" w:eastAsia="Calibri" w:hAnsi="Times New Roman" w:cs="Times New Roman"/>
            <w:sz w:val="24"/>
            <w:szCs w:val="24"/>
          </w:rPr>
          <w:t>https://www.eufunds.bg/bg/node/8223</w:t>
        </w:r>
      </w:hyperlink>
      <w:r w:rsidRPr="008D4AB4">
        <w:rPr>
          <w:rFonts w:ascii="Times New Roman" w:eastAsia="Calibri" w:hAnsi="Times New Roman" w:cs="Times New Roman"/>
          <w:sz w:val="24"/>
          <w:szCs w:val="24"/>
        </w:rPr>
        <w:t xml:space="preserve">, конкретно Приложение 2 и Насоки за прилагане на Конвенцията на ООН за правата на хората с увреждания </w:t>
      </w:r>
      <w:r w:rsidR="00C22640">
        <w:rPr>
          <w:rFonts w:ascii="Times New Roman" w:eastAsia="Calibri" w:hAnsi="Times New Roman" w:cs="Times New Roman"/>
          <w:sz w:val="24"/>
          <w:szCs w:val="24"/>
        </w:rPr>
        <w:t>-</w:t>
      </w:r>
      <w:hyperlink r:id="rId13" w:history="1">
        <w:r w:rsidR="00C22640" w:rsidRPr="00544FA8">
          <w:rPr>
            <w:rStyle w:val="Hyperlink"/>
            <w:rFonts w:ascii="Times New Roman" w:eastAsia="Calibri" w:hAnsi="Times New Roman" w:cs="Times New Roman"/>
            <w:sz w:val="24"/>
            <w:szCs w:val="24"/>
          </w:rPr>
          <w:t>https://www.eufunds.bg/bg/node/8224</w:t>
        </w:r>
      </w:hyperlink>
      <w:r w:rsidRPr="008D4AB4">
        <w:rPr>
          <w:rFonts w:ascii="Times New Roman" w:eastAsia="Calibri" w:hAnsi="Times New Roman" w:cs="Times New Roman"/>
          <w:sz w:val="24"/>
          <w:szCs w:val="24"/>
        </w:rPr>
        <w:t xml:space="preserve">, конкретно Приложение 2, утвърдени със заповед №В-105 от 19.07.2022 г. на заместник министър – председателя по </w:t>
      </w:r>
      <w:proofErr w:type="spellStart"/>
      <w:r w:rsidRPr="008D4AB4">
        <w:rPr>
          <w:rFonts w:ascii="Times New Roman" w:eastAsia="Calibri" w:hAnsi="Times New Roman" w:cs="Times New Roman"/>
          <w:sz w:val="24"/>
          <w:szCs w:val="24"/>
        </w:rPr>
        <w:t>еврофондовете</w:t>
      </w:r>
      <w:proofErr w:type="spellEnd"/>
      <w:r w:rsidRPr="008D4AB4">
        <w:rPr>
          <w:rFonts w:ascii="Times New Roman" w:eastAsia="Calibri" w:hAnsi="Times New Roman" w:cs="Times New Roman"/>
          <w:sz w:val="24"/>
          <w:szCs w:val="24"/>
        </w:rPr>
        <w:t xml:space="preserve"> и министър на финансите.</w:t>
      </w:r>
    </w:p>
    <w:p w14:paraId="067AD3D8" w14:textId="5B44E770" w:rsidR="003C4E6B"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Прилагането на заложените в проекта принципи ще се проследява на етап изпълнение</w:t>
      </w:r>
      <w:r w:rsidR="00583F75"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проектното предложение.</w:t>
      </w:r>
    </w:p>
    <w:p w14:paraId="033F5A4B" w14:textId="6F9E8499"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Процедурите се провеждат</w:t>
      </w:r>
      <w:r w:rsidR="004639B8" w:rsidRPr="008D4AB4">
        <w:rPr>
          <w:rFonts w:ascii="Times New Roman" w:eastAsia="Calibri" w:hAnsi="Times New Roman" w:cs="Times New Roman"/>
          <w:sz w:val="24"/>
          <w:szCs w:val="24"/>
        </w:rPr>
        <w:t xml:space="preserve"> при спазване на </w:t>
      </w:r>
      <w:r w:rsidRPr="008D4AB4">
        <w:rPr>
          <w:rFonts w:ascii="Times New Roman" w:eastAsia="Calibri" w:hAnsi="Times New Roman" w:cs="Times New Roman"/>
          <w:sz w:val="24"/>
          <w:szCs w:val="24"/>
        </w:rPr>
        <w:t>принципите на чл. 2, ал. 1 и чл. 43, ал. 1 от ЗУСЕФСУ – свободна и лоялна конкуренция,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равнопоставеност и недопускане на дискриминация, публичност и прозрачност, спазване</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основните права, устойчиво развитие, опазване на околната среда,</w:t>
      </w:r>
      <w:r w:rsidR="004639B8" w:rsidRPr="008D4AB4">
        <w:rPr>
          <w:rFonts w:ascii="Times New Roman" w:eastAsia="Calibri" w:hAnsi="Times New Roman" w:cs="Times New Roman"/>
          <w:sz w:val="24"/>
          <w:szCs w:val="24"/>
        </w:rPr>
        <w:t xml:space="preserve"> на </w:t>
      </w:r>
      <w:r w:rsidRPr="008D4AB4">
        <w:rPr>
          <w:rFonts w:ascii="Times New Roman" w:eastAsia="Calibri" w:hAnsi="Times New Roman" w:cs="Times New Roman"/>
          <w:sz w:val="24"/>
          <w:szCs w:val="24"/>
        </w:rPr>
        <w:t>заложените в ПТС 2021-2027 г. принципи за „</w:t>
      </w:r>
      <w:proofErr w:type="spellStart"/>
      <w:r w:rsidRPr="008D4AB4">
        <w:rPr>
          <w:rFonts w:ascii="Times New Roman" w:eastAsia="Calibri" w:hAnsi="Times New Roman" w:cs="Times New Roman"/>
          <w:sz w:val="24"/>
          <w:szCs w:val="24"/>
        </w:rPr>
        <w:t>ненанасяне</w:t>
      </w:r>
      <w:proofErr w:type="spellEnd"/>
      <w:r w:rsidRPr="008D4AB4">
        <w:rPr>
          <w:rFonts w:ascii="Times New Roman" w:eastAsia="Calibri" w:hAnsi="Times New Roman" w:cs="Times New Roman"/>
          <w:sz w:val="24"/>
          <w:szCs w:val="24"/>
        </w:rPr>
        <w:t xml:space="preserve"> на значителни вреди“</w:t>
      </w:r>
      <w:r w:rsidR="004639B8" w:rsidRPr="008D4AB4">
        <w:rPr>
          <w:rFonts w:ascii="Times New Roman" w:eastAsia="Calibri" w:hAnsi="Times New Roman" w:cs="Times New Roman"/>
          <w:sz w:val="24"/>
          <w:szCs w:val="24"/>
        </w:rPr>
        <w:t>.</w:t>
      </w:r>
    </w:p>
    <w:p w14:paraId="58A8399A" w14:textId="5A4D7123"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се изпълняват като се избягва всякаква дискриминация, основана на пол, раса,</w:t>
      </w:r>
      <w:r w:rsidR="007D03F3">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цвят на кожата, етническа принадлежност или социален произход, генетични</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характеристики, език, религия или убеждения, политически или други мнения, имотно</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състояние, произход, увреждане, възраст или сексуална ориентация.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Няма да се допуска дейностите по проектите, финансирани по ПТС да включват такива,</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свързани с дискриминация, расови предразсъдъци, пристрастия и реч на омразата.</w:t>
      </w:r>
    </w:p>
    <w:p w14:paraId="48B6ACF9"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С подписването на формуляра за кандидатстване, кандидатът се задължава да спазва</w:t>
      </w:r>
    </w:p>
    <w:p w14:paraId="189707D3" w14:textId="2316B91B" w:rsidR="003C4E6B" w:rsidRPr="008D4AB4" w:rsidRDefault="003C4E6B" w:rsidP="003C4E6B">
      <w:pPr>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посочените по-горе принципи в хода на изпълнение на дейностите по проекта.</w:t>
      </w:r>
    </w:p>
    <w:p w14:paraId="55F00397" w14:textId="3D15B48C" w:rsidR="00BA2E00" w:rsidRPr="008D4AB4" w:rsidRDefault="00964C2F" w:rsidP="00C66898">
      <w:pPr>
        <w:pStyle w:val="Heading2"/>
        <w:numPr>
          <w:ilvl w:val="0"/>
          <w:numId w:val="25"/>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3" w:name="_Toc136269960"/>
      <w:r>
        <w:rPr>
          <w:rFonts w:ascii="Times New Roman" w:hAnsi="Times New Roman" w:cs="Times New Roman"/>
        </w:rPr>
        <w:t>Продължителност на процедурите</w:t>
      </w:r>
      <w:r w:rsidR="00BA2E00" w:rsidRPr="008D4AB4">
        <w:rPr>
          <w:rFonts w:ascii="Times New Roman" w:hAnsi="Times New Roman" w:cs="Times New Roman"/>
        </w:rPr>
        <w:t>:</w:t>
      </w:r>
      <w:bookmarkEnd w:id="23"/>
    </w:p>
    <w:p w14:paraId="73C6A001" w14:textId="14692270" w:rsidR="002325A3" w:rsidRDefault="00B443FC" w:rsidP="00FD5383">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и разходите по процедур</w:t>
      </w:r>
      <w:r w:rsidR="00D4692B" w:rsidRPr="008D4AB4">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са допустими</w:t>
      </w:r>
      <w:r w:rsidR="00D4692B" w:rsidRPr="008D4AB4">
        <w:rPr>
          <w:rFonts w:ascii="Times New Roman" w:eastAsia="Calibri" w:hAnsi="Times New Roman" w:cs="Times New Roman"/>
          <w:sz w:val="24"/>
          <w:szCs w:val="24"/>
        </w:rPr>
        <w:t xml:space="preserve"> от 01.01.2021 г.</w:t>
      </w:r>
      <w:r w:rsidRPr="008D4AB4">
        <w:rPr>
          <w:rFonts w:ascii="Times New Roman" w:eastAsia="Calibri" w:hAnsi="Times New Roman" w:cs="Times New Roman"/>
          <w:sz w:val="24"/>
          <w:szCs w:val="24"/>
        </w:rPr>
        <w:t xml:space="preserve"> </w:t>
      </w:r>
      <w:r w:rsidR="00FE12DD" w:rsidRPr="008D4AB4">
        <w:rPr>
          <w:rFonts w:ascii="Times New Roman" w:eastAsia="Calibri" w:hAnsi="Times New Roman" w:cs="Times New Roman"/>
          <w:sz w:val="24"/>
          <w:szCs w:val="24"/>
        </w:rPr>
        <w:t xml:space="preserve">до </w:t>
      </w:r>
      <w:r w:rsidR="00E86E8F" w:rsidRPr="008D4AB4">
        <w:rPr>
          <w:rFonts w:ascii="Times New Roman" w:eastAsia="Calibri" w:hAnsi="Times New Roman" w:cs="Times New Roman"/>
          <w:sz w:val="24"/>
          <w:szCs w:val="24"/>
        </w:rPr>
        <w:t>31.12.</w:t>
      </w:r>
      <w:r w:rsidR="00B25BD8" w:rsidRPr="008D4AB4">
        <w:rPr>
          <w:rFonts w:ascii="Times New Roman" w:eastAsia="Calibri" w:hAnsi="Times New Roman" w:cs="Times New Roman"/>
          <w:sz w:val="24"/>
          <w:szCs w:val="24"/>
        </w:rPr>
        <w:t xml:space="preserve">2029 </w:t>
      </w:r>
      <w:r w:rsidR="00FE12DD" w:rsidRPr="008D4AB4">
        <w:rPr>
          <w:rFonts w:ascii="Times New Roman" w:eastAsia="Calibri" w:hAnsi="Times New Roman" w:cs="Times New Roman"/>
          <w:sz w:val="24"/>
          <w:szCs w:val="24"/>
        </w:rPr>
        <w:t>година.</w:t>
      </w:r>
    </w:p>
    <w:p w14:paraId="205ADFAE" w14:textId="746BF42D" w:rsidR="00FD5383" w:rsidRDefault="00FD5383" w:rsidP="00C66898">
      <w:pPr>
        <w:pStyle w:val="Heading2"/>
        <w:numPr>
          <w:ilvl w:val="0"/>
          <w:numId w:val="25"/>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4" w:name="_Toc136269961"/>
      <w:r w:rsidRPr="00FD5383">
        <w:rPr>
          <w:rFonts w:ascii="Times New Roman" w:hAnsi="Times New Roman" w:cs="Times New Roman"/>
        </w:rPr>
        <w:t>Начин на подаване на проектните предложения</w:t>
      </w:r>
      <w:bookmarkEnd w:id="24"/>
      <w:r w:rsidR="00AF4B29">
        <w:rPr>
          <w:rFonts w:ascii="Times New Roman" w:hAnsi="Times New Roman" w:cs="Times New Roman"/>
        </w:rPr>
        <w:t xml:space="preserve"> </w:t>
      </w:r>
    </w:p>
    <w:p w14:paraId="1E488C9B" w14:textId="3D2B0332" w:rsidR="00FD5383" w:rsidRPr="00A25C54" w:rsidRDefault="00FD5383" w:rsidP="00FD5383">
      <w:pPr>
        <w:spacing w:before="120"/>
        <w:ind w:right="141" w:firstLine="851"/>
        <w:jc w:val="both"/>
        <w:rPr>
          <w:rFonts w:ascii="Times New Roman" w:hAnsi="Times New Roman"/>
          <w:b/>
          <w:sz w:val="24"/>
          <w:szCs w:val="24"/>
        </w:rPr>
      </w:pPr>
      <w:bookmarkStart w:id="25" w:name="_Toc414036200"/>
      <w:r w:rsidRPr="00A25C54">
        <w:rPr>
          <w:rFonts w:ascii="Times New Roman" w:hAnsi="Times New Roman"/>
          <w:sz w:val="24"/>
          <w:szCs w:val="24"/>
        </w:rPr>
        <w:t xml:space="preserve">В процеса на комуникация между конкретните бенефициенти за получаване на безвъзмездна финансова помощ по </w:t>
      </w:r>
      <w:r>
        <w:rPr>
          <w:rFonts w:ascii="Times New Roman" w:hAnsi="Times New Roman"/>
          <w:sz w:val="24"/>
          <w:szCs w:val="24"/>
        </w:rPr>
        <w:t xml:space="preserve">ПТС </w:t>
      </w:r>
      <w:r w:rsidRPr="00A25C54">
        <w:rPr>
          <w:rFonts w:ascii="Times New Roman" w:hAnsi="Times New Roman"/>
          <w:sz w:val="24"/>
          <w:szCs w:val="24"/>
        </w:rPr>
        <w:t xml:space="preserve">се използва Информационната система за управление и наблюдение </w:t>
      </w:r>
      <w:r w:rsidR="009E1290" w:rsidRPr="009E1290">
        <w:rPr>
          <w:rFonts w:ascii="Times New Roman" w:hAnsi="Times New Roman"/>
          <w:sz w:val="24"/>
          <w:szCs w:val="24"/>
        </w:rPr>
        <w:t>на средствата от ЕС в България</w:t>
      </w:r>
      <w:r w:rsidR="009E1290">
        <w:rPr>
          <w:rFonts w:ascii="Times New Roman" w:hAnsi="Times New Roman"/>
          <w:sz w:val="24"/>
          <w:szCs w:val="24"/>
        </w:rPr>
        <w:t xml:space="preserve"> </w:t>
      </w:r>
      <w:r w:rsidR="009E1290" w:rsidRPr="00A25C54">
        <w:rPr>
          <w:rFonts w:ascii="Times New Roman" w:hAnsi="Times New Roman"/>
          <w:sz w:val="24"/>
          <w:szCs w:val="24"/>
        </w:rPr>
        <w:t xml:space="preserve">2020 </w:t>
      </w:r>
      <w:r w:rsidRPr="00A25C54">
        <w:rPr>
          <w:rFonts w:ascii="Times New Roman" w:hAnsi="Times New Roman"/>
          <w:sz w:val="24"/>
          <w:szCs w:val="24"/>
        </w:rPr>
        <w:t xml:space="preserve">„ИСУН 2020“. </w:t>
      </w:r>
    </w:p>
    <w:p w14:paraId="6046D8D8" w14:textId="77777777" w:rsidR="00FD5383" w:rsidRPr="004A3C85" w:rsidRDefault="00FD5383" w:rsidP="004A3C85">
      <w:pPr>
        <w:pStyle w:val="PMnumeric"/>
        <w:numPr>
          <w:ilvl w:val="0"/>
          <w:numId w:val="0"/>
        </w:numPr>
        <w:pBdr>
          <w:top w:val="single" w:sz="4" w:space="1" w:color="auto"/>
          <w:left w:val="single" w:sz="4" w:space="4" w:color="auto"/>
          <w:bottom w:val="single" w:sz="4" w:space="1" w:color="auto"/>
          <w:right w:val="single" w:sz="4" w:space="4" w:color="auto"/>
        </w:pBdr>
        <w:shd w:val="clear" w:color="auto" w:fill="DEEAF6" w:themeFill="accent1" w:themeFillTint="33"/>
        <w:tabs>
          <w:tab w:val="num" w:pos="1020"/>
        </w:tabs>
        <w:spacing w:before="240" w:after="240" w:line="360" w:lineRule="auto"/>
        <w:ind w:right="142"/>
        <w:rPr>
          <w:b/>
          <w:spacing w:val="0"/>
          <w:sz w:val="22"/>
          <w:szCs w:val="22"/>
          <w:lang w:eastAsia="en-US"/>
        </w:rPr>
      </w:pPr>
      <w:r w:rsidRPr="004A3C85">
        <w:rPr>
          <w:b/>
          <w:spacing w:val="0"/>
          <w:sz w:val="22"/>
          <w:szCs w:val="22"/>
          <w:lang w:eastAsia="en-US"/>
        </w:rPr>
        <w:t xml:space="preserve">Важно: Интернет-адресът на модула за електронно кандидатстване на ИСУН 2020 е: </w:t>
      </w:r>
      <w:hyperlink r:id="rId14" w:history="1">
        <w:r w:rsidRPr="004A3C85">
          <w:rPr>
            <w:rStyle w:val="Hyperlink"/>
            <w:rFonts w:eastAsiaTheme="majorEastAsia"/>
            <w:b/>
            <w:color w:val="auto"/>
            <w:spacing w:val="0"/>
            <w:sz w:val="22"/>
            <w:szCs w:val="22"/>
            <w:lang w:eastAsia="en-US"/>
          </w:rPr>
          <w:t>http</w:t>
        </w:r>
        <w:r w:rsidRPr="004A3C85">
          <w:rPr>
            <w:rStyle w:val="Hyperlink"/>
            <w:rFonts w:eastAsiaTheme="majorEastAsia"/>
            <w:b/>
            <w:color w:val="auto"/>
            <w:spacing w:val="0"/>
            <w:sz w:val="22"/>
            <w:szCs w:val="22"/>
            <w:lang w:val="en-US" w:eastAsia="en-US"/>
          </w:rPr>
          <w:t>s</w:t>
        </w:r>
        <w:r w:rsidRPr="004A3C85">
          <w:rPr>
            <w:rStyle w:val="Hyperlink"/>
            <w:rFonts w:eastAsiaTheme="majorEastAsia"/>
            <w:b/>
            <w:color w:val="auto"/>
            <w:spacing w:val="0"/>
            <w:sz w:val="22"/>
            <w:szCs w:val="22"/>
            <w:lang w:eastAsia="en-US"/>
          </w:rPr>
          <w:t>://eumis2020.government.bg/</w:t>
        </w:r>
      </w:hyperlink>
      <w:r w:rsidRPr="004A3C85">
        <w:rPr>
          <w:b/>
          <w:spacing w:val="0"/>
          <w:sz w:val="22"/>
          <w:szCs w:val="22"/>
          <w:lang w:eastAsia="en-US"/>
        </w:rPr>
        <w:t xml:space="preserve">. </w:t>
      </w:r>
    </w:p>
    <w:p w14:paraId="18F9BBB3" w14:textId="77777777" w:rsidR="00FD5383" w:rsidRPr="004A3C85" w:rsidRDefault="00FD5383" w:rsidP="00C66898">
      <w:pPr>
        <w:pStyle w:val="Heading2"/>
        <w:numPr>
          <w:ilvl w:val="1"/>
          <w:numId w:val="25"/>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sz w:val="24"/>
          <w:szCs w:val="24"/>
        </w:rPr>
      </w:pPr>
      <w:bookmarkStart w:id="26" w:name="_Toc28872948"/>
      <w:bookmarkStart w:id="27" w:name="_Toc136269962"/>
      <w:r w:rsidRPr="004A3C85">
        <w:rPr>
          <w:rFonts w:ascii="Times New Roman" w:hAnsi="Times New Roman"/>
          <w:sz w:val="24"/>
          <w:szCs w:val="24"/>
        </w:rPr>
        <w:t>Подготовка на формуляр за кандидатстване</w:t>
      </w:r>
      <w:bookmarkEnd w:id="26"/>
      <w:bookmarkEnd w:id="27"/>
    </w:p>
    <w:p w14:paraId="02FCE849" w14:textId="0E3FDF11" w:rsidR="00FD5383" w:rsidRPr="007A0B0A" w:rsidRDefault="00FD5383" w:rsidP="00647DA8">
      <w:pPr>
        <w:spacing w:before="120" w:after="120"/>
        <w:ind w:firstLine="567"/>
        <w:jc w:val="both"/>
        <w:rPr>
          <w:rFonts w:ascii="Times New Roman" w:hAnsi="Times New Roman"/>
          <w:sz w:val="24"/>
          <w:szCs w:val="24"/>
        </w:rPr>
      </w:pPr>
      <w:r w:rsidRPr="007A0B0A">
        <w:rPr>
          <w:rFonts w:ascii="Times New Roman" w:hAnsi="Times New Roman"/>
          <w:sz w:val="24"/>
          <w:szCs w:val="24"/>
        </w:rPr>
        <w:t>Подготовката и подаването на проектно пре</w:t>
      </w:r>
      <w:r w:rsidR="004A3C85" w:rsidRPr="007A0B0A">
        <w:rPr>
          <w:rFonts w:ascii="Times New Roman" w:hAnsi="Times New Roman"/>
          <w:sz w:val="24"/>
          <w:szCs w:val="24"/>
        </w:rPr>
        <w:t xml:space="preserve">дложение се извършва електронно, чрез </w:t>
      </w:r>
      <w:r w:rsidRPr="007A0B0A">
        <w:rPr>
          <w:rFonts w:ascii="Times New Roman" w:hAnsi="Times New Roman"/>
          <w:sz w:val="24"/>
          <w:szCs w:val="24"/>
        </w:rPr>
        <w:t xml:space="preserve">попълване на уеб базиран формуляр за кандидатстване и подаването му от конкретни бенефициенти по </w:t>
      </w:r>
      <w:r w:rsidR="004A3C85" w:rsidRPr="007A0B0A">
        <w:rPr>
          <w:rFonts w:ascii="Times New Roman" w:hAnsi="Times New Roman"/>
          <w:sz w:val="24"/>
          <w:szCs w:val="24"/>
        </w:rPr>
        <w:t>ПТС</w:t>
      </w:r>
      <w:r w:rsidRPr="007A0B0A">
        <w:rPr>
          <w:rFonts w:ascii="Times New Roman" w:hAnsi="Times New Roman"/>
          <w:sz w:val="24"/>
          <w:szCs w:val="24"/>
        </w:rPr>
        <w:t xml:space="preserve">, </w:t>
      </w:r>
      <w:r w:rsidR="004A3C85" w:rsidRPr="007A0B0A">
        <w:rPr>
          <w:rFonts w:ascii="Times New Roman" w:hAnsi="Times New Roman"/>
          <w:sz w:val="24"/>
          <w:szCs w:val="24"/>
        </w:rPr>
        <w:t xml:space="preserve">за което е необходим </w:t>
      </w:r>
      <w:r w:rsidR="00AA0967" w:rsidRPr="007A0B0A">
        <w:rPr>
          <w:rFonts w:ascii="Times New Roman" w:hAnsi="Times New Roman"/>
          <w:sz w:val="24"/>
          <w:szCs w:val="24"/>
        </w:rPr>
        <w:t xml:space="preserve">квалифициран </w:t>
      </w:r>
      <w:r w:rsidR="004A3C85" w:rsidRPr="007A0B0A">
        <w:rPr>
          <w:rFonts w:ascii="Times New Roman" w:hAnsi="Times New Roman"/>
          <w:sz w:val="24"/>
          <w:szCs w:val="24"/>
        </w:rPr>
        <w:t>електронен подпис</w:t>
      </w:r>
      <w:r w:rsidR="00AA0967" w:rsidRPr="007A0B0A">
        <w:rPr>
          <w:rFonts w:ascii="Times New Roman" w:hAnsi="Times New Roman"/>
          <w:sz w:val="24"/>
          <w:szCs w:val="24"/>
        </w:rPr>
        <w:t xml:space="preserve"> (КЕП)</w:t>
      </w:r>
      <w:r w:rsidR="004A3C85" w:rsidRPr="007A0B0A">
        <w:rPr>
          <w:rFonts w:ascii="Times New Roman" w:hAnsi="Times New Roman"/>
          <w:sz w:val="24"/>
          <w:szCs w:val="24"/>
        </w:rPr>
        <w:t xml:space="preserve">. </w:t>
      </w:r>
      <w:r w:rsidRPr="007A0B0A">
        <w:rPr>
          <w:rFonts w:ascii="Times New Roman" w:hAnsi="Times New Roman"/>
          <w:sz w:val="24"/>
          <w:szCs w:val="24"/>
        </w:rPr>
        <w:t>За повече подробности виж указанията публикувани</w:t>
      </w:r>
      <w:r w:rsidR="00AA0967" w:rsidRPr="007A0B0A">
        <w:rPr>
          <w:rFonts w:ascii="Times New Roman" w:hAnsi="Times New Roman"/>
          <w:sz w:val="24"/>
          <w:szCs w:val="24"/>
        </w:rPr>
        <w:t xml:space="preserve"> в ИСУН 2020 на следния интернет адрес:</w:t>
      </w:r>
      <w:r w:rsidRPr="007A0B0A">
        <w:rPr>
          <w:rFonts w:ascii="Times New Roman" w:hAnsi="Times New Roman"/>
          <w:sz w:val="24"/>
          <w:szCs w:val="24"/>
        </w:rPr>
        <w:t xml:space="preserve"> </w:t>
      </w:r>
      <w:hyperlink r:id="rId15" w:history="1">
        <w:r w:rsidR="004A3C85" w:rsidRPr="007A0B0A">
          <w:rPr>
            <w:rStyle w:val="Hyperlink"/>
            <w:rFonts w:ascii="Times New Roman" w:hAnsi="Times New Roman"/>
            <w:sz w:val="24"/>
            <w:szCs w:val="24"/>
          </w:rPr>
          <w:t>https://eumis2020.government.bg/bg/s/Default/Manual</w:t>
        </w:r>
      </w:hyperlink>
      <w:r w:rsidR="004A3C85" w:rsidRPr="007A0B0A">
        <w:rPr>
          <w:rFonts w:ascii="Times New Roman" w:hAnsi="Times New Roman"/>
          <w:sz w:val="24"/>
          <w:szCs w:val="24"/>
        </w:rPr>
        <w:t xml:space="preserve">  </w:t>
      </w:r>
      <w:r w:rsidRPr="007A0B0A">
        <w:rPr>
          <w:rFonts w:ascii="Times New Roman" w:hAnsi="Times New Roman"/>
          <w:sz w:val="24"/>
          <w:szCs w:val="24"/>
        </w:rPr>
        <w:t>в раздел „</w:t>
      </w:r>
      <w:r w:rsidR="004A3C85" w:rsidRPr="007A0B0A">
        <w:rPr>
          <w:rFonts w:ascii="Times New Roman" w:hAnsi="Times New Roman"/>
          <w:sz w:val="24"/>
          <w:szCs w:val="24"/>
        </w:rPr>
        <w:t>Ръководство за работа със системата</w:t>
      </w:r>
      <w:r w:rsidRPr="007A0B0A">
        <w:rPr>
          <w:rFonts w:ascii="Times New Roman" w:hAnsi="Times New Roman"/>
          <w:sz w:val="24"/>
          <w:szCs w:val="24"/>
        </w:rPr>
        <w:t>”.</w:t>
      </w:r>
    </w:p>
    <w:p w14:paraId="32A3C857" w14:textId="6EDDCF4A" w:rsidR="00964C2F" w:rsidRDefault="00964C2F" w:rsidP="00647DA8">
      <w:pPr>
        <w:spacing w:after="120" w:line="240" w:lineRule="auto"/>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След обявяването на процедурите, Управляващият орган изпраща покана до конкретните бенефициенти, посочен</w:t>
      </w:r>
      <w:r w:rsidR="005357AF">
        <w:rPr>
          <w:rFonts w:ascii="Times New Roman" w:eastAsia="Calibri" w:hAnsi="Times New Roman" w:cs="Times New Roman"/>
          <w:sz w:val="24"/>
          <w:szCs w:val="24"/>
        </w:rPr>
        <w:t>и</w:t>
      </w:r>
      <w:r w:rsidRPr="007A0B0A">
        <w:rPr>
          <w:rFonts w:ascii="Times New Roman" w:eastAsia="Calibri" w:hAnsi="Times New Roman" w:cs="Times New Roman"/>
          <w:sz w:val="24"/>
          <w:szCs w:val="24"/>
        </w:rPr>
        <w:t xml:space="preserve"> в т. 11 от настоящите Условия за кандидатстване, с което ги информира за възможностите за кандидатстване по процедурите.</w:t>
      </w:r>
    </w:p>
    <w:p w14:paraId="542F179B" w14:textId="7350CC2F" w:rsidR="00964C2F" w:rsidRDefault="00647DA8" w:rsidP="00647DA8">
      <w:pPr>
        <w:spacing w:before="120" w:after="120"/>
        <w:ind w:firstLine="567"/>
        <w:jc w:val="both"/>
        <w:rPr>
          <w:rFonts w:ascii="Times New Roman" w:hAnsi="Times New Roman"/>
          <w:sz w:val="24"/>
          <w:szCs w:val="24"/>
        </w:rPr>
      </w:pPr>
      <w:r w:rsidRPr="00647DA8">
        <w:rPr>
          <w:rFonts w:ascii="Times New Roman" w:hAnsi="Times New Roman"/>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3C05D93A" w14:textId="77777777" w:rsidR="00647DA8" w:rsidRPr="004A3C85" w:rsidRDefault="00647DA8" w:rsidP="004A3C85">
      <w:pPr>
        <w:spacing w:before="120" w:after="120"/>
        <w:ind w:firstLine="567"/>
        <w:jc w:val="both"/>
        <w:rPr>
          <w:rFonts w:ascii="Times New Roman" w:hAnsi="Times New Roman"/>
          <w:sz w:val="24"/>
          <w:szCs w:val="24"/>
        </w:rPr>
      </w:pPr>
    </w:p>
    <w:p w14:paraId="3B67EBEC" w14:textId="25966784" w:rsidR="00FD5383" w:rsidRPr="004A3C85" w:rsidRDefault="00FD5383" w:rsidP="00427637">
      <w:pPr>
        <w:pStyle w:val="PMnumeric"/>
        <w:numPr>
          <w:ilvl w:val="0"/>
          <w:numId w:val="0"/>
        </w:num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EEAF6" w:themeFill="accent1" w:themeFillTint="33"/>
        <w:tabs>
          <w:tab w:val="num" w:pos="1020"/>
        </w:tabs>
        <w:spacing w:before="0"/>
        <w:ind w:right="142"/>
        <w:rPr>
          <w:b/>
          <w:spacing w:val="0"/>
          <w:lang w:eastAsia="en-US"/>
        </w:rPr>
      </w:pPr>
      <w:r w:rsidRPr="004A3C85">
        <w:rPr>
          <w:b/>
          <w:spacing w:val="0"/>
          <w:lang w:eastAsia="en-US"/>
        </w:rPr>
        <w:t>Важно:  Комуникацията с конкретния бенефициент по оценката на формуляр</w:t>
      </w:r>
      <w:r w:rsidR="005357AF">
        <w:rPr>
          <w:b/>
          <w:spacing w:val="0"/>
          <w:lang w:eastAsia="en-US"/>
        </w:rPr>
        <w:t>а за кандидатстване се извършва</w:t>
      </w:r>
      <w:r w:rsidRPr="004A3C85">
        <w:rPr>
          <w:b/>
          <w:spacing w:val="0"/>
          <w:lang w:eastAsia="en-US"/>
        </w:rPr>
        <w:t xml:space="preserve"> чрез системата ИСУН 2020</w:t>
      </w:r>
      <w:r w:rsidR="005357AF">
        <w:rPr>
          <w:b/>
          <w:spacing w:val="0"/>
          <w:lang w:eastAsia="en-US"/>
        </w:rPr>
        <w:t>,</w:t>
      </w:r>
      <w:r w:rsidRPr="004A3C85">
        <w:rPr>
          <w:b/>
          <w:spacing w:val="0"/>
          <w:lang w:eastAsia="en-US"/>
        </w:rPr>
        <w:t xml:space="preserve"> като уведомление за изпратени коментари/ бележки в ИСУН 2020 се получават на електронната поща на регистрирания потребител, подал проектното предложение. </w:t>
      </w:r>
    </w:p>
    <w:p w14:paraId="0EAA8DF8" w14:textId="77777777" w:rsidR="00603108" w:rsidRPr="008D4AB4" w:rsidRDefault="00603108" w:rsidP="00427637">
      <w:pPr>
        <w:pStyle w:val="Heading2"/>
        <w:numPr>
          <w:ilvl w:val="1"/>
          <w:numId w:val="25"/>
        </w:numPr>
        <w:pBdr>
          <w:top w:val="single" w:sz="4" w:space="1" w:color="auto"/>
          <w:left w:val="single" w:sz="4" w:space="4" w:color="auto"/>
          <w:bottom w:val="single" w:sz="4" w:space="1" w:color="auto"/>
          <w:right w:val="single" w:sz="4" w:space="4" w:color="auto"/>
        </w:pBdr>
        <w:spacing w:before="120" w:after="120"/>
        <w:ind w:left="426" w:right="140"/>
        <w:rPr>
          <w:rFonts w:ascii="Times New Roman" w:hAnsi="Times New Roman" w:cs="Times New Roman"/>
        </w:rPr>
      </w:pPr>
      <w:bookmarkStart w:id="28" w:name="_Toc135991644"/>
      <w:bookmarkStart w:id="29" w:name="_Toc135995222"/>
      <w:bookmarkStart w:id="30" w:name="_Toc136269963"/>
      <w:bookmarkStart w:id="31" w:name="_Toc414036202"/>
      <w:bookmarkStart w:id="32" w:name="_Toc28872951"/>
      <w:bookmarkEnd w:id="25"/>
      <w:bookmarkEnd w:id="28"/>
      <w:bookmarkEnd w:id="29"/>
      <w:r>
        <w:rPr>
          <w:rFonts w:ascii="Times New Roman" w:hAnsi="Times New Roman" w:cs="Times New Roman"/>
        </w:rPr>
        <w:t xml:space="preserve">Изисквания за попълване на ФК </w:t>
      </w:r>
      <w:r w:rsidRPr="008D4AB4">
        <w:rPr>
          <w:rFonts w:ascii="Times New Roman" w:hAnsi="Times New Roman" w:cs="Times New Roman"/>
        </w:rPr>
        <w:t>на проектните предложения:</w:t>
      </w:r>
      <w:bookmarkEnd w:id="30"/>
      <w:r w:rsidRPr="008D4AB4">
        <w:rPr>
          <w:rFonts w:ascii="Times New Roman" w:hAnsi="Times New Roman" w:cs="Times New Roman"/>
        </w:rPr>
        <w:t xml:space="preserve"> </w:t>
      </w:r>
    </w:p>
    <w:p w14:paraId="20367EDC" w14:textId="77777777" w:rsidR="00DA315D" w:rsidRDefault="00DA315D" w:rsidP="00603108">
      <w:pPr>
        <w:contextualSpacing/>
        <w:jc w:val="both"/>
        <w:rPr>
          <w:rFonts w:ascii="Times New Roman" w:eastAsia="Calibri" w:hAnsi="Times New Roman" w:cs="Times New Roman"/>
          <w:sz w:val="24"/>
          <w:szCs w:val="24"/>
        </w:rPr>
      </w:pPr>
    </w:p>
    <w:p w14:paraId="40152BED" w14:textId="078F241C" w:rsidR="00603108" w:rsidRDefault="00DA315D" w:rsidP="00603108">
      <w:pPr>
        <w:contextualSpacing/>
        <w:jc w:val="both"/>
        <w:rPr>
          <w:rFonts w:ascii="Times New Roman" w:eastAsia="Calibri" w:hAnsi="Times New Roman" w:cs="Times New Roman"/>
          <w:sz w:val="24"/>
          <w:szCs w:val="24"/>
        </w:rPr>
      </w:pPr>
      <w:r w:rsidRPr="00DA315D">
        <w:rPr>
          <w:rFonts w:ascii="Times New Roman" w:eastAsia="Calibri" w:hAnsi="Times New Roman" w:cs="Times New Roman"/>
          <w:sz w:val="24"/>
          <w:szCs w:val="24"/>
        </w:rPr>
        <w:t>Критерии</w:t>
      </w:r>
      <w:r>
        <w:rPr>
          <w:rFonts w:ascii="Times New Roman" w:eastAsia="Calibri" w:hAnsi="Times New Roman" w:cs="Times New Roman"/>
          <w:sz w:val="24"/>
          <w:szCs w:val="24"/>
        </w:rPr>
        <w:t>те</w:t>
      </w:r>
      <w:r w:rsidRPr="00DA315D">
        <w:rPr>
          <w:rFonts w:ascii="Times New Roman" w:eastAsia="Calibri" w:hAnsi="Times New Roman" w:cs="Times New Roman"/>
          <w:sz w:val="24"/>
          <w:szCs w:val="24"/>
        </w:rPr>
        <w:t xml:space="preserve"> за осигуряване на информация за инвестиционни проекти</w:t>
      </w:r>
      <w:r>
        <w:rPr>
          <w:rFonts w:ascii="Times New Roman" w:eastAsia="Calibri" w:hAnsi="Times New Roman" w:cs="Times New Roman"/>
          <w:sz w:val="24"/>
          <w:szCs w:val="24"/>
        </w:rPr>
        <w:t xml:space="preserve"> са дадени в Приложение към настоящите </w:t>
      </w:r>
      <w:r w:rsidR="0061207E">
        <w:rPr>
          <w:rFonts w:ascii="Times New Roman" w:eastAsia="Calibri" w:hAnsi="Times New Roman" w:cs="Times New Roman"/>
          <w:sz w:val="24"/>
          <w:szCs w:val="24"/>
        </w:rPr>
        <w:t>Условия за кандидатстване</w:t>
      </w:r>
      <w:r>
        <w:rPr>
          <w:rFonts w:ascii="Times New Roman" w:eastAsia="Calibri" w:hAnsi="Times New Roman" w:cs="Times New Roman"/>
          <w:sz w:val="24"/>
          <w:szCs w:val="24"/>
        </w:rPr>
        <w:t>.</w:t>
      </w:r>
    </w:p>
    <w:p w14:paraId="0AF6E0E1" w14:textId="666F7D1B" w:rsidR="00DA315D" w:rsidRDefault="00DA315D" w:rsidP="00603108">
      <w:pPr>
        <w:contextualSpacing/>
        <w:jc w:val="both"/>
        <w:rPr>
          <w:rFonts w:ascii="Times New Roman" w:eastAsia="Calibri" w:hAnsi="Times New Roman" w:cs="Times New Roman"/>
          <w:sz w:val="24"/>
          <w:szCs w:val="24"/>
        </w:rPr>
      </w:pPr>
    </w:p>
    <w:p w14:paraId="5E1F7589" w14:textId="3D81AD04" w:rsidR="00DA315D" w:rsidRPr="00AC1D20" w:rsidRDefault="00DA315D" w:rsidP="00603108">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попълване на информацията в уеб базирания ФК в ИСУН 2020:</w:t>
      </w:r>
    </w:p>
    <w:p w14:paraId="69888A9D" w14:textId="57EBFB47" w:rsidR="00D95DC4" w:rsidRPr="00B91FBD" w:rsidRDefault="00D95DC4" w:rsidP="00C66898">
      <w:pPr>
        <w:pStyle w:val="ListParagraph"/>
        <w:numPr>
          <w:ilvl w:val="0"/>
          <w:numId w:val="19"/>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раздел </w:t>
      </w:r>
      <w:r w:rsidRPr="00B91FBD">
        <w:rPr>
          <w:rFonts w:ascii="Times New Roman" w:eastAsia="Calibri" w:hAnsi="Times New Roman" w:cs="Times New Roman"/>
          <w:b/>
          <w:sz w:val="24"/>
          <w:szCs w:val="24"/>
        </w:rPr>
        <w:t>„Основни данни“</w:t>
      </w:r>
    </w:p>
    <w:p w14:paraId="5F436298" w14:textId="0582949D" w:rsidR="00FD7527" w:rsidRDefault="00FD7527" w:rsidP="00D95DC4">
      <w:pPr>
        <w:pStyle w:val="ListParagraph"/>
        <w:numPr>
          <w:ilvl w:val="0"/>
          <w:numId w:val="33"/>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„Наиме</w:t>
      </w:r>
      <w:r w:rsidR="00000389" w:rsidRPr="00B91FBD">
        <w:rPr>
          <w:rFonts w:ascii="Times New Roman" w:eastAsia="Calibri" w:hAnsi="Times New Roman" w:cs="Times New Roman"/>
          <w:b/>
          <w:sz w:val="24"/>
          <w:szCs w:val="24"/>
        </w:rPr>
        <w:t>нование на проектно предложение</w:t>
      </w:r>
      <w:r w:rsidRPr="00B91FBD">
        <w:rPr>
          <w:rFonts w:ascii="Times New Roman" w:eastAsia="Calibri" w:hAnsi="Times New Roman" w:cs="Times New Roman"/>
          <w:b/>
          <w:sz w:val="24"/>
          <w:szCs w:val="24"/>
        </w:rPr>
        <w:t>“</w:t>
      </w:r>
      <w:r w:rsidR="00B91FBD">
        <w:rPr>
          <w:rFonts w:ascii="Times New Roman" w:eastAsia="Calibri" w:hAnsi="Times New Roman" w:cs="Times New Roman"/>
          <w:b/>
          <w:sz w:val="24"/>
          <w:szCs w:val="24"/>
        </w:rPr>
        <w:t>:</w:t>
      </w:r>
    </w:p>
    <w:p w14:paraId="738D0A47" w14:textId="66C1147E" w:rsidR="00C9629D" w:rsidRPr="00C9629D" w:rsidRDefault="00C9629D" w:rsidP="00C9629D">
      <w:pPr>
        <w:ind w:firstLine="567"/>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 xml:space="preserve">УО на ПТС препоръчва наименованието на проекта да бъде с дължина до 60 символа. Твърде дългите и описателни наименования с обем над 60 знака не се побират  във формата, създадена от Европейската комисия, която трябва да бъде използвана задължително при изготвянето на билбордове, табели и рекламни материали и за проекти: </w:t>
      </w:r>
      <w:hyperlink r:id="rId16" w:history="1">
        <w:r w:rsidRPr="00525300">
          <w:rPr>
            <w:rStyle w:val="Hyperlink"/>
            <w:rFonts w:ascii="Times New Roman" w:eastAsia="Calibri" w:hAnsi="Times New Roman" w:cs="Times New Roman"/>
            <w:sz w:val="24"/>
            <w:szCs w:val="24"/>
          </w:rPr>
          <w:t>https://ec.europa.eu/regional_policy/policy/communication/online-generator_en</w:t>
        </w:r>
      </w:hyperlink>
      <w:r>
        <w:rPr>
          <w:rFonts w:ascii="Times New Roman" w:eastAsia="Calibri" w:hAnsi="Times New Roman" w:cs="Times New Roman"/>
          <w:sz w:val="24"/>
          <w:szCs w:val="24"/>
        </w:rPr>
        <w:t xml:space="preserve"> </w:t>
      </w:r>
      <w:r w:rsidRPr="00C9629D">
        <w:rPr>
          <w:rFonts w:ascii="Times New Roman" w:eastAsia="Calibri" w:hAnsi="Times New Roman" w:cs="Times New Roman"/>
          <w:sz w:val="24"/>
          <w:szCs w:val="24"/>
        </w:rPr>
        <w:t>.</w:t>
      </w:r>
    </w:p>
    <w:p w14:paraId="04D03C69" w14:textId="033D55F3" w:rsidR="00C9629D" w:rsidRPr="00C9629D" w:rsidRDefault="00C9629D" w:rsidP="00C9629D">
      <w:pPr>
        <w:ind w:firstLine="567"/>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В етапа на оценка – оценителната комисия може да предложи промяна на предложеното от конкретните бенефициенти наименование на проекта с цел спазване на изискването за 60 символа. В слу</w:t>
      </w:r>
      <w:r>
        <w:rPr>
          <w:rFonts w:ascii="Times New Roman" w:eastAsia="Calibri" w:hAnsi="Times New Roman" w:cs="Times New Roman"/>
          <w:sz w:val="24"/>
          <w:szCs w:val="24"/>
        </w:rPr>
        <w:t xml:space="preserve">чай, че бенефициентът желае да </w:t>
      </w:r>
      <w:r w:rsidRPr="00C9629D">
        <w:rPr>
          <w:rFonts w:ascii="Times New Roman" w:eastAsia="Calibri" w:hAnsi="Times New Roman" w:cs="Times New Roman"/>
          <w:sz w:val="24"/>
          <w:szCs w:val="24"/>
        </w:rPr>
        <w:t>предложи наименование на проекта с дължина над 60 символа, той има възможност да го впише в полето „Кратко описание“.</w:t>
      </w:r>
    </w:p>
    <w:p w14:paraId="0742EBDB" w14:textId="1D7D12C6" w:rsidR="00603108" w:rsidRPr="007A0B0A" w:rsidRDefault="00603108" w:rsidP="00D95DC4">
      <w:pPr>
        <w:pStyle w:val="ListParagraph"/>
        <w:numPr>
          <w:ilvl w:val="0"/>
          <w:numId w:val="33"/>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 „</w:t>
      </w:r>
      <w:r w:rsidRPr="00B91FBD">
        <w:rPr>
          <w:rFonts w:ascii="Times New Roman" w:eastAsia="Calibri" w:hAnsi="Times New Roman" w:cs="Times New Roman"/>
          <w:b/>
          <w:sz w:val="24"/>
          <w:szCs w:val="24"/>
        </w:rPr>
        <w:t>Кратко описание“</w:t>
      </w:r>
      <w:r w:rsidR="00844FD1" w:rsidRPr="00B91FBD">
        <w:rPr>
          <w:rFonts w:ascii="Times New Roman" w:eastAsia="Calibri" w:hAnsi="Times New Roman" w:cs="Times New Roman"/>
          <w:b/>
          <w:sz w:val="24"/>
          <w:szCs w:val="24"/>
        </w:rPr>
        <w:t>:</w:t>
      </w:r>
    </w:p>
    <w:p w14:paraId="5ED45EC1" w14:textId="33EBABA8" w:rsidR="00B44F26" w:rsidRPr="00B44F26" w:rsidRDefault="00844FD1" w:rsidP="00B44F26">
      <w:pPr>
        <w:shd w:val="clear" w:color="auto" w:fill="FFFFFF"/>
        <w:spacing w:before="120" w:after="0" w:line="240" w:lineRule="auto"/>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 xml:space="preserve">Моля, представете кратко описание на проекта </w:t>
      </w:r>
      <w:r w:rsidR="00B44F26">
        <w:rPr>
          <w:rFonts w:ascii="Times New Roman" w:eastAsia="Calibri" w:hAnsi="Times New Roman" w:cs="Times New Roman"/>
          <w:sz w:val="24"/>
          <w:szCs w:val="24"/>
        </w:rPr>
        <w:t>относно:</w:t>
      </w:r>
      <w:r w:rsidR="00B44F26" w:rsidRPr="00B44F26">
        <w:rPr>
          <w:rFonts w:ascii="Times New Roman" w:eastAsia="Calibri" w:hAnsi="Times New Roman" w:cs="Times New Roman"/>
          <w:sz w:val="24"/>
          <w:szCs w:val="24"/>
        </w:rPr>
        <w:t xml:space="preserve"> проектът част ли е от </w:t>
      </w:r>
      <w:proofErr w:type="spellStart"/>
      <w:r w:rsidR="00B44F26" w:rsidRPr="00B44F26">
        <w:rPr>
          <w:rFonts w:ascii="Times New Roman" w:eastAsia="Calibri" w:hAnsi="Times New Roman" w:cs="Times New Roman"/>
          <w:sz w:val="24"/>
          <w:szCs w:val="24"/>
        </w:rPr>
        <w:t>Трансевропейска</w:t>
      </w:r>
      <w:r w:rsidR="00B44F26">
        <w:rPr>
          <w:rFonts w:ascii="Times New Roman" w:eastAsia="Calibri" w:hAnsi="Times New Roman" w:cs="Times New Roman"/>
          <w:sz w:val="24"/>
          <w:szCs w:val="24"/>
        </w:rPr>
        <w:t>та</w:t>
      </w:r>
      <w:proofErr w:type="spellEnd"/>
      <w:r w:rsidR="00B44F26" w:rsidRPr="00B44F26">
        <w:rPr>
          <w:rFonts w:ascii="Times New Roman" w:eastAsia="Calibri" w:hAnsi="Times New Roman" w:cs="Times New Roman"/>
          <w:sz w:val="24"/>
          <w:szCs w:val="24"/>
        </w:rPr>
        <w:t xml:space="preserve"> мреж</w:t>
      </w:r>
      <w:r w:rsidR="00B44F26">
        <w:rPr>
          <w:rFonts w:ascii="Times New Roman" w:eastAsia="Calibri" w:hAnsi="Times New Roman" w:cs="Times New Roman"/>
          <w:sz w:val="24"/>
          <w:szCs w:val="24"/>
        </w:rPr>
        <w:t xml:space="preserve">а, </w:t>
      </w:r>
      <w:r w:rsidRPr="00B44F26">
        <w:rPr>
          <w:rFonts w:ascii="Times New Roman" w:eastAsia="Calibri" w:hAnsi="Times New Roman" w:cs="Times New Roman"/>
          <w:sz w:val="24"/>
          <w:szCs w:val="24"/>
        </w:rPr>
        <w:t>неговата цел, съществуващото положение, проблемите, които ще се опита да разреши, съоръженията, които ще бъдат построени и др. и основните компоненти на проекта</w:t>
      </w:r>
      <w:r w:rsidR="00B44F26" w:rsidRPr="00B44F26">
        <w:rPr>
          <w:rFonts w:ascii="Times New Roman" w:eastAsia="Calibri" w:hAnsi="Times New Roman" w:cs="Times New Roman"/>
          <w:sz w:val="24"/>
          <w:szCs w:val="24"/>
        </w:rPr>
        <w:t>.</w:t>
      </w:r>
      <w:r w:rsidR="00B44F26">
        <w:rPr>
          <w:rFonts w:ascii="Times New Roman" w:eastAsia="Calibri" w:hAnsi="Times New Roman" w:cs="Times New Roman"/>
          <w:sz w:val="24"/>
          <w:szCs w:val="24"/>
        </w:rPr>
        <w:t xml:space="preserve"> </w:t>
      </w:r>
    </w:p>
    <w:p w14:paraId="2D5EF259" w14:textId="73251383" w:rsidR="00603108" w:rsidRDefault="00B44F26" w:rsidP="00B44F26">
      <w:pPr>
        <w:shd w:val="clear" w:color="auto" w:fill="FFFFFF"/>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603108" w:rsidRPr="00B44F26">
        <w:rPr>
          <w:rFonts w:ascii="Times New Roman" w:eastAsia="Calibri" w:hAnsi="Times New Roman" w:cs="Times New Roman"/>
          <w:sz w:val="24"/>
          <w:szCs w:val="24"/>
        </w:rPr>
        <w:t xml:space="preserve">ледва да бъдат ясно посочени: дата на стартиране на проекта, която може да </w:t>
      </w:r>
      <w:r w:rsidR="00844FD1" w:rsidRPr="00B44F26">
        <w:rPr>
          <w:rFonts w:ascii="Times New Roman" w:eastAsia="Calibri" w:hAnsi="Times New Roman" w:cs="Times New Roman"/>
          <w:sz w:val="24"/>
          <w:szCs w:val="24"/>
        </w:rPr>
        <w:t xml:space="preserve">е </w:t>
      </w:r>
      <w:r w:rsidR="00603108" w:rsidRPr="00B44F26">
        <w:rPr>
          <w:rFonts w:ascii="Times New Roman" w:eastAsia="Calibri" w:hAnsi="Times New Roman" w:cs="Times New Roman"/>
          <w:sz w:val="24"/>
          <w:szCs w:val="24"/>
        </w:rPr>
        <w:t>дата преди подаване на ФК, когато изпълнението е вече започнало или  бъдеща прогнозна, в случай че дейностите не са стартирали</w:t>
      </w:r>
      <w:r w:rsidR="00603108" w:rsidRPr="00B44F26">
        <w:rPr>
          <w:rFonts w:ascii="Times New Roman" w:eastAsia="Calibri" w:hAnsi="Times New Roman" w:cs="Times New Roman"/>
          <w:sz w:val="24"/>
          <w:szCs w:val="24"/>
          <w:lang w:val="en-US"/>
        </w:rPr>
        <w:t xml:space="preserve"> </w:t>
      </w:r>
      <w:r w:rsidR="00603108" w:rsidRPr="00B44F26">
        <w:rPr>
          <w:rFonts w:ascii="Times New Roman" w:eastAsia="Calibri" w:hAnsi="Times New Roman" w:cs="Times New Roman"/>
          <w:sz w:val="24"/>
          <w:szCs w:val="24"/>
        </w:rPr>
        <w:t>все още;</w:t>
      </w:r>
    </w:p>
    <w:p w14:paraId="6F812051" w14:textId="77777777" w:rsidR="00D95DC4" w:rsidRPr="00B44F26" w:rsidRDefault="00D95DC4" w:rsidP="00B44F26">
      <w:pPr>
        <w:shd w:val="clear" w:color="auto" w:fill="FFFFFF"/>
        <w:spacing w:before="120" w:after="0" w:line="240" w:lineRule="auto"/>
        <w:ind w:firstLine="567"/>
        <w:jc w:val="both"/>
        <w:rPr>
          <w:rFonts w:ascii="Times New Roman" w:eastAsia="Calibri" w:hAnsi="Times New Roman" w:cs="Times New Roman"/>
          <w:sz w:val="24"/>
          <w:szCs w:val="24"/>
        </w:rPr>
      </w:pPr>
    </w:p>
    <w:p w14:paraId="284EAFCE" w14:textId="4CE1E875" w:rsidR="00D95DC4" w:rsidRPr="00B91FBD" w:rsidRDefault="00D95DC4" w:rsidP="00D95DC4">
      <w:pPr>
        <w:pStyle w:val="ListParagraph"/>
        <w:numPr>
          <w:ilvl w:val="0"/>
          <w:numId w:val="33"/>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„Цел/и на проектното предложение“</w:t>
      </w:r>
      <w:r w:rsidR="00B91FBD">
        <w:rPr>
          <w:rFonts w:ascii="Times New Roman" w:eastAsia="Calibri" w:hAnsi="Times New Roman" w:cs="Times New Roman"/>
          <w:b/>
          <w:sz w:val="24"/>
          <w:szCs w:val="24"/>
        </w:rPr>
        <w:t>:</w:t>
      </w:r>
    </w:p>
    <w:p w14:paraId="298E819F" w14:textId="4C8864B3" w:rsidR="00D95DC4" w:rsidRPr="005B30FA" w:rsidRDefault="00D95DC4" w:rsidP="00D95DC4">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b/>
          <w:bCs/>
          <w:color w:val="000000"/>
          <w:sz w:val="24"/>
          <w:szCs w:val="24"/>
        </w:rPr>
        <w:t xml:space="preserve">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w:t>
      </w:r>
      <w:r w:rsidRPr="005B30FA">
        <w:rPr>
          <w:rFonts w:ascii="inherit" w:eastAsia="Times New Roman" w:hAnsi="inherit" w:cs="Times New Roman"/>
          <w:b/>
          <w:bCs/>
          <w:color w:val="000000"/>
          <w:sz w:val="24"/>
          <w:szCs w:val="24"/>
        </w:rPr>
        <w:lastRenderedPageBreak/>
        <w:t>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14:paraId="5B0F70D3" w14:textId="4CBF9CD1" w:rsidR="00D95DC4" w:rsidRPr="005B30FA" w:rsidRDefault="00D95DC4" w:rsidP="00D95DC4">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Кои са основните цели на проекта? Моля, избройте ги тук и дайте кратко описание</w:t>
      </w:r>
    </w:p>
    <w:p w14:paraId="0AA3C767" w14:textId="74AFF6D9" w:rsidR="00D95DC4" w:rsidRPr="005B30FA" w:rsidRDefault="00D95DC4" w:rsidP="00D95DC4">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дайте по-подробни разяснения относно съгласуваността на проекта със съответните приоритетни оси на програма</w:t>
      </w:r>
      <w:r>
        <w:rPr>
          <w:rFonts w:ascii="inherit" w:eastAsia="Times New Roman" w:hAnsi="inherit" w:cs="Times New Roman"/>
          <w:i/>
          <w:iCs/>
          <w:color w:val="000000"/>
          <w:sz w:val="24"/>
          <w:szCs w:val="24"/>
        </w:rPr>
        <w:t>та</w:t>
      </w:r>
      <w:r w:rsidRPr="005B30FA">
        <w:rPr>
          <w:rFonts w:ascii="inherit" w:eastAsia="Times New Roman" w:hAnsi="inherit" w:cs="Times New Roman"/>
          <w:i/>
          <w:iCs/>
          <w:color w:val="000000"/>
          <w:sz w:val="24"/>
          <w:szCs w:val="24"/>
        </w:rPr>
        <w:t xml:space="preserve"> и неговия очакв</w:t>
      </w:r>
      <w:r>
        <w:rPr>
          <w:rFonts w:ascii="inherit" w:eastAsia="Times New Roman" w:hAnsi="inherit" w:cs="Times New Roman"/>
          <w:i/>
          <w:iCs/>
          <w:color w:val="000000"/>
          <w:sz w:val="24"/>
          <w:szCs w:val="24"/>
        </w:rPr>
        <w:t>ан принос за постигане на показ</w:t>
      </w:r>
      <w:r w:rsidRPr="005B30FA">
        <w:rPr>
          <w:rFonts w:ascii="inherit" w:eastAsia="Times New Roman" w:hAnsi="inherit" w:cs="Times New Roman"/>
          <w:i/>
          <w:iCs/>
          <w:color w:val="000000"/>
          <w:sz w:val="24"/>
          <w:szCs w:val="24"/>
        </w:rPr>
        <w:t>ателите за резултатите по специфичните цели на тези приоритетни оси</w:t>
      </w:r>
    </w:p>
    <w:p w14:paraId="60E9E55C" w14:textId="37D5C1E2" w:rsidR="00D95DC4" w:rsidRPr="005B30FA" w:rsidRDefault="00D95DC4" w:rsidP="00D95DC4">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обяснете как проектът ще допринесе за социално-икономическото развитие на района, обхванат от програма</w:t>
      </w:r>
    </w:p>
    <w:p w14:paraId="4AE7DFFD" w14:textId="77777777" w:rsidR="00D95DC4" w:rsidRDefault="00D95DC4" w:rsidP="00D95DC4">
      <w:pPr>
        <w:pStyle w:val="ListParagraph"/>
        <w:ind w:left="1440"/>
        <w:jc w:val="both"/>
        <w:rPr>
          <w:rFonts w:ascii="Times New Roman" w:eastAsia="Calibri" w:hAnsi="Times New Roman" w:cs="Times New Roman"/>
          <w:sz w:val="24"/>
          <w:szCs w:val="24"/>
        </w:rPr>
      </w:pPr>
    </w:p>
    <w:p w14:paraId="483BD9A1" w14:textId="0E532F6A" w:rsidR="005E1FEC" w:rsidRPr="007A0B0A" w:rsidRDefault="00603108" w:rsidP="00C66898">
      <w:pPr>
        <w:pStyle w:val="ListParagraph"/>
        <w:numPr>
          <w:ilvl w:val="0"/>
          <w:numId w:val="19"/>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раздел </w:t>
      </w:r>
      <w:r w:rsidRPr="007A0B0A">
        <w:rPr>
          <w:rFonts w:ascii="Times New Roman" w:eastAsia="Calibri" w:hAnsi="Times New Roman" w:cs="Times New Roman"/>
          <w:b/>
          <w:sz w:val="24"/>
          <w:szCs w:val="24"/>
        </w:rPr>
        <w:t>„Бюджет“</w:t>
      </w:r>
      <w:r w:rsidRPr="007A0B0A">
        <w:rPr>
          <w:rFonts w:ascii="Times New Roman" w:eastAsia="Calibri" w:hAnsi="Times New Roman" w:cs="Times New Roman"/>
          <w:sz w:val="24"/>
          <w:szCs w:val="24"/>
        </w:rPr>
        <w:t xml:space="preserve"> </w:t>
      </w:r>
      <w:r w:rsidR="005E1FEC" w:rsidRPr="007A0B0A">
        <w:rPr>
          <w:rFonts w:ascii="Times New Roman" w:eastAsia="Calibri" w:hAnsi="Times New Roman" w:cs="Times New Roman"/>
          <w:sz w:val="24"/>
          <w:szCs w:val="24"/>
        </w:rPr>
        <w:t>:</w:t>
      </w:r>
    </w:p>
    <w:p w14:paraId="19F03E0F" w14:textId="2661BF67" w:rsidR="00603108" w:rsidRPr="009451BB" w:rsidRDefault="009451BB" w:rsidP="009451BB">
      <w:pPr>
        <w:ind w:firstLine="567"/>
        <w:jc w:val="both"/>
        <w:rPr>
          <w:rFonts w:ascii="Times New Roman" w:eastAsia="Calibri" w:hAnsi="Times New Roman" w:cs="Times New Roman"/>
          <w:sz w:val="24"/>
          <w:szCs w:val="24"/>
        </w:rPr>
      </w:pPr>
      <w:r w:rsidRPr="009451BB">
        <w:rPr>
          <w:rFonts w:ascii="Times New Roman" w:eastAsia="Calibri" w:hAnsi="Times New Roman" w:cs="Times New Roman"/>
          <w:sz w:val="24"/>
          <w:szCs w:val="24"/>
        </w:rPr>
        <w:t xml:space="preserve">Следва </w:t>
      </w:r>
      <w:r w:rsidR="00603108" w:rsidRPr="009451BB">
        <w:rPr>
          <w:rFonts w:ascii="Times New Roman" w:eastAsia="Calibri" w:hAnsi="Times New Roman" w:cs="Times New Roman"/>
          <w:sz w:val="24"/>
          <w:szCs w:val="24"/>
        </w:rPr>
        <w:t>да се има предвид, че той ще бъде разходван като се спазват правилата на Закона за обществените поръчки и актовете по неговото прилагане.</w:t>
      </w:r>
    </w:p>
    <w:p w14:paraId="30898E81" w14:textId="77777777" w:rsidR="00603108" w:rsidRPr="00AC1D20" w:rsidRDefault="00603108" w:rsidP="00603108">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Бюджетът се представя в лева. Стойностите се закръгляват до втория знак след десетичната запетая.</w:t>
      </w:r>
    </w:p>
    <w:p w14:paraId="59159877" w14:textId="77777777" w:rsidR="00603108" w:rsidRDefault="00603108" w:rsidP="00603108">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В Бюджета не се допуска наличието на разходи, които не са обосновани и обвързани с конкретна дейност от проектното предложение. Всички разходи обхванати в бюджета на проекта, следва да кореспондират с описанието на дейностите във формуляра за кандидатстване. </w:t>
      </w:r>
    </w:p>
    <w:p w14:paraId="2C86FAA1" w14:textId="77777777" w:rsidR="00603108" w:rsidRDefault="00603108" w:rsidP="00603108">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описани подробно в описанието на съответната дейност. </w:t>
      </w:r>
    </w:p>
    <w:p w14:paraId="5149AD75" w14:textId="77777777" w:rsidR="00603108" w:rsidRDefault="00603108" w:rsidP="00603108">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41F993E0" w14:textId="77777777" w:rsidR="00603108" w:rsidRPr="00AC1D20" w:rsidRDefault="00603108" w:rsidP="00603108">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СМР, услугата или доставката, независимо в кой раздел или перо на бюджета са предвидени съответните разходи. Не се допуска разделяне на предмета на СМР, услугата или доставката с цел заобикаляне прилагането на посочените нормативни актове.</w:t>
      </w:r>
    </w:p>
    <w:p w14:paraId="186F4F41" w14:textId="77777777" w:rsidR="00603108" w:rsidRPr="00AC1D20" w:rsidRDefault="00603108" w:rsidP="00603108">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Кандидатът носи цялата отговорност за верността на финансовата информация, представена в „Бюджет“ от Формуляра за кандидатстване.</w:t>
      </w:r>
    </w:p>
    <w:p w14:paraId="01402152" w14:textId="77777777" w:rsidR="00603108" w:rsidRPr="00AC1D20" w:rsidRDefault="00603108" w:rsidP="00603108">
      <w:pPr>
        <w:contextualSpacing/>
        <w:jc w:val="both"/>
        <w:rPr>
          <w:rFonts w:ascii="Times New Roman" w:eastAsia="Calibri" w:hAnsi="Times New Roman" w:cs="Times New Roman"/>
          <w:sz w:val="24"/>
          <w:szCs w:val="24"/>
        </w:rPr>
      </w:pPr>
    </w:p>
    <w:p w14:paraId="144AFCD1" w14:textId="77777777" w:rsidR="00603108" w:rsidRPr="00AC1D20" w:rsidRDefault="00603108" w:rsidP="00C66898">
      <w:pPr>
        <w:pStyle w:val="ListParagraph"/>
        <w:numPr>
          <w:ilvl w:val="0"/>
          <w:numId w:val="19"/>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раздел</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w:t>
      </w:r>
      <w:r>
        <w:rPr>
          <w:rFonts w:ascii="Times New Roman" w:eastAsia="Calibri" w:hAnsi="Times New Roman" w:cs="Times New Roman"/>
          <w:b/>
          <w:sz w:val="24"/>
          <w:szCs w:val="24"/>
        </w:rPr>
        <w:t>Дейности</w:t>
      </w:r>
      <w:r w:rsidRPr="00AC1D20">
        <w:rPr>
          <w:rFonts w:ascii="Times New Roman" w:eastAsia="Calibri" w:hAnsi="Times New Roman" w:cs="Times New Roman"/>
          <w:b/>
          <w:sz w:val="24"/>
          <w:szCs w:val="24"/>
        </w:rPr>
        <w:t>“</w:t>
      </w:r>
      <w:r w:rsidRPr="00AC1D20">
        <w:rPr>
          <w:rFonts w:ascii="Times New Roman" w:eastAsia="Calibri" w:hAnsi="Times New Roman" w:cs="Times New Roman"/>
          <w:sz w:val="24"/>
          <w:szCs w:val="24"/>
        </w:rPr>
        <w:t xml:space="preserve"> от Формуляра за кандидатстване</w:t>
      </w:r>
    </w:p>
    <w:p w14:paraId="1BD18FFB" w14:textId="77777777" w:rsidR="00603108" w:rsidRDefault="00603108" w:rsidP="00603108">
      <w:pPr>
        <w:spacing w:after="120" w:line="240" w:lineRule="auto"/>
        <w:ind w:firstLine="708"/>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Дейностите следва да набелязват цели, които са конкретни, измерими, постижими, актуални и планирани със срокове. Осъществяването на тези цели се проследява чрез посочените целеви стойности на индикаторите. </w:t>
      </w:r>
    </w:p>
    <w:p w14:paraId="518D5C0C" w14:textId="590DC6BC" w:rsidR="00603108" w:rsidRDefault="00EE4F3F" w:rsidP="00603108">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Всяка от д</w:t>
      </w:r>
      <w:r w:rsidRPr="00EE4F3F">
        <w:rPr>
          <w:rFonts w:ascii="Times New Roman" w:eastAsia="Calibri" w:hAnsi="Times New Roman" w:cs="Times New Roman"/>
          <w:sz w:val="24"/>
          <w:szCs w:val="24"/>
        </w:rPr>
        <w:t>ейности</w:t>
      </w:r>
      <w:r>
        <w:rPr>
          <w:rFonts w:ascii="Times New Roman" w:eastAsia="Calibri" w:hAnsi="Times New Roman" w:cs="Times New Roman"/>
          <w:sz w:val="24"/>
          <w:szCs w:val="24"/>
        </w:rPr>
        <w:t>те</w:t>
      </w:r>
      <w:r w:rsidRPr="00EE4F3F">
        <w:rPr>
          <w:rFonts w:ascii="Times New Roman" w:eastAsia="Calibri" w:hAnsi="Times New Roman" w:cs="Times New Roman"/>
          <w:sz w:val="24"/>
          <w:szCs w:val="24"/>
        </w:rPr>
        <w:t xml:space="preserve"> от секция „План за изпълнение / Дейности по проекта” </w:t>
      </w:r>
      <w:r>
        <w:rPr>
          <w:rFonts w:ascii="Times New Roman" w:eastAsia="Calibri" w:hAnsi="Times New Roman" w:cs="Times New Roman"/>
          <w:sz w:val="24"/>
          <w:szCs w:val="24"/>
        </w:rPr>
        <w:t>следва да е</w:t>
      </w:r>
      <w:r w:rsidRPr="00EE4F3F">
        <w:rPr>
          <w:rFonts w:ascii="Times New Roman" w:eastAsia="Calibri" w:hAnsi="Times New Roman" w:cs="Times New Roman"/>
          <w:sz w:val="24"/>
          <w:szCs w:val="24"/>
        </w:rPr>
        <w:t xml:space="preserve"> обвързана с бюджетен ред от секция „Бюджет”.</w:t>
      </w:r>
    </w:p>
    <w:p w14:paraId="371121F9" w14:textId="77777777" w:rsidR="00603108" w:rsidRDefault="00603108" w:rsidP="00603108">
      <w:pPr>
        <w:spacing w:after="120" w:line="240" w:lineRule="auto"/>
        <w:ind w:firstLine="708"/>
        <w:jc w:val="both"/>
        <w:rPr>
          <w:rFonts w:ascii="Times New Roman" w:eastAsia="Calibri" w:hAnsi="Times New Roman" w:cs="Times New Roman"/>
          <w:sz w:val="24"/>
          <w:szCs w:val="24"/>
        </w:rPr>
      </w:pPr>
      <w:r w:rsidRPr="00114A3E">
        <w:rPr>
          <w:rFonts w:ascii="Times New Roman" w:eastAsia="Calibri" w:hAnsi="Times New Roman" w:cs="Times New Roman"/>
          <w:sz w:val="24"/>
          <w:szCs w:val="24"/>
        </w:rPr>
        <w:t xml:space="preserve">Съгласно разпоредбата на чл. 56, ал. 2 от Закона за електронното управление (ЗЕУ), при провеждане на обществени поръчки за разработване, надграждане или внедряване на </w:t>
      </w:r>
      <w:r w:rsidRPr="00114A3E">
        <w:rPr>
          <w:rFonts w:ascii="Times New Roman" w:eastAsia="Calibri" w:hAnsi="Times New Roman" w:cs="Times New Roman"/>
          <w:sz w:val="24"/>
          <w:szCs w:val="24"/>
        </w:rPr>
        <w:lastRenderedPageBreak/>
        <w:t xml:space="preserve">информационни системи административните органи задължително включват като изискване тези системи да съответстват на изискванията за оперативна съвместимост и мрежова и информационна сигурност. </w:t>
      </w:r>
    </w:p>
    <w:p w14:paraId="275114F1" w14:textId="77777777" w:rsidR="00603108" w:rsidRDefault="00603108" w:rsidP="00603108">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При изготвяне на технически спецификации за провеждане на обществени поръчки за разработка, надграждане или внедряване на информационни системи или електронни услуги административните органи задължително включват в спецификациите изисквания</w:t>
      </w:r>
      <w:r>
        <w:rPr>
          <w:rFonts w:ascii="Times New Roman" w:eastAsia="Calibri" w:hAnsi="Times New Roman" w:cs="Times New Roman"/>
          <w:sz w:val="24"/>
          <w:szCs w:val="24"/>
        </w:rPr>
        <w:t xml:space="preserve"> по </w:t>
      </w:r>
      <w:r w:rsidRPr="009220CB">
        <w:rPr>
          <w:rFonts w:ascii="Times New Roman" w:eastAsia="Calibri" w:hAnsi="Times New Roman" w:cs="Times New Roman"/>
          <w:sz w:val="24"/>
          <w:szCs w:val="24"/>
        </w:rPr>
        <w:t>Чл. 58а.</w:t>
      </w:r>
      <w:r>
        <w:rPr>
          <w:rFonts w:ascii="Times New Roman" w:eastAsia="Calibri" w:hAnsi="Times New Roman" w:cs="Times New Roman"/>
          <w:sz w:val="24"/>
          <w:szCs w:val="24"/>
        </w:rPr>
        <w:t xml:space="preserve"> от </w:t>
      </w:r>
      <w:r w:rsidRPr="009220CB">
        <w:rPr>
          <w:rFonts w:ascii="Times New Roman" w:eastAsia="Calibri" w:hAnsi="Times New Roman" w:cs="Times New Roman"/>
          <w:sz w:val="24"/>
          <w:szCs w:val="24"/>
        </w:rPr>
        <w:t>Закон за електронното управление</w:t>
      </w:r>
      <w:r>
        <w:rPr>
          <w:rFonts w:ascii="Times New Roman" w:eastAsia="Calibri" w:hAnsi="Times New Roman" w:cs="Times New Roman"/>
          <w:sz w:val="24"/>
          <w:szCs w:val="24"/>
        </w:rPr>
        <w:t>.</w:t>
      </w:r>
    </w:p>
    <w:p w14:paraId="6C9D1FF7" w14:textId="48C7990A" w:rsidR="00603108" w:rsidRDefault="00603108" w:rsidP="00603108">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 xml:space="preserve">В случаите, когато прогнозната стойност на обществената поръчка е по-голяма или равна на стойността по прага по чл. 20, ал. 4, т. 2 от Закона за обществените поръчки, техническата спецификация е обект на контрол за съответствие по реда на чл. 58б от ЗЕУ. Разписаните правила в тази връзка са налични на следния електронен адрес: </w:t>
      </w:r>
      <w:hyperlink r:id="rId17" w:history="1">
        <w:r w:rsidRPr="00EF61A7">
          <w:rPr>
            <w:rStyle w:val="Hyperlink"/>
            <w:rFonts w:ascii="Times New Roman" w:eastAsia="Calibri" w:hAnsi="Times New Roman" w:cs="Times New Roman"/>
            <w:sz w:val="24"/>
            <w:szCs w:val="24"/>
          </w:rPr>
          <w:t>https://egov.government.bg/wps/portal/ministry-meu/home/budget-project-control/verification-compliance-technical-specifications</w:t>
        </w:r>
      </w:hyperlink>
      <w:r>
        <w:rPr>
          <w:rFonts w:ascii="Times New Roman" w:eastAsia="Calibri" w:hAnsi="Times New Roman" w:cs="Times New Roman"/>
          <w:sz w:val="24"/>
          <w:szCs w:val="24"/>
        </w:rPr>
        <w:t xml:space="preserve"> </w:t>
      </w:r>
    </w:p>
    <w:p w14:paraId="292EB7D5" w14:textId="6807F783" w:rsidR="00C9629D" w:rsidRPr="009220CB" w:rsidRDefault="00C9629D" w:rsidP="00C9629D">
      <w:pPr>
        <w:spacing w:after="120" w:line="240" w:lineRule="auto"/>
        <w:ind w:firstLine="708"/>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Планираните дейности по видимост, прозрачност и комуникация по проекта се изработват по образец и се изготвят и/или се съгласуват от комуникационен експерт (титуляр или заместник) на бенефициента, назначен със заповед преди подаването на   Формуляра за кандидатстване.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w:t>
      </w:r>
      <w:r>
        <w:rPr>
          <w:rFonts w:ascii="Times New Roman" w:eastAsia="Calibri" w:hAnsi="Times New Roman" w:cs="Times New Roman"/>
          <w:sz w:val="24"/>
          <w:szCs w:val="24"/>
        </w:rPr>
        <w:t xml:space="preserve"> </w:t>
      </w:r>
    </w:p>
    <w:p w14:paraId="2C46DEBD" w14:textId="77777777" w:rsidR="00C9629D" w:rsidRPr="009220CB" w:rsidRDefault="00C9629D" w:rsidP="00603108">
      <w:pPr>
        <w:spacing w:after="120" w:line="240" w:lineRule="auto"/>
        <w:ind w:firstLine="708"/>
        <w:jc w:val="both"/>
        <w:rPr>
          <w:rFonts w:ascii="Times New Roman" w:eastAsia="Calibri" w:hAnsi="Times New Roman" w:cs="Times New Roman"/>
          <w:sz w:val="24"/>
          <w:szCs w:val="24"/>
        </w:rPr>
      </w:pPr>
    </w:p>
    <w:p w14:paraId="62E02C55" w14:textId="77777777" w:rsidR="00603108" w:rsidRPr="00AC1D20" w:rsidRDefault="00603108" w:rsidP="00C66898">
      <w:pPr>
        <w:pStyle w:val="ListParagraph"/>
        <w:numPr>
          <w:ilvl w:val="0"/>
          <w:numId w:val="19"/>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„Екип“</w:t>
      </w:r>
      <w:r w:rsidRPr="00AC1D20">
        <w:rPr>
          <w:rFonts w:ascii="Times New Roman" w:eastAsia="Calibri" w:hAnsi="Times New Roman" w:cs="Times New Roman"/>
          <w:sz w:val="24"/>
          <w:szCs w:val="24"/>
        </w:rPr>
        <w:t xml:space="preserve"> от Формуляра за кандидатстване</w:t>
      </w:r>
    </w:p>
    <w:p w14:paraId="4D119E68" w14:textId="491DE9C6" w:rsidR="00603108" w:rsidRPr="00AC1D20" w:rsidRDefault="00603108" w:rsidP="00603108">
      <w:pPr>
        <w:spacing w:after="120" w:line="240" w:lineRule="auto"/>
        <w:ind w:firstLine="708"/>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съответно </w:t>
      </w:r>
      <w:proofErr w:type="spellStart"/>
      <w:r w:rsidRPr="00AC1D20">
        <w:rPr>
          <w:rFonts w:ascii="Times New Roman" w:eastAsia="Calibri" w:hAnsi="Times New Roman" w:cs="Times New Roman"/>
          <w:sz w:val="24"/>
          <w:szCs w:val="24"/>
        </w:rPr>
        <w:t>относимите</w:t>
      </w:r>
      <w:proofErr w:type="spellEnd"/>
      <w:r w:rsidRPr="00AC1D20">
        <w:rPr>
          <w:rFonts w:ascii="Times New Roman" w:eastAsia="Calibri" w:hAnsi="Times New Roman" w:cs="Times New Roman"/>
          <w:sz w:val="24"/>
          <w:szCs w:val="24"/>
        </w:rPr>
        <w:t xml:space="preserve"> към тях разходи, които са посочени във формуляра за кандидатстване. </w:t>
      </w:r>
      <w:r w:rsidR="008439A9">
        <w:rPr>
          <w:rFonts w:ascii="Times New Roman" w:eastAsia="Calibri" w:hAnsi="Times New Roman" w:cs="Times New Roman"/>
          <w:sz w:val="24"/>
          <w:szCs w:val="24"/>
        </w:rPr>
        <w:t xml:space="preserve">Не е допустимо да се дублират едни и същи преки задължения на членове от екипа. </w:t>
      </w:r>
    </w:p>
    <w:p w14:paraId="14231E4A" w14:textId="39252CC1" w:rsidR="00603108" w:rsidRPr="009D24F2" w:rsidRDefault="00C87C45" w:rsidP="009451BB">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Следва </w:t>
      </w:r>
      <w:r w:rsidR="00603108" w:rsidRPr="009D24F2">
        <w:rPr>
          <w:rFonts w:ascii="Times New Roman" w:eastAsia="Calibri" w:hAnsi="Times New Roman" w:cs="Times New Roman"/>
          <w:sz w:val="24"/>
          <w:szCs w:val="24"/>
        </w:rPr>
        <w:t xml:space="preserve">да се попълни информация относно членовете на екипа за организация, управление и/или изпълнение на проекта при съобразяване с </w:t>
      </w:r>
      <w:r>
        <w:rPr>
          <w:rFonts w:ascii="Times New Roman" w:eastAsia="Calibri" w:hAnsi="Times New Roman" w:cs="Times New Roman"/>
          <w:sz w:val="24"/>
          <w:szCs w:val="24"/>
        </w:rPr>
        <w:t xml:space="preserve">квалификацията, </w:t>
      </w:r>
      <w:r w:rsidR="00603108" w:rsidRPr="009D24F2">
        <w:rPr>
          <w:rFonts w:ascii="Times New Roman" w:eastAsia="Calibri" w:hAnsi="Times New Roman" w:cs="Times New Roman"/>
          <w:sz w:val="24"/>
          <w:szCs w:val="24"/>
        </w:rPr>
        <w:t>функциите и задълженията, определени за съответната позиция в екипа.</w:t>
      </w:r>
    </w:p>
    <w:p w14:paraId="6D7568C7" w14:textId="77777777" w:rsidR="009D24F2" w:rsidRPr="00AC1D20" w:rsidRDefault="009D24F2" w:rsidP="009D24F2">
      <w:pPr>
        <w:pStyle w:val="ListParagraph"/>
        <w:spacing w:after="120" w:line="240" w:lineRule="auto"/>
        <w:ind w:left="1440"/>
        <w:jc w:val="both"/>
        <w:rPr>
          <w:rFonts w:ascii="Times New Roman" w:eastAsia="Calibri" w:hAnsi="Times New Roman" w:cs="Times New Roman"/>
          <w:sz w:val="24"/>
          <w:szCs w:val="24"/>
        </w:rPr>
      </w:pPr>
    </w:p>
    <w:p w14:paraId="75D07BD9" w14:textId="1C65103B" w:rsidR="009D24F2" w:rsidRPr="009D24F2" w:rsidRDefault="009D24F2" w:rsidP="00C66898">
      <w:pPr>
        <w:pStyle w:val="ListParagraph"/>
        <w:numPr>
          <w:ilvl w:val="0"/>
          <w:numId w:val="19"/>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22089E">
        <w:rPr>
          <w:rFonts w:ascii="Times New Roman" w:eastAsia="Calibri" w:hAnsi="Times New Roman" w:cs="Times New Roman"/>
          <w:sz w:val="24"/>
          <w:szCs w:val="24"/>
        </w:rPr>
        <w:t>„</w:t>
      </w:r>
      <w:r w:rsidRPr="00F7220B">
        <w:rPr>
          <w:rFonts w:ascii="Times New Roman" w:eastAsia="Calibri" w:hAnsi="Times New Roman" w:cs="Times New Roman"/>
          <w:b/>
          <w:sz w:val="24"/>
          <w:szCs w:val="24"/>
        </w:rPr>
        <w:t>Индикатори</w:t>
      </w:r>
      <w:r w:rsidRPr="009D24F2">
        <w:rPr>
          <w:rFonts w:ascii="Times New Roman" w:eastAsia="Calibri" w:hAnsi="Times New Roman" w:cs="Times New Roman"/>
          <w:sz w:val="24"/>
          <w:szCs w:val="24"/>
        </w:rPr>
        <w:t xml:space="preserve">“ </w:t>
      </w:r>
    </w:p>
    <w:p w14:paraId="5A2C1B88" w14:textId="77777777" w:rsidR="009D24F2" w:rsidRPr="009D24F2" w:rsidRDefault="009D24F2" w:rsidP="009D24F2">
      <w:pPr>
        <w:spacing w:after="120" w:line="240" w:lineRule="auto"/>
        <w:jc w:val="both"/>
        <w:rPr>
          <w:rFonts w:ascii="Times New Roman" w:eastAsia="Calibri" w:hAnsi="Times New Roman" w:cs="Times New Roman"/>
          <w:sz w:val="24"/>
          <w:szCs w:val="24"/>
        </w:rPr>
      </w:pPr>
    </w:p>
    <w:p w14:paraId="6929193B" w14:textId="04217494" w:rsidR="009D24F2" w:rsidRPr="009D24F2" w:rsidRDefault="009D24F2" w:rsidP="009D24F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Индикаторите по настоящата процедура се избират от падащо меню в ИСУН 2020.</w:t>
      </w:r>
    </w:p>
    <w:p w14:paraId="6D874F62" w14:textId="51A02CAF" w:rsidR="009D24F2" w:rsidRPr="009D24F2" w:rsidRDefault="009D24F2" w:rsidP="009D24F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Добавянето на индикатори към предложението за изпълнение на инвестиция се извършва от бутона „Добави“. От падащото меню „Наименование“ се избира индикатор, който е </w:t>
      </w:r>
      <w:proofErr w:type="spellStart"/>
      <w:r w:rsidRPr="009D24F2">
        <w:rPr>
          <w:rFonts w:ascii="Times New Roman" w:eastAsia="Calibri" w:hAnsi="Times New Roman" w:cs="Times New Roman"/>
          <w:sz w:val="24"/>
          <w:szCs w:val="24"/>
        </w:rPr>
        <w:t>съотносим</w:t>
      </w:r>
      <w:proofErr w:type="spellEnd"/>
      <w:r w:rsidRPr="009D24F2">
        <w:rPr>
          <w:rFonts w:ascii="Times New Roman" w:eastAsia="Calibri" w:hAnsi="Times New Roman" w:cs="Times New Roman"/>
          <w:sz w:val="24"/>
          <w:szCs w:val="24"/>
        </w:rPr>
        <w:t xml:space="preserve"> към дейностите по проекта, като задължителна за всяка дейност е заложен поне един индикатор. В случай, че изпълнението на проекта има принос към програмен индикатор, той следва да бъде задължително попълнен от кандидата.  Кандидатът следва да попълни задължително секциите: „Целева стойност общо“ и „Източник на информация“. В полето Целева стойност следва да заложите стойността, която се планира да бъде достигната с изпълнението на инвестицията. В полето „Източник на информация“ се дават подробности относно формиране на базовата/ целевата стойност, съответствие към дейност от проекта и друга значима информация.</w:t>
      </w:r>
    </w:p>
    <w:p w14:paraId="3B38A175" w14:textId="77777777" w:rsidR="009D24F2" w:rsidRDefault="009D24F2" w:rsidP="0022089E">
      <w:pPr>
        <w:pStyle w:val="ListParagraph"/>
        <w:spacing w:after="120" w:line="240" w:lineRule="auto"/>
        <w:ind w:left="1440"/>
        <w:jc w:val="both"/>
        <w:rPr>
          <w:rFonts w:ascii="Times New Roman" w:eastAsia="Calibri" w:hAnsi="Times New Roman" w:cs="Times New Roman"/>
          <w:b/>
          <w:sz w:val="24"/>
          <w:szCs w:val="24"/>
        </w:rPr>
      </w:pPr>
    </w:p>
    <w:p w14:paraId="63AFD927" w14:textId="0475F88C" w:rsidR="004A635D" w:rsidRPr="00F7220B" w:rsidRDefault="00F7220B" w:rsidP="004A635D">
      <w:pPr>
        <w:pStyle w:val="ListParagraph"/>
        <w:numPr>
          <w:ilvl w:val="0"/>
          <w:numId w:val="19"/>
        </w:numPr>
        <w:spacing w:after="120" w:line="240" w:lineRule="auto"/>
        <w:rPr>
          <w:rFonts w:ascii="Times New Roman" w:eastAsia="Calibri" w:hAnsi="Times New Roman" w:cs="Times New Roman"/>
          <w:b/>
          <w:sz w:val="24"/>
          <w:szCs w:val="24"/>
        </w:rPr>
      </w:pPr>
      <w:r w:rsidRPr="00F7220B">
        <w:rPr>
          <w:rFonts w:ascii="Times New Roman" w:eastAsia="Calibri" w:hAnsi="Times New Roman" w:cs="Times New Roman"/>
          <w:sz w:val="24"/>
          <w:szCs w:val="24"/>
        </w:rPr>
        <w:t xml:space="preserve">В </w:t>
      </w:r>
      <w:r w:rsidR="004A635D" w:rsidRPr="00F7220B">
        <w:rPr>
          <w:rFonts w:ascii="Times New Roman" w:eastAsia="Calibri" w:hAnsi="Times New Roman" w:cs="Times New Roman"/>
          <w:sz w:val="24"/>
          <w:szCs w:val="24"/>
        </w:rPr>
        <w:t>Раздел</w:t>
      </w:r>
      <w:r w:rsidR="004A635D" w:rsidRPr="00F7220B">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rPr>
        <w:t xml:space="preserve"> „</w:t>
      </w:r>
      <w:r w:rsidR="004A635D" w:rsidRPr="00F7220B">
        <w:rPr>
          <w:rFonts w:ascii="Times New Roman" w:eastAsia="Calibri" w:hAnsi="Times New Roman" w:cs="Times New Roman"/>
          <w:b/>
          <w:sz w:val="24"/>
          <w:szCs w:val="24"/>
        </w:rPr>
        <w:t>План за външно възлагане</w:t>
      </w:r>
      <w:r>
        <w:rPr>
          <w:rFonts w:ascii="Times New Roman" w:eastAsia="Calibri" w:hAnsi="Times New Roman" w:cs="Times New Roman"/>
          <w:b/>
          <w:sz w:val="24"/>
          <w:szCs w:val="24"/>
        </w:rPr>
        <w:t>“</w:t>
      </w:r>
    </w:p>
    <w:p w14:paraId="10C2A316" w14:textId="77777777" w:rsidR="000347C2" w:rsidRPr="004A635D" w:rsidRDefault="000347C2" w:rsidP="000347C2">
      <w:pPr>
        <w:pStyle w:val="ListParagraph"/>
        <w:spacing w:after="120" w:line="240" w:lineRule="auto"/>
        <w:ind w:left="1440"/>
        <w:rPr>
          <w:rFonts w:ascii="Times New Roman" w:eastAsia="Calibri" w:hAnsi="Times New Roman" w:cs="Times New Roman"/>
          <w:b/>
          <w:sz w:val="24"/>
          <w:szCs w:val="24"/>
          <w:u w:val="single"/>
        </w:rPr>
      </w:pPr>
    </w:p>
    <w:p w14:paraId="1D087FDA" w14:textId="2984DFE1" w:rsidR="004A635D" w:rsidRDefault="004A635D" w:rsidP="004A635D">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поръчки, които са обявени</w:t>
      </w:r>
      <w:r>
        <w:rPr>
          <w:rFonts w:ascii="Times New Roman" w:eastAsia="Calibri" w:hAnsi="Times New Roman" w:cs="Times New Roman"/>
          <w:sz w:val="24"/>
          <w:szCs w:val="24"/>
        </w:rPr>
        <w:t xml:space="preserve"> преди</w:t>
      </w:r>
      <w:r w:rsidRPr="004A635D">
        <w:rPr>
          <w:rFonts w:ascii="Times New Roman" w:eastAsia="Calibri" w:hAnsi="Times New Roman" w:cs="Times New Roman"/>
          <w:sz w:val="24"/>
          <w:szCs w:val="24"/>
        </w:rPr>
        <w:t xml:space="preserve"> датата на кандидатстване се посочва</w:t>
      </w:r>
      <w:r w:rsidR="00B24A32">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sidR="00B24A32">
        <w:rPr>
          <w:rFonts w:ascii="Times New Roman" w:eastAsia="Calibri" w:hAnsi="Times New Roman" w:cs="Times New Roman"/>
          <w:sz w:val="24"/>
          <w:szCs w:val="24"/>
        </w:rPr>
        <w:t xml:space="preserve">данните от </w:t>
      </w:r>
      <w:r w:rsidRPr="004A635D">
        <w:rPr>
          <w:rFonts w:ascii="Times New Roman" w:eastAsia="Calibri" w:hAnsi="Times New Roman" w:cs="Times New Roman"/>
          <w:sz w:val="24"/>
          <w:szCs w:val="24"/>
        </w:rPr>
        <w:t>обява</w:t>
      </w:r>
      <w:r w:rsidR="00B24A32">
        <w:rPr>
          <w:rFonts w:ascii="Times New Roman" w:eastAsia="Calibri" w:hAnsi="Times New Roman" w:cs="Times New Roman"/>
          <w:sz w:val="24"/>
          <w:szCs w:val="24"/>
        </w:rPr>
        <w:t>та</w:t>
      </w:r>
      <w:r w:rsidRPr="004A635D">
        <w:rPr>
          <w:rFonts w:ascii="Times New Roman" w:eastAsia="Calibri" w:hAnsi="Times New Roman" w:cs="Times New Roman"/>
          <w:sz w:val="24"/>
          <w:szCs w:val="24"/>
        </w:rPr>
        <w:t xml:space="preserve">, като се </w:t>
      </w:r>
      <w:r w:rsidR="00B24A32">
        <w:rPr>
          <w:rFonts w:ascii="Times New Roman" w:eastAsia="Calibri" w:hAnsi="Times New Roman" w:cs="Times New Roman"/>
          <w:sz w:val="24"/>
          <w:szCs w:val="24"/>
        </w:rPr>
        <w:t>посочва</w:t>
      </w:r>
      <w:r>
        <w:rPr>
          <w:rFonts w:ascii="Times New Roman" w:eastAsia="Calibri" w:hAnsi="Times New Roman" w:cs="Times New Roman"/>
          <w:sz w:val="24"/>
          <w:szCs w:val="24"/>
        </w:rPr>
        <w:t xml:space="preserve"> </w:t>
      </w:r>
      <w:r w:rsidR="00B24A32">
        <w:rPr>
          <w:rFonts w:ascii="Times New Roman" w:eastAsia="Calibri" w:hAnsi="Times New Roman" w:cs="Times New Roman"/>
          <w:sz w:val="24"/>
          <w:szCs w:val="24"/>
        </w:rPr>
        <w:t>уникалния</w:t>
      </w:r>
      <w:r w:rsidR="00B24A32" w:rsidRPr="00B24A32">
        <w:rPr>
          <w:rFonts w:ascii="Times New Roman" w:eastAsia="Calibri" w:hAnsi="Times New Roman" w:cs="Times New Roman"/>
          <w:sz w:val="24"/>
          <w:szCs w:val="24"/>
        </w:rPr>
        <w:t xml:space="preserve"> номер на поръчката</w:t>
      </w:r>
      <w:r w:rsidR="00B24A3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w:t>
      </w:r>
      <w:r w:rsidRPr="004A635D">
        <w:rPr>
          <w:rFonts w:ascii="Times New Roman" w:eastAsia="Calibri" w:hAnsi="Times New Roman" w:cs="Times New Roman"/>
          <w:sz w:val="24"/>
          <w:szCs w:val="24"/>
        </w:rPr>
        <w:t>ЦАИС ЕОП</w:t>
      </w:r>
      <w:r w:rsidR="00B24A32">
        <w:rPr>
          <w:rFonts w:ascii="Times New Roman" w:eastAsia="Calibri" w:hAnsi="Times New Roman" w:cs="Times New Roman"/>
          <w:sz w:val="24"/>
          <w:szCs w:val="24"/>
        </w:rPr>
        <w:t>, включително електронен адрес при пазарни консултации</w:t>
      </w:r>
      <w:r w:rsidRPr="004A635D">
        <w:rPr>
          <w:rFonts w:ascii="Times New Roman" w:eastAsia="Calibri" w:hAnsi="Times New Roman" w:cs="Times New Roman"/>
          <w:sz w:val="24"/>
          <w:szCs w:val="24"/>
        </w:rPr>
        <w:t>.</w:t>
      </w:r>
      <w:r w:rsidR="00B24A32">
        <w:rPr>
          <w:rFonts w:ascii="Times New Roman" w:eastAsia="Calibri" w:hAnsi="Times New Roman" w:cs="Times New Roman"/>
          <w:sz w:val="24"/>
          <w:szCs w:val="24"/>
        </w:rPr>
        <w:t xml:space="preserve"> Когато е приложимо се представя информация за </w:t>
      </w:r>
      <w:r w:rsidR="00B24A32" w:rsidRPr="00B24A32">
        <w:rPr>
          <w:rFonts w:ascii="Times New Roman" w:eastAsia="Calibri" w:hAnsi="Times New Roman" w:cs="Times New Roman"/>
          <w:sz w:val="24"/>
          <w:szCs w:val="24"/>
        </w:rPr>
        <w:t xml:space="preserve">публикуване </w:t>
      </w:r>
      <w:r w:rsidR="00B24A32">
        <w:rPr>
          <w:rFonts w:ascii="Times New Roman" w:eastAsia="Calibri" w:hAnsi="Times New Roman" w:cs="Times New Roman"/>
          <w:sz w:val="24"/>
          <w:szCs w:val="24"/>
        </w:rPr>
        <w:t>на обявления в „</w:t>
      </w:r>
      <w:hyperlink r:id="rId18" w:history="1">
        <w:r w:rsidR="00B24A32" w:rsidRPr="00B24A32">
          <w:rPr>
            <w:rStyle w:val="Hyperlink"/>
            <w:rFonts w:ascii="Times New Roman" w:eastAsia="Calibri" w:hAnsi="Times New Roman" w:cs="Times New Roman"/>
            <w:sz w:val="24"/>
            <w:szCs w:val="24"/>
          </w:rPr>
          <w:t>Официален вестник</w:t>
        </w:r>
      </w:hyperlink>
      <w:r w:rsidR="00B24A32">
        <w:rPr>
          <w:rFonts w:ascii="Times New Roman" w:eastAsia="Calibri" w:hAnsi="Times New Roman" w:cs="Times New Roman"/>
          <w:sz w:val="24"/>
          <w:szCs w:val="24"/>
        </w:rPr>
        <w:t>“</w:t>
      </w:r>
      <w:r w:rsidR="00B24A32" w:rsidRPr="00B24A32">
        <w:rPr>
          <w:rFonts w:ascii="Times New Roman" w:eastAsia="Calibri" w:hAnsi="Times New Roman" w:cs="Times New Roman"/>
          <w:sz w:val="24"/>
          <w:szCs w:val="24"/>
        </w:rPr>
        <w:t xml:space="preserve"> на Европейския съюз</w:t>
      </w:r>
      <w:r w:rsidR="00B24A32">
        <w:rPr>
          <w:rFonts w:ascii="Times New Roman" w:eastAsia="Calibri" w:hAnsi="Times New Roman" w:cs="Times New Roman"/>
          <w:sz w:val="24"/>
          <w:szCs w:val="24"/>
        </w:rPr>
        <w:t>.</w:t>
      </w:r>
    </w:p>
    <w:p w14:paraId="6395B586" w14:textId="7B8472EC" w:rsidR="004A635D" w:rsidRPr="004A635D" w:rsidRDefault="004A635D" w:rsidP="004A635D">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 xml:space="preserve">поръчки, които са </w:t>
      </w:r>
      <w:r>
        <w:rPr>
          <w:rFonts w:ascii="Times New Roman" w:eastAsia="Calibri" w:hAnsi="Times New Roman" w:cs="Times New Roman"/>
          <w:sz w:val="24"/>
          <w:szCs w:val="24"/>
        </w:rPr>
        <w:t>планирани и ще бъдат обявени след</w:t>
      </w:r>
      <w:r w:rsidRPr="004A635D">
        <w:rPr>
          <w:rFonts w:ascii="Times New Roman" w:eastAsia="Calibri" w:hAnsi="Times New Roman" w:cs="Times New Roman"/>
          <w:sz w:val="24"/>
          <w:szCs w:val="24"/>
        </w:rPr>
        <w:t xml:space="preserve"> датата на кандидатстване се посочва</w:t>
      </w:r>
      <w:r w:rsidR="00607716">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sidR="00607716">
        <w:rPr>
          <w:rFonts w:ascii="Times New Roman" w:eastAsia="Calibri" w:hAnsi="Times New Roman" w:cs="Times New Roman"/>
          <w:sz w:val="24"/>
          <w:szCs w:val="24"/>
        </w:rPr>
        <w:t>прогнозни</w:t>
      </w:r>
      <w:r>
        <w:rPr>
          <w:rFonts w:ascii="Times New Roman" w:eastAsia="Calibri" w:hAnsi="Times New Roman" w:cs="Times New Roman"/>
          <w:sz w:val="24"/>
          <w:szCs w:val="24"/>
        </w:rPr>
        <w:t xml:space="preserve"> </w:t>
      </w:r>
      <w:r w:rsidR="00607716">
        <w:rPr>
          <w:rFonts w:ascii="Times New Roman" w:eastAsia="Calibri" w:hAnsi="Times New Roman" w:cs="Times New Roman"/>
          <w:sz w:val="24"/>
          <w:szCs w:val="24"/>
        </w:rPr>
        <w:t>данни</w:t>
      </w:r>
      <w:r w:rsidRPr="004A635D">
        <w:rPr>
          <w:rFonts w:ascii="Times New Roman" w:eastAsia="Calibri" w:hAnsi="Times New Roman" w:cs="Times New Roman"/>
          <w:sz w:val="24"/>
          <w:szCs w:val="24"/>
        </w:rPr>
        <w:t>.</w:t>
      </w:r>
    </w:p>
    <w:p w14:paraId="4743700F" w14:textId="77777777" w:rsidR="004A635D" w:rsidRPr="004A635D" w:rsidRDefault="004A635D" w:rsidP="004A635D">
      <w:pPr>
        <w:pStyle w:val="ListParagraph"/>
        <w:spacing w:after="120" w:line="240" w:lineRule="auto"/>
        <w:ind w:left="1440"/>
        <w:jc w:val="both"/>
        <w:rPr>
          <w:rFonts w:ascii="Times New Roman" w:eastAsia="Calibri" w:hAnsi="Times New Roman" w:cs="Times New Roman"/>
          <w:sz w:val="24"/>
          <w:szCs w:val="24"/>
        </w:rPr>
      </w:pPr>
    </w:p>
    <w:p w14:paraId="4766F096" w14:textId="77777777" w:rsidR="004A635D" w:rsidRDefault="004A635D" w:rsidP="004A635D">
      <w:pPr>
        <w:pStyle w:val="ListParagraph"/>
        <w:spacing w:after="120" w:line="240" w:lineRule="auto"/>
        <w:ind w:left="1440"/>
        <w:jc w:val="both"/>
        <w:rPr>
          <w:rFonts w:ascii="Times New Roman" w:eastAsia="Calibri" w:hAnsi="Times New Roman" w:cs="Times New Roman"/>
          <w:b/>
          <w:sz w:val="24"/>
          <w:szCs w:val="24"/>
        </w:rPr>
      </w:pPr>
    </w:p>
    <w:p w14:paraId="28C4CDDE" w14:textId="31044ADD" w:rsidR="00240BDB" w:rsidRPr="00240BDB" w:rsidRDefault="00240BDB" w:rsidP="004A635D">
      <w:pPr>
        <w:pStyle w:val="ListParagraph"/>
        <w:numPr>
          <w:ilvl w:val="0"/>
          <w:numId w:val="19"/>
        </w:numPr>
        <w:spacing w:after="120" w:line="240" w:lineRule="auto"/>
        <w:jc w:val="both"/>
        <w:rPr>
          <w:rFonts w:ascii="Times New Roman" w:eastAsia="Calibri" w:hAnsi="Times New Roman" w:cs="Times New Roman"/>
          <w:b/>
          <w:sz w:val="24"/>
          <w:szCs w:val="24"/>
        </w:rPr>
      </w:pPr>
      <w:r w:rsidRPr="00F7220B">
        <w:rPr>
          <w:rFonts w:ascii="Times New Roman" w:eastAsia="Calibri" w:hAnsi="Times New Roman" w:cs="Times New Roman"/>
          <w:sz w:val="24"/>
          <w:szCs w:val="24"/>
        </w:rPr>
        <w:t>В раздел</w:t>
      </w:r>
      <w:r w:rsidRPr="00240BDB">
        <w:rPr>
          <w:rFonts w:ascii="Times New Roman" w:eastAsia="Calibri" w:hAnsi="Times New Roman" w:cs="Times New Roman"/>
          <w:b/>
          <w:sz w:val="24"/>
          <w:szCs w:val="24"/>
        </w:rPr>
        <w:t xml:space="preserve"> „Допълнителна информация, необходима за оценка на проектното предложение“</w:t>
      </w:r>
    </w:p>
    <w:p w14:paraId="0F1E96E2" w14:textId="77777777" w:rsidR="00240BDB" w:rsidRDefault="00240BDB" w:rsidP="00603108">
      <w:pPr>
        <w:spacing w:after="120" w:line="240" w:lineRule="auto"/>
        <w:ind w:firstLine="708"/>
        <w:jc w:val="both"/>
        <w:rPr>
          <w:rFonts w:ascii="Times New Roman" w:eastAsia="Calibri" w:hAnsi="Times New Roman" w:cs="Times New Roman"/>
          <w:sz w:val="24"/>
          <w:szCs w:val="24"/>
        </w:rPr>
      </w:pPr>
    </w:p>
    <w:p w14:paraId="381E937A" w14:textId="72B5DBD5" w:rsidR="005357AF" w:rsidRPr="007A0B0A" w:rsidRDefault="005357AF" w:rsidP="005357AF">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w:t>
      </w:r>
      <w:r w:rsidR="00F7220B">
        <w:rPr>
          <w:rFonts w:ascii="Times New Roman" w:eastAsia="Calibri" w:hAnsi="Times New Roman" w:cs="Times New Roman"/>
          <w:sz w:val="24"/>
          <w:szCs w:val="24"/>
        </w:rPr>
        <w:t>дидатът следва да аргументира в:</w:t>
      </w:r>
    </w:p>
    <w:p w14:paraId="080C8737" w14:textId="77777777" w:rsidR="005357AF" w:rsidRPr="00BA5A21" w:rsidRDefault="005357AF" w:rsidP="005357AF">
      <w:pPr>
        <w:pStyle w:val="ListParagraph"/>
        <w:numPr>
          <w:ilvl w:val="0"/>
          <w:numId w:val="21"/>
        </w:numPr>
        <w:jc w:val="both"/>
        <w:rPr>
          <w:rFonts w:ascii="Times New Roman" w:eastAsia="Calibri" w:hAnsi="Times New Roman" w:cs="Times New Roman"/>
          <w:i/>
          <w:sz w:val="24"/>
          <w:szCs w:val="24"/>
        </w:rPr>
      </w:pPr>
      <w:r w:rsidRPr="007A0B0A">
        <w:rPr>
          <w:rFonts w:ascii="Times New Roman" w:eastAsia="Calibri" w:hAnsi="Times New Roman" w:cs="Times New Roman"/>
          <w:sz w:val="24"/>
          <w:szCs w:val="24"/>
        </w:rPr>
        <w:t xml:space="preserve">поле </w:t>
      </w:r>
      <w:r w:rsidRPr="00BA5A21">
        <w:rPr>
          <w:rFonts w:ascii="Times New Roman" w:eastAsia="Calibri" w:hAnsi="Times New Roman" w:cs="Times New Roman"/>
          <w:b/>
          <w:sz w:val="24"/>
          <w:szCs w:val="24"/>
        </w:rPr>
        <w:t>„Принос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7A0B0A">
        <w:rPr>
          <w:rFonts w:ascii="Times New Roman" w:eastAsia="Calibri" w:hAnsi="Times New Roman" w:cs="Times New Roman"/>
          <w:sz w:val="24"/>
          <w:szCs w:val="24"/>
        </w:rPr>
        <w:t xml:space="preserve">, </w:t>
      </w:r>
      <w:r w:rsidRPr="00BA5A21">
        <w:rPr>
          <w:rFonts w:ascii="Times New Roman" w:eastAsia="Calibri" w:hAnsi="Times New Roman" w:cs="Times New Roman"/>
          <w:i/>
          <w:sz w:val="24"/>
          <w:szCs w:val="24"/>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63ABFEED" w14:textId="3E8A1D93" w:rsidR="005357AF" w:rsidRPr="00BA5A21" w:rsidRDefault="005357AF" w:rsidP="005357AF">
      <w:pPr>
        <w:pStyle w:val="ListParagraph"/>
        <w:numPr>
          <w:ilvl w:val="0"/>
          <w:numId w:val="21"/>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BA5A21">
        <w:rPr>
          <w:rFonts w:ascii="Times New Roman" w:eastAsia="Calibri" w:hAnsi="Times New Roman" w:cs="Times New Roman"/>
          <w:b/>
          <w:sz w:val="24"/>
          <w:szCs w:val="24"/>
        </w:rPr>
        <w:t>„</w:t>
      </w:r>
      <w:r w:rsidRPr="00BA5A21">
        <w:rPr>
          <w:rFonts w:ascii="Times New Roman" w:eastAsia="Times New Roman" w:hAnsi="Times New Roman" w:cs="Times New Roman"/>
          <w:b/>
          <w:bCs/>
          <w:color w:val="000000"/>
          <w:sz w:val="24"/>
          <w:szCs w:val="24"/>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r w:rsidR="00F7220B">
        <w:rPr>
          <w:rFonts w:ascii="Times New Roman" w:eastAsia="Times New Roman" w:hAnsi="Times New Roman" w:cs="Times New Roman"/>
          <w:b/>
          <w:bCs/>
          <w:color w:val="000000"/>
          <w:sz w:val="24"/>
          <w:szCs w:val="24"/>
        </w:rPr>
        <w:t>:</w:t>
      </w:r>
    </w:p>
    <w:p w14:paraId="181A88F0" w14:textId="410813D4" w:rsidR="005357AF" w:rsidRDefault="005357AF" w:rsidP="005357AF">
      <w:pPr>
        <w:pStyle w:val="ListParagraph"/>
        <w:ind w:left="1287"/>
        <w:jc w:val="both"/>
        <w:rPr>
          <w:rFonts w:ascii="Times New Roman" w:eastAsia="Calibri" w:hAnsi="Times New Roman" w:cs="Times New Roman"/>
          <w:sz w:val="24"/>
          <w:szCs w:val="24"/>
        </w:rPr>
      </w:pPr>
    </w:p>
    <w:p w14:paraId="7CE802AF" w14:textId="1E82E485" w:rsidR="00BA5A21" w:rsidRDefault="005357AF" w:rsidP="005357AF">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14:paraId="5A0FAF1D" w14:textId="77777777" w:rsidR="00BA5A21" w:rsidRDefault="00BA5A21" w:rsidP="005357AF">
      <w:pPr>
        <w:shd w:val="clear" w:color="auto" w:fill="FFFFFF"/>
        <w:spacing w:before="120" w:after="0" w:line="240" w:lineRule="auto"/>
        <w:jc w:val="both"/>
        <w:rPr>
          <w:rFonts w:ascii="Times New Roman" w:eastAsia="Times New Roman" w:hAnsi="Times New Roman" w:cs="Times New Roman"/>
          <w:color w:val="000000"/>
          <w:sz w:val="24"/>
          <w:szCs w:val="24"/>
        </w:rPr>
      </w:pPr>
    </w:p>
    <w:p w14:paraId="4BCCBAA1" w14:textId="1E858920" w:rsidR="005357AF" w:rsidRPr="007A0B0A" w:rsidRDefault="005357AF" w:rsidP="005357AF">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Times New Roman" w:eastAsia="Times New Roman" w:hAnsi="Times New Roman" w:cs="Times New Roman"/>
          <w:color w:val="000000"/>
          <w:sz w:val="24"/>
          <w:szCs w:val="24"/>
        </w:rPr>
        <w:t> </w:t>
      </w:r>
      <w:r w:rsidRPr="007A0B0A">
        <w:rPr>
          <w:rFonts w:ascii="inherit" w:eastAsia="Times New Roman" w:hAnsi="inherit" w:cs="Times New Roman"/>
          <w:i/>
          <w:iCs/>
          <w:color w:val="000000"/>
          <w:sz w:val="24"/>
          <w:szCs w:val="24"/>
        </w:rPr>
        <w:t xml:space="preserve">Юридически капацитет (като минимална информация, посочете правния статут на </w:t>
      </w:r>
      <w:proofErr w:type="spellStart"/>
      <w:r w:rsidRPr="007A0B0A">
        <w:rPr>
          <w:rFonts w:ascii="inherit" w:eastAsia="Times New Roman" w:hAnsi="inherit" w:cs="Times New Roman"/>
          <w:i/>
          <w:iCs/>
          <w:color w:val="000000"/>
          <w:sz w:val="24"/>
          <w:szCs w:val="24"/>
        </w:rPr>
        <w:t>бенефициера</w:t>
      </w:r>
      <w:proofErr w:type="spellEnd"/>
      <w:r w:rsidRPr="007A0B0A">
        <w:rPr>
          <w:rFonts w:ascii="inherit" w:eastAsia="Times New Roman" w:hAnsi="inherit" w:cs="Times New Roman"/>
          <w:i/>
          <w:iCs/>
          <w:color w:val="000000"/>
          <w:sz w:val="24"/>
          <w:szCs w:val="24"/>
        </w:rPr>
        <w:t>, който позволява да се изпълни проектът, както и способността му да предприеме правни действия, ако е необходимо).</w:t>
      </w:r>
    </w:p>
    <w:p w14:paraId="0820A2CF" w14:textId="5100A00D" w:rsidR="005357AF" w:rsidRPr="007A0B0A" w:rsidRDefault="005357AF" w:rsidP="005357AF">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14:paraId="67129D63" w14:textId="2008F4E2" w:rsidR="005357AF" w:rsidRPr="007A0B0A" w:rsidRDefault="005357AF" w:rsidP="005357AF">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14:paraId="6DED7345" w14:textId="77777777" w:rsidR="005357AF" w:rsidRPr="005357AF" w:rsidRDefault="005357AF" w:rsidP="005357AF">
      <w:pPr>
        <w:pStyle w:val="ListParagraph"/>
        <w:ind w:left="1287"/>
        <w:jc w:val="both"/>
        <w:rPr>
          <w:rFonts w:ascii="Times New Roman" w:eastAsia="Times New Roman" w:hAnsi="Times New Roman" w:cs="Times New Roman"/>
          <w:b/>
          <w:bCs/>
          <w:color w:val="000000"/>
          <w:sz w:val="24"/>
          <w:szCs w:val="24"/>
        </w:rPr>
      </w:pPr>
    </w:p>
    <w:p w14:paraId="5860991E" w14:textId="0F0F10DA" w:rsidR="003B0C0E" w:rsidRPr="00BA5A21" w:rsidRDefault="00240BDB" w:rsidP="005357AF">
      <w:pPr>
        <w:pStyle w:val="ListParagraph"/>
        <w:numPr>
          <w:ilvl w:val="0"/>
          <w:numId w:val="21"/>
        </w:numPr>
        <w:jc w:val="both"/>
        <w:rPr>
          <w:rFonts w:ascii="Times New Roman" w:eastAsia="Times New Roman" w:hAnsi="Times New Roman" w:cs="Times New Roman"/>
          <w:b/>
          <w:bCs/>
          <w:color w:val="000000"/>
          <w:sz w:val="24"/>
          <w:szCs w:val="24"/>
        </w:rPr>
      </w:pPr>
      <w:r w:rsidRPr="00BA5A21">
        <w:rPr>
          <w:rFonts w:ascii="Times New Roman" w:eastAsia="Calibri" w:hAnsi="Times New Roman" w:cs="Times New Roman"/>
          <w:sz w:val="24"/>
          <w:szCs w:val="24"/>
        </w:rPr>
        <w:lastRenderedPageBreak/>
        <w:t>поле</w:t>
      </w:r>
      <w:r w:rsidRPr="005357AF">
        <w:rPr>
          <w:rFonts w:ascii="Times New Roman" w:eastAsia="Calibri" w:hAnsi="Times New Roman" w:cs="Times New Roman"/>
          <w:i/>
          <w:sz w:val="24"/>
          <w:szCs w:val="24"/>
        </w:rPr>
        <w:t xml:space="preserve"> </w:t>
      </w:r>
      <w:r w:rsidRPr="00BA5A21">
        <w:rPr>
          <w:rFonts w:ascii="Times New Roman" w:eastAsia="Calibri" w:hAnsi="Times New Roman" w:cs="Times New Roman"/>
          <w:b/>
          <w:sz w:val="24"/>
          <w:szCs w:val="24"/>
        </w:rPr>
        <w:t>„Принос на проектното предложение за целите и приоритетите на националната и общоевропейска политика”</w:t>
      </w:r>
    </w:p>
    <w:p w14:paraId="6A55B21C" w14:textId="1450B8A8" w:rsidR="003B0C0E" w:rsidRPr="00BA5A21" w:rsidRDefault="00240BDB" w:rsidP="00603108">
      <w:pPr>
        <w:spacing w:after="120" w:line="240" w:lineRule="auto"/>
        <w:ind w:firstLine="708"/>
        <w:jc w:val="both"/>
        <w:rPr>
          <w:rFonts w:ascii="Times New Roman" w:eastAsia="Calibri" w:hAnsi="Times New Roman" w:cs="Times New Roman"/>
          <w:i/>
          <w:sz w:val="24"/>
          <w:szCs w:val="24"/>
        </w:rPr>
      </w:pPr>
      <w:r w:rsidRPr="00BA5A21">
        <w:rPr>
          <w:rFonts w:ascii="Times New Roman" w:eastAsia="Calibri" w:hAnsi="Times New Roman" w:cs="Times New Roman"/>
          <w:i/>
          <w:sz w:val="24"/>
          <w:szCs w:val="24"/>
        </w:rPr>
        <w:t xml:space="preserve">Описанието на проекта трябва да показва свързаност и съгласуваност на проекта с целите и приоритетите на националната и общоевропейска политика за програмния период 2021-2027 г.: Споразумение за партньорство на Република България, очертаващо помощта на Европейските фондове при споделено управление, (ЕФСУ) за периода 2021-2027 г.; Регламент (ЕС) № 1315/2013 на Европейския парламент и на Съвета от 11 декември 2013 година относно насоките на Съюза за развитието на </w:t>
      </w:r>
      <w:proofErr w:type="spellStart"/>
      <w:r w:rsidRPr="00BA5A21">
        <w:rPr>
          <w:rFonts w:ascii="Times New Roman" w:eastAsia="Calibri" w:hAnsi="Times New Roman" w:cs="Times New Roman"/>
          <w:i/>
          <w:sz w:val="24"/>
          <w:szCs w:val="24"/>
        </w:rPr>
        <w:t>трансевропейската</w:t>
      </w:r>
      <w:proofErr w:type="spellEnd"/>
      <w:r w:rsidRPr="00BA5A21">
        <w:rPr>
          <w:rFonts w:ascii="Times New Roman" w:eastAsia="Calibri" w:hAnsi="Times New Roman" w:cs="Times New Roman"/>
          <w:i/>
          <w:sz w:val="24"/>
          <w:szCs w:val="24"/>
        </w:rPr>
        <w:t xml:space="preserve"> транспортна мрежа;  Дунавска стратегия; Интегрирана транспортна стратегия в периода до 2030 г., Актуализиран </w:t>
      </w:r>
      <w:proofErr w:type="spellStart"/>
      <w:r w:rsidRPr="00BA5A21">
        <w:rPr>
          <w:rFonts w:ascii="Times New Roman" w:eastAsia="Calibri" w:hAnsi="Times New Roman" w:cs="Times New Roman"/>
          <w:i/>
          <w:sz w:val="24"/>
          <w:szCs w:val="24"/>
        </w:rPr>
        <w:t>мултимодален</w:t>
      </w:r>
      <w:proofErr w:type="spellEnd"/>
      <w:r w:rsidRPr="00BA5A21">
        <w:rPr>
          <w:rFonts w:ascii="Times New Roman" w:eastAsia="Calibri" w:hAnsi="Times New Roman" w:cs="Times New Roman"/>
          <w:i/>
          <w:sz w:val="24"/>
          <w:szCs w:val="24"/>
        </w:rPr>
        <w:t xml:space="preserve"> национален транспортен модел, Инвестиционна програма за изпълнение на условията за усвояване на средствата от европейските фондове за периода 2021 – 2027 г.; Интегриран план в областта на енергетиката и климата на Република България 2021-2030 г. Национален план за внедряване на техническата спецификация за оперативна съвместимост относно подсистема „Контрол, управление и сигнализация“ на железопътната система в Европейския съюз; Национален план за развитие на комбинирания транспорт в РБ, Национална рамка за политика за развитието на пазара на алтернативни горива в транспортния сектор и за разгръщането на съответната инфраструктура, Национална стратегия за безопасност на движението по пътищата в Република България за периода 2021-2030 г.; </w:t>
      </w:r>
      <w:proofErr w:type="spellStart"/>
      <w:r w:rsidRPr="00BA5A21">
        <w:rPr>
          <w:rFonts w:ascii="Times New Roman" w:eastAsia="Calibri" w:hAnsi="Times New Roman" w:cs="Times New Roman"/>
          <w:i/>
          <w:sz w:val="24"/>
          <w:szCs w:val="24"/>
        </w:rPr>
        <w:t>допълняемост</w:t>
      </w:r>
      <w:proofErr w:type="spellEnd"/>
      <w:r w:rsidRPr="00BA5A21">
        <w:rPr>
          <w:rFonts w:ascii="Times New Roman" w:eastAsia="Calibri" w:hAnsi="Times New Roman" w:cs="Times New Roman"/>
          <w:i/>
          <w:sz w:val="24"/>
          <w:szCs w:val="24"/>
        </w:rPr>
        <w:t xml:space="preserve"> на инвестициите по ОПТТИ 2014-2020 (включително </w:t>
      </w:r>
      <w:proofErr w:type="spellStart"/>
      <w:r w:rsidRPr="00BA5A21">
        <w:rPr>
          <w:rFonts w:ascii="Times New Roman" w:eastAsia="Calibri" w:hAnsi="Times New Roman" w:cs="Times New Roman"/>
          <w:i/>
          <w:sz w:val="24"/>
          <w:szCs w:val="24"/>
        </w:rPr>
        <w:t>фазирани</w:t>
      </w:r>
      <w:proofErr w:type="spellEnd"/>
      <w:r w:rsidRPr="00BA5A21">
        <w:rPr>
          <w:rFonts w:ascii="Times New Roman" w:eastAsia="Calibri" w:hAnsi="Times New Roman" w:cs="Times New Roman"/>
          <w:i/>
          <w:sz w:val="24"/>
          <w:szCs w:val="24"/>
        </w:rPr>
        <w:t xml:space="preserve"> проекти), МСЕ, НПВУ и други програми и/или проекти/инициативи в ход и финансирани от други източници. За проекти, за които е приложимо отключващо условие, то те са съгласувани със съответните стратегии и документи за планиране, приети за спазването на това отключващо условие.</w:t>
      </w:r>
    </w:p>
    <w:p w14:paraId="0583CA8F" w14:textId="657878DE" w:rsidR="00844FD1" w:rsidRPr="007A0B0A" w:rsidRDefault="00844FD1" w:rsidP="00C66898">
      <w:pPr>
        <w:pStyle w:val="ListParagraph"/>
        <w:numPr>
          <w:ilvl w:val="0"/>
          <w:numId w:val="21"/>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7A0B0A">
        <w:rPr>
          <w:rFonts w:ascii="inherit" w:eastAsia="Times New Roman" w:hAnsi="inherit" w:cs="Times New Roman"/>
          <w:b/>
          <w:bCs/>
          <w:color w:val="000000"/>
          <w:sz w:val="24"/>
          <w:szCs w:val="24"/>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14:paraId="5B361E9A" w14:textId="12A733A2" w:rsidR="00844FD1" w:rsidRDefault="00844FD1" w:rsidP="00844FD1">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14:paraId="10DBF89E" w14:textId="4C61702A" w:rsidR="00D95DC4" w:rsidRPr="00D95DC4" w:rsidRDefault="00D95DC4" w:rsidP="00D95DC4">
      <w:pPr>
        <w:pStyle w:val="ListParagraph"/>
        <w:numPr>
          <w:ilvl w:val="0"/>
          <w:numId w:val="21"/>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D95DC4">
        <w:rPr>
          <w:rFonts w:ascii="inherit" w:eastAsia="Times New Roman" w:hAnsi="inherit" w:cs="Times New Roman" w:hint="eastAsia"/>
          <w:b/>
          <w:bCs/>
          <w:color w:val="000000"/>
          <w:sz w:val="24"/>
          <w:szCs w:val="24"/>
        </w:rPr>
        <w:t>Етап</w:t>
      </w:r>
      <w:r w:rsidRPr="00D95DC4">
        <w:rPr>
          <w:rFonts w:ascii="inherit" w:eastAsia="Times New Roman" w:hAnsi="inherit" w:cs="Times New Roman"/>
          <w:b/>
          <w:bCs/>
          <w:color w:val="000000"/>
          <w:sz w:val="24"/>
          <w:szCs w:val="24"/>
        </w:rPr>
        <w:t xml:space="preserve"> на експлоатация</w:t>
      </w:r>
    </w:p>
    <w:p w14:paraId="5EED5970" w14:textId="6A37926D" w:rsidR="00D95DC4" w:rsidRDefault="00D95DC4" w:rsidP="00D95DC4">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Моля, обяснете какви мерки са планирани/предприети от бенефицие</w:t>
      </w:r>
      <w:r w:rsidR="00F7220B">
        <w:rPr>
          <w:rFonts w:ascii="inherit" w:eastAsia="Times New Roman" w:hAnsi="inherit" w:cs="Times New Roman"/>
          <w:i/>
          <w:iCs/>
          <w:color w:val="000000"/>
          <w:sz w:val="24"/>
          <w:szCs w:val="24"/>
        </w:rPr>
        <w:t>нта</w:t>
      </w:r>
      <w:r w:rsidRPr="005B30FA">
        <w:rPr>
          <w:rFonts w:ascii="inherit" w:eastAsia="Times New Roman" w:hAnsi="inherit" w:cs="Times New Roman"/>
          <w:i/>
          <w:iCs/>
          <w:color w:val="000000"/>
          <w:sz w:val="24"/>
          <w:szCs w:val="24"/>
        </w:rPr>
        <w:t>, за да се гарантира оптимално използване на инфраструктурата в етапа на експлоатация</w:t>
      </w:r>
    </w:p>
    <w:p w14:paraId="10B54B0F" w14:textId="77777777" w:rsidR="00BA5A21" w:rsidRDefault="00BA5A21" w:rsidP="00D95DC4">
      <w:pPr>
        <w:shd w:val="clear" w:color="auto" w:fill="FFFFFF"/>
        <w:spacing w:before="120" w:after="0" w:line="240" w:lineRule="auto"/>
        <w:jc w:val="both"/>
        <w:rPr>
          <w:rFonts w:ascii="inherit" w:eastAsia="Times New Roman" w:hAnsi="inherit" w:cs="Times New Roman"/>
          <w:i/>
          <w:iCs/>
          <w:color w:val="000000"/>
          <w:sz w:val="24"/>
          <w:szCs w:val="24"/>
        </w:rPr>
      </w:pPr>
    </w:p>
    <w:p w14:paraId="0CF3E656" w14:textId="1DCAFE48" w:rsidR="0089086C" w:rsidRDefault="0089086C" w:rsidP="0089086C">
      <w:pPr>
        <w:pStyle w:val="ListParagraph"/>
        <w:numPr>
          <w:ilvl w:val="0"/>
          <w:numId w:val="21"/>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5B30FA">
        <w:rPr>
          <w:rFonts w:ascii="inherit" w:eastAsia="Times New Roman" w:hAnsi="inherit" w:cs="Times New Roman"/>
          <w:b/>
          <w:bCs/>
          <w:color w:val="000000"/>
          <w:sz w:val="24"/>
          <w:szCs w:val="24"/>
        </w:rPr>
        <w:t xml:space="preserve">Проверка на спазването на правилата за държавната помощ </w:t>
      </w:r>
    </w:p>
    <w:p w14:paraId="1B784B22" w14:textId="39DF0B5E" w:rsidR="0089086C" w:rsidRDefault="0089086C" w:rsidP="00D95DC4">
      <w:pPr>
        <w:shd w:val="clear" w:color="auto" w:fill="FFFFFF"/>
        <w:spacing w:before="120" w:after="0" w:line="240" w:lineRule="auto"/>
        <w:jc w:val="both"/>
        <w:rPr>
          <w:rFonts w:ascii="inherit" w:eastAsia="Times New Roman" w:hAnsi="inherit" w:cs="Times New Roman"/>
          <w:i/>
          <w:iCs/>
          <w:color w:val="000000"/>
          <w:sz w:val="24"/>
          <w:szCs w:val="24"/>
        </w:rPr>
      </w:pPr>
      <w:r w:rsidRPr="0089086C">
        <w:rPr>
          <w:rFonts w:ascii="inherit" w:eastAsia="Times New Roman" w:hAnsi="inherit" w:cs="Times New Roman"/>
          <w:i/>
          <w:iCs/>
          <w:color w:val="000000"/>
          <w:sz w:val="24"/>
          <w:szCs w:val="24"/>
        </w:rPr>
        <w:t>Считате ли, че този проект включва предоставянето на държавна помощ?</w:t>
      </w:r>
    </w:p>
    <w:p w14:paraId="3CC3FAFA" w14:textId="5E5D85D7" w:rsidR="0089086C" w:rsidRPr="00BA5A21" w:rsidRDefault="0089086C" w:rsidP="00BA5A21">
      <w:pPr>
        <w:spacing w:before="60" w:after="60" w:line="240" w:lineRule="auto"/>
        <w:ind w:right="195"/>
        <w:jc w:val="both"/>
        <w:rPr>
          <w:rFonts w:ascii="inherit" w:eastAsia="Times New Roman" w:hAnsi="inherit" w:cs="Times New Roman"/>
          <w:i/>
          <w:iCs/>
          <w:color w:val="000000"/>
          <w:sz w:val="24"/>
          <w:szCs w:val="24"/>
        </w:rPr>
      </w:pPr>
      <w:r w:rsidRPr="00BA5A21">
        <w:rPr>
          <w:rFonts w:ascii="Times New Roman" w:eastAsia="Times New Roman" w:hAnsi="Times New Roman" w:cs="Times New Roman"/>
          <w:i/>
          <w:color w:val="000000"/>
          <w:sz w:val="24"/>
          <w:szCs w:val="24"/>
        </w:rPr>
        <w:t xml:space="preserve">Ако отговорът е утвърдителен, </w:t>
      </w:r>
      <w:r w:rsidR="00E4770B">
        <w:rPr>
          <w:rFonts w:ascii="Times New Roman" w:eastAsia="Times New Roman" w:hAnsi="Times New Roman" w:cs="Times New Roman"/>
          <w:i/>
          <w:color w:val="000000"/>
          <w:sz w:val="24"/>
          <w:szCs w:val="24"/>
        </w:rPr>
        <w:t>то този проект не е допустим за финансиране по настоящата процедура</w:t>
      </w:r>
      <w:r w:rsidR="00426577">
        <w:rPr>
          <w:rFonts w:ascii="Times New Roman" w:eastAsia="Times New Roman" w:hAnsi="Times New Roman" w:cs="Times New Roman"/>
          <w:i/>
          <w:color w:val="000000"/>
          <w:sz w:val="24"/>
          <w:szCs w:val="24"/>
        </w:rPr>
        <w:t>.</w:t>
      </w:r>
    </w:p>
    <w:p w14:paraId="3272A210" w14:textId="77777777" w:rsidR="000C67D1" w:rsidRPr="00BA5A21" w:rsidRDefault="000C67D1" w:rsidP="000C67D1">
      <w:pPr>
        <w:shd w:val="clear" w:color="auto" w:fill="FFFFFF"/>
        <w:spacing w:before="120" w:after="0" w:line="240" w:lineRule="auto"/>
        <w:jc w:val="both"/>
        <w:rPr>
          <w:rFonts w:ascii="Times New Roman" w:eastAsia="Times New Roman" w:hAnsi="Times New Roman" w:cs="Times New Roman"/>
          <w:i/>
          <w:color w:val="000000"/>
          <w:sz w:val="24"/>
          <w:szCs w:val="24"/>
        </w:rPr>
      </w:pPr>
      <w:r w:rsidRPr="00BA5A21">
        <w:rPr>
          <w:rFonts w:ascii="inherit" w:eastAsia="Times New Roman" w:hAnsi="inherit" w:cs="Times New Roman"/>
          <w:b/>
          <w:bCs/>
          <w:i/>
          <w:color w:val="000000"/>
          <w:sz w:val="24"/>
          <w:szCs w:val="24"/>
        </w:rPr>
        <w:t>Ако отговорът е отрицателен,</w:t>
      </w:r>
      <w:r w:rsidRPr="00BA5A21">
        <w:rPr>
          <w:rFonts w:ascii="Times New Roman" w:eastAsia="Times New Roman" w:hAnsi="Times New Roman" w:cs="Times New Roman"/>
          <w:i/>
          <w:color w:val="000000"/>
          <w:sz w:val="24"/>
          <w:szCs w:val="24"/>
        </w:rPr>
        <w:t xml:space="preserve"> моля, подробно обяснете основанията за заключението, че проектът не включва държавна помощ. Моля, предоставете </w:t>
      </w:r>
      <w:r>
        <w:rPr>
          <w:rFonts w:ascii="Times New Roman" w:eastAsia="Times New Roman" w:hAnsi="Times New Roman" w:cs="Times New Roman"/>
          <w:i/>
          <w:color w:val="000000"/>
          <w:sz w:val="24"/>
          <w:szCs w:val="24"/>
        </w:rPr>
        <w:t>оценка на липсата на  държавната помощ на отделни нива: собственик/предприемач, оператор, крайни получатели</w:t>
      </w:r>
      <w:r w:rsidRPr="00BA5A2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например в случай на инфраструктури — за собственика, строителната организация, стопанисващия и за ползвателите на дадена инфраструктура</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 xml:space="preserve">. Ако е </w:t>
      </w:r>
      <w:r w:rsidRPr="00BA5A21">
        <w:rPr>
          <w:rFonts w:ascii="Times New Roman" w:eastAsia="Times New Roman" w:hAnsi="Times New Roman" w:cs="Times New Roman"/>
          <w:i/>
          <w:color w:val="000000"/>
          <w:sz w:val="24"/>
          <w:szCs w:val="24"/>
        </w:rPr>
        <w:lastRenderedPageBreak/>
        <w:t>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w:t>
      </w:r>
      <w:proofErr w:type="spellStart"/>
      <w:r w:rsidRPr="00BA5A21">
        <w:rPr>
          <w:rFonts w:ascii="Times New Roman" w:eastAsia="Times New Roman" w:hAnsi="Times New Roman" w:cs="Times New Roman"/>
          <w:i/>
          <w:color w:val="000000"/>
          <w:sz w:val="24"/>
          <w:szCs w:val="24"/>
        </w:rPr>
        <w:t>ите</w:t>
      </w:r>
      <w:proofErr w:type="spellEnd"/>
      <w:r w:rsidRPr="00BA5A21">
        <w:rPr>
          <w:rFonts w:ascii="Times New Roman" w:eastAsia="Times New Roman" w:hAnsi="Times New Roman" w:cs="Times New Roman"/>
          <w:i/>
          <w:color w:val="000000"/>
          <w:sz w:val="24"/>
          <w:szCs w:val="24"/>
        </w:rPr>
        <w:t>)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w:t>
      </w:r>
      <w:proofErr w:type="spellStart"/>
      <w:r w:rsidRPr="00BA5A21">
        <w:rPr>
          <w:rFonts w:ascii="Times New Roman" w:eastAsia="Times New Roman" w:hAnsi="Times New Roman" w:cs="Times New Roman"/>
          <w:i/>
          <w:color w:val="000000"/>
          <w:sz w:val="24"/>
          <w:szCs w:val="24"/>
        </w:rPr>
        <w:t>ите</w:t>
      </w:r>
      <w:proofErr w:type="spellEnd"/>
      <w:r w:rsidRPr="00BA5A21">
        <w:rPr>
          <w:rFonts w:ascii="Times New Roman" w:eastAsia="Times New Roman" w:hAnsi="Times New Roman" w:cs="Times New Roman"/>
          <w:i/>
          <w:color w:val="000000"/>
          <w:sz w:val="24"/>
          <w:szCs w:val="24"/>
        </w:rPr>
        <w:t>) упражнява(т) дейност в други сектори).</w:t>
      </w:r>
    </w:p>
    <w:p w14:paraId="10F7CD38" w14:textId="3F8F9C97" w:rsidR="00844FD1" w:rsidRDefault="00844FD1" w:rsidP="00603108">
      <w:pPr>
        <w:spacing w:after="120" w:line="240" w:lineRule="auto"/>
        <w:ind w:firstLine="708"/>
        <w:jc w:val="both"/>
        <w:rPr>
          <w:rFonts w:ascii="Times New Roman" w:eastAsia="Calibri" w:hAnsi="Times New Roman" w:cs="Times New Roman"/>
          <w:sz w:val="24"/>
          <w:szCs w:val="24"/>
        </w:rPr>
      </w:pPr>
      <w:bookmarkStart w:id="33" w:name="_GoBack"/>
      <w:bookmarkEnd w:id="33"/>
    </w:p>
    <w:p w14:paraId="0377147E" w14:textId="78BE1E2D" w:rsidR="0089086C" w:rsidRPr="0089086C" w:rsidRDefault="0089086C" w:rsidP="0089086C">
      <w:pPr>
        <w:pStyle w:val="ListParagraph"/>
        <w:numPr>
          <w:ilvl w:val="0"/>
          <w:numId w:val="21"/>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w:t>
      </w:r>
      <w:r w:rsidRPr="0089086C">
        <w:rPr>
          <w:rFonts w:ascii="Times New Roman" w:eastAsia="Calibri" w:hAnsi="Times New Roman" w:cs="Times New Roman"/>
          <w:sz w:val="24"/>
          <w:szCs w:val="24"/>
        </w:rPr>
        <w:t xml:space="preserve"> </w:t>
      </w:r>
      <w:r w:rsidRPr="0089086C">
        <w:rPr>
          <w:rFonts w:ascii="Times New Roman" w:eastAsia="Calibri" w:hAnsi="Times New Roman" w:cs="Times New Roman"/>
          <w:b/>
          <w:sz w:val="24"/>
          <w:szCs w:val="24"/>
        </w:rPr>
        <w:t xml:space="preserve">Извършени </w:t>
      </w:r>
      <w:proofErr w:type="spellStart"/>
      <w:r w:rsidRPr="0089086C">
        <w:rPr>
          <w:rFonts w:ascii="Times New Roman" w:eastAsia="Calibri" w:hAnsi="Times New Roman" w:cs="Times New Roman"/>
          <w:b/>
          <w:sz w:val="24"/>
          <w:szCs w:val="24"/>
        </w:rPr>
        <w:t>предпроектни</w:t>
      </w:r>
      <w:proofErr w:type="spellEnd"/>
      <w:r w:rsidRPr="0089086C">
        <w:rPr>
          <w:rFonts w:ascii="Times New Roman" w:eastAsia="Calibri" w:hAnsi="Times New Roman" w:cs="Times New Roman"/>
          <w:b/>
          <w:sz w:val="24"/>
          <w:szCs w:val="24"/>
        </w:rPr>
        <w:t xml:space="preserve"> проучвания, включително анализ на вариантите на</w:t>
      </w:r>
      <w:r w:rsidRPr="0089086C">
        <w:rPr>
          <w:rFonts w:ascii="Times New Roman" w:eastAsia="Times New Roman" w:hAnsi="Times New Roman" w:cs="Times New Roman"/>
          <w:b/>
          <w:bCs/>
          <w:color w:val="000000"/>
          <w:sz w:val="24"/>
          <w:szCs w:val="24"/>
        </w:rPr>
        <w:t xml:space="preserve"> действие, и съответните резултати</w:t>
      </w:r>
    </w:p>
    <w:p w14:paraId="78DA359F" w14:textId="75B11A30" w:rsidR="0089086C" w:rsidRPr="00A46ABF" w:rsidRDefault="0089086C" w:rsidP="0089086C">
      <w:pPr>
        <w:shd w:val="clear" w:color="auto" w:fill="FFFFFF"/>
        <w:spacing w:before="120" w:after="0" w:line="240" w:lineRule="auto"/>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Моля, представете резюме на анализа на търсенето, включително предвидения ръст на търсенето В него трябва да се съдържа поне следната информация:</w:t>
      </w:r>
    </w:p>
    <w:p w14:paraId="6647FF75" w14:textId="77777777" w:rsidR="0089086C" w:rsidRPr="00A46ABF" w:rsidRDefault="0089086C" w:rsidP="00A46ABF">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w:t>
      </w:r>
      <w:r w:rsidRPr="00A46ABF">
        <w:rPr>
          <w:rFonts w:ascii="Times New Roman" w:eastAsia="Times New Roman" w:hAnsi="Times New Roman" w:cs="Times New Roman"/>
          <w:i/>
          <w:color w:val="000000"/>
          <w:sz w:val="24"/>
          <w:szCs w:val="24"/>
        </w:rPr>
        <w:tab/>
        <w:t>методология за изготвянето на прогнози;</w:t>
      </w:r>
    </w:p>
    <w:p w14:paraId="73201E84" w14:textId="77777777" w:rsidR="0089086C" w:rsidRPr="00A46ABF" w:rsidRDefault="0089086C" w:rsidP="00A46ABF">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w:t>
      </w:r>
      <w:r w:rsidRPr="00A46ABF">
        <w:rPr>
          <w:rFonts w:ascii="Times New Roman" w:eastAsia="Times New Roman" w:hAnsi="Times New Roman" w:cs="Times New Roman"/>
          <w:i/>
          <w:color w:val="000000"/>
          <w:sz w:val="24"/>
          <w:szCs w:val="24"/>
        </w:rPr>
        <w:tab/>
        <w:t>предположения и базов сценарий (напр. трафик в миналото, очакван бъдещ трафик без проекта);</w:t>
      </w:r>
    </w:p>
    <w:p w14:paraId="323FA730" w14:textId="77777777" w:rsidR="0089086C" w:rsidRPr="00A46ABF" w:rsidRDefault="0089086C" w:rsidP="00A46ABF">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iii)</w:t>
      </w:r>
      <w:r w:rsidRPr="00A46ABF">
        <w:rPr>
          <w:rFonts w:ascii="Times New Roman" w:eastAsia="Times New Roman" w:hAnsi="Times New Roman" w:cs="Times New Roman"/>
          <w:i/>
          <w:color w:val="000000"/>
          <w:sz w:val="24"/>
          <w:szCs w:val="24"/>
        </w:rPr>
        <w:tab/>
        <w:t>прогнози за избраните варианти, ако е приложимо;</w:t>
      </w:r>
    </w:p>
    <w:p w14:paraId="30988DC6" w14:textId="2815ABC3" w:rsidR="0089086C" w:rsidRPr="00A46ABF" w:rsidRDefault="0089086C" w:rsidP="00A46ABF">
      <w:pPr>
        <w:pStyle w:val="ListParagraph"/>
        <w:numPr>
          <w:ilvl w:val="0"/>
          <w:numId w:val="14"/>
        </w:numPr>
        <w:shd w:val="clear" w:color="auto" w:fill="FFFFFF"/>
        <w:spacing w:before="120" w:after="0" w:line="240" w:lineRule="auto"/>
        <w:ind w:left="709" w:firstLine="142"/>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аспекти на предлагането, включително анализ на съществуващото предлагане и очакваното бъдещо развитие (на инфраструктурата);</w:t>
      </w:r>
    </w:p>
    <w:p w14:paraId="1552933D" w14:textId="77777777" w:rsidR="0089086C" w:rsidRPr="0089086C" w:rsidRDefault="0089086C" w:rsidP="0089086C">
      <w:pPr>
        <w:shd w:val="clear" w:color="auto" w:fill="FFFFFF"/>
        <w:spacing w:before="240" w:after="120" w:line="240" w:lineRule="auto"/>
        <w:ind w:left="360"/>
        <w:jc w:val="both"/>
        <w:rPr>
          <w:rFonts w:ascii="Times New Roman" w:eastAsia="Times New Roman" w:hAnsi="Times New Roman" w:cs="Times New Roman"/>
          <w:b/>
          <w:bCs/>
          <w:color w:val="000000"/>
          <w:sz w:val="24"/>
          <w:szCs w:val="24"/>
        </w:rPr>
      </w:pPr>
      <w:r w:rsidRPr="0089086C">
        <w:rPr>
          <w:rFonts w:ascii="inherit" w:eastAsia="Times New Roman" w:hAnsi="inherit" w:cs="Times New Roman"/>
          <w:b/>
          <w:bCs/>
          <w:color w:val="000000"/>
          <w:sz w:val="24"/>
          <w:szCs w:val="24"/>
        </w:rPr>
        <w:t>Анализ на вариантите</w:t>
      </w:r>
    </w:p>
    <w:p w14:paraId="1BE73918" w14:textId="4DBE7D3F" w:rsidR="0089086C" w:rsidRPr="00BA5A21" w:rsidRDefault="0089086C" w:rsidP="00BA5A21">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 xml:space="preserve">Моля, опишете накратко разгледаните варианти в </w:t>
      </w:r>
      <w:proofErr w:type="spellStart"/>
      <w:r w:rsidRPr="00BA5A21">
        <w:rPr>
          <w:rFonts w:ascii="inherit" w:eastAsia="Times New Roman" w:hAnsi="inherit" w:cs="Times New Roman"/>
          <w:i/>
          <w:iCs/>
          <w:color w:val="000000"/>
          <w:sz w:val="24"/>
          <w:szCs w:val="24"/>
        </w:rPr>
        <w:t>предпроектните</w:t>
      </w:r>
      <w:proofErr w:type="spellEnd"/>
      <w:r w:rsidRPr="00BA5A21">
        <w:rPr>
          <w:rFonts w:ascii="inherit" w:eastAsia="Times New Roman" w:hAnsi="inherit" w:cs="Times New Roman"/>
          <w:i/>
          <w:iCs/>
          <w:color w:val="000000"/>
          <w:sz w:val="24"/>
          <w:szCs w:val="24"/>
        </w:rPr>
        <w:t xml:space="preserve"> проучвания</w:t>
      </w:r>
      <w:r w:rsidR="001136BB">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в съответствие с подхода, изложен в приложение </w:t>
      </w:r>
      <w:r w:rsidR="001136BB">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Методология за извършване н</w:t>
      </w:r>
      <w:r w:rsidR="001136BB">
        <w:rPr>
          <w:rFonts w:ascii="inherit" w:eastAsia="Times New Roman" w:hAnsi="inherit" w:cs="Times New Roman"/>
          <w:i/>
          <w:iCs/>
          <w:color w:val="000000"/>
          <w:sz w:val="24"/>
          <w:szCs w:val="24"/>
        </w:rPr>
        <w:t>а анализ на разходите и ползите</w:t>
      </w:r>
      <w:r w:rsidRPr="00BA5A21">
        <w:rPr>
          <w:rFonts w:ascii="inherit" w:eastAsia="Times New Roman" w:hAnsi="inherit" w:cs="Times New Roman"/>
          <w:i/>
          <w:iCs/>
          <w:color w:val="000000"/>
          <w:sz w:val="24"/>
          <w:szCs w:val="24"/>
        </w:rPr>
        <w:t>. Това кратко описание трябва да съдържа поне следната информация:</w:t>
      </w:r>
    </w:p>
    <w:p w14:paraId="228E0872" w14:textId="58A1354A" w:rsid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4EC95179" w14:textId="0BEA74B6"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общия размер на инвестиционните разходи и оперативните разходи по отношение на разгледаните варианти;</w:t>
      </w:r>
    </w:p>
    <w:p w14:paraId="1C47637B" w14:textId="21A94DE9"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79C014F6" w14:textId="21588DC5"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p w14:paraId="58F112CF" w14:textId="5623C658"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ab/>
      </w:r>
    </w:p>
    <w:p w14:paraId="336B6957" w14:textId="2FCE44A2"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iii)</w:t>
      </w:r>
      <w:r w:rsidRPr="0089086C">
        <w:rPr>
          <w:rFonts w:ascii="Times New Roman" w:eastAsia="Times New Roman" w:hAnsi="Times New Roman" w:cs="Times New Roman"/>
          <w:color w:val="000000"/>
          <w:sz w:val="24"/>
          <w:szCs w:val="24"/>
        </w:rPr>
        <w:tab/>
        <w:t>технологични варианти по компоненти и по системи;</w:t>
      </w:r>
    </w:p>
    <w:p w14:paraId="3AB4F5CA" w14:textId="6574F78E"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4B460F4A" w14:textId="71363B55"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 xml:space="preserve"> </w:t>
      </w:r>
      <w:r w:rsidRPr="0089086C">
        <w:rPr>
          <w:rFonts w:ascii="Times New Roman" w:eastAsia="Times New Roman" w:hAnsi="Times New Roman" w:cs="Times New Roman"/>
          <w:color w:val="000000"/>
          <w:sz w:val="24"/>
          <w:szCs w:val="24"/>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p w14:paraId="59C5599B" w14:textId="43859E53"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030B7358" w14:textId="6896076E"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икономически показатели за разгледанит</w:t>
      </w:r>
      <w:r>
        <w:rPr>
          <w:rFonts w:ascii="Times New Roman" w:eastAsia="Times New Roman" w:hAnsi="Times New Roman" w:cs="Times New Roman"/>
          <w:color w:val="000000"/>
          <w:sz w:val="24"/>
          <w:szCs w:val="24"/>
        </w:rPr>
        <w:t>е варианти, ако е приложимо</w:t>
      </w:r>
      <w:r w:rsidRPr="0089086C">
        <w:rPr>
          <w:rFonts w:ascii="Times New Roman" w:eastAsia="Times New Roman" w:hAnsi="Times New Roman" w:cs="Times New Roman"/>
          <w:color w:val="000000"/>
          <w:sz w:val="24"/>
          <w:szCs w:val="24"/>
        </w:rPr>
        <w:t>;</w:t>
      </w:r>
      <w:r w:rsidRPr="0089086C">
        <w:rPr>
          <w:rFonts w:ascii="Times New Roman" w:eastAsia="Times New Roman" w:hAnsi="Times New Roman" w:cs="Times New Roman"/>
          <w:color w:val="000000"/>
          <w:sz w:val="24"/>
          <w:szCs w:val="24"/>
        </w:rPr>
        <w:cr/>
      </w:r>
    </w:p>
    <w:p w14:paraId="6D2D6AD7" w14:textId="7FFA1266"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обобщена таблица, която съдържа всички предимства и недостатъци за всички разгледани варианти.</w:t>
      </w:r>
    </w:p>
    <w:p w14:paraId="0268ABED" w14:textId="77777777" w:rsidR="0089086C" w:rsidRPr="0089086C" w:rsidRDefault="0089086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3B86450E" w14:textId="148E87F8" w:rsidR="0089086C" w:rsidRPr="00BA5A21" w:rsidRDefault="00826D9C" w:rsidP="00BA5A21">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и изложете накратко основанията за избрания вариант.</w:t>
      </w:r>
    </w:p>
    <w:p w14:paraId="3EB54C16" w14:textId="3C82772A" w:rsidR="00826D9C" w:rsidRDefault="00826D9C" w:rsidP="0089086C">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5128920F" w14:textId="77777777" w:rsidR="00826D9C" w:rsidRPr="005B30FA" w:rsidRDefault="00826D9C" w:rsidP="00826D9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Осъществимост на избрания вариант</w:t>
      </w:r>
    </w:p>
    <w:p w14:paraId="390F7725" w14:textId="77777777" w:rsidR="00BA5A21" w:rsidRDefault="00826D9C" w:rsidP="00BA5A21">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идентифицираните рискове, за да се докаже осъществимостта на проекта. Моля, попълнете таблицата, като се поз</w:t>
      </w:r>
      <w:r w:rsidR="00BA5A21">
        <w:rPr>
          <w:rFonts w:ascii="Times New Roman" w:eastAsia="Times New Roman" w:hAnsi="Times New Roman" w:cs="Times New Roman"/>
          <w:color w:val="000000"/>
          <w:sz w:val="24"/>
          <w:szCs w:val="24"/>
        </w:rPr>
        <w:t>овете на съответните документи.</w:t>
      </w:r>
    </w:p>
    <w:p w14:paraId="495A3F28" w14:textId="087985D2" w:rsidR="00826D9C" w:rsidRPr="00F7220B" w:rsidRDefault="00826D9C" w:rsidP="00BA5A21">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b/>
          <w:bCs/>
          <w:color w:val="000000"/>
          <w:sz w:val="24"/>
          <w:szCs w:val="24"/>
        </w:rPr>
        <w:t>  </w:t>
      </w:r>
      <w:r w:rsidRPr="00F7220B">
        <w:rPr>
          <w:rFonts w:ascii="inherit" w:eastAsia="Times New Roman" w:hAnsi="inherit" w:cs="Times New Roman"/>
          <w:bCs/>
          <w:i/>
          <w:iCs/>
          <w:color w:val="000000"/>
          <w:sz w:val="24"/>
          <w:szCs w:val="24"/>
        </w:rPr>
        <w:t>Институционален аспект</w:t>
      </w:r>
    </w:p>
    <w:p w14:paraId="782828BF" w14:textId="072725D6" w:rsidR="00826D9C" w:rsidRPr="00F7220B" w:rsidRDefault="00826D9C" w:rsidP="00826D9C">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inherit" w:eastAsia="Times New Roman" w:hAnsi="inherit" w:cs="Times New Roman"/>
          <w:bCs/>
          <w:i/>
          <w:iCs/>
          <w:color w:val="000000"/>
          <w:sz w:val="24"/>
          <w:szCs w:val="24"/>
        </w:rPr>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14:paraId="7C029C90" w14:textId="08A57BF7" w:rsidR="00826D9C" w:rsidRPr="00F7220B" w:rsidRDefault="00826D9C" w:rsidP="00826D9C">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Times New Roman" w:eastAsia="Times New Roman" w:hAnsi="Times New Roman" w:cs="Times New Roman"/>
          <w:bCs/>
          <w:color w:val="000000"/>
          <w:sz w:val="24"/>
          <w:szCs w:val="24"/>
        </w:rPr>
        <w:t>  </w:t>
      </w:r>
      <w:r w:rsidRPr="00F7220B">
        <w:rPr>
          <w:rFonts w:ascii="inherit" w:eastAsia="Times New Roman" w:hAnsi="inherit" w:cs="Times New Roman"/>
          <w:bCs/>
          <w:i/>
          <w:iCs/>
          <w:color w:val="000000"/>
          <w:sz w:val="24"/>
          <w:szCs w:val="24"/>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14:paraId="49A9E536" w14:textId="5B5F1CCB" w:rsidR="00826D9C" w:rsidRPr="00F7220B" w:rsidRDefault="00826D9C" w:rsidP="00826D9C">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inherit" w:eastAsia="Times New Roman" w:hAnsi="inherit" w:cs="Times New Roman"/>
          <w:bCs/>
          <w:i/>
          <w:iCs/>
          <w:color w:val="000000"/>
          <w:sz w:val="24"/>
          <w:szCs w:val="24"/>
        </w:rPr>
        <w:t>Други аспекти</w:t>
      </w:r>
    </w:p>
    <w:p w14:paraId="044A0A80" w14:textId="7F60390B" w:rsidR="00826D9C" w:rsidRPr="005E2E76" w:rsidRDefault="00BC2F45" w:rsidP="005E2E76">
      <w:pPr>
        <w:shd w:val="clear" w:color="auto" w:fill="FFFFFF"/>
        <w:spacing w:before="240" w:after="120" w:line="240" w:lineRule="auto"/>
        <w:ind w:firstLine="708"/>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 xml:space="preserve">• </w:t>
      </w:r>
      <w:r w:rsidR="00826D9C" w:rsidRPr="005E2E76">
        <w:rPr>
          <w:rFonts w:ascii="Times New Roman" w:eastAsia="Times New Roman" w:hAnsi="Times New Roman" w:cs="Times New Roman"/>
          <w:bCs/>
          <w:color w:val="000000"/>
          <w:sz w:val="24"/>
          <w:szCs w:val="24"/>
        </w:rPr>
        <w:t xml:space="preserve">в поле </w:t>
      </w:r>
      <w:r w:rsidR="00826D9C" w:rsidRPr="005E2E76">
        <w:rPr>
          <w:rFonts w:ascii="Times New Roman" w:eastAsia="Times New Roman" w:hAnsi="Times New Roman" w:cs="Times New Roman"/>
          <w:b/>
          <w:bCs/>
          <w:color w:val="000000"/>
          <w:sz w:val="24"/>
          <w:szCs w:val="24"/>
        </w:rPr>
        <w:t>Анализ на разходите и ползите</w:t>
      </w:r>
    </w:p>
    <w:p w14:paraId="27817D16" w14:textId="52E7E9E9" w:rsidR="00826D9C" w:rsidRDefault="00826D9C" w:rsidP="00826D9C">
      <w:pPr>
        <w:shd w:val="clear" w:color="auto" w:fill="FFFFFF"/>
        <w:spacing w:after="0" w:line="240" w:lineRule="auto"/>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 xml:space="preserve">Освен обобщените елементи, които трябва да се представят, като допълнение към настоящото </w:t>
      </w:r>
      <w:r>
        <w:rPr>
          <w:rFonts w:ascii="inherit" w:eastAsia="Times New Roman" w:hAnsi="inherit" w:cs="Times New Roman"/>
          <w:i/>
          <w:iCs/>
          <w:color w:val="000000"/>
          <w:sz w:val="24"/>
          <w:szCs w:val="24"/>
        </w:rPr>
        <w:t>проектно предложение</w:t>
      </w:r>
      <w:r w:rsidRPr="005B30FA">
        <w:rPr>
          <w:rFonts w:ascii="inherit" w:eastAsia="Times New Roman" w:hAnsi="inherit" w:cs="Times New Roman"/>
          <w:i/>
          <w:iCs/>
          <w:color w:val="000000"/>
          <w:sz w:val="24"/>
          <w:szCs w:val="24"/>
        </w:rPr>
        <w:t xml:space="preserve"> се предоставя и </w:t>
      </w:r>
      <w:r>
        <w:rPr>
          <w:rFonts w:ascii="inherit" w:eastAsia="Times New Roman" w:hAnsi="inherit" w:cs="Times New Roman"/>
          <w:i/>
          <w:iCs/>
          <w:color w:val="000000"/>
          <w:sz w:val="24"/>
          <w:szCs w:val="24"/>
        </w:rPr>
        <w:t xml:space="preserve">изчислителните данни и резултати от </w:t>
      </w:r>
      <w:r w:rsidRPr="005B30FA">
        <w:rPr>
          <w:rFonts w:ascii="inherit" w:eastAsia="Times New Roman" w:hAnsi="inherit" w:cs="Times New Roman" w:hint="eastAsia"/>
          <w:i/>
          <w:iCs/>
          <w:color w:val="000000"/>
          <w:sz w:val="24"/>
          <w:szCs w:val="24"/>
        </w:rPr>
        <w:t>Анализ</w:t>
      </w:r>
      <w:r w:rsidRPr="005B30FA">
        <w:rPr>
          <w:rFonts w:ascii="inherit" w:eastAsia="Times New Roman" w:hAnsi="inherit" w:cs="Times New Roman"/>
          <w:i/>
          <w:iCs/>
          <w:color w:val="000000"/>
          <w:sz w:val="24"/>
          <w:szCs w:val="24"/>
        </w:rPr>
        <w:t xml:space="preserve"> на разходите и ползите.</w:t>
      </w:r>
    </w:p>
    <w:p w14:paraId="12F7ACD4" w14:textId="258FB52D" w:rsidR="00826D9C" w:rsidRPr="005B30FA" w:rsidRDefault="00826D9C" w:rsidP="00826D9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Финансов анализ</w:t>
      </w:r>
    </w:p>
    <w:p w14:paraId="09AA2938" w14:textId="2D0B9F7C" w:rsidR="00826D9C" w:rsidRPr="005B30FA" w:rsidRDefault="00826D9C" w:rsidP="00826D9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i/>
          <w:iCs/>
          <w:color w:val="000000"/>
          <w:sz w:val="24"/>
          <w:szCs w:val="24"/>
        </w:rPr>
        <w:t>Основни показатели за финансовия анализ на разходите и ползите в съответствие с документа с анализа на разходите и ползите</w:t>
      </w:r>
    </w:p>
    <w:tbl>
      <w:tblPr>
        <w:tblW w:w="508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81"/>
        <w:gridCol w:w="1705"/>
        <w:gridCol w:w="962"/>
        <w:gridCol w:w="1625"/>
        <w:gridCol w:w="974"/>
        <w:gridCol w:w="2638"/>
      </w:tblGrid>
      <w:tr w:rsidR="00826D9C" w:rsidRPr="005B30FA" w14:paraId="494C6E61" w14:textId="77777777" w:rsidTr="000167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FFC074F" w14:textId="77777777" w:rsidR="00826D9C" w:rsidRPr="005B30FA" w:rsidRDefault="00826D9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2B143DA"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Без подкрепа от Съюза</w:t>
            </w:r>
          </w:p>
          <w:p w14:paraId="45850073"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A6F1817"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 помощ от Съюза</w:t>
            </w:r>
          </w:p>
          <w:p w14:paraId="32FBFBCE"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07F7D253"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826D9C" w:rsidRPr="005B30FA" w14:paraId="10D11EFB" w14:textId="77777777" w:rsidTr="000167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826D9C" w:rsidRPr="005B30FA" w14:paraId="02FF49C7" w14:textId="77777777" w:rsidTr="001C4327">
              <w:trPr>
                <w:tblCellSpacing w:w="0" w:type="dxa"/>
              </w:trPr>
              <w:tc>
                <w:tcPr>
                  <w:tcW w:w="0" w:type="auto"/>
                  <w:hideMark/>
                </w:tcPr>
                <w:p w14:paraId="143349DF" w14:textId="77777777" w:rsidR="00826D9C" w:rsidRPr="005B30FA" w:rsidRDefault="00826D9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0EA5A032" w14:textId="77777777" w:rsidR="00826D9C" w:rsidRPr="005B30FA" w:rsidRDefault="00826D9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Финансова норма на възвръщаемост (%)</w:t>
                  </w:r>
                </w:p>
              </w:tc>
            </w:tr>
          </w:tbl>
          <w:p w14:paraId="16BDFFD5" w14:textId="77777777" w:rsidR="00826D9C" w:rsidRPr="005B30FA" w:rsidRDefault="00826D9C" w:rsidP="001C4327">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0C4C20" w14:textId="27A6F6E2" w:rsidR="00826D9C" w:rsidRPr="005B30FA" w:rsidRDefault="00826D9C" w:rsidP="001C4327">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D12583" w14:textId="2B70EA1A" w:rsidR="00826D9C" w:rsidRPr="005B30FA" w:rsidRDefault="00826D9C" w:rsidP="00826D9C">
            <w:pPr>
              <w:spacing w:before="60" w:after="60" w:line="240" w:lineRule="auto"/>
              <w:rPr>
                <w:rFonts w:ascii="inherit" w:eastAsia="Times New Roman" w:hAnsi="inherit" w:cs="Times New Roman"/>
              </w:rPr>
            </w:pPr>
            <w:r w:rsidRPr="005B30FA">
              <w:rPr>
                <w:rFonts w:ascii="inherit" w:eastAsia="Times New Roman" w:hAnsi="inherit" w:cs="Times New Roman"/>
              </w:rPr>
              <w:t xml:space="preserve">ФНВ(C)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E991423" w14:textId="5FE1E5BD" w:rsidR="00826D9C" w:rsidRPr="005B30FA" w:rsidRDefault="00826D9C" w:rsidP="001C4327">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A6852A" w14:textId="3FEA9502" w:rsidR="00826D9C" w:rsidRPr="005B30FA" w:rsidRDefault="00826D9C" w:rsidP="00826D9C">
            <w:pPr>
              <w:spacing w:before="60" w:after="60" w:line="240" w:lineRule="auto"/>
              <w:rPr>
                <w:rFonts w:ascii="inherit" w:eastAsia="Times New Roman" w:hAnsi="inherit" w:cs="Times New Roman"/>
              </w:rPr>
            </w:pPr>
            <w:r w:rsidRPr="005B30FA">
              <w:rPr>
                <w:rFonts w:ascii="inherit" w:eastAsia="Times New Roman" w:hAnsi="inherit" w:cs="Times New Roman"/>
              </w:rPr>
              <w:t>ФНВ(K)</w:t>
            </w:r>
            <w:hyperlink r:id="rId19" w:anchor="ntr34-L_2015038BG.01001101-E0034" w:history="1">
              <w:r w:rsidRPr="005B30FA">
                <w:rPr>
                  <w:rFonts w:ascii="inherit" w:eastAsia="Times New Roman" w:hAnsi="inherit" w:cs="Times New Roman"/>
                  <w:color w:val="0000FF"/>
                  <w:u w:val="single"/>
                </w:rPr>
                <w:t> </w:t>
              </w:r>
            </w:hyperlink>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7C4F7F3C" w14:textId="3FCCA419" w:rsidR="00826D9C" w:rsidRPr="005B30FA" w:rsidRDefault="00826D9C" w:rsidP="001C4327">
            <w:pPr>
              <w:spacing w:before="60" w:after="60" w:line="240" w:lineRule="auto"/>
              <w:rPr>
                <w:rFonts w:ascii="inherit" w:eastAsia="Times New Roman" w:hAnsi="inherit" w:cs="Times New Roman"/>
              </w:rPr>
            </w:pPr>
          </w:p>
        </w:tc>
      </w:tr>
      <w:tr w:rsidR="00826D9C" w:rsidRPr="005B30FA" w14:paraId="356730D3" w14:textId="77777777" w:rsidTr="000167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826D9C" w:rsidRPr="005B30FA" w14:paraId="65FE6B20" w14:textId="77777777" w:rsidTr="001C4327">
              <w:trPr>
                <w:tblCellSpacing w:w="0" w:type="dxa"/>
              </w:trPr>
              <w:tc>
                <w:tcPr>
                  <w:tcW w:w="0" w:type="auto"/>
                  <w:hideMark/>
                </w:tcPr>
                <w:p w14:paraId="419E322A" w14:textId="77777777" w:rsidR="00826D9C" w:rsidRPr="005B30FA" w:rsidRDefault="00826D9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6CF74AD3" w14:textId="0D5A2547" w:rsidR="00826D9C" w:rsidRPr="005B30FA" w:rsidRDefault="00826D9C" w:rsidP="001C4327">
                  <w:pPr>
                    <w:spacing w:before="120" w:after="0" w:line="240" w:lineRule="auto"/>
                    <w:jc w:val="both"/>
                    <w:rPr>
                      <w:rFonts w:ascii="inherit" w:eastAsia="Times New Roman" w:hAnsi="inherit" w:cs="Times New Roman"/>
                      <w:sz w:val="24"/>
                      <w:szCs w:val="24"/>
                    </w:rPr>
                  </w:pPr>
                  <w:r>
                    <w:rPr>
                      <w:rFonts w:ascii="inherit" w:eastAsia="Times New Roman" w:hAnsi="inherit" w:cs="Times New Roman"/>
                      <w:sz w:val="24"/>
                      <w:szCs w:val="24"/>
                    </w:rPr>
                    <w:t>Нетна настояща стойност</w:t>
                  </w:r>
                </w:p>
              </w:tc>
            </w:tr>
          </w:tbl>
          <w:p w14:paraId="6C6088CF" w14:textId="77777777" w:rsidR="00826D9C" w:rsidRPr="005B30FA" w:rsidRDefault="00826D9C" w:rsidP="001C4327">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6D5367" w14:textId="560B4817" w:rsidR="00826D9C" w:rsidRPr="005B30FA" w:rsidRDefault="00826D9C" w:rsidP="001C4327">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32566F7"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EBF5AF" w14:textId="7CC47E19" w:rsidR="00826D9C" w:rsidRPr="005B30FA" w:rsidRDefault="00826D9C" w:rsidP="001C4327">
            <w:pPr>
              <w:spacing w:before="60" w:after="60" w:line="240" w:lineRule="auto"/>
              <w:rPr>
                <w:rFonts w:ascii="inherit" w:eastAsia="Times New Roman" w:hAnsi="inherit" w:cs="Times New Roman"/>
              </w:rPr>
            </w:pPr>
            <w:r>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3D2040"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ФННС(K)</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3B0B23BF" w14:textId="4030EC3A" w:rsidR="00826D9C" w:rsidRPr="005B30FA" w:rsidRDefault="00826D9C" w:rsidP="001C4327">
            <w:pPr>
              <w:spacing w:before="60" w:after="60" w:line="240" w:lineRule="auto"/>
              <w:rPr>
                <w:rFonts w:ascii="inherit" w:eastAsia="Times New Roman" w:hAnsi="inherit" w:cs="Times New Roman"/>
              </w:rPr>
            </w:pPr>
          </w:p>
        </w:tc>
      </w:tr>
    </w:tbl>
    <w:p w14:paraId="52C8F1B5" w14:textId="6514CC84"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даден голям проект показва </w:t>
      </w:r>
      <w:r w:rsidRPr="005B30FA">
        <w:rPr>
          <w:rFonts w:ascii="inherit" w:eastAsia="Times New Roman" w:hAnsi="inherit" w:cs="Times New Roman"/>
          <w:b/>
          <w:bCs/>
          <w:color w:val="000000"/>
          <w:sz w:val="24"/>
          <w:szCs w:val="24"/>
        </w:rPr>
        <w:t>висока финансова рентабилност</w:t>
      </w:r>
      <w:r w:rsidRPr="005B30FA">
        <w:rPr>
          <w:rFonts w:ascii="Times New Roman" w:eastAsia="Times New Roman" w:hAnsi="Times New Roman" w:cs="Times New Roman"/>
          <w:color w:val="000000"/>
          <w:sz w:val="24"/>
          <w:szCs w:val="24"/>
        </w:rPr>
        <w:t>, т.е. ФНВ(C) е значително по-висока от дисконтовата норма, моля, обосновете приноса на Съюза.</w:t>
      </w:r>
    </w:p>
    <w:p w14:paraId="5A599C7C" w14:textId="22977ADC"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14:paraId="3AD537A9" w14:textId="5861AC42" w:rsidR="00826D9C" w:rsidRPr="005B30FA" w:rsidRDefault="00826D9C" w:rsidP="00826D9C">
      <w:pPr>
        <w:shd w:val="clear" w:color="auto" w:fill="FFFFFF"/>
        <w:spacing w:after="0" w:line="240" w:lineRule="auto"/>
        <w:rPr>
          <w:rFonts w:ascii="Times New Roman" w:eastAsia="Times New Roman" w:hAnsi="Times New Roman" w:cs="Times New Roman"/>
          <w:color w:val="000000"/>
          <w:sz w:val="24"/>
          <w:szCs w:val="24"/>
        </w:rPr>
      </w:pPr>
    </w:p>
    <w:p w14:paraId="20C5167A" w14:textId="2BDC010F"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покриват ли оперативните разходи, включително разходите за поддръжката и за подмяна по проекта?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826D9C" w:rsidRPr="005B30FA" w14:paraId="0B8A53E1"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FC161E"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E967E6" w14:textId="77777777" w:rsidR="00826D9C" w:rsidRPr="005B30FA" w:rsidRDefault="00826D9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D43A4B7"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12E93B" w14:textId="77777777" w:rsidR="00826D9C" w:rsidRPr="005B30FA" w:rsidRDefault="00826D9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54C0913D" w14:textId="77777777"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w:t>
      </w:r>
      <w:proofErr w:type="spellStart"/>
      <w:r w:rsidRPr="005B30FA">
        <w:rPr>
          <w:rFonts w:ascii="Times New Roman" w:eastAsia="Times New Roman" w:hAnsi="Times New Roman" w:cs="Times New Roman"/>
          <w:color w:val="000000"/>
          <w:sz w:val="24"/>
          <w:szCs w:val="24"/>
        </w:rPr>
        <w:t>необхванатите</w:t>
      </w:r>
      <w:proofErr w:type="spellEnd"/>
      <w:r w:rsidRPr="005B30FA">
        <w:rPr>
          <w:rFonts w:ascii="Times New Roman" w:eastAsia="Times New Roman" w:hAnsi="Times New Roman" w:cs="Times New Roman"/>
          <w:color w:val="000000"/>
          <w:sz w:val="24"/>
          <w:szCs w:val="24"/>
        </w:rPr>
        <w:t xml:space="preserve">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14:paraId="7A90BB55" w14:textId="5BDC862D" w:rsidR="00826D9C" w:rsidRPr="005B30FA" w:rsidRDefault="00826D9C" w:rsidP="00826D9C">
      <w:pPr>
        <w:shd w:val="clear" w:color="auto" w:fill="FFFFFF"/>
        <w:spacing w:after="0" w:line="240" w:lineRule="auto"/>
        <w:rPr>
          <w:rFonts w:ascii="Times New Roman" w:eastAsia="Times New Roman" w:hAnsi="Times New Roman" w:cs="Times New Roman"/>
          <w:color w:val="000000"/>
          <w:sz w:val="24"/>
          <w:szCs w:val="24"/>
        </w:rPr>
      </w:pPr>
    </w:p>
    <w:p w14:paraId="1D6F947B" w14:textId="13CE0DE5"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826D9C" w:rsidRPr="005B30FA" w14:paraId="558F6861"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9FFC09"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94DECF" w14:textId="77777777" w:rsidR="00826D9C" w:rsidRPr="005B30FA" w:rsidRDefault="00826D9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A345023"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F33D9B" w14:textId="77777777" w:rsidR="00826D9C" w:rsidRPr="005B30FA" w:rsidRDefault="00826D9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9A441DA" w14:textId="119B6074" w:rsidR="00826D9C" w:rsidRPr="005B30FA" w:rsidRDefault="00826D9C" w:rsidP="00826D9C">
      <w:pPr>
        <w:shd w:val="clear" w:color="auto" w:fill="FFFFFF"/>
        <w:spacing w:after="0" w:line="240" w:lineRule="auto"/>
        <w:rPr>
          <w:rFonts w:ascii="Times New Roman" w:eastAsia="Times New Roman" w:hAnsi="Times New Roman" w:cs="Times New Roman"/>
          <w:color w:val="000000"/>
          <w:sz w:val="24"/>
          <w:szCs w:val="24"/>
        </w:rPr>
      </w:pPr>
    </w:p>
    <w:p w14:paraId="2D7F48A0" w14:textId="7397CA7F"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пропорционални ли са на замърсяването, причинено от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826D9C" w:rsidRPr="005B30FA" w14:paraId="77255AE3"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711E27E"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42AB05F" w14:textId="77777777" w:rsidR="00826D9C" w:rsidRPr="005B30FA" w:rsidRDefault="00826D9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BD19FC"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9A9A7B" w14:textId="77777777" w:rsidR="00826D9C" w:rsidRPr="005B30FA" w:rsidRDefault="00826D9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F1CC07B" w14:textId="13BD1BEF" w:rsidR="00826D9C" w:rsidRPr="005B30FA" w:rsidRDefault="00826D9C" w:rsidP="00826D9C">
      <w:pPr>
        <w:shd w:val="clear" w:color="auto" w:fill="FFFFFF"/>
        <w:spacing w:after="0" w:line="240" w:lineRule="auto"/>
        <w:rPr>
          <w:rFonts w:ascii="Times New Roman" w:eastAsia="Times New Roman" w:hAnsi="Times New Roman" w:cs="Times New Roman"/>
          <w:color w:val="000000"/>
          <w:sz w:val="24"/>
          <w:szCs w:val="24"/>
        </w:rPr>
      </w:pPr>
    </w:p>
    <w:p w14:paraId="3D111F00" w14:textId="75E47483"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Предвидена ли е достъпността на таксите за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826D9C" w:rsidRPr="005B30FA" w14:paraId="17EE805D"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4DF27A1"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002328" w14:textId="77777777" w:rsidR="00826D9C" w:rsidRPr="005B30FA" w:rsidRDefault="00826D9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517CEF"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32E100" w14:textId="77777777" w:rsidR="00826D9C" w:rsidRPr="005B30FA" w:rsidRDefault="00826D9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86AAAFC" w14:textId="5BD6CB7E" w:rsidR="00826D9C" w:rsidRPr="005B30FA" w:rsidRDefault="00826D9C" w:rsidP="00826D9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Икономически анализ</w:t>
      </w:r>
    </w:p>
    <w:p w14:paraId="3F2E651E" w14:textId="375BE7B3"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ако е целесъобразно, представете кратко описание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социално-икономическия анализ, като включите обяснение на връзката с анализа на въз</w:t>
      </w:r>
      <w:r w:rsidR="0001673C">
        <w:rPr>
          <w:rFonts w:ascii="inherit" w:eastAsia="Times New Roman" w:hAnsi="inherit" w:cs="Times New Roman"/>
          <w:i/>
          <w:iCs/>
          <w:color w:val="000000"/>
          <w:sz w:val="24"/>
          <w:szCs w:val="24"/>
        </w:rPr>
        <w:t>действието върху околната среда</w:t>
      </w:r>
      <w:r w:rsidRPr="005B30FA">
        <w:rPr>
          <w:rFonts w:ascii="inherit" w:eastAsia="Times New Roman" w:hAnsi="inherit" w:cs="Times New Roman"/>
          <w:i/>
          <w:iCs/>
          <w:color w:val="000000"/>
          <w:sz w:val="24"/>
          <w:szCs w:val="24"/>
        </w:rPr>
        <w:t>, ако е целесъобразно:</w:t>
      </w:r>
    </w:p>
    <w:p w14:paraId="3B8FBD4E" w14:textId="4FEAF567" w:rsidR="00826D9C" w:rsidRPr="005B30FA" w:rsidRDefault="00826D9C" w:rsidP="00826D9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5"/>
        <w:gridCol w:w="3988"/>
        <w:gridCol w:w="1822"/>
        <w:gridCol w:w="2465"/>
      </w:tblGrid>
      <w:tr w:rsidR="00826D9C" w:rsidRPr="005B30FA" w14:paraId="0A05AB6E"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5E332E"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DE1704"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25F434"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1E16638E" w14:textId="3AE7D99B" w:rsidR="00826D9C" w:rsidRPr="005B30FA" w:rsidRDefault="00826D9C" w:rsidP="0007668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w:t>
            </w:r>
            <w:proofErr w:type="spellStart"/>
            <w:r w:rsidRPr="005B30FA">
              <w:rPr>
                <w:rFonts w:ascii="inherit" w:eastAsia="Times New Roman" w:hAnsi="inherit" w:cs="Times New Roman"/>
                <w:b/>
                <w:bCs/>
              </w:rPr>
              <w:t>дисконтирана</w:t>
            </w:r>
            <w:proofErr w:type="spellEnd"/>
            <w:r w:rsidRPr="005B30FA">
              <w:rPr>
                <w:rFonts w:ascii="inherit" w:eastAsia="Times New Roman" w:hAnsi="inherit" w:cs="Times New Roman"/>
                <w:b/>
                <w:bCs/>
              </w:rPr>
              <w:t>)</w:t>
            </w:r>
            <w:r w:rsidR="00F7220B" w:rsidRPr="005B30FA">
              <w:rPr>
                <w:rFonts w:ascii="inherit" w:eastAsia="Times New Roman" w:hAnsi="inherit" w:cs="Times New Roman"/>
                <w:b/>
                <w:bCs/>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BF61161"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ползи</w:t>
            </w:r>
          </w:p>
        </w:tc>
      </w:tr>
      <w:tr w:rsidR="0001673C" w:rsidRPr="005B30FA" w14:paraId="75B94C3D"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68E51BD" w14:textId="0D3CCB72" w:rsidR="0001673C" w:rsidRPr="005B30FA" w:rsidRDefault="0001673C" w:rsidP="0001673C">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E26AAB" w14:textId="1AEF3727" w:rsidR="0001673C" w:rsidRPr="005B30FA" w:rsidRDefault="0001673C" w:rsidP="0001673C">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230600" w14:textId="7BDFFA63" w:rsidR="0001673C" w:rsidRPr="005B30FA" w:rsidRDefault="0001673C" w:rsidP="0001673C">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AA0CC8" w14:textId="3844E3AF" w:rsidR="0001673C" w:rsidRPr="005B30FA" w:rsidRDefault="0001673C" w:rsidP="0001673C">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r>
      <w:tr w:rsidR="00826D9C" w:rsidRPr="005B30FA" w14:paraId="7B2556A3"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AEBC77"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lastRenderedPageBreak/>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810842"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269C73"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4CC4C3"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826D9C" w:rsidRPr="005B30FA" w14:paraId="3771E71B"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2799756"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DAF9C46" w14:textId="77777777" w:rsidR="00826D9C" w:rsidRPr="005B30FA" w:rsidRDefault="00826D9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0B2810"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0CA064"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r w:rsidR="00826D9C" w:rsidRPr="005B30FA" w14:paraId="21498D71"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7BBDB4A"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D86F9C"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63EA9AF"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6D007BB5" w14:textId="3E7681C1" w:rsidR="00826D9C" w:rsidRPr="005B30FA" w:rsidRDefault="00826D9C" w:rsidP="0007668E">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xml:space="preserve">( </w:t>
            </w:r>
            <w:proofErr w:type="spellStart"/>
            <w:r w:rsidRPr="005B30FA">
              <w:rPr>
                <w:rFonts w:ascii="inherit" w:eastAsia="Times New Roman" w:hAnsi="inherit" w:cs="Times New Roman"/>
                <w:b/>
                <w:bCs/>
              </w:rPr>
              <w:t>дисконтирана</w:t>
            </w:r>
            <w:proofErr w:type="spellEnd"/>
            <w:r w:rsidRPr="005B30FA">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696C67D"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разходи</w:t>
            </w:r>
          </w:p>
        </w:tc>
      </w:tr>
      <w:tr w:rsidR="0001673C" w:rsidRPr="005B30FA" w14:paraId="16A10DFF"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C3EE56" w14:textId="639F1D4F" w:rsidR="0001673C" w:rsidRPr="005B30FA" w:rsidRDefault="0001673C" w:rsidP="0001673C">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9B1B42" w14:textId="00BADFB4" w:rsidR="0001673C" w:rsidRPr="005B30FA" w:rsidRDefault="0001673C" w:rsidP="0001673C">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971676D" w14:textId="43624D04" w:rsidR="0001673C" w:rsidRPr="005B30FA" w:rsidRDefault="0001673C" w:rsidP="0001673C">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99A021" w14:textId="5BB6DF28" w:rsidR="0001673C" w:rsidRPr="005B30FA" w:rsidRDefault="0001673C" w:rsidP="0001673C">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r>
      <w:tr w:rsidR="00826D9C" w:rsidRPr="005B30FA" w14:paraId="1868DCDA"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A2BACA"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E4B856"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80BD18"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E31350"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826D9C" w:rsidRPr="005B30FA" w14:paraId="68C83817"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9ED432F"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370716" w14:textId="77777777" w:rsidR="00826D9C" w:rsidRPr="005B30FA" w:rsidRDefault="00826D9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17CCDB"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1ABCC2" w14:textId="77777777" w:rsidR="00826D9C" w:rsidRPr="005B30FA" w:rsidRDefault="00826D9C" w:rsidP="001C4327">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bl>
    <w:p w14:paraId="641CAD7C" w14:textId="046ECE01" w:rsidR="00826D9C" w:rsidRPr="005B30FA" w:rsidRDefault="00826D9C" w:rsidP="00826D9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641"/>
        <w:gridCol w:w="1298"/>
        <w:gridCol w:w="4541"/>
      </w:tblGrid>
      <w:tr w:rsidR="00826D9C" w:rsidRPr="005B30FA" w14:paraId="66EECB46"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3853CD"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F3AC92"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13059B8" w14:textId="77777777" w:rsidR="00826D9C" w:rsidRPr="005B30FA" w:rsidRDefault="00826D9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826D9C" w:rsidRPr="005B30FA" w14:paraId="6B445E04"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826D9C" w:rsidRPr="005B30FA" w14:paraId="4BD34003" w14:textId="77777777" w:rsidTr="001C4327">
              <w:trPr>
                <w:tblCellSpacing w:w="0" w:type="dxa"/>
              </w:trPr>
              <w:tc>
                <w:tcPr>
                  <w:tcW w:w="0" w:type="auto"/>
                  <w:hideMark/>
                </w:tcPr>
                <w:p w14:paraId="71F917C4" w14:textId="77777777" w:rsidR="00826D9C" w:rsidRPr="005B30FA" w:rsidRDefault="00826D9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7C11A426" w14:textId="77777777" w:rsidR="00826D9C" w:rsidRPr="005B30FA" w:rsidRDefault="00826D9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Социална дисконтова норма (в процентно изражение)</w:t>
                  </w:r>
                </w:p>
              </w:tc>
            </w:tr>
          </w:tbl>
          <w:p w14:paraId="024B96D3" w14:textId="77777777" w:rsidR="00826D9C" w:rsidRPr="005B30FA" w:rsidRDefault="00826D9C" w:rsidP="001C4327">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E5C710" w14:textId="6775D5CC" w:rsidR="00826D9C" w:rsidRPr="005B30FA" w:rsidRDefault="0001673C" w:rsidP="0001673C">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128350" w14:textId="10C086E3" w:rsidR="00826D9C" w:rsidRPr="005B30FA" w:rsidRDefault="0001673C" w:rsidP="001C4327">
            <w:pPr>
              <w:spacing w:before="60" w:after="60" w:line="240" w:lineRule="auto"/>
              <w:rPr>
                <w:rFonts w:ascii="inherit" w:eastAsia="Times New Roman" w:hAnsi="inherit" w:cs="Times New Roman"/>
              </w:rPr>
            </w:pPr>
            <w:r>
              <w:rPr>
                <w:rFonts w:ascii="inherit" w:eastAsia="Times New Roman" w:hAnsi="inherit" w:cs="Times New Roman"/>
                <w:i/>
                <w:iCs/>
              </w:rPr>
              <w:t>………………</w:t>
            </w:r>
          </w:p>
        </w:tc>
      </w:tr>
      <w:tr w:rsidR="0001673C" w:rsidRPr="005B30FA" w14:paraId="1EC8CC79"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01673C" w:rsidRPr="005B30FA" w14:paraId="12982DDF" w14:textId="77777777" w:rsidTr="001C4327">
              <w:trPr>
                <w:tblCellSpacing w:w="0" w:type="dxa"/>
              </w:trPr>
              <w:tc>
                <w:tcPr>
                  <w:tcW w:w="0" w:type="auto"/>
                  <w:hideMark/>
                </w:tcPr>
                <w:p w14:paraId="38D7A402" w14:textId="77777777" w:rsidR="0001673C" w:rsidRPr="005B30FA" w:rsidRDefault="0001673C" w:rsidP="000167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43BBB193" w14:textId="77777777" w:rsidR="0001673C" w:rsidRPr="005B30FA" w:rsidRDefault="0001673C" w:rsidP="000167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Икономическа норма на възвращаемост (ИНВ) (в процентно изражение)</w:t>
                  </w:r>
                </w:p>
              </w:tc>
            </w:tr>
          </w:tbl>
          <w:p w14:paraId="732472D7" w14:textId="77777777" w:rsidR="0001673C" w:rsidRPr="005B30FA" w:rsidRDefault="0001673C" w:rsidP="000167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569019" w14:textId="0BC27147" w:rsidR="0001673C" w:rsidRPr="005B30FA" w:rsidRDefault="0001673C" w:rsidP="000167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E301CD" w14:textId="5F6E2E2E" w:rsidR="0001673C" w:rsidRPr="005B30FA" w:rsidRDefault="0001673C" w:rsidP="000167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01673C" w:rsidRPr="005B30FA" w14:paraId="5F593981"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01673C" w:rsidRPr="005B30FA" w14:paraId="6C62B9E0" w14:textId="77777777" w:rsidTr="001C4327">
              <w:trPr>
                <w:tblCellSpacing w:w="0" w:type="dxa"/>
              </w:trPr>
              <w:tc>
                <w:tcPr>
                  <w:tcW w:w="0" w:type="auto"/>
                  <w:hideMark/>
                </w:tcPr>
                <w:p w14:paraId="1858FDE0" w14:textId="77777777" w:rsidR="0001673C" w:rsidRPr="005B30FA" w:rsidRDefault="0001673C" w:rsidP="000167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3.</w:t>
                  </w:r>
                </w:p>
              </w:tc>
              <w:tc>
                <w:tcPr>
                  <w:tcW w:w="0" w:type="auto"/>
                  <w:hideMark/>
                </w:tcPr>
                <w:p w14:paraId="29102B88" w14:textId="42C02A8C" w:rsidR="0001673C" w:rsidRPr="005B30FA" w:rsidRDefault="0001673C" w:rsidP="0007668E">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Нетна настояща икономическа стойност </w:t>
                  </w:r>
                </w:p>
              </w:tc>
            </w:tr>
          </w:tbl>
          <w:p w14:paraId="2281AC6E" w14:textId="77777777" w:rsidR="0001673C" w:rsidRPr="005B30FA" w:rsidRDefault="0001673C" w:rsidP="000167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C0BAB8" w14:textId="042E5EBD" w:rsidR="0001673C" w:rsidRPr="005B30FA" w:rsidRDefault="0001673C" w:rsidP="000167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C81EF9" w14:textId="788F64A8" w:rsidR="0001673C" w:rsidRPr="005B30FA" w:rsidRDefault="0001673C" w:rsidP="000167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01673C" w:rsidRPr="005B30FA" w14:paraId="39083B81"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8"/>
              <w:gridCol w:w="3403"/>
            </w:tblGrid>
            <w:tr w:rsidR="0001673C" w:rsidRPr="005B30FA" w14:paraId="4A84A67F" w14:textId="77777777" w:rsidTr="001C4327">
              <w:trPr>
                <w:tblCellSpacing w:w="0" w:type="dxa"/>
              </w:trPr>
              <w:tc>
                <w:tcPr>
                  <w:tcW w:w="0" w:type="auto"/>
                  <w:hideMark/>
                </w:tcPr>
                <w:p w14:paraId="7CFFFE39" w14:textId="77777777" w:rsidR="0001673C" w:rsidRPr="005B30FA" w:rsidRDefault="0001673C" w:rsidP="000167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4.</w:t>
                  </w:r>
                </w:p>
              </w:tc>
              <w:tc>
                <w:tcPr>
                  <w:tcW w:w="0" w:type="auto"/>
                  <w:hideMark/>
                </w:tcPr>
                <w:p w14:paraId="03C8D449" w14:textId="77777777" w:rsidR="0001673C" w:rsidRPr="005B30FA" w:rsidRDefault="0001673C" w:rsidP="000167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Съотношение ползи/разходи</w:t>
                  </w:r>
                </w:p>
              </w:tc>
            </w:tr>
          </w:tbl>
          <w:p w14:paraId="5DF435E5" w14:textId="77777777" w:rsidR="0001673C" w:rsidRPr="005B30FA" w:rsidRDefault="0001673C" w:rsidP="000167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C47146" w14:textId="360CC7FE" w:rsidR="0001673C" w:rsidRPr="005B30FA" w:rsidRDefault="0001673C" w:rsidP="000167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3A7787" w14:textId="4322D718" w:rsidR="0001673C" w:rsidRPr="005B30FA" w:rsidRDefault="0001673C" w:rsidP="000167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bl>
    <w:p w14:paraId="26056331" w14:textId="77777777" w:rsidR="00826D9C" w:rsidRPr="005B30FA" w:rsidRDefault="00826D9C" w:rsidP="00826D9C">
      <w:pPr>
        <w:shd w:val="clear" w:color="auto" w:fill="FFFFFF"/>
        <w:spacing w:after="0" w:line="240" w:lineRule="auto"/>
        <w:rPr>
          <w:rFonts w:ascii="Times New Roman" w:eastAsia="Times New Roman" w:hAnsi="Times New Roman" w:cs="Times New Roman"/>
          <w:color w:val="000000"/>
          <w:sz w:val="24"/>
          <w:szCs w:val="24"/>
        </w:rPr>
      </w:pPr>
    </w:p>
    <w:p w14:paraId="43DC613D" w14:textId="4F5AE2EC"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Оценка на риска и анализ на чувствителността</w:t>
      </w:r>
    </w:p>
    <w:p w14:paraId="788B4184" w14:textId="4FF1D0AD"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представете кратко описание на използваната методология и обобщение на резултатите, включително основните идентифицирани рискове</w:t>
      </w:r>
    </w:p>
    <w:p w14:paraId="44A2DC70" w14:textId="3A247241"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Анализ на чувствителността</w:t>
      </w:r>
    </w:p>
    <w:p w14:paraId="36EF841D"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приложената променливост за изпитаните параметри (в процентно изражение):</w:t>
      </w:r>
    </w:p>
    <w:p w14:paraId="1DAC14B2"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30"/>
        <w:gridCol w:w="2616"/>
        <w:gridCol w:w="2615"/>
        <w:gridCol w:w="2619"/>
      </w:tblGrid>
      <w:tr w:rsidR="0001673C" w:rsidRPr="005B30FA" w14:paraId="672AB7D9"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DA2A111" w14:textId="77777777" w:rsidR="0001673C" w:rsidRPr="005B30FA" w:rsidRDefault="0001673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09F00E" w14:textId="77777777" w:rsidR="0001673C" w:rsidRPr="005B30FA" w:rsidRDefault="0001673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F4B0BB2" w14:textId="77777777" w:rsidR="0001673C" w:rsidRPr="005B30FA" w:rsidRDefault="0001673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D0C97DB" w14:textId="77777777" w:rsidR="0001673C" w:rsidRPr="005B30FA" w:rsidRDefault="0001673C" w:rsidP="001C4327">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икономическа стойност (ННИС) (%)</w:t>
            </w:r>
          </w:p>
        </w:tc>
      </w:tr>
      <w:tr w:rsidR="0001673C" w:rsidRPr="005B30FA" w14:paraId="649372D5"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DBF372" w14:textId="09A441AC" w:rsidR="0001673C" w:rsidRPr="005B30FA" w:rsidRDefault="0001673C" w:rsidP="0001673C">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1740AB" w14:textId="2047237A" w:rsidR="0001673C" w:rsidRPr="005B30FA" w:rsidRDefault="0001673C" w:rsidP="0001673C">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18BB76" w14:textId="094043B3" w:rsidR="0001673C" w:rsidRPr="005B30FA" w:rsidRDefault="0001673C" w:rsidP="0001673C">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FDC6174" w14:textId="060C8967" w:rsidR="0001673C" w:rsidRPr="005B30FA" w:rsidRDefault="0001673C" w:rsidP="0001673C">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r>
      <w:tr w:rsidR="0001673C" w:rsidRPr="005B30FA" w14:paraId="0B93DB20"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7A95177"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A6EDEB"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01FFDF"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C2145C"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r w:rsidR="0001673C" w:rsidRPr="005B30FA" w14:paraId="14F1EB31"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24A1BF6"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01F9531"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6AB570F"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37C79F"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bl>
    <w:p w14:paraId="1FD874C5"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14:paraId="19B15251"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14:paraId="671B6B52" w14:textId="16AB7DE2"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Оценка на риска</w:t>
      </w:r>
    </w:p>
    <w:p w14:paraId="21F113A4" w14:textId="5A04BBEB"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представете кратко обобщение на оценката на риска, включително списък на рисковете, на които е изложен проектът, матрица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14:paraId="4E8F5F77" w14:textId="6F2A13AD"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Извършени допълнителни оценки, ако е приложимо</w:t>
      </w:r>
    </w:p>
    <w:p w14:paraId="6D4E2EC5"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14:paraId="31FD41C8" w14:textId="49A8CA30" w:rsidR="0001673C" w:rsidRPr="005E2E76" w:rsidRDefault="0001673C" w:rsidP="005E2E76">
      <w:pPr>
        <w:pStyle w:val="ListParagraph"/>
        <w:numPr>
          <w:ilvl w:val="0"/>
          <w:numId w:val="21"/>
        </w:numPr>
        <w:shd w:val="clear" w:color="auto" w:fill="FFFFFF"/>
        <w:spacing w:before="120" w:after="0" w:line="240" w:lineRule="auto"/>
        <w:jc w:val="both"/>
        <w:rPr>
          <w:rFonts w:ascii="Times New Roman" w:eastAsia="Times New Roman" w:hAnsi="Times New Roman" w:cs="Times New Roman"/>
          <w:b/>
          <w:bCs/>
          <w:color w:val="000000"/>
          <w:sz w:val="24"/>
          <w:szCs w:val="24"/>
        </w:rPr>
      </w:pPr>
      <w:r w:rsidRPr="005E2E76">
        <w:rPr>
          <w:rFonts w:ascii="Times New Roman" w:eastAsia="Times New Roman" w:hAnsi="Times New Roman" w:cs="Times New Roman"/>
          <w:bCs/>
          <w:color w:val="000000"/>
          <w:sz w:val="24"/>
          <w:szCs w:val="24"/>
        </w:rPr>
        <w:t xml:space="preserve">в поле </w:t>
      </w:r>
      <w:r w:rsidRPr="005E2E76">
        <w:rPr>
          <w:rFonts w:ascii="Times New Roman" w:eastAsia="Times New Roman" w:hAnsi="Times New Roman" w:cs="Times New Roman"/>
          <w:b/>
          <w:bCs/>
          <w:color w:val="000000"/>
          <w:sz w:val="24"/>
          <w:szCs w:val="24"/>
        </w:rPr>
        <w:t>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14:paraId="5BD16A79" w14:textId="77777777"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Е.1.   </w:t>
      </w:r>
      <w:r w:rsidRPr="005B30FA">
        <w:rPr>
          <w:rFonts w:ascii="inherit" w:eastAsia="Times New Roman" w:hAnsi="inherit" w:cs="Times New Roman"/>
          <w:b/>
          <w:bCs/>
          <w:color w:val="000000"/>
          <w:sz w:val="24"/>
          <w:szCs w:val="24"/>
        </w:rPr>
        <w:t>Съгласуваност на проекта с политиката в областта на околната среда</w:t>
      </w:r>
    </w:p>
    <w:p w14:paraId="0BEE957A"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Е.1.1   </w:t>
      </w:r>
      <w:r w:rsidRPr="005B30FA">
        <w:rPr>
          <w:rFonts w:ascii="inherit" w:eastAsia="Times New Roman" w:hAnsi="inherit" w:cs="Times New Roman"/>
          <w:i/>
          <w:iCs/>
          <w:color w:val="000000"/>
          <w:sz w:val="24"/>
          <w:szCs w:val="24"/>
        </w:rPr>
        <w:t xml:space="preserve">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w:t>
      </w:r>
      <w:proofErr w:type="spellStart"/>
      <w:r w:rsidRPr="005B30FA">
        <w:rPr>
          <w:rFonts w:ascii="inherit" w:eastAsia="Times New Roman" w:hAnsi="inherit" w:cs="Times New Roman"/>
          <w:i/>
          <w:iCs/>
          <w:color w:val="000000"/>
          <w:sz w:val="24"/>
          <w:szCs w:val="24"/>
        </w:rPr>
        <w:t>екосистемните</w:t>
      </w:r>
      <w:proofErr w:type="spellEnd"/>
      <w:r w:rsidRPr="005B30FA">
        <w:rPr>
          <w:rFonts w:ascii="inherit" w:eastAsia="Times New Roman" w:hAnsi="inherit" w:cs="Times New Roman"/>
          <w:i/>
          <w:iCs/>
          <w:color w:val="000000"/>
          <w:sz w:val="24"/>
          <w:szCs w:val="24"/>
        </w:rPr>
        <w:t xml:space="preserve"> услуги, намаляване на емисиите на парникови газове, както и устойчивост по отношение на въздействията на изменението на климата и др.).</w:t>
      </w:r>
    </w:p>
    <w:p w14:paraId="3D13A37F"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Е.1.2   </w:t>
      </w:r>
      <w:r w:rsidRPr="005B30FA">
        <w:rPr>
          <w:rFonts w:ascii="inherit" w:eastAsia="Times New Roman" w:hAnsi="inherit" w:cs="Times New Roman"/>
          <w:i/>
          <w:iCs/>
          <w:color w:val="000000"/>
          <w:sz w:val="24"/>
          <w:szCs w:val="24"/>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14:paraId="40AFEED9" w14:textId="67765D7F"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Е.2.   </w:t>
      </w:r>
      <w:r w:rsidRPr="005B30FA">
        <w:rPr>
          <w:rFonts w:ascii="inherit" w:eastAsia="Times New Roman" w:hAnsi="inherit" w:cs="Times New Roman"/>
          <w:b/>
          <w:bCs/>
          <w:color w:val="000000"/>
          <w:sz w:val="24"/>
          <w:szCs w:val="24"/>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СЕО“)</w:t>
      </w:r>
    </w:p>
    <w:p w14:paraId="386AD14D" w14:textId="3E1BC51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Е.2.1   </w:t>
      </w:r>
      <w:r w:rsidRPr="005B30FA">
        <w:rPr>
          <w:rFonts w:ascii="inherit" w:eastAsia="Times New Roman" w:hAnsi="inherit" w:cs="Times New Roman"/>
          <w:i/>
          <w:iCs/>
          <w:color w:val="000000"/>
          <w:sz w:val="24"/>
          <w:szCs w:val="24"/>
        </w:rPr>
        <w:t xml:space="preserve">Проектът изпълнен ли е в резултат на план или програма, различни от оперативна програма?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01673C" w:rsidRPr="005B30FA" w14:paraId="0B5F6574"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EC41F9"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6ABE6D8"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BC3A9D6"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C574785"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5C3C617" w14:textId="017D813A"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Е.2.2.   </w:t>
      </w:r>
      <w:r w:rsidRPr="005B30FA">
        <w:rPr>
          <w:rFonts w:ascii="inherit" w:eastAsia="Times New Roman" w:hAnsi="inherit" w:cs="Times New Roman"/>
          <w:i/>
          <w:iCs/>
          <w:color w:val="000000"/>
          <w:sz w:val="24"/>
          <w:szCs w:val="24"/>
        </w:rPr>
        <w:t xml:space="preserve">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01673C" w:rsidRPr="005B30FA" w14:paraId="7C0F08EE"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934DFA"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233FB3"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4F5B44"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6D241C"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7D68C98" w14:textId="77777777" w:rsidR="0001673C" w:rsidRPr="005B30FA" w:rsidRDefault="0001673C" w:rsidP="0001673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01673C" w:rsidRPr="005B30FA" w14:paraId="4378ED01" w14:textId="77777777" w:rsidTr="001C4327">
        <w:trPr>
          <w:tblCellSpacing w:w="0" w:type="dxa"/>
        </w:trPr>
        <w:tc>
          <w:tcPr>
            <w:tcW w:w="0" w:type="auto"/>
            <w:shd w:val="clear" w:color="auto" w:fill="FFFFFF"/>
            <w:hideMark/>
          </w:tcPr>
          <w:p w14:paraId="2CDC800E"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w:t>
            </w:r>
          </w:p>
        </w:tc>
        <w:tc>
          <w:tcPr>
            <w:tcW w:w="0" w:type="auto"/>
            <w:shd w:val="clear" w:color="auto" w:fill="FFFFFF"/>
            <w:hideMark/>
          </w:tcPr>
          <w:p w14:paraId="222974F3"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представете кратко обяснение:</w:t>
            </w:r>
          </w:p>
          <w:p w14:paraId="2B785C47" w14:textId="3E1EC2DF" w:rsidR="0001673C" w:rsidRPr="005B30FA" w:rsidRDefault="0001673C" w:rsidP="001C4327">
            <w:pPr>
              <w:spacing w:after="0" w:line="240" w:lineRule="auto"/>
              <w:rPr>
                <w:rFonts w:ascii="inherit" w:eastAsia="Times New Roman" w:hAnsi="inherit" w:cs="Times New Roman"/>
                <w:sz w:val="24"/>
                <w:szCs w:val="24"/>
              </w:rPr>
            </w:pPr>
          </w:p>
        </w:tc>
      </w:tr>
      <w:tr w:rsidR="0001673C" w:rsidRPr="005B30FA" w14:paraId="47F7DAA4" w14:textId="77777777" w:rsidTr="001C4327">
        <w:trPr>
          <w:tblCellSpacing w:w="0" w:type="dxa"/>
        </w:trPr>
        <w:tc>
          <w:tcPr>
            <w:tcW w:w="0" w:type="auto"/>
            <w:shd w:val="clear" w:color="auto" w:fill="FFFFFF"/>
            <w:hideMark/>
          </w:tcPr>
          <w:p w14:paraId="707F3425"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3B9115A3" w14:textId="28333606" w:rsidR="0001673C" w:rsidRPr="005B30FA" w:rsidRDefault="0001673C" w:rsidP="00B45B8A">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представете нетехническото резюме</w:t>
            </w:r>
            <w:hyperlink r:id="rId20" w:anchor="ntr41-L_2015038BG.01001101-E0041" w:history="1">
              <w:r w:rsidRPr="005B30FA">
                <w:rPr>
                  <w:rFonts w:ascii="inherit" w:eastAsia="Times New Roman" w:hAnsi="inherit" w:cs="Times New Roman"/>
                  <w:color w:val="0000FF"/>
                  <w:sz w:val="24"/>
                  <w:szCs w:val="24"/>
                  <w:u w:val="single"/>
                </w:rPr>
                <w:t> </w:t>
              </w:r>
            </w:hyperlink>
            <w:r w:rsidRPr="005B30FA">
              <w:rPr>
                <w:rFonts w:ascii="inherit" w:eastAsia="Times New Roman" w:hAnsi="inherit" w:cs="Times New Roman"/>
                <w:sz w:val="24"/>
                <w:szCs w:val="24"/>
              </w:rPr>
              <w:t xml:space="preserve">на доклада относно околната среда, както и информацията, изисквана по член 9, параграф 1, буква б) от посочената директива (или връзка към </w:t>
            </w:r>
            <w:r w:rsidR="00B45B8A">
              <w:rPr>
                <w:rFonts w:ascii="inherit" w:eastAsia="Times New Roman" w:hAnsi="inherit" w:cs="Times New Roman"/>
                <w:sz w:val="24"/>
                <w:szCs w:val="24"/>
              </w:rPr>
              <w:t>уебсайт, или електронно копие).</w:t>
            </w:r>
          </w:p>
        </w:tc>
      </w:tr>
    </w:tbl>
    <w:p w14:paraId="0A8BA9E9" w14:textId="4006DC78"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   </w:t>
      </w:r>
      <w:r w:rsidRPr="005B30FA">
        <w:rPr>
          <w:rFonts w:ascii="inherit" w:eastAsia="Times New Roman" w:hAnsi="inherit" w:cs="Times New Roman"/>
          <w:b/>
          <w:bCs/>
          <w:color w:val="000000"/>
          <w:sz w:val="24"/>
          <w:szCs w:val="24"/>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ОВОС“)</w:t>
      </w:r>
    </w:p>
    <w:p w14:paraId="565FCD14" w14:textId="51290B64"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Е.3.2   </w:t>
      </w:r>
      <w:r w:rsidRPr="005B30FA">
        <w:rPr>
          <w:rFonts w:ascii="inherit" w:eastAsia="Times New Roman" w:hAnsi="inherit" w:cs="Times New Roman"/>
          <w:i/>
          <w:iCs/>
          <w:color w:val="000000"/>
          <w:sz w:val="24"/>
          <w:szCs w:val="24"/>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3"/>
        <w:gridCol w:w="9193"/>
      </w:tblGrid>
      <w:tr w:rsidR="0001673C" w:rsidRPr="005B30FA" w14:paraId="0AEC9F53" w14:textId="77777777" w:rsidTr="001C4327">
        <w:trPr>
          <w:tblCellSpacing w:w="0" w:type="dxa"/>
        </w:trPr>
        <w:tc>
          <w:tcPr>
            <w:tcW w:w="0" w:type="auto"/>
            <w:shd w:val="clear" w:color="auto" w:fill="FFFFFF"/>
            <w:hideMark/>
          </w:tcPr>
          <w:p w14:paraId="344B49B7"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4757B5F7"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 към Директивата за ОВОС (преминете към въпрос Е.3.3)</w:t>
            </w:r>
          </w:p>
        </w:tc>
      </w:tr>
    </w:tbl>
    <w:p w14:paraId="32A8D76B" w14:textId="77777777" w:rsidR="0001673C" w:rsidRPr="005B30FA" w:rsidRDefault="0001673C" w:rsidP="0001673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96"/>
      </w:tblGrid>
      <w:tr w:rsidR="0001673C" w:rsidRPr="005B30FA" w14:paraId="4CD6EB95" w14:textId="77777777" w:rsidTr="001C4327">
        <w:trPr>
          <w:tblCellSpacing w:w="0" w:type="dxa"/>
        </w:trPr>
        <w:tc>
          <w:tcPr>
            <w:tcW w:w="0" w:type="auto"/>
            <w:shd w:val="clear" w:color="auto" w:fill="FFFFFF"/>
            <w:hideMark/>
          </w:tcPr>
          <w:p w14:paraId="125CFA6B"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13FF867B"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II към Директивата за ОВОС (преминете към въпрос Е.3.4)</w:t>
            </w:r>
          </w:p>
        </w:tc>
      </w:tr>
    </w:tbl>
    <w:p w14:paraId="6C18973B" w14:textId="77777777" w:rsidR="0001673C" w:rsidRPr="005B30FA" w:rsidRDefault="0001673C" w:rsidP="0001673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7"/>
        <w:gridCol w:w="9249"/>
      </w:tblGrid>
      <w:tr w:rsidR="0001673C" w:rsidRPr="005B30FA" w14:paraId="1670D89D" w14:textId="77777777" w:rsidTr="001C4327">
        <w:trPr>
          <w:tblCellSpacing w:w="0" w:type="dxa"/>
        </w:trPr>
        <w:tc>
          <w:tcPr>
            <w:tcW w:w="0" w:type="auto"/>
            <w:shd w:val="clear" w:color="auto" w:fill="FFFFFF"/>
            <w:hideMark/>
          </w:tcPr>
          <w:p w14:paraId="066EA60D"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5DE4FEB0"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нито едно от двете приложения (преминете към въпрос Е.4) — моля, пояснете по-долу:</w:t>
            </w:r>
          </w:p>
          <w:p w14:paraId="350B8818" w14:textId="3271E142" w:rsidR="0001673C" w:rsidRPr="005B30FA" w:rsidRDefault="0001673C" w:rsidP="001C4327">
            <w:pPr>
              <w:spacing w:after="0" w:line="240" w:lineRule="auto"/>
              <w:rPr>
                <w:rFonts w:ascii="inherit" w:eastAsia="Times New Roman" w:hAnsi="inherit" w:cs="Times New Roman"/>
                <w:sz w:val="24"/>
                <w:szCs w:val="24"/>
              </w:rPr>
            </w:pPr>
          </w:p>
        </w:tc>
      </w:tr>
    </w:tbl>
    <w:p w14:paraId="0232B4FD" w14:textId="388AF344"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Е.3.3   </w:t>
      </w:r>
      <w:r w:rsidRPr="005B30FA">
        <w:rPr>
          <w:rFonts w:ascii="inherit" w:eastAsia="Times New Roman" w:hAnsi="inherit" w:cs="Times New Roman"/>
          <w:i/>
          <w:iCs/>
          <w:color w:val="000000"/>
          <w:sz w:val="24"/>
          <w:szCs w:val="24"/>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inherit" w:eastAsia="Times New Roman" w:hAnsi="inherit" w:cs="Times New Roman"/>
          <w:color w:val="0000FF"/>
          <w:sz w:val="24"/>
          <w:szCs w:val="24"/>
          <w:u w:val="single"/>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1"/>
        <w:gridCol w:w="9115"/>
      </w:tblGrid>
      <w:tr w:rsidR="0001673C" w:rsidRPr="005B30FA" w14:paraId="2F707DEE" w14:textId="77777777" w:rsidTr="001C4327">
        <w:trPr>
          <w:tblCellSpacing w:w="0" w:type="dxa"/>
        </w:trPr>
        <w:tc>
          <w:tcPr>
            <w:tcW w:w="0" w:type="auto"/>
            <w:shd w:val="clear" w:color="auto" w:fill="FFFFFF"/>
            <w:hideMark/>
          </w:tcPr>
          <w:p w14:paraId="6E55F8FE"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shd w:val="clear" w:color="auto" w:fill="FFFFFF"/>
            <w:hideMark/>
          </w:tcPr>
          <w:p w14:paraId="733E131F" w14:textId="72A82E18" w:rsidR="0001673C" w:rsidRPr="005B30FA" w:rsidRDefault="0001673C" w:rsidP="008610B2">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Нетехническо резюме на доклада за ОВОС.</w:t>
            </w:r>
          </w:p>
        </w:tc>
      </w:tr>
    </w:tbl>
    <w:p w14:paraId="099BDC12" w14:textId="77777777" w:rsidR="0001673C" w:rsidRPr="005B30FA" w:rsidRDefault="0001673C" w:rsidP="0001673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93"/>
      </w:tblGrid>
      <w:tr w:rsidR="0001673C" w:rsidRPr="005B30FA" w14:paraId="1383F779" w14:textId="77777777" w:rsidTr="001C4327">
        <w:trPr>
          <w:tblCellSpacing w:w="0" w:type="dxa"/>
        </w:trPr>
        <w:tc>
          <w:tcPr>
            <w:tcW w:w="0" w:type="auto"/>
            <w:shd w:val="clear" w:color="auto" w:fill="FFFFFF"/>
            <w:hideMark/>
          </w:tcPr>
          <w:p w14:paraId="3B565264"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shd w:val="clear" w:color="auto" w:fill="FFFFFF"/>
            <w:hideMark/>
          </w:tcPr>
          <w:p w14:paraId="79A3947A"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14:paraId="48B986D7" w14:textId="77777777" w:rsidR="0001673C" w:rsidRPr="005B30FA" w:rsidRDefault="0001673C" w:rsidP="0001673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302"/>
      </w:tblGrid>
      <w:tr w:rsidR="0001673C" w:rsidRPr="005B30FA" w14:paraId="53F8ABD0" w14:textId="77777777" w:rsidTr="001C4327">
        <w:trPr>
          <w:tblCellSpacing w:w="0" w:type="dxa"/>
        </w:trPr>
        <w:tc>
          <w:tcPr>
            <w:tcW w:w="0" w:type="auto"/>
            <w:shd w:val="clear" w:color="auto" w:fill="FFFFFF"/>
            <w:hideMark/>
          </w:tcPr>
          <w:p w14:paraId="1076D48E"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0" w:type="auto"/>
            <w:shd w:val="clear" w:color="auto" w:fill="FFFFFF"/>
            <w:hideMark/>
          </w:tcPr>
          <w:p w14:paraId="39C4F506" w14:textId="2A7786D9" w:rsidR="0001673C" w:rsidRPr="005B30FA" w:rsidRDefault="0001673C" w:rsidP="00B45B8A">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издадено в съответствие с членове 8 и 9 от Директивата за ОВОС, включително информация за това как е било предоставено на разположение на обществеността.</w:t>
            </w:r>
          </w:p>
        </w:tc>
      </w:tr>
    </w:tbl>
    <w:p w14:paraId="1E88BBBF" w14:textId="3102971F"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Е.3.4   </w:t>
      </w:r>
      <w:r w:rsidRPr="005B30FA">
        <w:rPr>
          <w:rFonts w:ascii="inherit" w:eastAsia="Times New Roman" w:hAnsi="inherit" w:cs="Times New Roman"/>
          <w:i/>
          <w:iCs/>
          <w:color w:val="000000"/>
          <w:sz w:val="24"/>
          <w:szCs w:val="24"/>
        </w:rPr>
        <w:t xml:space="preserve">Ако проектът е в обхвата на приложение II към Директивата за ОВОС, извършена ли е ОВОС?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01673C" w:rsidRPr="005B30FA" w14:paraId="56146494"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E973F50"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64D15C"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5C05C1D"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9A8606"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76357C8" w14:textId="77777777" w:rsidR="0001673C" w:rsidRPr="005B30FA" w:rsidRDefault="0001673C" w:rsidP="0001673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01673C" w:rsidRPr="005B30FA" w14:paraId="173C234A" w14:textId="77777777" w:rsidTr="001C4327">
        <w:trPr>
          <w:tblCellSpacing w:w="0" w:type="dxa"/>
        </w:trPr>
        <w:tc>
          <w:tcPr>
            <w:tcW w:w="0" w:type="auto"/>
            <w:shd w:val="clear" w:color="auto" w:fill="FFFFFF"/>
            <w:hideMark/>
          </w:tcPr>
          <w:p w14:paraId="692B8193"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4516D026"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приложете необходимите документи, изброени в точка Е.3.3.</w:t>
            </w:r>
          </w:p>
        </w:tc>
      </w:tr>
    </w:tbl>
    <w:p w14:paraId="79228D6B" w14:textId="77777777" w:rsidR="0001673C" w:rsidRPr="005B30FA" w:rsidRDefault="0001673C" w:rsidP="0001673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01673C" w:rsidRPr="005B30FA" w14:paraId="7F02E22C" w14:textId="77777777" w:rsidTr="001C4327">
        <w:trPr>
          <w:tblCellSpacing w:w="0" w:type="dxa"/>
        </w:trPr>
        <w:tc>
          <w:tcPr>
            <w:tcW w:w="0" w:type="auto"/>
            <w:shd w:val="clear" w:color="auto" w:fill="FFFFFF"/>
            <w:hideMark/>
          </w:tcPr>
          <w:p w14:paraId="3D984346"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1559A295"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9069"/>
            </w:tblGrid>
            <w:tr w:rsidR="0001673C" w:rsidRPr="005B30FA" w14:paraId="2D71AB51" w14:textId="77777777" w:rsidTr="001C4327">
              <w:trPr>
                <w:tblCellSpacing w:w="0" w:type="dxa"/>
              </w:trPr>
              <w:tc>
                <w:tcPr>
                  <w:tcW w:w="0" w:type="auto"/>
                  <w:hideMark/>
                </w:tcPr>
                <w:p w14:paraId="2ABEF2EA"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7A79CB1A"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определянето, което се изисква в член 4, параграф 4 от Директивата за ОВОС (т.нар. „решение за </w:t>
                  </w:r>
                  <w:proofErr w:type="spellStart"/>
                  <w:r w:rsidRPr="005B30FA">
                    <w:rPr>
                      <w:rFonts w:ascii="inherit" w:eastAsia="Times New Roman" w:hAnsi="inherit" w:cs="Times New Roman"/>
                      <w:sz w:val="24"/>
                      <w:szCs w:val="24"/>
                    </w:rPr>
                    <w:t>скрининг</w:t>
                  </w:r>
                  <w:proofErr w:type="spellEnd"/>
                  <w:r w:rsidRPr="005B30FA">
                    <w:rPr>
                      <w:rFonts w:ascii="inherit" w:eastAsia="Times New Roman" w:hAnsi="inherit" w:cs="Times New Roman"/>
                      <w:sz w:val="24"/>
                      <w:szCs w:val="24"/>
                    </w:rPr>
                    <w:t>“).</w:t>
                  </w:r>
                </w:p>
              </w:tc>
            </w:tr>
          </w:tbl>
          <w:p w14:paraId="7CC61A77" w14:textId="77777777" w:rsidR="0001673C" w:rsidRPr="005B30FA" w:rsidRDefault="0001673C" w:rsidP="001C4327">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53"/>
            </w:tblGrid>
            <w:tr w:rsidR="0001673C" w:rsidRPr="005B30FA" w14:paraId="390B23CE" w14:textId="77777777" w:rsidTr="001C4327">
              <w:trPr>
                <w:tblCellSpacing w:w="0" w:type="dxa"/>
              </w:trPr>
              <w:tc>
                <w:tcPr>
                  <w:tcW w:w="0" w:type="auto"/>
                  <w:hideMark/>
                </w:tcPr>
                <w:p w14:paraId="56F2317A"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2461050A"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14:paraId="7B696123" w14:textId="77777777" w:rsidR="0001673C" w:rsidRPr="005B30FA" w:rsidRDefault="0001673C" w:rsidP="001C4327">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328"/>
              <w:gridCol w:w="8928"/>
            </w:tblGrid>
            <w:tr w:rsidR="0001673C" w:rsidRPr="005B30FA" w14:paraId="4B93E05A" w14:textId="77777777" w:rsidTr="00B45B8A">
              <w:trPr>
                <w:tblCellSpacing w:w="0" w:type="dxa"/>
              </w:trPr>
              <w:tc>
                <w:tcPr>
                  <w:tcW w:w="177" w:type="pct"/>
                  <w:hideMark/>
                </w:tcPr>
                <w:p w14:paraId="14C06A9D"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4823" w:type="pct"/>
                  <w:hideMark/>
                </w:tcPr>
                <w:p w14:paraId="34C6B5EB"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14:paraId="463DCAA4" w14:textId="0681F18A" w:rsidR="0001673C" w:rsidRPr="005B30FA" w:rsidRDefault="0001673C" w:rsidP="001C4327">
                  <w:pPr>
                    <w:spacing w:after="0" w:line="240" w:lineRule="auto"/>
                    <w:rPr>
                      <w:rFonts w:ascii="inherit" w:eastAsia="Times New Roman" w:hAnsi="inherit" w:cs="Times New Roman"/>
                      <w:sz w:val="24"/>
                      <w:szCs w:val="24"/>
                    </w:rPr>
                  </w:pPr>
                </w:p>
              </w:tc>
            </w:tr>
          </w:tbl>
          <w:p w14:paraId="0312B052" w14:textId="77777777" w:rsidR="0001673C" w:rsidRPr="005B30FA" w:rsidRDefault="0001673C" w:rsidP="001C4327">
            <w:pPr>
              <w:spacing w:after="0" w:line="240" w:lineRule="auto"/>
              <w:rPr>
                <w:rFonts w:ascii="inherit" w:eastAsia="Times New Roman" w:hAnsi="inherit" w:cs="Times New Roman"/>
                <w:sz w:val="24"/>
                <w:szCs w:val="24"/>
              </w:rPr>
            </w:pPr>
          </w:p>
        </w:tc>
      </w:tr>
    </w:tbl>
    <w:p w14:paraId="2CABAE85" w14:textId="77777777"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lastRenderedPageBreak/>
        <w:t>Е.3.5   </w:t>
      </w:r>
      <w:r w:rsidRPr="005B30FA">
        <w:rPr>
          <w:rFonts w:ascii="inherit" w:eastAsia="Times New Roman" w:hAnsi="inherit" w:cs="Times New Roman"/>
          <w:b/>
          <w:bCs/>
          <w:i/>
          <w:iCs/>
          <w:color w:val="000000"/>
          <w:sz w:val="24"/>
          <w:szCs w:val="24"/>
        </w:rPr>
        <w:t>Разрешение за осъществяване/разрешение за строителство (ако е приложимо)</w:t>
      </w:r>
    </w:p>
    <w:p w14:paraId="5152EA86" w14:textId="48C39F43"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rPr>
        <w:t xml:space="preserve">?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00"/>
        <w:gridCol w:w="1870"/>
        <w:gridCol w:w="2440"/>
        <w:gridCol w:w="1870"/>
      </w:tblGrid>
      <w:tr w:rsidR="0001673C" w:rsidRPr="005B30FA" w14:paraId="56A49BE7"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FBF815"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6942EE"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395D55"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BE5A8D"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3FDCE1B" w14:textId="769E4730"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Е.3.5.2.   Има вече издадено разрешение за осъществяване/разрешение за строителство за този проект (за поне един договор за строителство)?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01673C" w:rsidRPr="005B30FA" w14:paraId="7E450B6F"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AD8857A"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F855E7B"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A866142" w14:textId="005D4147" w:rsidR="0001673C" w:rsidRPr="005B30FA" w:rsidRDefault="0001673C" w:rsidP="0007668E">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4E133D"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39D4A054"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Е.3.5.3.   Ако отговорът (на въпрос Е.3.5.2) е утвърдителен, посочете дата</w:t>
      </w:r>
    </w:p>
    <w:p w14:paraId="7B5D4C7D"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Е.3.5.4.   Ако отговорът (на въпрос Е.3.5.2) е отрицателен, кога е подадено официалното заявление за разрешение за осъществяване?</w:t>
      </w:r>
    </w:p>
    <w:p w14:paraId="1988594A"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Е.3.5.5.   Ако отговорът (на въпрос Е.3.5.2) е отрицателен, посочете административните стъпки до момента и опишете оставащите:</w:t>
      </w:r>
    </w:p>
    <w:p w14:paraId="195828C2"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Е.3.5.6.   До коя дата се очаква окончателното решение (или решения)?</w:t>
      </w:r>
    </w:p>
    <w:p w14:paraId="01DF69DC"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Е.3.5.7.   Посочете компетентния орган (или органи), които са издали или ще издадат разрешението за осъществяване:</w:t>
      </w:r>
    </w:p>
    <w:p w14:paraId="7F0FACBD" w14:textId="78D618D3"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Е.4.   </w:t>
      </w:r>
      <w:r w:rsidRPr="005B30FA">
        <w:rPr>
          <w:rFonts w:ascii="inherit" w:eastAsia="Times New Roman" w:hAnsi="inherit" w:cs="Times New Roman"/>
          <w:b/>
          <w:bCs/>
          <w:color w:val="000000"/>
          <w:sz w:val="24"/>
          <w:szCs w:val="24"/>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местообитанията); оценка на въздействието върху обектите по „Натура 2000“</w:t>
      </w:r>
    </w:p>
    <w:p w14:paraId="1762C8B9" w14:textId="3F6DDD8D"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Е.4.1.   </w:t>
      </w:r>
      <w:r w:rsidRPr="005B30FA">
        <w:rPr>
          <w:rFonts w:ascii="inherit" w:eastAsia="Times New Roman" w:hAnsi="inherit" w:cs="Times New Roman"/>
          <w:i/>
          <w:iCs/>
          <w:color w:val="000000"/>
          <w:sz w:val="24"/>
          <w:szCs w:val="24"/>
        </w:rPr>
        <w:t xml:space="preserve">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01673C" w:rsidRPr="005B30FA" w14:paraId="20D80C84"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BB10A3"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7A163A"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B3A72E"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F217024"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1B64EBF6"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Е.4.2   </w:t>
      </w:r>
      <w:r w:rsidRPr="005B30FA">
        <w:rPr>
          <w:rFonts w:ascii="inherit" w:eastAsia="Times New Roman" w:hAnsi="inherit" w:cs="Times New Roman"/>
          <w:i/>
          <w:iCs/>
          <w:color w:val="000000"/>
          <w:sz w:val="24"/>
          <w:szCs w:val="24"/>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01673C" w:rsidRPr="005B30FA" w14:paraId="66CB384E" w14:textId="77777777" w:rsidTr="001C4327">
        <w:trPr>
          <w:tblCellSpacing w:w="0" w:type="dxa"/>
        </w:trPr>
        <w:tc>
          <w:tcPr>
            <w:tcW w:w="0" w:type="auto"/>
            <w:shd w:val="clear" w:color="auto" w:fill="FFFFFF"/>
            <w:hideMark/>
          </w:tcPr>
          <w:p w14:paraId="09BD0533"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shd w:val="clear" w:color="auto" w:fill="FFFFFF"/>
            <w:hideMark/>
          </w:tcPr>
          <w:p w14:paraId="337D3E49"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w:t>
            </w:r>
            <w:r w:rsidRPr="005B30FA">
              <w:rPr>
                <w:rFonts w:ascii="inherit" w:eastAsia="Times New Roman" w:hAnsi="inherit" w:cs="Times New Roman"/>
                <w:sz w:val="24"/>
                <w:szCs w:val="24"/>
                <w:u w:val="single"/>
              </w:rPr>
              <w:t>и</w:t>
            </w:r>
            <w:r w:rsidRPr="005B30FA">
              <w:rPr>
                <w:rFonts w:ascii="inherit" w:eastAsia="Times New Roman" w:hAnsi="inherit" w:cs="Times New Roman"/>
                <w:sz w:val="24"/>
                <w:szCs w:val="24"/>
              </w:rPr>
              <w:t> съответната оценка, извършена в съответствие с член 6, параграф 3 от Директивата за местообитанията;</w:t>
            </w:r>
          </w:p>
        </w:tc>
      </w:tr>
    </w:tbl>
    <w:p w14:paraId="1D3BF49C" w14:textId="77777777" w:rsidR="0001673C" w:rsidRPr="005B30FA" w:rsidRDefault="0001673C" w:rsidP="0001673C">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01673C" w:rsidRPr="005B30FA" w14:paraId="5AFCAEE7" w14:textId="77777777" w:rsidTr="001C4327">
        <w:trPr>
          <w:tblCellSpacing w:w="0" w:type="dxa"/>
        </w:trPr>
        <w:tc>
          <w:tcPr>
            <w:tcW w:w="0" w:type="auto"/>
            <w:shd w:val="clear" w:color="auto" w:fill="FFFFFF"/>
            <w:hideMark/>
          </w:tcPr>
          <w:p w14:paraId="2023CA35"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shd w:val="clear" w:color="auto" w:fill="FFFFFF"/>
            <w:hideMark/>
          </w:tcPr>
          <w:p w14:paraId="18111C50"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9029"/>
            </w:tblGrid>
            <w:tr w:rsidR="0001673C" w:rsidRPr="005B30FA" w14:paraId="21BFAFA7" w14:textId="77777777" w:rsidTr="001C4327">
              <w:trPr>
                <w:tblCellSpacing w:w="0" w:type="dxa"/>
              </w:trPr>
              <w:tc>
                <w:tcPr>
                  <w:tcW w:w="0" w:type="auto"/>
                  <w:hideMark/>
                </w:tcPr>
                <w:p w14:paraId="6377E05C"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08E70536" w14:textId="7015DA13" w:rsidR="0001673C" w:rsidRPr="005B30FA" w:rsidRDefault="0001673C" w:rsidP="00B45B8A">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Копие от стандартния формуляр за нотификация „Информация до Европейската комисия съгласно член 6, параграф 4 от Директивата за местообитанията, изпратен до Комисията (ГД „Околна среда“) и/или;</w:t>
                  </w:r>
                </w:p>
              </w:tc>
            </w:tr>
          </w:tbl>
          <w:p w14:paraId="51C254A3" w14:textId="77777777" w:rsidR="0001673C" w:rsidRPr="005B30FA" w:rsidRDefault="0001673C" w:rsidP="001C4327">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13"/>
            </w:tblGrid>
            <w:tr w:rsidR="0001673C" w:rsidRPr="005B30FA" w14:paraId="568BF999" w14:textId="77777777" w:rsidTr="001C4327">
              <w:trPr>
                <w:tblCellSpacing w:w="0" w:type="dxa"/>
              </w:trPr>
              <w:tc>
                <w:tcPr>
                  <w:tcW w:w="0" w:type="auto"/>
                  <w:hideMark/>
                </w:tcPr>
                <w:p w14:paraId="2735C92F"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б)</w:t>
                  </w:r>
                </w:p>
              </w:tc>
              <w:tc>
                <w:tcPr>
                  <w:tcW w:w="0" w:type="auto"/>
                  <w:hideMark/>
                </w:tcPr>
                <w:p w14:paraId="5573CCFD" w14:textId="77777777" w:rsidR="0001673C" w:rsidRPr="005B30FA" w:rsidRDefault="0001673C" w:rsidP="001C4327">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14:paraId="52F34DCE" w14:textId="77777777" w:rsidR="0001673C" w:rsidRPr="005B30FA" w:rsidRDefault="0001673C" w:rsidP="001C4327">
            <w:pPr>
              <w:spacing w:after="0" w:line="240" w:lineRule="auto"/>
              <w:rPr>
                <w:rFonts w:ascii="inherit" w:eastAsia="Times New Roman" w:hAnsi="inherit" w:cs="Times New Roman"/>
                <w:sz w:val="24"/>
                <w:szCs w:val="24"/>
              </w:rPr>
            </w:pPr>
          </w:p>
        </w:tc>
      </w:tr>
    </w:tbl>
    <w:p w14:paraId="2ACEB04E"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Е.4.3   </w:t>
      </w:r>
      <w:r w:rsidRPr="005B30FA">
        <w:rPr>
          <w:rFonts w:ascii="inherit" w:eastAsia="Times New Roman" w:hAnsi="inherit" w:cs="Times New Roman"/>
          <w:i/>
          <w:iCs/>
          <w:color w:val="000000"/>
          <w:sz w:val="24"/>
          <w:szCs w:val="24"/>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1B7B447B" w14:textId="1C1E7D20"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Е.5.   </w:t>
      </w:r>
      <w:r w:rsidRPr="005B30FA">
        <w:rPr>
          <w:rFonts w:ascii="inherit" w:eastAsia="Times New Roman" w:hAnsi="inherit" w:cs="Times New Roman"/>
          <w:b/>
          <w:bCs/>
          <w:color w:val="000000"/>
          <w:sz w:val="24"/>
          <w:szCs w:val="24"/>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(„Рамковата директива за водите“); оценка на въздействието върху водните обекти</w:t>
      </w:r>
    </w:p>
    <w:p w14:paraId="3FBE2C6D" w14:textId="46C62471"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   </w:t>
      </w:r>
      <w:r w:rsidRPr="005B30FA">
        <w:rPr>
          <w:rFonts w:ascii="inherit" w:eastAsia="Times New Roman" w:hAnsi="inherit" w:cs="Times New Roman"/>
          <w:i/>
          <w:iCs/>
          <w:color w:val="000000"/>
          <w:sz w:val="24"/>
          <w:szCs w:val="24"/>
        </w:rPr>
        <w:t xml:space="preserve">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01673C" w:rsidRPr="005B30FA" w14:paraId="04E65B67"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DBB2570"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9843B5"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F6A40B5"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414450"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144D2396"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14:paraId="6E5AE890"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14:paraId="7079467E"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405E3ACF"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Е.5.3   </w:t>
      </w:r>
      <w:r w:rsidRPr="005B30FA">
        <w:rPr>
          <w:rFonts w:ascii="inherit" w:eastAsia="Times New Roman" w:hAnsi="inherit" w:cs="Times New Roman"/>
          <w:i/>
          <w:iCs/>
          <w:color w:val="000000"/>
          <w:sz w:val="24"/>
          <w:szCs w:val="24"/>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14:paraId="3C28BF2E" w14:textId="77777777"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Е.7.   </w:t>
      </w:r>
      <w:r w:rsidRPr="005B30FA">
        <w:rPr>
          <w:rFonts w:ascii="inherit" w:eastAsia="Times New Roman" w:hAnsi="inherit" w:cs="Times New Roman"/>
          <w:b/>
          <w:bCs/>
          <w:color w:val="000000"/>
          <w:sz w:val="24"/>
          <w:szCs w:val="24"/>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14:paraId="023B2826" w14:textId="056F7F58" w:rsidR="0001673C" w:rsidRDefault="0001673C" w:rsidP="0001673C">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Times New Roman" w:eastAsia="Times New Roman" w:hAnsi="Times New Roman" w:cs="Times New Roman"/>
          <w:color w:val="000000"/>
          <w:sz w:val="24"/>
          <w:szCs w:val="24"/>
        </w:rPr>
        <w:t>Е.7.1.   </w:t>
      </w:r>
      <w:r w:rsidRPr="005B30FA">
        <w:rPr>
          <w:rFonts w:ascii="inherit" w:eastAsia="Times New Roman" w:hAnsi="inherit" w:cs="Times New Roman"/>
          <w:i/>
          <w:iCs/>
          <w:color w:val="000000"/>
          <w:sz w:val="24"/>
          <w:szCs w:val="24"/>
        </w:rPr>
        <w:t xml:space="preserve">Ако има такива разходи, те включени ли са в анализа на разходите и ползите? </w:t>
      </w:r>
    </w:p>
    <w:p w14:paraId="2175179B" w14:textId="77777777" w:rsidR="00B45B8A" w:rsidRPr="005B30FA" w:rsidRDefault="00B45B8A" w:rsidP="0001673C">
      <w:pPr>
        <w:shd w:val="clear" w:color="auto" w:fill="FFFFFF"/>
        <w:spacing w:before="120" w:after="0" w:line="240" w:lineRule="auto"/>
        <w:jc w:val="both"/>
        <w:rPr>
          <w:rFonts w:ascii="Times New Roman" w:eastAsia="Times New Roman" w:hAnsi="Times New Roman" w:cs="Times New Roman"/>
          <w:color w:val="000000"/>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01673C" w:rsidRPr="005B30FA" w14:paraId="172E6CB0" w14:textId="77777777" w:rsidTr="001C4327">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27FE484"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6E63F6"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FDB433"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7F6EEA8" w14:textId="77777777" w:rsidR="0001673C" w:rsidRPr="005B30FA" w:rsidRDefault="0001673C" w:rsidP="001C4327">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B0C649E"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Е.7.2.   </w:t>
      </w:r>
      <w:r w:rsidRPr="005B30FA">
        <w:rPr>
          <w:rFonts w:ascii="inherit" w:eastAsia="Times New Roman" w:hAnsi="inherit" w:cs="Times New Roman"/>
          <w:i/>
          <w:iCs/>
          <w:color w:val="000000"/>
          <w:sz w:val="24"/>
          <w:szCs w:val="24"/>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71"/>
        <w:gridCol w:w="8409"/>
      </w:tblGrid>
      <w:tr w:rsidR="00B45B8A" w:rsidRPr="005B30FA" w14:paraId="1D3321ED" w14:textId="77777777" w:rsidTr="00B45B8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57CE294" w14:textId="77777777" w:rsidR="0001673C" w:rsidRPr="005B30FA" w:rsidRDefault="0001673C" w:rsidP="001C4327">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30D383C" w14:textId="7F27641E" w:rsidR="0001673C" w:rsidRPr="005B30FA" w:rsidRDefault="00B45B8A" w:rsidP="001C4327">
            <w:pPr>
              <w:spacing w:before="60" w:after="60" w:line="240" w:lineRule="auto"/>
              <w:rPr>
                <w:rFonts w:ascii="inherit" w:eastAsia="Times New Roman" w:hAnsi="inherit" w:cs="Times New Roman"/>
              </w:rPr>
            </w:pPr>
            <w:r>
              <w:rPr>
                <w:rFonts w:ascii="inherit" w:eastAsia="Times New Roman" w:hAnsi="inherit" w:cs="Times New Roman"/>
              </w:rPr>
              <w:t>…………………..</w:t>
            </w:r>
          </w:p>
        </w:tc>
      </w:tr>
    </w:tbl>
    <w:p w14:paraId="4DA9498E"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обяснете накратко мерките</w:t>
      </w:r>
    </w:p>
    <w:p w14:paraId="727798DC" w14:textId="53F16EDC" w:rsidR="0001673C" w:rsidRPr="005B30FA" w:rsidRDefault="0001673C" w:rsidP="0001673C">
      <w:pPr>
        <w:shd w:val="clear" w:color="auto" w:fill="FFFFFF"/>
        <w:spacing w:after="0" w:line="240" w:lineRule="auto"/>
        <w:rPr>
          <w:rFonts w:ascii="Times New Roman" w:eastAsia="Times New Roman" w:hAnsi="Times New Roman" w:cs="Times New Roman"/>
          <w:color w:val="000000"/>
          <w:sz w:val="24"/>
          <w:szCs w:val="24"/>
        </w:rPr>
      </w:pPr>
    </w:p>
    <w:p w14:paraId="71302CAD" w14:textId="77777777" w:rsidR="0001673C" w:rsidRPr="005B30FA" w:rsidRDefault="0001673C" w:rsidP="0001673C">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Е.8.   </w:t>
      </w:r>
      <w:r w:rsidRPr="005B30FA">
        <w:rPr>
          <w:rFonts w:ascii="inherit" w:eastAsia="Times New Roman" w:hAnsi="inherit" w:cs="Times New Roman"/>
          <w:b/>
          <w:bCs/>
          <w:color w:val="000000"/>
          <w:sz w:val="24"/>
          <w:szCs w:val="24"/>
        </w:rPr>
        <w:t>Приспособяване към изменението на климата и смекчаване на последиците от него, както и устойчивост на бедствия</w:t>
      </w:r>
    </w:p>
    <w:p w14:paraId="7F6DCEF8" w14:textId="1983AB1D" w:rsidR="0001673C" w:rsidRPr="005B30FA" w:rsidRDefault="0001673C" w:rsidP="00B45B8A">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Е.8.1.   </w:t>
      </w:r>
      <w:r w:rsidRPr="005B30FA">
        <w:rPr>
          <w:rFonts w:ascii="inherit" w:eastAsia="Times New Roman" w:hAnsi="inherit" w:cs="Times New Roman"/>
          <w:i/>
          <w:iCs/>
          <w:color w:val="000000"/>
          <w:sz w:val="24"/>
          <w:szCs w:val="24"/>
        </w:rPr>
        <w:t>Обяснете по какъв начин проектът допринася във връзка с борбата с изменението на климата,  като включите информация за разходите, свъ</w:t>
      </w:r>
      <w:r w:rsidR="00B45B8A">
        <w:rPr>
          <w:rFonts w:ascii="inherit" w:eastAsia="Times New Roman" w:hAnsi="inherit" w:cs="Times New Roman"/>
          <w:i/>
          <w:iCs/>
          <w:color w:val="000000"/>
          <w:sz w:val="24"/>
          <w:szCs w:val="24"/>
        </w:rPr>
        <w:t>рзани с изменението на климата</w:t>
      </w:r>
    </w:p>
    <w:p w14:paraId="32AA0CA9"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Е.8.2.   </w:t>
      </w:r>
      <w:r w:rsidRPr="005B30FA">
        <w:rPr>
          <w:rFonts w:ascii="inherit" w:eastAsia="Times New Roman" w:hAnsi="inherit" w:cs="Times New Roman"/>
          <w:i/>
          <w:iCs/>
          <w:color w:val="000000"/>
          <w:sz w:val="24"/>
          <w:szCs w:val="24"/>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14:paraId="40B47FF1" w14:textId="6962A71E"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w:t>
      </w:r>
      <w:r w:rsidR="00B45B8A" w:rsidRPr="005B30FA">
        <w:rPr>
          <w:rFonts w:ascii="Times New Roman" w:eastAsia="Times New Roman" w:hAnsi="Times New Roman" w:cs="Times New Roman"/>
          <w:color w:val="000000"/>
          <w:sz w:val="24"/>
          <w:szCs w:val="24"/>
        </w:rPr>
        <w:t xml:space="preserve"> </w:t>
      </w:r>
    </w:p>
    <w:p w14:paraId="128E4E8B"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Е.8.3.   </w:t>
      </w:r>
      <w:r w:rsidRPr="005B30FA">
        <w:rPr>
          <w:rFonts w:ascii="inherit" w:eastAsia="Times New Roman" w:hAnsi="inherit" w:cs="Times New Roman"/>
          <w:i/>
          <w:iCs/>
          <w:color w:val="000000"/>
          <w:sz w:val="24"/>
          <w:szCs w:val="24"/>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14:paraId="7867F0A0" w14:textId="77777777" w:rsidR="0001673C" w:rsidRPr="005B30FA" w:rsidRDefault="0001673C" w:rsidP="0001673C">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14:paraId="7D28DBAC" w14:textId="5743766A" w:rsidR="00B45B8A" w:rsidRPr="005E2E76" w:rsidRDefault="00AD29DC" w:rsidP="00B45B8A">
      <w:pPr>
        <w:pStyle w:val="ListParagraph"/>
        <w:numPr>
          <w:ilvl w:val="0"/>
          <w:numId w:val="21"/>
        </w:numPr>
        <w:shd w:val="clear" w:color="auto" w:fill="FFFFFF"/>
        <w:spacing w:before="240" w:after="12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в</w:t>
      </w:r>
      <w:r w:rsidR="00B45B8A" w:rsidRPr="00B45B8A">
        <w:rPr>
          <w:rFonts w:ascii="Times New Roman" w:eastAsia="Times New Roman" w:hAnsi="Times New Roman" w:cs="Times New Roman"/>
          <w:bCs/>
          <w:color w:val="000000"/>
          <w:sz w:val="24"/>
          <w:szCs w:val="24"/>
        </w:rPr>
        <w:t xml:space="preserve"> поле</w:t>
      </w:r>
      <w:r w:rsidR="00B45B8A" w:rsidRPr="00B45B8A">
        <w:rPr>
          <w:rFonts w:ascii="Times New Roman" w:eastAsia="Times New Roman" w:hAnsi="Times New Roman" w:cs="Times New Roman"/>
          <w:b/>
          <w:bCs/>
          <w:color w:val="000000"/>
          <w:sz w:val="24"/>
          <w:szCs w:val="24"/>
        </w:rPr>
        <w:t xml:space="preserve"> </w:t>
      </w:r>
      <w:r w:rsidR="00B45B8A" w:rsidRPr="005E2E76">
        <w:rPr>
          <w:rFonts w:ascii="inherit" w:eastAsia="Times New Roman" w:hAnsi="inherit" w:cs="Times New Roman"/>
          <w:b/>
          <w:bCs/>
          <w:iCs/>
          <w:color w:val="000000"/>
          <w:sz w:val="24"/>
          <w:szCs w:val="24"/>
        </w:rPr>
        <w:t>Годишен план на общите допустими разходи за деклариране пред Комисията (финансов показател за мониторинг на напредъка)</w:t>
      </w:r>
      <w:r>
        <w:rPr>
          <w:rFonts w:ascii="inherit" w:eastAsia="Times New Roman" w:hAnsi="inherit" w:cs="Times New Roman"/>
          <w:b/>
          <w:bCs/>
          <w:iCs/>
          <w:color w:val="000000"/>
          <w:sz w:val="24"/>
          <w:szCs w:val="24"/>
        </w:rPr>
        <w:t>:</w:t>
      </w:r>
    </w:p>
    <w:p w14:paraId="74226617" w14:textId="0D75CB7F" w:rsidR="00826D9C" w:rsidRPr="005E2E76" w:rsidRDefault="00B45B8A" w:rsidP="008610B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Times New Roman" w:eastAsia="Times New Roman" w:hAnsi="Times New Roman" w:cs="Times New Roman"/>
          <w:i/>
          <w:color w:val="000000"/>
          <w:sz w:val="24"/>
          <w:szCs w:val="24"/>
        </w:rPr>
        <w:t>Общият размер на допустимите разходи, които следва да бъдат декларирани пред Комисията се представя по отношение на годишния дял (ориентировъчен).</w:t>
      </w:r>
    </w:p>
    <w:p w14:paraId="6DA544EA" w14:textId="5D37740F" w:rsidR="001440B5" w:rsidRPr="00AD29DC" w:rsidRDefault="00AD29DC" w:rsidP="005E2E76">
      <w:pPr>
        <w:pStyle w:val="ListParagraph"/>
        <w:numPr>
          <w:ilvl w:val="0"/>
          <w:numId w:val="21"/>
        </w:numPr>
        <w:shd w:val="clear" w:color="auto" w:fill="FFFFFF"/>
        <w:spacing w:before="240" w:after="12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Cs/>
          <w:color w:val="000000"/>
          <w:sz w:val="24"/>
          <w:szCs w:val="24"/>
        </w:rPr>
        <w:t xml:space="preserve">в </w:t>
      </w:r>
      <w:r w:rsidR="001440B5" w:rsidRPr="00AD29DC">
        <w:rPr>
          <w:rFonts w:ascii="Times New Roman" w:eastAsia="Times New Roman" w:hAnsi="Times New Roman" w:cs="Times New Roman"/>
          <w:bCs/>
          <w:color w:val="000000"/>
          <w:sz w:val="24"/>
          <w:szCs w:val="24"/>
        </w:rPr>
        <w:t>поле</w:t>
      </w:r>
      <w:r w:rsidR="001440B5" w:rsidRPr="00AD29DC">
        <w:rPr>
          <w:rFonts w:ascii="Times New Roman" w:eastAsia="Times New Roman" w:hAnsi="Times New Roman" w:cs="Times New Roman"/>
          <w:b/>
          <w:color w:val="000000"/>
          <w:sz w:val="24"/>
          <w:szCs w:val="24"/>
        </w:rPr>
        <w:t>   </w:t>
      </w:r>
      <w:r w:rsidR="008610B2" w:rsidRPr="00AD29DC">
        <w:rPr>
          <w:rFonts w:ascii="Times New Roman" w:eastAsia="Times New Roman" w:hAnsi="Times New Roman" w:cs="Times New Roman"/>
          <w:b/>
          <w:color w:val="000000"/>
          <w:sz w:val="24"/>
          <w:szCs w:val="24"/>
        </w:rPr>
        <w:t xml:space="preserve">Участие на </w:t>
      </w:r>
      <w:r w:rsidR="001440B5" w:rsidRPr="00AD29DC">
        <w:rPr>
          <w:rFonts w:ascii="Times New Roman" w:eastAsia="Times New Roman" w:hAnsi="Times New Roman" w:cs="Times New Roman"/>
          <w:b/>
          <w:color w:val="000000"/>
          <w:sz w:val="24"/>
          <w:szCs w:val="24"/>
        </w:rPr>
        <w:t xml:space="preserve">JASPERS </w:t>
      </w:r>
      <w:r w:rsidR="008610B2" w:rsidRPr="00AD29DC">
        <w:rPr>
          <w:rFonts w:ascii="Times New Roman" w:eastAsia="Times New Roman" w:hAnsi="Times New Roman" w:cs="Times New Roman"/>
          <w:b/>
          <w:color w:val="000000"/>
          <w:sz w:val="24"/>
          <w:szCs w:val="24"/>
        </w:rPr>
        <w:t>в подготовката на проекта</w:t>
      </w:r>
    </w:p>
    <w:p w14:paraId="2AE300EB" w14:textId="200AD643" w:rsidR="001440B5" w:rsidRPr="005E2E76" w:rsidRDefault="001440B5" w:rsidP="008610B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inherit" w:eastAsia="Times New Roman" w:hAnsi="inherit" w:cs="Times New Roman"/>
          <w:bCs/>
          <w:i/>
          <w:color w:val="000000"/>
          <w:sz w:val="24"/>
          <w:szCs w:val="24"/>
        </w:rPr>
        <w:lastRenderedPageBreak/>
        <w:t xml:space="preserve">Да се опишат елементите на проекта, за които </w:t>
      </w:r>
      <w:proofErr w:type="spellStart"/>
      <w:r w:rsidRPr="005E2E76">
        <w:rPr>
          <w:rFonts w:ascii="inherit" w:eastAsia="Times New Roman" w:hAnsi="inherit" w:cs="Times New Roman"/>
          <w:bCs/>
          <w:i/>
          <w:color w:val="000000"/>
          <w:sz w:val="24"/>
          <w:szCs w:val="24"/>
        </w:rPr>
        <w:t>Jaspers</w:t>
      </w:r>
      <w:proofErr w:type="spellEnd"/>
      <w:r w:rsidRPr="005E2E76">
        <w:rPr>
          <w:rFonts w:ascii="inherit" w:eastAsia="Times New Roman" w:hAnsi="inherit" w:cs="Times New Roman"/>
          <w:bCs/>
          <w:i/>
          <w:color w:val="000000"/>
          <w:sz w:val="24"/>
          <w:szCs w:val="24"/>
        </w:rPr>
        <w:t xml:space="preserve"> е допринесъл (например съответствие с изискванията в областта на околната среда, обществени поръчки, преглед на техническото описание, анализ на разходите и ползите)</w:t>
      </w:r>
      <w:r w:rsidR="008610B2" w:rsidRPr="005E2E76">
        <w:rPr>
          <w:rFonts w:ascii="inherit" w:eastAsia="Times New Roman" w:hAnsi="inherit" w:cs="Times New Roman"/>
          <w:bCs/>
          <w:i/>
          <w:color w:val="000000"/>
          <w:sz w:val="24"/>
          <w:szCs w:val="24"/>
        </w:rPr>
        <w:t xml:space="preserve"> – когато е приложимо</w:t>
      </w:r>
      <w:r w:rsidRPr="005E2E76">
        <w:rPr>
          <w:rFonts w:ascii="inherit" w:eastAsia="Times New Roman" w:hAnsi="inherit" w:cs="Times New Roman"/>
          <w:bCs/>
          <w:i/>
          <w:color w:val="000000"/>
          <w:sz w:val="24"/>
          <w:szCs w:val="24"/>
        </w:rPr>
        <w:t>.</w:t>
      </w:r>
    </w:p>
    <w:p w14:paraId="273E7BEB" w14:textId="77777777" w:rsidR="001440B5" w:rsidRPr="005E2E76" w:rsidRDefault="001440B5" w:rsidP="00B45B8A">
      <w:pPr>
        <w:pStyle w:val="ListParagraph"/>
        <w:shd w:val="clear" w:color="auto" w:fill="FFFFFF"/>
        <w:spacing w:before="120" w:after="0" w:line="240" w:lineRule="auto"/>
        <w:ind w:left="1080"/>
        <w:jc w:val="both"/>
        <w:rPr>
          <w:rFonts w:ascii="Times New Roman" w:eastAsia="Times New Roman" w:hAnsi="Times New Roman" w:cs="Times New Roman"/>
          <w:i/>
          <w:color w:val="000000"/>
          <w:sz w:val="24"/>
          <w:szCs w:val="24"/>
          <w:lang w:val="en-US"/>
        </w:rPr>
      </w:pPr>
    </w:p>
    <w:p w14:paraId="4F62BF66" w14:textId="0626BF8B" w:rsidR="00603108" w:rsidRPr="007A0B0A" w:rsidRDefault="00603108" w:rsidP="00C66898">
      <w:pPr>
        <w:pStyle w:val="Heading2"/>
        <w:numPr>
          <w:ilvl w:val="1"/>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34" w:name="_Toc135991649"/>
      <w:bookmarkStart w:id="35" w:name="_Toc135995227"/>
      <w:bookmarkStart w:id="36" w:name="_Toc135991650"/>
      <w:bookmarkStart w:id="37" w:name="_Toc135995228"/>
      <w:bookmarkStart w:id="38" w:name="_Toc136269964"/>
      <w:bookmarkEnd w:id="34"/>
      <w:bookmarkEnd w:id="35"/>
      <w:bookmarkEnd w:id="36"/>
      <w:bookmarkEnd w:id="37"/>
      <w:r w:rsidRPr="007A0B0A">
        <w:rPr>
          <w:rFonts w:ascii="Times New Roman" w:hAnsi="Times New Roman" w:cs="Times New Roman"/>
        </w:rPr>
        <w:t xml:space="preserve">Изисквания за </w:t>
      </w:r>
      <w:proofErr w:type="spellStart"/>
      <w:r w:rsidRPr="007A0B0A">
        <w:rPr>
          <w:rFonts w:ascii="Times New Roman" w:hAnsi="Times New Roman" w:cs="Times New Roman"/>
        </w:rPr>
        <w:t>фазирани</w:t>
      </w:r>
      <w:proofErr w:type="spellEnd"/>
      <w:r w:rsidRPr="007A0B0A">
        <w:rPr>
          <w:rFonts w:ascii="Times New Roman" w:hAnsi="Times New Roman" w:cs="Times New Roman"/>
        </w:rPr>
        <w:t xml:space="preserve"> проекти</w:t>
      </w:r>
      <w:bookmarkEnd w:id="38"/>
    </w:p>
    <w:p w14:paraId="0401BE68" w14:textId="77777777"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p>
    <w:p w14:paraId="43B09F68" w14:textId="25DFFB88" w:rsidR="00C44FFB" w:rsidRDefault="00C44FFB" w:rsidP="00B44F26">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r w:rsidRPr="00B44F26">
        <w:rPr>
          <w:rFonts w:ascii="Times New Roman" w:eastAsia="Times New Roman" w:hAnsi="Times New Roman" w:cs="Times New Roman"/>
          <w:iCs/>
          <w:color w:val="000000"/>
          <w:sz w:val="24"/>
          <w:szCs w:val="24"/>
        </w:rPr>
        <w:t>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–настоящия проект. Ако проектът е съфинансиран от повече от една програма, посочете съответните части, финансирани от различните програми, заедно с процентното разпределение на финансирането.</w:t>
      </w:r>
    </w:p>
    <w:p w14:paraId="5832E921" w14:textId="2C169A17" w:rsidR="00320373" w:rsidRPr="008D4AB4" w:rsidRDefault="00320373" w:rsidP="00320373">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Във Формуляра за кандидатстване конкретният бенефициент трябва да включи тези индикатори, които отговарят на предвидените дейности</w:t>
      </w:r>
      <w:r>
        <w:rPr>
          <w:rFonts w:ascii="Times New Roman" w:hAnsi="Times New Roman" w:cs="Times New Roman"/>
          <w:sz w:val="24"/>
          <w:szCs w:val="24"/>
        </w:rPr>
        <w:t xml:space="preserve"> за съответната фаза</w:t>
      </w:r>
      <w:r w:rsidRPr="008D4AB4">
        <w:rPr>
          <w:rFonts w:ascii="Times New Roman" w:hAnsi="Times New Roman" w:cs="Times New Roman"/>
          <w:sz w:val="24"/>
          <w:szCs w:val="24"/>
        </w:rPr>
        <w:t>, с посочени целеви стойности съгласно периода на изпълнение на проекта</w:t>
      </w:r>
      <w:r>
        <w:rPr>
          <w:rFonts w:ascii="Times New Roman" w:hAnsi="Times New Roman" w:cs="Times New Roman"/>
          <w:sz w:val="24"/>
          <w:szCs w:val="24"/>
        </w:rPr>
        <w:t>, както и да представи какво се постига с изпълнението на двете фази на проекта</w:t>
      </w:r>
      <w:r w:rsidRPr="008D4AB4">
        <w:rPr>
          <w:rFonts w:ascii="Times New Roman" w:hAnsi="Times New Roman" w:cs="Times New Roman"/>
          <w:sz w:val="24"/>
          <w:szCs w:val="24"/>
        </w:rPr>
        <w:t>.</w:t>
      </w:r>
      <w:r w:rsidRPr="008D4AB4">
        <w:rPr>
          <w:rFonts w:ascii="Times New Roman" w:hAnsi="Times New Roman" w:cs="Times New Roman"/>
          <w:b/>
          <w:sz w:val="24"/>
          <w:szCs w:val="24"/>
        </w:rPr>
        <w:t xml:space="preserve"> </w:t>
      </w:r>
    </w:p>
    <w:p w14:paraId="1CC1442F" w14:textId="77777777" w:rsidR="00320373" w:rsidRPr="00B44F26" w:rsidRDefault="00320373" w:rsidP="00B44F26">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p>
    <w:p w14:paraId="1F155844" w14:textId="2E345C6B" w:rsidR="00C44FFB" w:rsidRPr="00B44F26" w:rsidRDefault="00C44FFB" w:rsidP="00B44F26">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proofErr w:type="spellStart"/>
      <w:r w:rsidRPr="00B44F26">
        <w:rPr>
          <w:rFonts w:ascii="Times New Roman" w:eastAsia="Times New Roman" w:hAnsi="Times New Roman" w:cs="Times New Roman"/>
          <w:iCs/>
          <w:color w:val="000000"/>
          <w:sz w:val="24"/>
          <w:szCs w:val="24"/>
          <w:lang w:val="en-US"/>
        </w:rPr>
        <w:t>Моля</w:t>
      </w:r>
      <w:proofErr w:type="spellEnd"/>
      <w:r w:rsidRPr="00B44F26">
        <w:rPr>
          <w:rFonts w:ascii="Times New Roman" w:eastAsia="Times New Roman" w:hAnsi="Times New Roman" w:cs="Times New Roman"/>
          <w:iCs/>
          <w:color w:val="000000"/>
          <w:sz w:val="24"/>
          <w:szCs w:val="24"/>
          <w:lang w:val="en-US"/>
        </w:rPr>
        <w:t xml:space="preserve"> п</w:t>
      </w:r>
      <w:proofErr w:type="spellStart"/>
      <w:r w:rsidRPr="00B44F26">
        <w:rPr>
          <w:rFonts w:ascii="Times New Roman" w:eastAsia="Times New Roman" w:hAnsi="Times New Roman" w:cs="Times New Roman"/>
          <w:iCs/>
          <w:color w:val="000000"/>
          <w:sz w:val="24"/>
          <w:szCs w:val="24"/>
        </w:rPr>
        <w:t>осочете</w:t>
      </w:r>
      <w:proofErr w:type="spellEnd"/>
      <w:r w:rsidRPr="00B44F26">
        <w:rPr>
          <w:rFonts w:ascii="Times New Roman" w:eastAsia="Times New Roman" w:hAnsi="Times New Roman" w:cs="Times New Roman"/>
          <w:iCs/>
          <w:color w:val="000000"/>
          <w:sz w:val="24"/>
          <w:szCs w:val="24"/>
        </w:rPr>
        <w:t xml:space="preserve"> референтния номер (CCI) на одобрения проект.</w:t>
      </w:r>
      <w:r w:rsidR="00D95DC4">
        <w:rPr>
          <w:rFonts w:ascii="Times New Roman" w:eastAsia="Times New Roman" w:hAnsi="Times New Roman" w:cs="Times New Roman"/>
          <w:iCs/>
          <w:color w:val="000000"/>
          <w:sz w:val="24"/>
          <w:szCs w:val="24"/>
        </w:rPr>
        <w:t xml:space="preserve"> </w:t>
      </w:r>
      <w:r w:rsidR="00D95DC4" w:rsidRPr="005B30FA">
        <w:rPr>
          <w:rFonts w:ascii="Times New Roman" w:eastAsia="Times New Roman" w:hAnsi="Times New Roman" w:cs="Times New Roman"/>
          <w:color w:val="000000"/>
          <w:sz w:val="24"/>
          <w:szCs w:val="24"/>
        </w:rPr>
        <w:t>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r w:rsidR="00D95DC4">
        <w:rPr>
          <w:rFonts w:ascii="Times New Roman" w:eastAsia="Times New Roman" w:hAnsi="Times New Roman" w:cs="Times New Roman"/>
          <w:color w:val="000000"/>
          <w:sz w:val="24"/>
          <w:szCs w:val="24"/>
        </w:rPr>
        <w:t>.</w:t>
      </w:r>
    </w:p>
    <w:p w14:paraId="5D5990B3" w14:textId="77777777"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3596E5E5" w14:textId="6FB15578" w:rsidR="00665511" w:rsidRPr="007A0B0A" w:rsidRDefault="00665511"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Член 118 от Регламент 2021/1060</w:t>
      </w:r>
    </w:p>
    <w:p w14:paraId="11E2D20A" w14:textId="2F218FD0"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Операцията, подбрана за подкрепа съгласно Регламент (ЕС) № 1303/2013, има два етапа, които могат да бъдат установени от финансова гледна точка, с отделни одитни следи; </w:t>
      </w:r>
    </w:p>
    <w:p w14:paraId="4A728200" w14:textId="1C846614" w:rsidR="00603108" w:rsidRPr="007A0B0A" w:rsidRDefault="00603108" w:rsidP="000F2A00">
      <w:pPr>
        <w:shd w:val="clear" w:color="auto" w:fill="FFFFFF"/>
        <w:spacing w:before="60" w:after="120" w:line="312" w:lineRule="atLeast"/>
        <w:ind w:firstLine="851"/>
        <w:rPr>
          <w:rFonts w:ascii="Times New Roman" w:eastAsia="Times New Roman" w:hAnsi="Times New Roman" w:cs="Times New Roman"/>
          <w:b/>
          <w:bCs/>
          <w:color w:val="333333"/>
          <w:sz w:val="27"/>
          <w:szCs w:val="27"/>
          <w:lang w:eastAsia="bg-BG"/>
        </w:rPr>
      </w:pPr>
      <w:r w:rsidRPr="007A0B0A">
        <w:rPr>
          <w:rFonts w:ascii="Times New Roman" w:eastAsia="Calibri" w:hAnsi="Times New Roman" w:cs="Times New Roman"/>
          <w:sz w:val="24"/>
          <w:szCs w:val="24"/>
        </w:rPr>
        <w:t>Общите разходи за операцията, посочена в буква а), надхвърлят 5 000 000 EUR</w:t>
      </w:r>
    </w:p>
    <w:p w14:paraId="407CAA0B" w14:textId="6CA702CD"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Разходите, включени в заявление за плащане по отношение на първия етап, не са включени в друго заявление за плащане по отношение на втория етап;</w:t>
      </w:r>
    </w:p>
    <w:p w14:paraId="15E574FB" w14:textId="6015C495"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Вторият етап на операцията съответства на приложимото право и е допустим за подкрепа от ЕФРР, Кохезионния фонд съгласно разпоредбите на Регламент 1060/2021 или на Регламент 1058/2021;</w:t>
      </w:r>
    </w:p>
    <w:p w14:paraId="178EF730" w14:textId="63FDB246"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Разпоредбите на </w:t>
      </w:r>
      <w:r w:rsidR="0031646E" w:rsidRPr="007A0B0A">
        <w:rPr>
          <w:rFonts w:ascii="Times New Roman" w:eastAsia="Calibri" w:hAnsi="Times New Roman" w:cs="Times New Roman"/>
          <w:sz w:val="24"/>
          <w:szCs w:val="24"/>
        </w:rPr>
        <w:t xml:space="preserve">Регламент 1060/2021 </w:t>
      </w:r>
      <w:r w:rsidRPr="007A0B0A">
        <w:rPr>
          <w:rFonts w:ascii="Times New Roman" w:eastAsia="Calibri" w:hAnsi="Times New Roman" w:cs="Times New Roman"/>
          <w:sz w:val="24"/>
          <w:szCs w:val="24"/>
        </w:rPr>
        <w:t>се прилагат към втория етап на операцията.</w:t>
      </w:r>
    </w:p>
    <w:p w14:paraId="4AB932F9" w14:textId="77777777" w:rsidR="00C9629D" w:rsidRPr="00603108" w:rsidRDefault="00C9629D" w:rsidP="00C9629D">
      <w:pPr>
        <w:pStyle w:val="Heading2"/>
        <w:numPr>
          <w:ilvl w:val="1"/>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39" w:name="_Toc28872962"/>
      <w:bookmarkStart w:id="40" w:name="_Toc136269965"/>
      <w:r w:rsidRPr="00603108">
        <w:rPr>
          <w:rFonts w:ascii="Times New Roman" w:hAnsi="Times New Roman" w:cs="Times New Roman"/>
        </w:rPr>
        <w:t xml:space="preserve">Минимални изисквания за </w:t>
      </w:r>
      <w:bookmarkEnd w:id="39"/>
      <w:r w:rsidRPr="0084009B">
        <w:rPr>
          <w:rFonts w:ascii="Times New Roman" w:hAnsi="Times New Roman" w:cs="Times New Roman"/>
        </w:rPr>
        <w:t>видимост, прозрачност и комуникация</w:t>
      </w:r>
      <w:bookmarkEnd w:id="40"/>
    </w:p>
    <w:p w14:paraId="3DE5665B" w14:textId="77777777" w:rsidR="00C9629D" w:rsidRPr="00AC1D20" w:rsidRDefault="00C9629D" w:rsidP="00C9629D">
      <w:pPr>
        <w:spacing w:after="0"/>
        <w:ind w:firstLine="851"/>
        <w:jc w:val="both"/>
        <w:rPr>
          <w:rFonts w:ascii="Times New Roman" w:hAnsi="Times New Roman"/>
          <w:sz w:val="24"/>
          <w:szCs w:val="24"/>
          <w:lang w:eastAsia="bg-BG"/>
        </w:rPr>
      </w:pPr>
    </w:p>
    <w:p w14:paraId="24947A1E" w14:textId="4341024A" w:rsidR="00C9629D" w:rsidRDefault="00C9629D" w:rsidP="00C9629D">
      <w:pPr>
        <w:spacing w:after="0"/>
        <w:ind w:firstLine="851"/>
        <w:jc w:val="both"/>
        <w:rPr>
          <w:rFonts w:ascii="Times New Roman" w:hAnsi="Times New Roman" w:cs="Times New Roman"/>
          <w:sz w:val="24"/>
          <w:szCs w:val="24"/>
        </w:rPr>
      </w:pPr>
      <w:r w:rsidRPr="009220CB">
        <w:rPr>
          <w:rFonts w:ascii="Times New Roman" w:hAnsi="Times New Roman" w:cs="Times New Roman"/>
          <w:sz w:val="24"/>
          <w:szCs w:val="24"/>
        </w:rPr>
        <w:t>В рамките на проекта задължително се изпълнява</w:t>
      </w:r>
      <w:r>
        <w:rPr>
          <w:rFonts w:ascii="Times New Roman" w:hAnsi="Times New Roman" w:cs="Times New Roman"/>
          <w:sz w:val="24"/>
          <w:szCs w:val="24"/>
        </w:rPr>
        <w:t>т</w:t>
      </w:r>
      <w:r w:rsidRPr="009220CB">
        <w:rPr>
          <w:rFonts w:ascii="Times New Roman" w:hAnsi="Times New Roman" w:cs="Times New Roman"/>
          <w:sz w:val="24"/>
          <w:szCs w:val="24"/>
        </w:rPr>
        <w:t xml:space="preserve"> дейност</w:t>
      </w:r>
      <w:r>
        <w:rPr>
          <w:rFonts w:ascii="Times New Roman" w:hAnsi="Times New Roman" w:cs="Times New Roman"/>
          <w:sz w:val="24"/>
          <w:szCs w:val="24"/>
        </w:rPr>
        <w:t>и</w:t>
      </w:r>
      <w:r w:rsidRPr="009220CB">
        <w:rPr>
          <w:rFonts w:ascii="Times New Roman" w:hAnsi="Times New Roman" w:cs="Times New Roman"/>
          <w:sz w:val="24"/>
          <w:szCs w:val="24"/>
        </w:rPr>
        <w:t xml:space="preserve"> за видимост, прозрачност и комуникация. Конкретният бенефициент </w:t>
      </w:r>
      <w:r>
        <w:rPr>
          <w:rFonts w:ascii="Times New Roman" w:hAnsi="Times New Roman" w:cs="Times New Roman"/>
          <w:sz w:val="24"/>
          <w:szCs w:val="24"/>
        </w:rPr>
        <w:t xml:space="preserve"> подготвя план за изпълнение на комуникационните дейности (</w:t>
      </w:r>
      <w:r w:rsidRPr="0084009B">
        <w:rPr>
          <w:rFonts w:ascii="Times New Roman" w:hAnsi="Times New Roman" w:cs="Times New Roman"/>
          <w:b/>
          <w:sz w:val="24"/>
          <w:szCs w:val="24"/>
        </w:rPr>
        <w:t>комуникационен план</w:t>
      </w:r>
      <w:r>
        <w:rPr>
          <w:rFonts w:ascii="Times New Roman" w:hAnsi="Times New Roman" w:cs="Times New Roman"/>
          <w:sz w:val="24"/>
          <w:szCs w:val="24"/>
        </w:rPr>
        <w:t>) по приложен образец</w:t>
      </w:r>
      <w:r w:rsidRPr="009220CB">
        <w:rPr>
          <w:rFonts w:ascii="Times New Roman" w:hAnsi="Times New Roman" w:cs="Times New Roman"/>
          <w:sz w:val="24"/>
          <w:szCs w:val="24"/>
        </w:rPr>
        <w:t>, а с подписването на формуляра за кандидатстване се задължава да ги изпълнява.</w:t>
      </w:r>
      <w:r>
        <w:rPr>
          <w:rFonts w:ascii="Times New Roman" w:hAnsi="Times New Roman" w:cs="Times New Roman"/>
          <w:sz w:val="24"/>
          <w:szCs w:val="24"/>
        </w:rPr>
        <w:t xml:space="preserve"> При подготовката на </w:t>
      </w:r>
      <w:r w:rsidRPr="009220CB">
        <w:rPr>
          <w:rFonts w:ascii="Times New Roman" w:hAnsi="Times New Roman" w:cs="Times New Roman"/>
          <w:sz w:val="24"/>
          <w:szCs w:val="24"/>
        </w:rPr>
        <w:t xml:space="preserve"> </w:t>
      </w:r>
      <w:r>
        <w:rPr>
          <w:rFonts w:ascii="Times New Roman" w:hAnsi="Times New Roman" w:cs="Times New Roman"/>
          <w:sz w:val="24"/>
          <w:szCs w:val="24"/>
        </w:rPr>
        <w:t xml:space="preserve">комуникационния план се взима предвид вида на проекта, съответно дали е  операция от стратегическо значение или не. В зависимост от вида на проекта се съобразяват и дейностите по </w:t>
      </w:r>
      <w:r w:rsidRPr="009220CB">
        <w:rPr>
          <w:rFonts w:ascii="Times New Roman" w:hAnsi="Times New Roman" w:cs="Times New Roman"/>
          <w:sz w:val="24"/>
          <w:szCs w:val="24"/>
        </w:rPr>
        <w:t>видимост, прозрачност и комуникация</w:t>
      </w:r>
      <w:r>
        <w:rPr>
          <w:rFonts w:ascii="Times New Roman" w:hAnsi="Times New Roman" w:cs="Times New Roman"/>
          <w:sz w:val="24"/>
          <w:szCs w:val="24"/>
        </w:rPr>
        <w:t xml:space="preserve">, които трябва да се заложат в плана. </w:t>
      </w:r>
    </w:p>
    <w:p w14:paraId="6F1D8831" w14:textId="77777777" w:rsidR="00C9629D" w:rsidRDefault="00C9629D" w:rsidP="00C9629D">
      <w:pPr>
        <w:spacing w:after="0"/>
        <w:ind w:firstLine="851"/>
        <w:jc w:val="both"/>
        <w:rPr>
          <w:rFonts w:ascii="Times New Roman" w:hAnsi="Times New Roman" w:cs="Times New Roman"/>
          <w:sz w:val="24"/>
          <w:szCs w:val="24"/>
        </w:rPr>
      </w:pPr>
      <w:r w:rsidRPr="0084009B">
        <w:rPr>
          <w:rFonts w:ascii="Times New Roman" w:hAnsi="Times New Roman" w:cs="Times New Roman"/>
          <w:sz w:val="24"/>
          <w:szCs w:val="24"/>
        </w:rPr>
        <w:lastRenderedPageBreak/>
        <w:t>Комуникационен експерт или негов заместник от страна на бенефициента изготвя и/или съгласува този</w:t>
      </w:r>
      <w:r>
        <w:rPr>
          <w:rFonts w:ascii="Times New Roman" w:hAnsi="Times New Roman" w:cs="Times New Roman"/>
          <w:sz w:val="24"/>
          <w:szCs w:val="24"/>
        </w:rPr>
        <w:t xml:space="preserve"> план</w:t>
      </w:r>
      <w:r w:rsidRPr="0049534D">
        <w:rPr>
          <w:rFonts w:ascii="Times New Roman" w:hAnsi="Times New Roman" w:cs="Times New Roman"/>
          <w:sz w:val="24"/>
          <w:szCs w:val="24"/>
        </w:rPr>
        <w:t xml:space="preserve"> </w:t>
      </w:r>
      <w:r>
        <w:rPr>
          <w:rFonts w:ascii="Times New Roman" w:hAnsi="Times New Roman" w:cs="Times New Roman"/>
          <w:sz w:val="24"/>
          <w:szCs w:val="24"/>
        </w:rPr>
        <w:t xml:space="preserve">по електронен път с отдел „Информация, комуникация и техническа помощ“ в УО на ПТС. </w:t>
      </w:r>
      <w:r w:rsidRPr="009220CB">
        <w:rPr>
          <w:rFonts w:ascii="Times New Roman" w:hAnsi="Times New Roman" w:cs="Times New Roman"/>
          <w:sz w:val="24"/>
          <w:szCs w:val="24"/>
        </w:rPr>
        <w:t xml:space="preserve">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r>
        <w:rPr>
          <w:rFonts w:ascii="Times New Roman" w:hAnsi="Times New Roman" w:cs="Times New Roman"/>
          <w:sz w:val="24"/>
          <w:szCs w:val="24"/>
        </w:rPr>
        <w:t>адрес:</w:t>
      </w:r>
    </w:p>
    <w:p w14:paraId="5AFEC1F3" w14:textId="4EA68722" w:rsidR="00C9629D" w:rsidRDefault="000C67D1" w:rsidP="00C9629D">
      <w:pPr>
        <w:spacing w:after="0"/>
        <w:ind w:firstLine="851"/>
        <w:jc w:val="both"/>
        <w:rPr>
          <w:rFonts w:ascii="Times New Roman" w:hAnsi="Times New Roman" w:cs="Times New Roman"/>
          <w:sz w:val="24"/>
          <w:szCs w:val="24"/>
        </w:rPr>
      </w:pPr>
      <w:hyperlink r:id="rId21" w:history="1">
        <w:r w:rsidR="0007668E" w:rsidRPr="00450B85">
          <w:rPr>
            <w:rStyle w:val="Hyperlink"/>
            <w:rFonts w:ascii="Times New Roman" w:hAnsi="Times New Roman" w:cs="Times New Roman"/>
            <w:sz w:val="24"/>
            <w:szCs w:val="24"/>
          </w:rPr>
          <w:t>https://ec.europa.eu/regional_policy/information-sources/logo-download-center_en</w:t>
        </w:r>
      </w:hyperlink>
      <w:r w:rsidR="00C9629D" w:rsidRPr="009220CB">
        <w:rPr>
          <w:rFonts w:ascii="Times New Roman" w:hAnsi="Times New Roman" w:cs="Times New Roman"/>
          <w:sz w:val="24"/>
          <w:szCs w:val="24"/>
        </w:rPr>
        <w:t xml:space="preserve"> .</w:t>
      </w:r>
    </w:p>
    <w:p w14:paraId="7A6374BF" w14:textId="77777777" w:rsidR="00C9629D" w:rsidRPr="00760CBD" w:rsidRDefault="00C9629D" w:rsidP="00C9629D">
      <w:pPr>
        <w:spacing w:after="0"/>
        <w:ind w:firstLine="851"/>
        <w:jc w:val="both"/>
        <w:rPr>
          <w:rFonts w:ascii="Times New Roman" w:hAnsi="Times New Roman" w:cs="Times New Roman"/>
          <w:sz w:val="24"/>
          <w:szCs w:val="24"/>
        </w:rPr>
      </w:pPr>
      <w:r w:rsidRPr="00760CBD">
        <w:rPr>
          <w:rStyle w:val="Hyperlink"/>
        </w:rPr>
        <w:t xml:space="preserve"> </w:t>
      </w:r>
      <w:hyperlink r:id="rId22" w:history="1">
        <w:r w:rsidRPr="00760CBD">
          <w:rPr>
            <w:rStyle w:val="Hyperlink"/>
            <w:rFonts w:ascii="Times New Roman" w:hAnsi="Times New Roman" w:cs="Times New Roman"/>
            <w:sz w:val="24"/>
            <w:szCs w:val="24"/>
          </w:rPr>
          <w:t>https://ec.europa.eu/regional_policy/policy/communication/how-to-communicate_en</w:t>
        </w:r>
      </w:hyperlink>
    </w:p>
    <w:p w14:paraId="5482ABB0" w14:textId="77777777" w:rsidR="00C9629D" w:rsidRPr="00760CBD" w:rsidRDefault="000C67D1" w:rsidP="00C9629D">
      <w:pPr>
        <w:spacing w:after="0"/>
        <w:ind w:firstLine="851"/>
        <w:jc w:val="both"/>
        <w:rPr>
          <w:rFonts w:ascii="Times New Roman" w:hAnsi="Times New Roman" w:cs="Times New Roman"/>
          <w:sz w:val="24"/>
          <w:szCs w:val="24"/>
        </w:rPr>
      </w:pPr>
      <w:hyperlink r:id="rId23" w:history="1">
        <w:r w:rsidR="00C9629D" w:rsidRPr="00760CBD">
          <w:rPr>
            <w:rStyle w:val="Hyperlink"/>
            <w:rFonts w:ascii="Times New Roman" w:hAnsi="Times New Roman" w:cs="Times New Roman"/>
            <w:sz w:val="24"/>
            <w:szCs w:val="24"/>
          </w:rPr>
          <w:t>https://ec.europa.eu/regional_policy/policy/communication/online-generator_en</w:t>
        </w:r>
      </w:hyperlink>
    </w:p>
    <w:p w14:paraId="340152C9" w14:textId="77777777" w:rsidR="00C9629D" w:rsidRPr="009220CB" w:rsidRDefault="00C9629D" w:rsidP="00C9629D">
      <w:pPr>
        <w:spacing w:after="0"/>
        <w:ind w:firstLine="851"/>
        <w:jc w:val="both"/>
        <w:rPr>
          <w:rFonts w:ascii="Times New Roman" w:hAnsi="Times New Roman" w:cs="Times New Roman"/>
          <w:sz w:val="24"/>
          <w:szCs w:val="24"/>
        </w:rPr>
      </w:pPr>
    </w:p>
    <w:p w14:paraId="31D1A650" w14:textId="77777777" w:rsidR="00C9629D" w:rsidRPr="004C6CE3" w:rsidRDefault="00C9629D" w:rsidP="00C9629D">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4C6CE3">
        <w:rPr>
          <w:rFonts w:ascii="Times New Roman" w:eastAsia="Times New Roman" w:hAnsi="Times New Roman" w:cs="Times New Roman"/>
          <w:color w:val="333333"/>
          <w:sz w:val="24"/>
          <w:szCs w:val="24"/>
          <w:lang w:eastAsia="bg-BG"/>
        </w:rPr>
        <w:t>Бенефицие</w:t>
      </w:r>
      <w:r w:rsidRPr="009220CB">
        <w:rPr>
          <w:rFonts w:ascii="Times New Roman" w:eastAsia="Times New Roman" w:hAnsi="Times New Roman" w:cs="Times New Roman"/>
          <w:color w:val="333333"/>
          <w:sz w:val="24"/>
          <w:szCs w:val="24"/>
          <w:lang w:eastAsia="bg-BG"/>
        </w:rPr>
        <w:t>нт</w:t>
      </w:r>
      <w:r w:rsidRPr="004C6CE3">
        <w:rPr>
          <w:rFonts w:ascii="Times New Roman" w:eastAsia="Times New Roman" w:hAnsi="Times New Roman" w:cs="Times New Roman"/>
          <w:color w:val="333333"/>
          <w:sz w:val="24"/>
          <w:szCs w:val="24"/>
          <w:lang w:eastAsia="bg-BG"/>
        </w:rPr>
        <w:t>ите обявяват подкрепата от фондовете за операцията</w:t>
      </w:r>
      <w:r w:rsidRPr="009220CB">
        <w:rPr>
          <w:rFonts w:ascii="Times New Roman" w:eastAsia="Times New Roman" w:hAnsi="Times New Roman" w:cs="Times New Roman"/>
          <w:color w:val="333333"/>
          <w:sz w:val="24"/>
          <w:szCs w:val="24"/>
          <w:lang w:eastAsia="bg-BG"/>
        </w:rPr>
        <w:t xml:space="preserve"> (ЕФРР/КФ)</w:t>
      </w:r>
      <w:r w:rsidRPr="004C6CE3">
        <w:rPr>
          <w:rFonts w:ascii="Times New Roman" w:eastAsia="Times New Roman" w:hAnsi="Times New Roman" w:cs="Times New Roman"/>
          <w:color w:val="333333"/>
          <w:sz w:val="24"/>
          <w:szCs w:val="24"/>
          <w:lang w:eastAsia="bg-BG"/>
        </w:rPr>
        <w:t>, като:</w:t>
      </w:r>
    </w:p>
    <w:p w14:paraId="52E614DE" w14:textId="77777777" w:rsidR="00C9629D" w:rsidRDefault="00C9629D" w:rsidP="00C9629D">
      <w:pPr>
        <w:shd w:val="clear" w:color="auto" w:fill="FFFFFF"/>
        <w:spacing w:before="120" w:after="0" w:line="312" w:lineRule="atLeast"/>
        <w:ind w:firstLine="709"/>
        <w:jc w:val="both"/>
        <w:rPr>
          <w:iCs/>
          <w:sz w:val="24"/>
          <w:szCs w:val="24"/>
        </w:rPr>
      </w:pPr>
      <w:r w:rsidRPr="009220CB">
        <w:rPr>
          <w:rFonts w:ascii="Times New Roman" w:eastAsia="Times New Roman" w:hAnsi="Times New Roman" w:cs="Times New Roman"/>
          <w:color w:val="333333"/>
          <w:sz w:val="24"/>
          <w:szCs w:val="24"/>
          <w:lang w:eastAsia="bg-BG"/>
        </w:rPr>
        <w:t xml:space="preserve">а) включват на </w:t>
      </w:r>
      <w:r w:rsidRPr="0084009B">
        <w:rPr>
          <w:rFonts w:ascii="Times New Roman" w:eastAsia="Times New Roman" w:hAnsi="Times New Roman" w:cs="Times New Roman"/>
          <w:b/>
          <w:color w:val="333333"/>
          <w:sz w:val="24"/>
          <w:szCs w:val="24"/>
          <w:lang w:eastAsia="bg-BG"/>
        </w:rPr>
        <w:t>официалния уебсайт</w:t>
      </w:r>
      <w:r w:rsidRPr="009220CB">
        <w:rPr>
          <w:rFonts w:ascii="Times New Roman" w:eastAsia="Times New Roman" w:hAnsi="Times New Roman" w:cs="Times New Roman"/>
          <w:color w:val="333333"/>
          <w:sz w:val="24"/>
          <w:szCs w:val="24"/>
          <w:lang w:eastAsia="bg-BG"/>
        </w:rPr>
        <w:t xml:space="preserve"> на бенефициента, ако има такъв, и на сайтове в социални медии кратко описание на операцията, в което се посочват нейните цели и резултатите от нея</w:t>
      </w:r>
      <w:r>
        <w:rPr>
          <w:rFonts w:ascii="Times New Roman" w:eastAsia="Times New Roman" w:hAnsi="Times New Roman" w:cs="Times New Roman"/>
          <w:color w:val="333333"/>
          <w:sz w:val="24"/>
          <w:szCs w:val="24"/>
          <w:lang w:eastAsia="bg-BG"/>
        </w:rPr>
        <w:t>,</w:t>
      </w:r>
      <w:r w:rsidRPr="009220CB">
        <w:rPr>
          <w:rFonts w:ascii="Times New Roman" w:eastAsia="Times New Roman" w:hAnsi="Times New Roman" w:cs="Times New Roman"/>
          <w:color w:val="333333"/>
          <w:sz w:val="24"/>
          <w:szCs w:val="24"/>
          <w:lang w:eastAsia="bg-BG"/>
        </w:rPr>
        <w:t xml:space="preserve"> и се откроява финансовата подкрепа от </w:t>
      </w:r>
      <w:r>
        <w:rPr>
          <w:rFonts w:ascii="Times New Roman" w:eastAsia="Times New Roman" w:hAnsi="Times New Roman" w:cs="Times New Roman"/>
          <w:color w:val="333333"/>
          <w:sz w:val="24"/>
          <w:szCs w:val="24"/>
          <w:lang w:eastAsia="bg-BG"/>
        </w:rPr>
        <w:t>Европейския с</w:t>
      </w:r>
      <w:r w:rsidRPr="009220CB">
        <w:rPr>
          <w:rFonts w:ascii="Times New Roman" w:eastAsia="Times New Roman" w:hAnsi="Times New Roman" w:cs="Times New Roman"/>
          <w:color w:val="333333"/>
          <w:sz w:val="24"/>
          <w:szCs w:val="24"/>
          <w:lang w:eastAsia="bg-BG"/>
        </w:rPr>
        <w:t>ъюз;</w:t>
      </w:r>
    </w:p>
    <w:p w14:paraId="5FBB5F44" w14:textId="77777777" w:rsidR="00C9629D" w:rsidRPr="0084009B" w:rsidRDefault="00C9629D" w:rsidP="00C9629D">
      <w:pPr>
        <w:shd w:val="clear" w:color="auto" w:fill="FFFFFF"/>
        <w:spacing w:before="120" w:after="0" w:line="312" w:lineRule="atLeast"/>
        <w:ind w:firstLine="709"/>
        <w:jc w:val="both"/>
        <w:rPr>
          <w:rFonts w:ascii="Times New Roman" w:hAnsi="Times New Roman" w:cs="Times New Roman"/>
          <w:sz w:val="24"/>
          <w:szCs w:val="24"/>
        </w:rPr>
      </w:pPr>
      <w:r>
        <w:rPr>
          <w:iCs/>
          <w:sz w:val="24"/>
          <w:szCs w:val="24"/>
        </w:rPr>
        <w:t>б</w:t>
      </w:r>
      <w:r w:rsidRPr="0084009B">
        <w:rPr>
          <w:rFonts w:ascii="Times New Roman" w:hAnsi="Times New Roman" w:cs="Times New Roman"/>
          <w:sz w:val="24"/>
          <w:szCs w:val="24"/>
        </w:rPr>
        <w:t xml:space="preserve">) задължително включване на </w:t>
      </w:r>
      <w:r w:rsidRPr="0084009B">
        <w:rPr>
          <w:rFonts w:ascii="Times New Roman" w:hAnsi="Times New Roman" w:cs="Times New Roman"/>
          <w:b/>
          <w:sz w:val="24"/>
          <w:szCs w:val="24"/>
        </w:rPr>
        <w:t>логото на Европейския съюз</w:t>
      </w:r>
      <w:r w:rsidRPr="0084009B">
        <w:rPr>
          <w:rFonts w:ascii="Times New Roman" w:hAnsi="Times New Roman" w:cs="Times New Roman"/>
          <w:sz w:val="24"/>
          <w:szCs w:val="24"/>
        </w:rPr>
        <w:t>, както и на текст, символ/ емблема, подчертаващи подкрепата от ЕС във всички документи и комуникационни материали, свързани с изпълнението на проекта по видим начин</w:t>
      </w:r>
      <w:r>
        <w:rPr>
          <w:rFonts w:ascii="Times New Roman" w:hAnsi="Times New Roman" w:cs="Times New Roman"/>
          <w:sz w:val="24"/>
          <w:szCs w:val="24"/>
        </w:rPr>
        <w:t>;</w:t>
      </w:r>
    </w:p>
    <w:p w14:paraId="32428CA5" w14:textId="77777777" w:rsidR="00C9629D" w:rsidRPr="009220CB" w:rsidRDefault="00C9629D" w:rsidP="00C9629D">
      <w:pPr>
        <w:shd w:val="clear" w:color="auto" w:fill="FFFFFF"/>
        <w:spacing w:before="120" w:after="0" w:line="312" w:lineRule="atLeast"/>
        <w:ind w:firstLine="709"/>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в) поставят </w:t>
      </w:r>
      <w:r w:rsidRPr="0084009B">
        <w:rPr>
          <w:rFonts w:ascii="Times New Roman" w:eastAsia="Times New Roman" w:hAnsi="Times New Roman" w:cs="Times New Roman"/>
          <w:b/>
          <w:color w:val="333333"/>
          <w:sz w:val="24"/>
          <w:szCs w:val="24"/>
          <w:lang w:eastAsia="bg-BG"/>
        </w:rPr>
        <w:t>устойчиви табели или табла</w:t>
      </w:r>
      <w:r w:rsidRPr="009220CB">
        <w:rPr>
          <w:rFonts w:ascii="Times New Roman" w:eastAsia="Times New Roman" w:hAnsi="Times New Roman" w:cs="Times New Roman"/>
          <w:color w:val="333333"/>
          <w:sz w:val="24"/>
          <w:szCs w:val="24"/>
          <w:lang w:eastAsia="bg-BG"/>
        </w:rPr>
        <w:t>,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операциите, включващи физически инвестиции, или инсталирането на закупеното оборудване за операциите, получаващи подкрепа от ЕФРР и Кохезионния фонд, с общ размер на разходите над 500 000 EUR;</w:t>
      </w:r>
    </w:p>
    <w:p w14:paraId="3E1A60B8" w14:textId="77777777" w:rsidR="00C9629D" w:rsidRPr="009220CB" w:rsidRDefault="00C9629D" w:rsidP="00C9629D">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4009B">
        <w:rPr>
          <w:rFonts w:ascii="Times New Roman" w:eastAsia="Times New Roman" w:hAnsi="Times New Roman" w:cs="Times New Roman"/>
          <w:color w:val="333333"/>
          <w:sz w:val="24"/>
          <w:szCs w:val="24"/>
          <w:lang w:eastAsia="bg-BG"/>
        </w:rPr>
        <w:t xml:space="preserve">г) за операции, които не попадат в обхвата на буква в), поставят на място, ясно видимо за обществеността, поне един </w:t>
      </w:r>
      <w:r w:rsidRPr="0084009B">
        <w:rPr>
          <w:rFonts w:ascii="Times New Roman" w:eastAsia="Times New Roman" w:hAnsi="Times New Roman" w:cs="Times New Roman"/>
          <w:b/>
          <w:color w:val="333333"/>
          <w:sz w:val="24"/>
          <w:szCs w:val="24"/>
          <w:lang w:eastAsia="bg-BG"/>
        </w:rPr>
        <w:t>хартиен плакат с минимален размер А3</w:t>
      </w:r>
      <w:r w:rsidRPr="0084009B">
        <w:rPr>
          <w:rFonts w:ascii="Times New Roman" w:eastAsia="Times New Roman" w:hAnsi="Times New Roman" w:cs="Times New Roman"/>
          <w:color w:val="333333"/>
          <w:sz w:val="24"/>
          <w:szCs w:val="24"/>
          <w:lang w:eastAsia="bg-BG"/>
        </w:rPr>
        <w:t xml:space="preserve"> или еквивалентен електронен екран с информация за операцията, подчертаващ подкрепата на Европейския съюз;</w:t>
      </w:r>
    </w:p>
    <w:p w14:paraId="14FD5753" w14:textId="77777777" w:rsidR="00C9629D" w:rsidRPr="004C6CE3" w:rsidRDefault="00C9629D" w:rsidP="00C9629D">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д) за </w:t>
      </w:r>
      <w:r w:rsidRPr="0084009B">
        <w:rPr>
          <w:rFonts w:ascii="Times New Roman" w:eastAsia="Times New Roman" w:hAnsi="Times New Roman" w:cs="Times New Roman"/>
          <w:b/>
          <w:color w:val="333333"/>
          <w:sz w:val="24"/>
          <w:szCs w:val="24"/>
          <w:lang w:eastAsia="bg-BG"/>
        </w:rPr>
        <w:t>операции от стратегическо значение</w:t>
      </w:r>
      <w:r w:rsidRPr="009220CB">
        <w:rPr>
          <w:rFonts w:ascii="Times New Roman" w:eastAsia="Times New Roman" w:hAnsi="Times New Roman" w:cs="Times New Roman"/>
          <w:color w:val="333333"/>
          <w:sz w:val="24"/>
          <w:szCs w:val="24"/>
          <w:lang w:eastAsia="bg-BG"/>
        </w:rPr>
        <w:t xml:space="preserve"> и операции с общ размер на разходите над 10 000 000 EUR — организират според случая комуникационна проява или дейност и </w:t>
      </w:r>
      <w:r>
        <w:rPr>
          <w:rFonts w:ascii="Times New Roman" w:eastAsia="Times New Roman" w:hAnsi="Times New Roman" w:cs="Times New Roman"/>
          <w:color w:val="333333"/>
          <w:sz w:val="24"/>
          <w:szCs w:val="24"/>
          <w:lang w:eastAsia="bg-BG"/>
        </w:rPr>
        <w:t xml:space="preserve">канят за участие поне 3 месеца по-рано представители на </w:t>
      </w:r>
      <w:r w:rsidRPr="009220CB">
        <w:rPr>
          <w:rFonts w:ascii="Times New Roman" w:eastAsia="Times New Roman" w:hAnsi="Times New Roman" w:cs="Times New Roman"/>
          <w:color w:val="333333"/>
          <w:sz w:val="24"/>
          <w:szCs w:val="24"/>
          <w:lang w:eastAsia="bg-BG"/>
        </w:rPr>
        <w:t>У</w:t>
      </w:r>
      <w:r>
        <w:rPr>
          <w:rFonts w:ascii="Times New Roman" w:eastAsia="Times New Roman" w:hAnsi="Times New Roman" w:cs="Times New Roman"/>
          <w:color w:val="333333"/>
          <w:sz w:val="24"/>
          <w:szCs w:val="24"/>
          <w:lang w:eastAsia="bg-BG"/>
        </w:rPr>
        <w:t xml:space="preserve">правляващия орган </w:t>
      </w:r>
      <w:r w:rsidRPr="009220CB">
        <w:rPr>
          <w:rFonts w:ascii="Times New Roman" w:eastAsia="Times New Roman" w:hAnsi="Times New Roman" w:cs="Times New Roman"/>
          <w:color w:val="333333"/>
          <w:sz w:val="24"/>
          <w:szCs w:val="24"/>
          <w:lang w:eastAsia="bg-BG"/>
        </w:rPr>
        <w:t>на ПТС</w:t>
      </w:r>
      <w:r>
        <w:rPr>
          <w:rFonts w:ascii="Times New Roman" w:eastAsia="Times New Roman" w:hAnsi="Times New Roman" w:cs="Times New Roman"/>
          <w:color w:val="333333"/>
          <w:sz w:val="24"/>
          <w:szCs w:val="24"/>
          <w:lang w:eastAsia="bg-BG"/>
        </w:rPr>
        <w:t xml:space="preserve"> и на Европейската комисия.</w:t>
      </w:r>
      <w:r w:rsidRPr="009220CB">
        <w:rPr>
          <w:rFonts w:ascii="Times New Roman" w:eastAsia="Times New Roman" w:hAnsi="Times New Roman" w:cs="Times New Roman"/>
          <w:color w:val="333333"/>
          <w:sz w:val="24"/>
          <w:szCs w:val="24"/>
          <w:lang w:eastAsia="bg-BG"/>
        </w:rPr>
        <w:t xml:space="preserve"> </w:t>
      </w:r>
    </w:p>
    <w:p w14:paraId="560BD4E1" w14:textId="77777777" w:rsidR="00C9629D" w:rsidRPr="004C6CE3" w:rsidRDefault="00C9629D" w:rsidP="00C9629D">
      <w:pPr>
        <w:shd w:val="clear" w:color="auto" w:fill="FFFFFF"/>
        <w:spacing w:before="120" w:after="0" w:line="312" w:lineRule="atLeast"/>
        <w:ind w:firstLine="708"/>
        <w:jc w:val="both"/>
        <w:rPr>
          <w:rFonts w:ascii="Times New Roman" w:eastAsia="Times New Roman" w:hAnsi="Times New Roman" w:cs="Times New Roman"/>
          <w:sz w:val="24"/>
          <w:szCs w:val="24"/>
          <w:lang w:eastAsia="bg-BG"/>
        </w:rPr>
      </w:pPr>
      <w:r w:rsidRPr="004C6CE3">
        <w:rPr>
          <w:rFonts w:ascii="Times New Roman" w:eastAsia="Times New Roman" w:hAnsi="Times New Roman" w:cs="Times New Roman"/>
          <w:sz w:val="24"/>
          <w:szCs w:val="24"/>
          <w:lang w:eastAsia="bg-BG"/>
        </w:rPr>
        <w:t>По отношение на фондовете за малки проекти бенефицие</w:t>
      </w:r>
      <w:r w:rsidRPr="009220CB">
        <w:rPr>
          <w:rFonts w:ascii="Times New Roman" w:eastAsia="Times New Roman" w:hAnsi="Times New Roman" w:cs="Times New Roman"/>
          <w:sz w:val="24"/>
          <w:szCs w:val="24"/>
          <w:lang w:eastAsia="bg-BG"/>
        </w:rPr>
        <w:t>нтът</w:t>
      </w:r>
      <w:r w:rsidRPr="004C6CE3">
        <w:rPr>
          <w:rFonts w:ascii="Times New Roman" w:eastAsia="Times New Roman" w:hAnsi="Times New Roman" w:cs="Times New Roman"/>
          <w:sz w:val="24"/>
          <w:szCs w:val="24"/>
          <w:lang w:eastAsia="bg-BG"/>
        </w:rPr>
        <w:t xml:space="preserve"> спазва изискванията, предвидени в член 36, параграф 5 от </w:t>
      </w:r>
      <w:r w:rsidRPr="009220CB">
        <w:rPr>
          <w:rFonts w:ascii="Times New Roman" w:eastAsia="Times New Roman" w:hAnsi="Times New Roman" w:cs="Times New Roman"/>
          <w:sz w:val="24"/>
          <w:szCs w:val="24"/>
          <w:lang w:eastAsia="bg-BG"/>
        </w:rPr>
        <w:t>Регламент (ЕС) 2021/1059 на Европейския парламент и на Съвета от 24 юни 2021 година относно специалните разпоредби за цел „Европейско териториално сътрудничество“ (</w:t>
      </w:r>
      <w:proofErr w:type="spellStart"/>
      <w:r w:rsidRPr="009220CB">
        <w:rPr>
          <w:rFonts w:ascii="Times New Roman" w:eastAsia="Times New Roman" w:hAnsi="Times New Roman" w:cs="Times New Roman"/>
          <w:sz w:val="24"/>
          <w:szCs w:val="24"/>
          <w:lang w:eastAsia="bg-BG"/>
        </w:rPr>
        <w:t>Interreg</w:t>
      </w:r>
      <w:proofErr w:type="spellEnd"/>
      <w:r w:rsidRPr="009220CB">
        <w:rPr>
          <w:rFonts w:ascii="Times New Roman" w:eastAsia="Times New Roman" w:hAnsi="Times New Roman" w:cs="Times New Roman"/>
          <w:sz w:val="24"/>
          <w:szCs w:val="24"/>
          <w:lang w:eastAsia="bg-BG"/>
        </w:rPr>
        <w:t>), подкрепяна от Европейския фонд за регионално развитие и инструменти за външно финансиране (</w:t>
      </w:r>
      <w:r w:rsidRPr="004C6CE3">
        <w:rPr>
          <w:rFonts w:ascii="Times New Roman" w:eastAsia="Times New Roman" w:hAnsi="Times New Roman" w:cs="Times New Roman"/>
          <w:sz w:val="24"/>
          <w:szCs w:val="24"/>
          <w:lang w:eastAsia="bg-BG"/>
        </w:rPr>
        <w:t xml:space="preserve">Регламента за </w:t>
      </w:r>
      <w:proofErr w:type="spellStart"/>
      <w:r w:rsidRPr="004C6CE3">
        <w:rPr>
          <w:rFonts w:ascii="Times New Roman" w:eastAsia="Times New Roman" w:hAnsi="Times New Roman" w:cs="Times New Roman"/>
          <w:sz w:val="24"/>
          <w:szCs w:val="24"/>
          <w:lang w:eastAsia="bg-BG"/>
        </w:rPr>
        <w:t>Interreg</w:t>
      </w:r>
      <w:proofErr w:type="spellEnd"/>
      <w:r w:rsidRPr="009220CB">
        <w:rPr>
          <w:rFonts w:ascii="Times New Roman" w:eastAsia="Times New Roman" w:hAnsi="Times New Roman" w:cs="Times New Roman"/>
          <w:sz w:val="24"/>
          <w:szCs w:val="24"/>
          <w:lang w:eastAsia="bg-BG"/>
        </w:rPr>
        <w:t>)</w:t>
      </w:r>
      <w:r w:rsidRPr="004C6CE3">
        <w:rPr>
          <w:rFonts w:ascii="Times New Roman" w:eastAsia="Times New Roman" w:hAnsi="Times New Roman" w:cs="Times New Roman"/>
          <w:sz w:val="24"/>
          <w:szCs w:val="24"/>
          <w:lang w:eastAsia="bg-BG"/>
        </w:rPr>
        <w:t>.</w:t>
      </w:r>
    </w:p>
    <w:p w14:paraId="1EF2B1C1" w14:textId="77777777" w:rsidR="00C9629D" w:rsidRPr="004C6CE3" w:rsidRDefault="00C9629D" w:rsidP="00C9629D">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Pr>
          <w:rFonts w:ascii="Times New Roman" w:eastAsia="Times New Roman" w:hAnsi="Times New Roman" w:cs="Times New Roman"/>
          <w:sz w:val="24"/>
          <w:szCs w:val="24"/>
          <w:lang w:eastAsia="bg-BG"/>
        </w:rPr>
        <w:t>Когато бенефициентът</w:t>
      </w:r>
      <w:r w:rsidRPr="004C6CE3">
        <w:rPr>
          <w:rFonts w:ascii="Times New Roman" w:eastAsia="Times New Roman" w:hAnsi="Times New Roman" w:cs="Times New Roman"/>
          <w:sz w:val="24"/>
          <w:szCs w:val="24"/>
          <w:lang w:eastAsia="bg-BG"/>
        </w:rPr>
        <w:t xml:space="preserve"> не изпълнява задълженията си по член 47</w:t>
      </w:r>
      <w:r w:rsidRPr="009220CB">
        <w:rPr>
          <w:rFonts w:ascii="Times New Roman" w:eastAsia="Times New Roman" w:hAnsi="Times New Roman" w:cs="Times New Roman"/>
          <w:sz w:val="24"/>
          <w:szCs w:val="24"/>
          <w:lang w:eastAsia="bg-BG"/>
        </w:rPr>
        <w:t xml:space="preserve">, относно емблемата на Съюза или параграфи 1 и 2, на чл. 50 </w:t>
      </w:r>
      <w:r w:rsidRPr="004C6CE3">
        <w:rPr>
          <w:rFonts w:ascii="Times New Roman" w:eastAsia="Times New Roman" w:hAnsi="Times New Roman" w:cs="Times New Roman"/>
          <w:sz w:val="24"/>
          <w:szCs w:val="24"/>
          <w:lang w:eastAsia="bg-BG"/>
        </w:rPr>
        <w:t xml:space="preserve">от </w:t>
      </w:r>
      <w:r w:rsidRPr="009220CB">
        <w:rPr>
          <w:rFonts w:ascii="Times New Roman" w:eastAsia="Times New Roman" w:hAnsi="Times New Roman" w:cs="Times New Roman"/>
          <w:sz w:val="24"/>
          <w:szCs w:val="24"/>
          <w:lang w:eastAsia="bg-BG"/>
        </w:rPr>
        <w:t>Регламент 2021/1060</w:t>
      </w:r>
      <w:r w:rsidRPr="004C6CE3">
        <w:rPr>
          <w:rFonts w:ascii="Times New Roman" w:eastAsia="Times New Roman" w:hAnsi="Times New Roman" w:cs="Times New Roman"/>
          <w:sz w:val="24"/>
          <w:szCs w:val="24"/>
          <w:lang w:eastAsia="bg-BG"/>
        </w:rPr>
        <w:t xml:space="preserve"> и не са предприети </w:t>
      </w:r>
      <w:proofErr w:type="spellStart"/>
      <w:r w:rsidRPr="004C6CE3">
        <w:rPr>
          <w:rFonts w:ascii="Times New Roman" w:eastAsia="Times New Roman" w:hAnsi="Times New Roman" w:cs="Times New Roman"/>
          <w:sz w:val="24"/>
          <w:szCs w:val="24"/>
          <w:lang w:eastAsia="bg-BG"/>
        </w:rPr>
        <w:t>корективни</w:t>
      </w:r>
      <w:proofErr w:type="spellEnd"/>
      <w:r w:rsidRPr="004C6CE3">
        <w:rPr>
          <w:rFonts w:ascii="Times New Roman" w:eastAsia="Times New Roman" w:hAnsi="Times New Roman" w:cs="Times New Roman"/>
          <w:sz w:val="24"/>
          <w:szCs w:val="24"/>
          <w:lang w:eastAsia="bg-BG"/>
        </w:rPr>
        <w:t xml:space="preserve"> действия, управляващият орган прилага мерки, отчитайки принципа на </w:t>
      </w:r>
      <w:r w:rsidRPr="004C6CE3">
        <w:rPr>
          <w:rFonts w:ascii="Times New Roman" w:eastAsia="Times New Roman" w:hAnsi="Times New Roman" w:cs="Times New Roman"/>
          <w:sz w:val="24"/>
          <w:szCs w:val="24"/>
          <w:lang w:eastAsia="bg-BG"/>
        </w:rPr>
        <w:lastRenderedPageBreak/>
        <w:t>пропорционалност, като анулира до 3 % от подкрепата от фондовете за съответната операция</w:t>
      </w:r>
      <w:r w:rsidRPr="004C6CE3">
        <w:rPr>
          <w:rFonts w:ascii="Times New Roman" w:eastAsia="Times New Roman" w:hAnsi="Times New Roman" w:cs="Times New Roman"/>
          <w:color w:val="333333"/>
          <w:sz w:val="24"/>
          <w:szCs w:val="24"/>
          <w:lang w:eastAsia="bg-BG"/>
        </w:rPr>
        <w:t>.</w:t>
      </w:r>
    </w:p>
    <w:p w14:paraId="5F99EFCF" w14:textId="77777777" w:rsidR="00C9629D" w:rsidRPr="00AC1D20" w:rsidRDefault="00C9629D" w:rsidP="00C9629D">
      <w:pPr>
        <w:spacing w:after="0"/>
        <w:jc w:val="both"/>
        <w:rPr>
          <w:sz w:val="24"/>
          <w:szCs w:val="24"/>
        </w:rPr>
      </w:pPr>
    </w:p>
    <w:p w14:paraId="04A7A071" w14:textId="457A5C52" w:rsidR="00820F97" w:rsidRDefault="00820F97" w:rsidP="00820F97">
      <w:pPr>
        <w:spacing w:after="0"/>
        <w:ind w:firstLine="851"/>
        <w:jc w:val="both"/>
        <w:rPr>
          <w:rFonts w:ascii="Times New Roman" w:hAnsi="Times New Roman"/>
          <w:sz w:val="24"/>
          <w:szCs w:val="24"/>
          <w:lang w:eastAsia="bg-BG"/>
        </w:rPr>
      </w:pPr>
      <w:r w:rsidRPr="00C155C2">
        <w:rPr>
          <w:rFonts w:ascii="Times New Roman" w:hAnsi="Times New Roman"/>
          <w:sz w:val="24"/>
          <w:szCs w:val="24"/>
          <w:lang w:eastAsia="bg-BG"/>
        </w:rPr>
        <w:t>Ясни насоки за изпълнение на дейности за комуникация и видимост са дадени в</w:t>
      </w:r>
      <w:r>
        <w:rPr>
          <w:rFonts w:ascii="Times New Roman" w:hAnsi="Times New Roman"/>
          <w:sz w:val="24"/>
          <w:szCs w:val="24"/>
          <w:lang w:eastAsia="bg-BG"/>
        </w:rPr>
        <w:t xml:space="preserve"> следните документи:</w:t>
      </w:r>
    </w:p>
    <w:p w14:paraId="2DC2C467" w14:textId="77777777" w:rsidR="00820F97" w:rsidRDefault="00820F97" w:rsidP="00820F97">
      <w:pPr>
        <w:pStyle w:val="ListParagraph"/>
        <w:numPr>
          <w:ilvl w:val="0"/>
          <w:numId w:val="35"/>
        </w:numPr>
        <w:spacing w:after="0"/>
        <w:jc w:val="both"/>
        <w:rPr>
          <w:rFonts w:ascii="Times New Roman" w:hAnsi="Times New Roman"/>
          <w:sz w:val="24"/>
          <w:szCs w:val="24"/>
          <w:lang w:eastAsia="bg-BG"/>
        </w:rPr>
      </w:pPr>
      <w:r w:rsidRPr="008C5CD1">
        <w:rPr>
          <w:rFonts w:ascii="Times New Roman" w:hAnsi="Times New Roman"/>
          <w:sz w:val="24"/>
          <w:szCs w:val="24"/>
          <w:lang w:eastAsia="bg-BG"/>
        </w:rPr>
        <w:t>„Национална комуникационна стратегия 2021 -2027“ и приложения към нея, в това число Единен наръчник на бенефициента за прилагане на правилата за информация и комуникация 2021-2027 г</w:t>
      </w:r>
      <w:r>
        <w:rPr>
          <w:rFonts w:ascii="Times New Roman" w:hAnsi="Times New Roman"/>
          <w:sz w:val="24"/>
          <w:szCs w:val="24"/>
          <w:lang w:eastAsia="bg-BG"/>
        </w:rPr>
        <w:t>.</w:t>
      </w:r>
      <w:r>
        <w:rPr>
          <w:rStyle w:val="FootnoteReference"/>
          <w:rFonts w:ascii="Times New Roman" w:hAnsi="Times New Roman"/>
          <w:sz w:val="24"/>
          <w:szCs w:val="24"/>
          <w:lang w:eastAsia="bg-BG"/>
        </w:rPr>
        <w:footnoteReference w:id="3"/>
      </w:r>
    </w:p>
    <w:p w14:paraId="23F5637C" w14:textId="60E27A7C" w:rsidR="00820F97" w:rsidRPr="001173E1" w:rsidRDefault="00820F97" w:rsidP="00820F97">
      <w:pPr>
        <w:pStyle w:val="ListParagraph"/>
        <w:numPr>
          <w:ilvl w:val="0"/>
          <w:numId w:val="35"/>
        </w:numPr>
        <w:spacing w:after="0"/>
        <w:jc w:val="both"/>
        <w:rPr>
          <w:rFonts w:ascii="Times New Roman" w:hAnsi="Times New Roman"/>
          <w:sz w:val="24"/>
          <w:szCs w:val="24"/>
          <w:lang w:eastAsia="bg-BG"/>
        </w:rPr>
      </w:pPr>
      <w:r w:rsidRPr="001173E1">
        <w:rPr>
          <w:rFonts w:ascii="Times New Roman" w:hAnsi="Times New Roman"/>
          <w:sz w:val="24"/>
          <w:szCs w:val="24"/>
          <w:lang w:eastAsia="bg-BG"/>
        </w:rPr>
        <w:t xml:space="preserve">„Правилата за комуникация и видимост“  на финансираните  от Европейския съюз програми за периода 2021—2027 г. </w:t>
      </w:r>
    </w:p>
    <w:p w14:paraId="3E9363D8" w14:textId="77777777" w:rsidR="00C9629D" w:rsidRPr="007D0996" w:rsidRDefault="000C67D1" w:rsidP="007D0996">
      <w:pPr>
        <w:pStyle w:val="oj-ti-art"/>
        <w:numPr>
          <w:ilvl w:val="0"/>
          <w:numId w:val="35"/>
        </w:numPr>
        <w:shd w:val="clear" w:color="auto" w:fill="FFFFFF"/>
        <w:spacing w:line="312" w:lineRule="atLeast"/>
        <w:jc w:val="both"/>
        <w:rPr>
          <w:rStyle w:val="Hyperlink"/>
          <w:color w:val="auto"/>
        </w:rPr>
      </w:pPr>
      <w:hyperlink r:id="rId24" w:history="1">
        <w:r w:rsidR="00C9629D" w:rsidRPr="007D0996">
          <w:rPr>
            <w:rStyle w:val="Hyperlink"/>
            <w:color w:val="auto"/>
          </w:rPr>
          <w:t>https://ec.europa.eu/regional_policy/sources/policy/communication/support_kit_visibility_2127_en.pdf</w:t>
        </w:r>
      </w:hyperlink>
    </w:p>
    <w:p w14:paraId="376A1DC7" w14:textId="145AB1A5" w:rsidR="00C9629D" w:rsidRPr="00447574" w:rsidRDefault="000C67D1" w:rsidP="007D0996">
      <w:pPr>
        <w:pStyle w:val="oj-ti-art"/>
        <w:numPr>
          <w:ilvl w:val="0"/>
          <w:numId w:val="35"/>
        </w:numPr>
        <w:shd w:val="clear" w:color="auto" w:fill="FFFFFF"/>
        <w:spacing w:line="312" w:lineRule="atLeast"/>
        <w:jc w:val="both"/>
        <w:rPr>
          <w:rStyle w:val="Hyperlink"/>
          <w:color w:val="auto"/>
          <w:u w:val="none"/>
        </w:rPr>
      </w:pPr>
      <w:hyperlink r:id="rId25" w:history="1">
        <w:r w:rsidR="00C9629D" w:rsidRPr="007D0996">
          <w:rPr>
            <w:rStyle w:val="Hyperlink"/>
            <w:color w:val="auto"/>
          </w:rPr>
          <w:t>https://commission.europa.eu/resources-partners/european-commission-visual-identity_en</w:t>
        </w:r>
      </w:hyperlink>
    </w:p>
    <w:p w14:paraId="09731356" w14:textId="77777777" w:rsidR="00447574" w:rsidRPr="00447574" w:rsidRDefault="000C67D1" w:rsidP="00447574">
      <w:pPr>
        <w:pStyle w:val="ListParagraph"/>
        <w:numPr>
          <w:ilvl w:val="0"/>
          <w:numId w:val="35"/>
        </w:numPr>
        <w:rPr>
          <w:color w:val="1F497D"/>
          <w:lang w:val="en-US"/>
        </w:rPr>
      </w:pPr>
      <w:hyperlink r:id="rId26" w:history="1">
        <w:r w:rsidR="00447574">
          <w:rPr>
            <w:rStyle w:val="Hyperlink"/>
          </w:rPr>
          <w:t>https://commission.europa.eu/funding-tenders/managing-your-project/communicating-and-raising-eu-visibility_en</w:t>
        </w:r>
      </w:hyperlink>
      <w:r w:rsidR="00447574" w:rsidRPr="00447574">
        <w:rPr>
          <w:color w:val="1F497D"/>
        </w:rPr>
        <w:t xml:space="preserve"> </w:t>
      </w:r>
    </w:p>
    <w:p w14:paraId="4CD0F0C0" w14:textId="77777777" w:rsidR="00447574" w:rsidRPr="00447574" w:rsidRDefault="000C67D1" w:rsidP="00447574">
      <w:pPr>
        <w:pStyle w:val="ListParagraph"/>
        <w:numPr>
          <w:ilvl w:val="0"/>
          <w:numId w:val="35"/>
        </w:numPr>
        <w:rPr>
          <w:color w:val="1F497D"/>
        </w:rPr>
      </w:pPr>
      <w:hyperlink r:id="rId27" w:history="1">
        <w:r w:rsidR="00447574">
          <w:rPr>
            <w:rStyle w:val="Hyperlink"/>
          </w:rPr>
          <w:t>https://ec.europa.eu/regional_policy/policy/communication/how-to-communicate_en</w:t>
        </w:r>
      </w:hyperlink>
    </w:p>
    <w:p w14:paraId="7D0519A1" w14:textId="77777777" w:rsidR="00C9629D" w:rsidRDefault="00C9629D" w:rsidP="00C9629D">
      <w:pPr>
        <w:pStyle w:val="oj-ti-art"/>
        <w:shd w:val="clear" w:color="auto" w:fill="FFFFFF"/>
        <w:spacing w:before="360" w:after="120" w:line="312" w:lineRule="atLeast"/>
        <w:ind w:firstLine="708"/>
        <w:jc w:val="both"/>
      </w:pPr>
      <w:r w:rsidRPr="009220CB">
        <w:t xml:space="preserve">При осъществяване на дейности за осигуряване на видимост, прозрачност и комуникация бенефициентите използват емблемата на Съюза в съответствие с приложение IX, към Регламент № 2021/1060. </w:t>
      </w:r>
    </w:p>
    <w:p w14:paraId="52F6FBED" w14:textId="1EB8101A" w:rsidR="00F704ED" w:rsidRPr="007A0B0A" w:rsidRDefault="00F704ED" w:rsidP="00C66898">
      <w:pPr>
        <w:pStyle w:val="Heading2"/>
        <w:numPr>
          <w:ilvl w:val="1"/>
          <w:numId w:val="25"/>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sz w:val="24"/>
          <w:szCs w:val="24"/>
        </w:rPr>
      </w:pPr>
      <w:bookmarkStart w:id="41" w:name="_Toc136269966"/>
      <w:r w:rsidRPr="007A0B0A">
        <w:rPr>
          <w:rFonts w:ascii="Times New Roman" w:hAnsi="Times New Roman"/>
          <w:sz w:val="24"/>
          <w:szCs w:val="24"/>
        </w:rPr>
        <w:t>Съпътстващи документи към ФК</w:t>
      </w:r>
      <w:bookmarkEnd w:id="31"/>
      <w:bookmarkEnd w:id="32"/>
      <w:bookmarkEnd w:id="41"/>
    </w:p>
    <w:p w14:paraId="682BA357" w14:textId="77777777" w:rsidR="00F704ED" w:rsidRPr="007A0B0A" w:rsidRDefault="00F704ED" w:rsidP="00F704ED">
      <w:pPr>
        <w:ind w:right="141" w:firstLine="851"/>
        <w:jc w:val="both"/>
        <w:rPr>
          <w:rFonts w:ascii="Times New Roman" w:hAnsi="Times New Roman"/>
          <w:sz w:val="24"/>
          <w:szCs w:val="24"/>
          <w:lang w:eastAsia="bg-BG"/>
        </w:rPr>
      </w:pPr>
      <w:r w:rsidRPr="007A0B0A">
        <w:rPr>
          <w:rFonts w:ascii="Times New Roman" w:hAnsi="Times New Roman"/>
          <w:sz w:val="24"/>
          <w:szCs w:val="24"/>
          <w:lang w:eastAsia="bg-BG"/>
        </w:rPr>
        <w:t>Съпътстващите документи, които в зависимост от типа на проектното предложение следва да бъдат представени с подаването на ФК са както следва:</w:t>
      </w:r>
    </w:p>
    <w:p w14:paraId="6D261E30" w14:textId="77777777" w:rsidR="00F704ED" w:rsidRPr="007A0B0A" w:rsidRDefault="00F704ED" w:rsidP="00C66898">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 xml:space="preserve">Извършените проучвания за осъществимост, включително и анализ на вариантите, както и резултатите, включително оценка на необходимостта от предварителни </w:t>
      </w:r>
      <w:proofErr w:type="spellStart"/>
      <w:r w:rsidRPr="007A0B0A">
        <w:rPr>
          <w:rFonts w:ascii="Times New Roman" w:hAnsi="Times New Roman"/>
          <w:sz w:val="24"/>
          <w:szCs w:val="24"/>
          <w:lang w:eastAsia="bg-BG"/>
        </w:rPr>
        <w:t>съгласувателни</w:t>
      </w:r>
      <w:proofErr w:type="spellEnd"/>
      <w:r w:rsidRPr="007A0B0A">
        <w:rPr>
          <w:rFonts w:ascii="Times New Roman" w:hAnsi="Times New Roman"/>
          <w:sz w:val="24"/>
          <w:szCs w:val="24"/>
          <w:lang w:eastAsia="bg-BG"/>
        </w:rPr>
        <w:t xml:space="preserve"> действия във връзка с възможни пресичания с друга вече изградена или в проект на изграждане инфраструктура за избрания вариант (приложимо само за инвестиционни проекти);</w:t>
      </w:r>
    </w:p>
    <w:p w14:paraId="55C7D00F" w14:textId="127B3964" w:rsidR="004310C0" w:rsidRPr="004310C0" w:rsidRDefault="00F704ED" w:rsidP="004310C0">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val="en-US" w:eastAsia="bg-BG"/>
        </w:rPr>
      </w:pPr>
      <w:r w:rsidRPr="004310C0">
        <w:rPr>
          <w:rFonts w:ascii="Times New Roman" w:hAnsi="Times New Roman"/>
          <w:sz w:val="24"/>
          <w:szCs w:val="24"/>
          <w:lang w:eastAsia="bg-BG"/>
        </w:rPr>
        <w:t>Анализ „разходи-ползи” (АРП), включително икономически и финансов анализ и оценка на риска, като се вземат предвид нуждите във връзка с приспособяването към изменението на климата и смекчаване на последиците от него и устойчивостта на бедствия. Изготвянето на пълен АРП е задължителен за инвестиционни проекти над 50 млн. евро (</w:t>
      </w:r>
      <w:r w:rsidRPr="004310C0">
        <w:rPr>
          <w:rFonts w:ascii="Times New Roman" w:hAnsi="Times New Roman"/>
          <w:b/>
          <w:i/>
          <w:sz w:val="24"/>
          <w:szCs w:val="24"/>
          <w:lang w:eastAsia="bg-BG"/>
        </w:rPr>
        <w:t xml:space="preserve">Приложение </w:t>
      </w:r>
      <w:r w:rsidRPr="004310C0">
        <w:rPr>
          <w:rFonts w:ascii="Times New Roman" w:hAnsi="Times New Roman"/>
          <w:i/>
          <w:sz w:val="24"/>
          <w:szCs w:val="24"/>
          <w:lang w:eastAsia="bg-BG"/>
        </w:rPr>
        <w:t>Методология за извършване на анализ на разходите и ползите</w:t>
      </w:r>
      <w:r w:rsidRPr="004310C0">
        <w:rPr>
          <w:rFonts w:ascii="Times New Roman" w:hAnsi="Times New Roman"/>
          <w:sz w:val="24"/>
          <w:szCs w:val="24"/>
          <w:lang w:eastAsia="bg-BG"/>
        </w:rPr>
        <w:t>. За останалите инвестиционни проекти АРП е задължително изготвянето на финансов анализ, анализ на риска и чувствителността (приложимо само за инвестиционни проекти). Изчисленията в обхвата на АРП следва да б</w:t>
      </w:r>
      <w:r w:rsidR="007D0996">
        <w:rPr>
          <w:rFonts w:ascii="Times New Roman" w:hAnsi="Times New Roman"/>
          <w:sz w:val="24"/>
          <w:szCs w:val="24"/>
          <w:lang w:eastAsia="bg-BG"/>
        </w:rPr>
        <w:t xml:space="preserve">ъдат представени във формат </w:t>
      </w:r>
      <w:r w:rsidR="007D0996">
        <w:rPr>
          <w:rFonts w:ascii="Times New Roman" w:hAnsi="Times New Roman"/>
          <w:sz w:val="24"/>
          <w:szCs w:val="24"/>
          <w:lang w:eastAsia="bg-BG"/>
        </w:rPr>
        <w:tab/>
        <w:t xml:space="preserve">на </w:t>
      </w:r>
      <w:proofErr w:type="spellStart"/>
      <w:r w:rsidR="004310C0" w:rsidRPr="004310C0">
        <w:rPr>
          <w:rFonts w:ascii="Times New Roman" w:hAnsi="Times New Roman"/>
          <w:sz w:val="24"/>
          <w:szCs w:val="24"/>
          <w:lang w:eastAsia="bg-BG"/>
        </w:rPr>
        <w:t>Adobe</w:t>
      </w:r>
      <w:proofErr w:type="spellEnd"/>
      <w:r w:rsidR="004310C0" w:rsidRPr="004310C0">
        <w:rPr>
          <w:rFonts w:ascii="Times New Roman" w:hAnsi="Times New Roman"/>
          <w:sz w:val="24"/>
          <w:szCs w:val="24"/>
          <w:lang w:eastAsia="bg-BG"/>
        </w:rPr>
        <w:t xml:space="preserve"> </w:t>
      </w:r>
      <w:proofErr w:type="spellStart"/>
      <w:r w:rsidRPr="004310C0">
        <w:rPr>
          <w:rFonts w:ascii="Times New Roman" w:hAnsi="Times New Roman"/>
          <w:sz w:val="24"/>
          <w:szCs w:val="24"/>
          <w:lang w:eastAsia="bg-BG"/>
        </w:rPr>
        <w:t>Reader</w:t>
      </w:r>
      <w:proofErr w:type="spellEnd"/>
      <w:r w:rsidRPr="004310C0">
        <w:rPr>
          <w:rFonts w:ascii="Times New Roman" w:hAnsi="Times New Roman"/>
          <w:sz w:val="24"/>
          <w:szCs w:val="24"/>
          <w:lang w:eastAsia="bg-BG"/>
        </w:rPr>
        <w:t xml:space="preserve"> и </w:t>
      </w:r>
      <w:r w:rsidRPr="004310C0">
        <w:rPr>
          <w:rFonts w:ascii="Times New Roman" w:hAnsi="Times New Roman"/>
          <w:sz w:val="24"/>
          <w:szCs w:val="24"/>
        </w:rPr>
        <w:t xml:space="preserve">MS </w:t>
      </w:r>
      <w:r w:rsidRPr="004310C0">
        <w:rPr>
          <w:rFonts w:ascii="Times New Roman" w:hAnsi="Times New Roman"/>
          <w:sz w:val="24"/>
          <w:szCs w:val="24"/>
          <w:lang w:eastAsia="bg-BG"/>
        </w:rPr>
        <w:t>Excel</w:t>
      </w:r>
      <w:r w:rsidR="004310C0">
        <w:rPr>
          <w:rFonts w:ascii="Times New Roman" w:hAnsi="Times New Roman"/>
          <w:sz w:val="24"/>
          <w:szCs w:val="24"/>
          <w:lang w:eastAsia="bg-BG"/>
        </w:rPr>
        <w:t>.</w:t>
      </w:r>
      <w:r w:rsidR="007D0996">
        <w:rPr>
          <w:rFonts w:ascii="Times New Roman" w:hAnsi="Times New Roman"/>
          <w:sz w:val="24"/>
          <w:szCs w:val="24"/>
          <w:lang w:val="en-US" w:eastAsia="bg-BG"/>
        </w:rPr>
        <w:t xml:space="preserve"> </w:t>
      </w:r>
      <w:r w:rsidR="007D0996">
        <w:rPr>
          <w:rFonts w:ascii="Times New Roman" w:hAnsi="Times New Roman"/>
          <w:sz w:val="24"/>
          <w:szCs w:val="24"/>
          <w:lang w:eastAsia="bg-BG"/>
        </w:rPr>
        <w:t>З</w:t>
      </w:r>
      <w:r w:rsidR="004310C0" w:rsidRPr="004310C0">
        <w:rPr>
          <w:rFonts w:ascii="Times New Roman" w:hAnsi="Times New Roman"/>
          <w:sz w:val="24"/>
          <w:szCs w:val="24"/>
          <w:lang w:eastAsia="bg-BG"/>
        </w:rPr>
        <w:t>а проекти за информационни системи в транспорта: интелигентни транспортни системи (</w:t>
      </w:r>
      <w:r w:rsidR="004310C0" w:rsidRPr="004310C0">
        <w:rPr>
          <w:rFonts w:ascii="Times New Roman" w:hAnsi="Times New Roman"/>
          <w:sz w:val="24"/>
          <w:szCs w:val="24"/>
          <w:lang w:val="en-US" w:eastAsia="bg-BG"/>
        </w:rPr>
        <w:t>ITS</w:t>
      </w:r>
      <w:r w:rsidR="004310C0" w:rsidRPr="004310C0">
        <w:rPr>
          <w:rFonts w:ascii="Times New Roman" w:hAnsi="Times New Roman"/>
          <w:sz w:val="24"/>
          <w:szCs w:val="24"/>
          <w:lang w:eastAsia="bg-BG"/>
        </w:rPr>
        <w:t>), системи за управление на железопътното движение: (</w:t>
      </w:r>
      <w:r w:rsidR="004310C0" w:rsidRPr="004310C0">
        <w:rPr>
          <w:rFonts w:ascii="Times New Roman" w:hAnsi="Times New Roman"/>
          <w:sz w:val="24"/>
          <w:szCs w:val="24"/>
          <w:lang w:val="en-US" w:eastAsia="bg-BG"/>
        </w:rPr>
        <w:t>ERTMS, ETCS</w:t>
      </w:r>
      <w:r w:rsidR="004310C0" w:rsidRPr="004310C0">
        <w:rPr>
          <w:rFonts w:ascii="Times New Roman" w:hAnsi="Times New Roman"/>
          <w:sz w:val="24"/>
          <w:szCs w:val="24"/>
          <w:lang w:eastAsia="bg-BG"/>
        </w:rPr>
        <w:t xml:space="preserve">, </w:t>
      </w:r>
      <w:r w:rsidR="004310C0" w:rsidRPr="004310C0">
        <w:rPr>
          <w:rFonts w:ascii="Times New Roman" w:hAnsi="Times New Roman"/>
          <w:sz w:val="24"/>
          <w:szCs w:val="24"/>
          <w:lang w:val="en-US" w:eastAsia="bg-BG"/>
        </w:rPr>
        <w:t>GSM-R)</w:t>
      </w:r>
      <w:r w:rsidR="004310C0">
        <w:rPr>
          <w:rFonts w:ascii="Times New Roman" w:hAnsi="Times New Roman"/>
          <w:sz w:val="24"/>
          <w:szCs w:val="24"/>
          <w:lang w:val="en-US" w:eastAsia="bg-BG"/>
        </w:rPr>
        <w:t xml:space="preserve"> </w:t>
      </w:r>
      <w:r w:rsidR="004310C0" w:rsidRPr="004310C0">
        <w:rPr>
          <w:rFonts w:ascii="Times New Roman" w:hAnsi="Times New Roman"/>
          <w:sz w:val="24"/>
          <w:szCs w:val="24"/>
          <w:lang w:eastAsia="bg-BG"/>
        </w:rPr>
        <w:t>не е задължително изготвянето на АРП, когато се прилага Анализ на ефективността на разходите</w:t>
      </w:r>
      <w:r w:rsidR="004310C0" w:rsidRPr="004310C0">
        <w:rPr>
          <w:rFonts w:ascii="Times New Roman" w:hAnsi="Times New Roman"/>
          <w:sz w:val="24"/>
          <w:szCs w:val="24"/>
          <w:lang w:val="en-US" w:eastAsia="bg-BG"/>
        </w:rPr>
        <w:t xml:space="preserve"> (</w:t>
      </w:r>
      <w:r w:rsidR="004310C0" w:rsidRPr="004310C0">
        <w:rPr>
          <w:rFonts w:ascii="Times New Roman" w:hAnsi="Times New Roman"/>
          <w:sz w:val="24"/>
          <w:szCs w:val="24"/>
          <w:lang w:eastAsia="bg-BG"/>
        </w:rPr>
        <w:t>АЕР</w:t>
      </w:r>
      <w:r w:rsidR="004310C0" w:rsidRPr="004310C0">
        <w:rPr>
          <w:rFonts w:ascii="Times New Roman" w:hAnsi="Times New Roman"/>
          <w:sz w:val="24"/>
          <w:szCs w:val="24"/>
          <w:lang w:val="en-US" w:eastAsia="bg-BG"/>
        </w:rPr>
        <w:t>)</w:t>
      </w:r>
      <w:r w:rsidR="004310C0" w:rsidRPr="004310C0">
        <w:rPr>
          <w:rFonts w:ascii="Times New Roman" w:hAnsi="Times New Roman"/>
          <w:sz w:val="24"/>
          <w:szCs w:val="24"/>
          <w:lang w:eastAsia="bg-BG"/>
        </w:rPr>
        <w:t xml:space="preserve">. АЕР е предназначен за използване, когато конкретен </w:t>
      </w:r>
      <w:r w:rsidR="004310C0" w:rsidRPr="004310C0">
        <w:rPr>
          <w:rFonts w:ascii="Times New Roman" w:hAnsi="Times New Roman"/>
          <w:sz w:val="24"/>
          <w:szCs w:val="24"/>
          <w:lang w:eastAsia="bg-BG"/>
        </w:rPr>
        <w:lastRenderedPageBreak/>
        <w:t>резултат или цел вече е дефиниран и се сравнят доколко ефективно различните варианти отговарят на тази цел.</w:t>
      </w:r>
    </w:p>
    <w:p w14:paraId="291428EB" w14:textId="3E26DCB5" w:rsidR="00F704ED" w:rsidRDefault="00F704ED" w:rsidP="00BF4CE2">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4310C0">
        <w:rPr>
          <w:rFonts w:ascii="Times New Roman" w:hAnsi="Times New Roman"/>
          <w:sz w:val="24"/>
          <w:szCs w:val="24"/>
          <w:lang w:eastAsia="bg-BG"/>
        </w:rPr>
        <w:t>Документация във връзка с ОВОС: нетехническо резюме на доклада за ОВОС; 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 Решението на компетентния орган, издадено в съответствие с членове 8 и 9 от Директивата за ОВОС за приключили процедури по реда на глава шеста от ЗООС и/или чл. 31 от ЗБР с влязъл в сила краен административен акт, издадени във връзка с изпълнението на инвестиционния проект (приложимо само за инвестиционни проекти);</w:t>
      </w:r>
    </w:p>
    <w:p w14:paraId="73EDD375" w14:textId="5A8EC39A" w:rsidR="00980C01" w:rsidRPr="00980C01" w:rsidRDefault="00980C01" w:rsidP="00980C01">
      <w:pPr>
        <w:pStyle w:val="ListParagraph"/>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AD4DC6">
        <w:rPr>
          <w:rFonts w:ascii="Times New Roman" w:hAnsi="Times New Roman"/>
          <w:sz w:val="24"/>
          <w:szCs w:val="24"/>
          <w:lang w:eastAsia="bg-BG"/>
        </w:rPr>
        <w:t>Разработ</w:t>
      </w:r>
      <w:r>
        <w:rPr>
          <w:rFonts w:ascii="Times New Roman" w:hAnsi="Times New Roman"/>
          <w:sz w:val="24"/>
          <w:szCs w:val="24"/>
          <w:lang w:eastAsia="bg-BG"/>
        </w:rPr>
        <w:t>ени и одобрени</w:t>
      </w:r>
      <w:r w:rsidRPr="00AD4DC6">
        <w:rPr>
          <w:rFonts w:ascii="Times New Roman" w:hAnsi="Times New Roman"/>
          <w:sz w:val="24"/>
          <w:szCs w:val="24"/>
          <w:lang w:eastAsia="bg-BG"/>
        </w:rPr>
        <w:t xml:space="preserve"> специфични за </w:t>
      </w:r>
      <w:r>
        <w:rPr>
          <w:rFonts w:ascii="Times New Roman" w:hAnsi="Times New Roman"/>
          <w:sz w:val="24"/>
          <w:szCs w:val="24"/>
          <w:lang w:eastAsia="bg-BG"/>
        </w:rPr>
        <w:t xml:space="preserve">съответните </w:t>
      </w:r>
      <w:r w:rsidRPr="00AD4DC6">
        <w:rPr>
          <w:rFonts w:ascii="Times New Roman" w:hAnsi="Times New Roman"/>
          <w:sz w:val="24"/>
          <w:szCs w:val="24"/>
          <w:lang w:eastAsia="bg-BG"/>
        </w:rPr>
        <w:t xml:space="preserve">защитени зони подробни природозащитни цели </w:t>
      </w:r>
      <w:r>
        <w:rPr>
          <w:rFonts w:ascii="Times New Roman" w:hAnsi="Times New Roman"/>
          <w:sz w:val="24"/>
          <w:szCs w:val="24"/>
          <w:lang w:eastAsia="bg-BG"/>
        </w:rPr>
        <w:t>в съответствие с</w:t>
      </w:r>
      <w:r w:rsidRPr="00AD4DC6">
        <w:rPr>
          <w:rFonts w:ascii="Times New Roman" w:hAnsi="Times New Roman"/>
          <w:sz w:val="24"/>
          <w:szCs w:val="24"/>
          <w:lang w:eastAsia="bg-BG"/>
        </w:rPr>
        <w:t xml:space="preserve"> изискванията Директива 92/43/ЕИО за опазване на природните местообитания и на дивата флора и фауна - Директива за местообитанията и Директива 2009/147/ЕО относно опазването на дивите птици - Директива за птиците</w:t>
      </w:r>
      <w:r>
        <w:rPr>
          <w:rFonts w:ascii="Times New Roman" w:hAnsi="Times New Roman"/>
          <w:sz w:val="24"/>
          <w:szCs w:val="24"/>
          <w:lang w:eastAsia="bg-BG"/>
        </w:rPr>
        <w:t xml:space="preserve"> </w:t>
      </w:r>
      <w:r>
        <w:rPr>
          <w:rFonts w:ascii="Times New Roman" w:hAnsi="Times New Roman"/>
          <w:sz w:val="24"/>
          <w:szCs w:val="24"/>
          <w:lang w:val="en-US" w:eastAsia="bg-BG"/>
        </w:rPr>
        <w:t>(</w:t>
      </w:r>
      <w:r>
        <w:rPr>
          <w:rFonts w:ascii="Times New Roman" w:hAnsi="Times New Roman"/>
          <w:sz w:val="24"/>
          <w:szCs w:val="24"/>
          <w:lang w:eastAsia="bg-BG"/>
        </w:rPr>
        <w:t>когато е приложимо</w:t>
      </w:r>
      <w:r>
        <w:rPr>
          <w:rFonts w:ascii="Times New Roman" w:hAnsi="Times New Roman"/>
          <w:sz w:val="24"/>
          <w:szCs w:val="24"/>
          <w:lang w:val="en-US" w:eastAsia="bg-BG"/>
        </w:rPr>
        <w:t>)</w:t>
      </w:r>
      <w:r>
        <w:rPr>
          <w:rFonts w:ascii="Times New Roman" w:hAnsi="Times New Roman"/>
          <w:sz w:val="24"/>
          <w:szCs w:val="24"/>
          <w:lang w:eastAsia="bg-BG"/>
        </w:rPr>
        <w:t>.</w:t>
      </w:r>
    </w:p>
    <w:p w14:paraId="057279F8" w14:textId="77777777" w:rsidR="00F704ED" w:rsidRPr="007A0B0A" w:rsidRDefault="00F704ED" w:rsidP="00C66898">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Техническа спецификация от документация/и за обществена/и поръчка/и (когато е налична);</w:t>
      </w:r>
    </w:p>
    <w:p w14:paraId="13BDD439" w14:textId="373C185D" w:rsidR="00F704ED" w:rsidRPr="007A0B0A" w:rsidRDefault="00F704ED" w:rsidP="00C66898">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 xml:space="preserve">Техническа документация – например идеен проект, </w:t>
      </w:r>
      <w:r w:rsidR="00F91BFE">
        <w:rPr>
          <w:rFonts w:ascii="Times New Roman" w:hAnsi="Times New Roman"/>
          <w:sz w:val="24"/>
          <w:szCs w:val="24"/>
          <w:lang w:eastAsia="bg-BG"/>
        </w:rPr>
        <w:t xml:space="preserve">технически проект, </w:t>
      </w:r>
      <w:r w:rsidRPr="007A0B0A">
        <w:rPr>
          <w:rFonts w:ascii="Times New Roman" w:hAnsi="Times New Roman"/>
          <w:sz w:val="24"/>
          <w:szCs w:val="24"/>
          <w:lang w:eastAsia="bg-BG"/>
        </w:rPr>
        <w:t>ПУП и др. (когато е приложимо);</w:t>
      </w:r>
    </w:p>
    <w:p w14:paraId="748339DD" w14:textId="658187B3" w:rsidR="00F704ED" w:rsidRPr="007A0B0A" w:rsidRDefault="00F704ED" w:rsidP="00C66898">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Картен материал, определящ местонахождението на проекта/ обекта (когато е приложимо);</w:t>
      </w:r>
    </w:p>
    <w:p w14:paraId="694FC519" w14:textId="77777777" w:rsidR="00F704ED" w:rsidRPr="007A0B0A" w:rsidRDefault="00F704ED" w:rsidP="00C66898">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Заверени копия от разрешителни (когато е приложимо);</w:t>
      </w:r>
    </w:p>
    <w:p w14:paraId="34494CFD" w14:textId="083B7CB6" w:rsidR="00F704ED" w:rsidRPr="007A0B0A" w:rsidRDefault="00F704ED" w:rsidP="00C66898">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Декларации, свързани с дейностите по проекта – например приложените към ФК за инвестиционен проект  „Декларация на органа, отговарящ за мониторинга на обектите НАТУРА 2000“, „Декларация на компетентния орган, отговарящ за управлението на Водите“, декларация за двойно финансиране (когато е приложимо);</w:t>
      </w:r>
    </w:p>
    <w:p w14:paraId="317A14EE" w14:textId="2C91D9D5" w:rsidR="00F704ED" w:rsidRPr="007A0B0A" w:rsidRDefault="00F704ED" w:rsidP="00C66898">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Оценителн</w:t>
      </w:r>
      <w:r w:rsidR="00EB1425">
        <w:rPr>
          <w:rFonts w:ascii="Times New Roman" w:hAnsi="Times New Roman"/>
          <w:sz w:val="24"/>
          <w:szCs w:val="24"/>
          <w:lang w:eastAsia="bg-BG"/>
        </w:rPr>
        <w:t>и</w:t>
      </w:r>
      <w:r w:rsidRPr="007A0B0A">
        <w:rPr>
          <w:rFonts w:ascii="Times New Roman" w:hAnsi="Times New Roman"/>
          <w:sz w:val="24"/>
          <w:szCs w:val="24"/>
          <w:lang w:eastAsia="bg-BG"/>
        </w:rPr>
        <w:t xml:space="preserve"> </w:t>
      </w:r>
      <w:r w:rsidR="00EB1425">
        <w:rPr>
          <w:rFonts w:ascii="Times New Roman" w:hAnsi="Times New Roman"/>
          <w:sz w:val="24"/>
          <w:szCs w:val="24"/>
          <w:lang w:eastAsia="bg-BG"/>
        </w:rPr>
        <w:t>въпросници</w:t>
      </w:r>
      <w:r w:rsidR="00EB1425" w:rsidRPr="007A0B0A">
        <w:rPr>
          <w:rFonts w:ascii="Times New Roman" w:hAnsi="Times New Roman"/>
          <w:sz w:val="24"/>
          <w:szCs w:val="24"/>
          <w:lang w:eastAsia="bg-BG"/>
        </w:rPr>
        <w:t xml:space="preserve"> </w:t>
      </w:r>
      <w:r w:rsidRPr="007A0B0A">
        <w:rPr>
          <w:rFonts w:ascii="Times New Roman" w:hAnsi="Times New Roman"/>
          <w:sz w:val="24"/>
          <w:szCs w:val="24"/>
          <w:lang w:eastAsia="bg-BG"/>
        </w:rPr>
        <w:t>за извършена самооценка от бенефициента на проектно предложение</w:t>
      </w:r>
    </w:p>
    <w:p w14:paraId="3381CE98" w14:textId="77777777" w:rsidR="00F704ED" w:rsidRPr="007A0B0A" w:rsidRDefault="00F704ED" w:rsidP="00C66898">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Допълнителна информация от бенефициента и/или други институции/компетентни органи (когато е приложимо).</w:t>
      </w:r>
    </w:p>
    <w:p w14:paraId="15DF78C9" w14:textId="2E5B2C2F" w:rsidR="00F704ED" w:rsidRPr="007A0B0A" w:rsidRDefault="00F704ED" w:rsidP="00F704ED">
      <w:pPr>
        <w:pStyle w:val="PMnumeric"/>
        <w:numPr>
          <w:ilvl w:val="0"/>
          <w:numId w:val="0"/>
        </w:numPr>
        <w:tabs>
          <w:tab w:val="num" w:pos="851"/>
        </w:tabs>
        <w:ind w:right="141" w:firstLine="709"/>
        <w:rPr>
          <w:spacing w:val="0"/>
        </w:rPr>
      </w:pPr>
      <w:r w:rsidRPr="007A0B0A">
        <w:rPr>
          <w:spacing w:val="0"/>
        </w:rPr>
        <w:t xml:space="preserve">След финализиране на ФК и преди подаването му, бенефициента извършва самооценка на качеството на ФК, като попълва и прилага към ФК </w:t>
      </w:r>
      <w:r w:rsidR="00EB1425" w:rsidRPr="007A0B0A">
        <w:rPr>
          <w:spacing w:val="0"/>
        </w:rPr>
        <w:t>оценителн</w:t>
      </w:r>
      <w:r w:rsidR="00EB1425">
        <w:rPr>
          <w:spacing w:val="0"/>
        </w:rPr>
        <w:t>и</w:t>
      </w:r>
      <w:r w:rsidR="00EB1425" w:rsidRPr="007A0B0A">
        <w:rPr>
          <w:spacing w:val="0"/>
        </w:rPr>
        <w:t xml:space="preserve"> </w:t>
      </w:r>
      <w:r w:rsidR="00EB1425">
        <w:rPr>
          <w:spacing w:val="0"/>
        </w:rPr>
        <w:t>въпросници</w:t>
      </w:r>
      <w:r w:rsidR="00EB1425" w:rsidRPr="007A0B0A">
        <w:rPr>
          <w:spacing w:val="0"/>
        </w:rPr>
        <w:t xml:space="preserve"> </w:t>
      </w:r>
      <w:r w:rsidRPr="007A0B0A">
        <w:rPr>
          <w:spacing w:val="0"/>
        </w:rPr>
        <w:t>за извършена самооценка</w:t>
      </w:r>
      <w:r w:rsidR="00100AA8">
        <w:rPr>
          <w:spacing w:val="0"/>
        </w:rPr>
        <w:t xml:space="preserve"> на качеството на инвестиционния проект</w:t>
      </w:r>
      <w:r w:rsidRPr="007A0B0A">
        <w:rPr>
          <w:spacing w:val="0"/>
        </w:rPr>
        <w:t xml:space="preserve">. </w:t>
      </w:r>
    </w:p>
    <w:p w14:paraId="295CC9AE" w14:textId="5213630C" w:rsidR="00FD5383" w:rsidRPr="00C247E3" w:rsidRDefault="00F704ED" w:rsidP="009746CC">
      <w:pPr>
        <w:pStyle w:val="PMnumeric"/>
        <w:numPr>
          <w:ilvl w:val="0"/>
          <w:numId w:val="0"/>
        </w:numPr>
        <w:tabs>
          <w:tab w:val="num" w:pos="851"/>
        </w:tabs>
        <w:ind w:right="141"/>
        <w:rPr>
          <w:spacing w:val="0"/>
        </w:rPr>
      </w:pPr>
      <w:r w:rsidRPr="00C247E3">
        <w:rPr>
          <w:b/>
          <w:spacing w:val="0"/>
          <w:lang w:eastAsia="en-US"/>
        </w:rPr>
        <w:t xml:space="preserve">Важно: </w:t>
      </w:r>
      <w:r w:rsidRPr="00C247E3">
        <w:rPr>
          <w:spacing w:val="0"/>
          <w:lang w:eastAsia="en-US"/>
        </w:rPr>
        <w:t xml:space="preserve">АРП се извършва възможно най-рано на етапа на изготвяне на проекта, обикновено в края на предварителния етап на проектиране на проекта.  </w:t>
      </w:r>
    </w:p>
    <w:p w14:paraId="225C1DD2" w14:textId="77777777" w:rsidR="00FD5383" w:rsidRPr="00C247E3" w:rsidRDefault="00FD5383" w:rsidP="00FD5383">
      <w:pPr>
        <w:rPr>
          <w:sz w:val="24"/>
          <w:szCs w:val="24"/>
        </w:rPr>
      </w:pPr>
    </w:p>
    <w:p w14:paraId="450B6A8C" w14:textId="2FE7B08E" w:rsidR="00AF4B29" w:rsidRPr="007A0B0A" w:rsidRDefault="002325A3" w:rsidP="00C66898">
      <w:pPr>
        <w:pStyle w:val="Heading2"/>
        <w:numPr>
          <w:ilvl w:val="0"/>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2" w:name="_Toc136269967"/>
      <w:r w:rsidRPr="007A0B0A">
        <w:rPr>
          <w:rFonts w:ascii="Times New Roman" w:hAnsi="Times New Roman" w:cs="Times New Roman"/>
        </w:rPr>
        <w:t xml:space="preserve">Критерии </w:t>
      </w:r>
      <w:r w:rsidR="005B7309" w:rsidRPr="007A0B0A">
        <w:rPr>
          <w:rFonts w:ascii="Times New Roman" w:hAnsi="Times New Roman" w:cs="Times New Roman"/>
        </w:rPr>
        <w:t xml:space="preserve">и методика </w:t>
      </w:r>
      <w:r w:rsidRPr="007A0B0A">
        <w:rPr>
          <w:rFonts w:ascii="Times New Roman" w:hAnsi="Times New Roman" w:cs="Times New Roman"/>
        </w:rPr>
        <w:t>за оценка на проектните предложения:</w:t>
      </w:r>
      <w:bookmarkEnd w:id="42"/>
    </w:p>
    <w:p w14:paraId="0ED596E6" w14:textId="28A7A1B9" w:rsidR="00AF4B29" w:rsidRPr="007A0B0A" w:rsidRDefault="00685833" w:rsidP="00C66898">
      <w:pPr>
        <w:pStyle w:val="Heading2"/>
        <w:numPr>
          <w:ilvl w:val="1"/>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3" w:name="_Toc136269968"/>
      <w:r w:rsidRPr="007A0B0A">
        <w:rPr>
          <w:rFonts w:ascii="Times New Roman" w:hAnsi="Times New Roman" w:cs="Times New Roman"/>
        </w:rPr>
        <w:t xml:space="preserve">Критерии </w:t>
      </w:r>
      <w:r w:rsidR="00AF4B29" w:rsidRPr="007A0B0A">
        <w:rPr>
          <w:rFonts w:ascii="Times New Roman" w:hAnsi="Times New Roman" w:cs="Times New Roman"/>
        </w:rPr>
        <w:t xml:space="preserve">за </w:t>
      </w:r>
      <w:r w:rsidRPr="007A0B0A">
        <w:rPr>
          <w:rFonts w:ascii="Times New Roman" w:hAnsi="Times New Roman" w:cs="Times New Roman"/>
        </w:rPr>
        <w:t>оценка</w:t>
      </w:r>
      <w:r w:rsidR="00AF4B29" w:rsidRPr="007A0B0A">
        <w:rPr>
          <w:rFonts w:ascii="Times New Roman" w:hAnsi="Times New Roman" w:cs="Times New Roman"/>
        </w:rPr>
        <w:t xml:space="preserve"> на проектните предложения:</w:t>
      </w:r>
      <w:bookmarkEnd w:id="43"/>
      <w:r w:rsidR="00AF4B29" w:rsidRPr="007A0B0A">
        <w:rPr>
          <w:rFonts w:ascii="Times New Roman" w:hAnsi="Times New Roman" w:cs="Times New Roman"/>
        </w:rPr>
        <w:t xml:space="preserve"> </w:t>
      </w:r>
    </w:p>
    <w:p w14:paraId="0B88B8BE" w14:textId="75EC3960" w:rsidR="00685833" w:rsidRPr="007A0B0A" w:rsidRDefault="00685833" w:rsidP="009D631B">
      <w:pPr>
        <w:ind w:firstLine="567"/>
        <w:jc w:val="both"/>
        <w:rPr>
          <w:rFonts w:ascii="Times New Roman" w:hAnsi="Times New Roman" w:cs="Times New Roman"/>
          <w:sz w:val="24"/>
          <w:szCs w:val="24"/>
        </w:rPr>
      </w:pPr>
      <w:r w:rsidRPr="007A0B0A">
        <w:rPr>
          <w:rFonts w:ascii="Times New Roman" w:hAnsi="Times New Roman" w:cs="Times New Roman"/>
          <w:sz w:val="24"/>
          <w:szCs w:val="24"/>
        </w:rPr>
        <w:t>В процеса на подготовка на Програма „Транспортна свързаност“  2021-2027 г. (ПТС) е извършен подбор на операциите, с което е опреден индикативен списък на инвестиционните проекти за финансиране по съответния приоритет на ПТС.</w:t>
      </w:r>
    </w:p>
    <w:p w14:paraId="32225047" w14:textId="72B120E4" w:rsidR="009D631B" w:rsidRPr="007A0B0A" w:rsidRDefault="009D631B" w:rsidP="009D631B">
      <w:pPr>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Подготовката и оценката на проектните предложения, подадени за финансиране по ПТС се </w:t>
      </w:r>
      <w:r w:rsidRPr="007A0B0A">
        <w:rPr>
          <w:rFonts w:ascii="Times New Roman" w:hAnsi="Times New Roman" w:cs="Times New Roman"/>
          <w:sz w:val="24"/>
          <w:szCs w:val="24"/>
        </w:rPr>
        <w:t>изпълнява</w:t>
      </w:r>
      <w:r w:rsidRPr="007A0B0A">
        <w:rPr>
          <w:rFonts w:ascii="Times New Roman" w:eastAsia="Calibri" w:hAnsi="Times New Roman" w:cs="Times New Roman"/>
          <w:sz w:val="24"/>
          <w:szCs w:val="24"/>
        </w:rPr>
        <w:t xml:space="preserve"> при стриктно спазване на процедурите, правилата и указанията, разписани в настоящите </w:t>
      </w:r>
      <w:r w:rsidR="007351DD">
        <w:rPr>
          <w:rFonts w:ascii="Times New Roman" w:eastAsia="Calibri" w:hAnsi="Times New Roman" w:cs="Times New Roman"/>
          <w:sz w:val="24"/>
          <w:szCs w:val="24"/>
        </w:rPr>
        <w:t>Условията за кандидатстване</w:t>
      </w:r>
      <w:r w:rsidRPr="007A0B0A">
        <w:rPr>
          <w:rFonts w:ascii="Times New Roman" w:eastAsia="Calibri" w:hAnsi="Times New Roman" w:cs="Times New Roman"/>
          <w:sz w:val="24"/>
          <w:szCs w:val="24"/>
        </w:rPr>
        <w:t>.</w:t>
      </w:r>
    </w:p>
    <w:p w14:paraId="38D9E7D1" w14:textId="0187EB52" w:rsidR="00685833" w:rsidRPr="007A0B0A" w:rsidRDefault="00685833" w:rsidP="009D631B">
      <w:pPr>
        <w:ind w:firstLine="567"/>
        <w:jc w:val="both"/>
        <w:rPr>
          <w:rFonts w:ascii="Times New Roman" w:hAnsi="Times New Roman" w:cs="Times New Roman"/>
          <w:sz w:val="24"/>
          <w:szCs w:val="24"/>
        </w:rPr>
      </w:pPr>
      <w:r w:rsidRPr="007A0B0A">
        <w:rPr>
          <w:rFonts w:ascii="Times New Roman" w:hAnsi="Times New Roman" w:cs="Times New Roman"/>
          <w:sz w:val="24"/>
          <w:szCs w:val="24"/>
        </w:rPr>
        <w:lastRenderedPageBreak/>
        <w:t>Методът, който ще бъде използван е проектите да бъдат оценявани един по един след получаването и регистрирането им в системата ИСУН 2020, и те да бъдат сравнявани единствено с одобрените критерии за оценка на проекти от Комитета за наблюдение на ПТС.</w:t>
      </w:r>
    </w:p>
    <w:p w14:paraId="06FDE411" w14:textId="3138F129" w:rsidR="009D631B" w:rsidRPr="007A0B0A" w:rsidRDefault="009D631B" w:rsidP="009D631B">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w:t>
      </w:r>
    </w:p>
    <w:p w14:paraId="70889087" w14:textId="77777777" w:rsidR="009D631B" w:rsidRPr="007A0B0A" w:rsidRDefault="009D631B" w:rsidP="009D631B">
      <w:pPr>
        <w:ind w:firstLine="567"/>
        <w:contextualSpacing/>
        <w:jc w:val="both"/>
        <w:rPr>
          <w:rFonts w:ascii="Times New Roman" w:eastAsia="Calibri" w:hAnsi="Times New Roman" w:cs="Times New Roman"/>
          <w:sz w:val="24"/>
          <w:szCs w:val="24"/>
        </w:rPr>
      </w:pPr>
    </w:p>
    <w:p w14:paraId="55231E4A" w14:textId="2CE8B71C" w:rsidR="009D631B" w:rsidRDefault="009D631B" w:rsidP="009D631B">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По време на оценка на проекта, в случай че се у</w:t>
      </w:r>
      <w:r w:rsidRPr="009D631B">
        <w:rPr>
          <w:rFonts w:ascii="Times New Roman" w:eastAsia="Calibri" w:hAnsi="Times New Roman" w:cs="Times New Roman"/>
          <w:sz w:val="24"/>
          <w:szCs w:val="24"/>
        </w:rPr>
        <w:t xml:space="preserve">становят </w:t>
      </w:r>
      <w:proofErr w:type="spellStart"/>
      <w:r w:rsidRPr="009D631B">
        <w:rPr>
          <w:rFonts w:ascii="Times New Roman" w:eastAsia="Calibri" w:hAnsi="Times New Roman" w:cs="Times New Roman"/>
          <w:sz w:val="24"/>
          <w:szCs w:val="24"/>
        </w:rPr>
        <w:t>нередовности</w:t>
      </w:r>
      <w:proofErr w:type="spellEnd"/>
      <w:r w:rsidRPr="009D631B">
        <w:rPr>
          <w:rFonts w:ascii="Times New Roman" w:eastAsia="Calibri" w:hAnsi="Times New Roman" w:cs="Times New Roman"/>
          <w:sz w:val="24"/>
          <w:szCs w:val="24"/>
        </w:rPr>
        <w:t xml:space="preserve">, </w:t>
      </w:r>
      <w:proofErr w:type="spellStart"/>
      <w:r w:rsidRPr="009D631B">
        <w:rPr>
          <w:rFonts w:ascii="Times New Roman" w:eastAsia="Calibri" w:hAnsi="Times New Roman" w:cs="Times New Roman"/>
          <w:sz w:val="24"/>
          <w:szCs w:val="24"/>
        </w:rPr>
        <w:t>непълноти</w:t>
      </w:r>
      <w:proofErr w:type="spellEnd"/>
      <w:r w:rsidRPr="009D631B">
        <w:rPr>
          <w:rFonts w:ascii="Times New Roman" w:eastAsia="Calibri" w:hAnsi="Times New Roman" w:cs="Times New Roman"/>
          <w:sz w:val="24"/>
          <w:szCs w:val="24"/>
        </w:rPr>
        <w:t xml:space="preserve"> и/или несъответствия на представените документи, оценителната комисия има право да изиска от кандидата да представи допълнителни писмени разяснения по представеният от него про</w:t>
      </w:r>
      <w:r w:rsidR="00F91BFE">
        <w:rPr>
          <w:rFonts w:ascii="Times New Roman" w:eastAsia="Calibri" w:hAnsi="Times New Roman" w:cs="Times New Roman"/>
          <w:sz w:val="24"/>
          <w:szCs w:val="24"/>
        </w:rPr>
        <w:t>ект</w:t>
      </w:r>
      <w:r w:rsidR="00D7131A">
        <w:rPr>
          <w:rFonts w:ascii="Times New Roman" w:eastAsia="Calibri" w:hAnsi="Times New Roman" w:cs="Times New Roman"/>
          <w:sz w:val="24"/>
          <w:szCs w:val="24"/>
        </w:rPr>
        <w:t xml:space="preserve"> </w:t>
      </w:r>
      <w:r w:rsidR="00F91BFE">
        <w:rPr>
          <w:rFonts w:ascii="Times New Roman" w:eastAsia="Calibri" w:hAnsi="Times New Roman" w:cs="Times New Roman"/>
          <w:sz w:val="24"/>
          <w:szCs w:val="24"/>
        </w:rPr>
        <w:t>или да изиска</w:t>
      </w:r>
      <w:r w:rsidRPr="009D631B">
        <w:rPr>
          <w:rFonts w:ascii="Times New Roman" w:eastAsia="Calibri" w:hAnsi="Times New Roman" w:cs="Times New Roman"/>
          <w:sz w:val="24"/>
          <w:szCs w:val="24"/>
        </w:rPr>
        <w:t xml:space="preserve"> преработване на определени компоненти от проекта. Кандидатът следва да представи допълнителни разяснения или преработен формуляр за кандидатстване в рамките на определения срок, който не може да бъде по-кратък от една седмица от датата на получаване на искането. </w:t>
      </w:r>
    </w:p>
    <w:p w14:paraId="4DDE0C68" w14:textId="77777777" w:rsidR="009D631B" w:rsidRPr="009D631B" w:rsidRDefault="009D631B" w:rsidP="009D631B">
      <w:pPr>
        <w:ind w:firstLine="567"/>
        <w:contextualSpacing/>
        <w:jc w:val="both"/>
        <w:rPr>
          <w:rFonts w:ascii="Times New Roman" w:eastAsia="Calibri" w:hAnsi="Times New Roman" w:cs="Times New Roman"/>
          <w:sz w:val="24"/>
          <w:szCs w:val="24"/>
        </w:rPr>
      </w:pPr>
    </w:p>
    <w:p w14:paraId="3F4DECFA" w14:textId="12CDD048" w:rsidR="009D631B" w:rsidRPr="009D631B" w:rsidRDefault="009D631B" w:rsidP="009D631B">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В случай че, кандидатът продължава да не отговаря на критериите за оценка, проекта може да се отхвърли. Предходното изречение не се прилага ако по преценка на оценителите пропуските са незначителни и могат да бъдат отстранени чрез служебни корекции в/във проекта.</w:t>
      </w:r>
    </w:p>
    <w:p w14:paraId="2B890278" w14:textId="77777777" w:rsidR="009D631B" w:rsidRPr="009D631B" w:rsidRDefault="009D631B" w:rsidP="009D631B">
      <w:pPr>
        <w:ind w:firstLine="567"/>
        <w:contextualSpacing/>
        <w:jc w:val="both"/>
        <w:rPr>
          <w:rFonts w:ascii="Times New Roman" w:eastAsia="Calibri" w:hAnsi="Times New Roman" w:cs="Times New Roman"/>
          <w:sz w:val="24"/>
          <w:szCs w:val="24"/>
        </w:rPr>
      </w:pPr>
    </w:p>
    <w:p w14:paraId="423092A8" w14:textId="71CAE51F" w:rsidR="009D631B" w:rsidRPr="00685833" w:rsidRDefault="009D631B" w:rsidP="009D631B">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w:t>
      </w:r>
      <w:r w:rsidRPr="007A0B0A">
        <w:rPr>
          <w:rFonts w:ascii="Times New Roman" w:eastAsia="Calibri" w:hAnsi="Times New Roman" w:cs="Times New Roman"/>
          <w:sz w:val="24"/>
          <w:szCs w:val="24"/>
        </w:rPr>
        <w:t>бенефициент получава съобщение на електронния адрес, посочен при регистрацията на потребителя, подал Формуляра за кандидатстване. Предвид това, промени в профила на кандидата в ИСУН 2020 са невъзможни.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2020 (</w:t>
      </w:r>
      <w:hyperlink r:id="rId28" w:history="1">
        <w:r w:rsidR="001136BB" w:rsidRPr="00450B85">
          <w:rPr>
            <w:rStyle w:val="Hyperlink"/>
            <w:rFonts w:ascii="Times New Roman" w:eastAsia="Calibri" w:hAnsi="Times New Roman" w:cs="Times New Roman"/>
            <w:sz w:val="24"/>
            <w:szCs w:val="24"/>
          </w:rPr>
          <w:t>https://eumis2020.government.bg/bg/s/Help/Index</w:t>
        </w:r>
      </w:hyperlink>
      <w:r w:rsidR="001136BB">
        <w:rPr>
          <w:rFonts w:ascii="Times New Roman" w:eastAsia="Calibri" w:hAnsi="Times New Roman" w:cs="Times New Roman"/>
          <w:sz w:val="24"/>
          <w:szCs w:val="24"/>
        </w:rPr>
        <w:t xml:space="preserve"> </w:t>
      </w:r>
      <w:r w:rsidRPr="007A0B0A">
        <w:rPr>
          <w:rFonts w:ascii="Times New Roman" w:eastAsia="Calibri" w:hAnsi="Times New Roman" w:cs="Times New Roman"/>
          <w:sz w:val="24"/>
          <w:szCs w:val="24"/>
        </w:rPr>
        <w:t>).</w:t>
      </w:r>
    </w:p>
    <w:p w14:paraId="565B5F43" w14:textId="77777777" w:rsidR="009D631B" w:rsidRPr="00685833" w:rsidRDefault="009D631B" w:rsidP="009D631B">
      <w:pPr>
        <w:ind w:firstLine="567"/>
        <w:jc w:val="both"/>
        <w:rPr>
          <w:rFonts w:ascii="Times New Roman" w:hAnsi="Times New Roman" w:cs="Times New Roman"/>
          <w:sz w:val="24"/>
          <w:szCs w:val="24"/>
        </w:rPr>
      </w:pPr>
    </w:p>
    <w:p w14:paraId="24FF9AB8" w14:textId="410ACD55" w:rsidR="00685833" w:rsidRPr="008D4AB4" w:rsidRDefault="00810D84" w:rsidP="00C66898">
      <w:pPr>
        <w:pStyle w:val="Heading2"/>
        <w:numPr>
          <w:ilvl w:val="1"/>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4" w:name="_Toc136269969"/>
      <w:r>
        <w:rPr>
          <w:rFonts w:ascii="Times New Roman" w:hAnsi="Times New Roman" w:cs="Times New Roman"/>
        </w:rPr>
        <w:t>Методика</w:t>
      </w:r>
      <w:r w:rsidRPr="008D4AB4">
        <w:rPr>
          <w:rFonts w:ascii="Times New Roman" w:hAnsi="Times New Roman" w:cs="Times New Roman"/>
        </w:rPr>
        <w:t xml:space="preserve"> </w:t>
      </w:r>
      <w:r w:rsidR="00685833" w:rsidRPr="008D4AB4">
        <w:rPr>
          <w:rFonts w:ascii="Times New Roman" w:hAnsi="Times New Roman" w:cs="Times New Roman"/>
        </w:rPr>
        <w:t>за оценяване на проектните предложения:</w:t>
      </w:r>
      <w:bookmarkEnd w:id="44"/>
      <w:r w:rsidR="00685833" w:rsidRPr="008D4AB4">
        <w:rPr>
          <w:rFonts w:ascii="Times New Roman" w:hAnsi="Times New Roman" w:cs="Times New Roman"/>
        </w:rPr>
        <w:t xml:space="preserve"> </w:t>
      </w:r>
    </w:p>
    <w:p w14:paraId="3B339D52" w14:textId="77777777" w:rsidR="00685833" w:rsidRPr="00685833" w:rsidRDefault="00685833" w:rsidP="00622EE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Процесът на  оценка на проектните предложения протича на следните етапи – „проверка за административно съответствие и допустимост“ и „техническа и финансова оценка“. 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оценителен лист. Преминаването от един в друг етап на оценка се осъществява след решение на оценителната комисия, взето с мнозинство. Изключение прави оценката на бюджетните линии, която включва единствено проверка за административно съответствие и оценка за допустимост.</w:t>
      </w:r>
    </w:p>
    <w:p w14:paraId="694F77C2" w14:textId="3D437892" w:rsidR="00685833" w:rsidRDefault="00685833" w:rsidP="00622EE0">
      <w:pPr>
        <w:ind w:firstLine="567"/>
        <w:contextualSpacing/>
        <w:jc w:val="both"/>
        <w:rPr>
          <w:rFonts w:ascii="Times New Roman" w:eastAsia="Calibri" w:hAnsi="Times New Roman" w:cs="Times New Roman"/>
          <w:sz w:val="24"/>
          <w:szCs w:val="24"/>
        </w:rPr>
      </w:pPr>
    </w:p>
    <w:p w14:paraId="1488EBB8" w14:textId="35A8A4DA" w:rsidR="009D631B" w:rsidRDefault="009D631B" w:rsidP="00622EE0">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Оценката на Формуляра за кандидатстване и</w:t>
      </w:r>
      <w:r>
        <w:rPr>
          <w:rFonts w:ascii="Times New Roman" w:eastAsia="Calibri" w:hAnsi="Times New Roman" w:cs="Times New Roman"/>
          <w:sz w:val="24"/>
          <w:szCs w:val="24"/>
        </w:rPr>
        <w:t>ли</w:t>
      </w:r>
      <w:r w:rsidRPr="008D4AB4">
        <w:rPr>
          <w:rFonts w:ascii="Times New Roman" w:eastAsia="Calibri" w:hAnsi="Times New Roman" w:cs="Times New Roman"/>
          <w:sz w:val="24"/>
          <w:szCs w:val="24"/>
        </w:rPr>
        <w:t xml:space="preserve"> финансовия план по настоящ</w:t>
      </w:r>
      <w:r>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на БФП</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 ПТС</w:t>
      </w:r>
      <w:r w:rsidRPr="008D4AB4">
        <w:rPr>
          <w:rFonts w:ascii="Times New Roman" w:eastAsia="Calibri" w:hAnsi="Times New Roman" w:cs="Times New Roman"/>
          <w:sz w:val="24"/>
          <w:szCs w:val="24"/>
        </w:rPr>
        <w:t xml:space="preserve">, се извършва от </w:t>
      </w:r>
      <w:r>
        <w:rPr>
          <w:rFonts w:ascii="Times New Roman" w:eastAsia="Calibri" w:hAnsi="Times New Roman" w:cs="Times New Roman"/>
          <w:sz w:val="24"/>
          <w:szCs w:val="24"/>
        </w:rPr>
        <w:t xml:space="preserve">оценителна комисия, сформирана от председател и </w:t>
      </w:r>
      <w:r w:rsidRPr="008D4AB4">
        <w:rPr>
          <w:rFonts w:ascii="Times New Roman" w:eastAsia="Calibri" w:hAnsi="Times New Roman" w:cs="Times New Roman"/>
          <w:sz w:val="24"/>
          <w:szCs w:val="24"/>
        </w:rPr>
        <w:t xml:space="preserve">минимум двама </w:t>
      </w:r>
      <w:r>
        <w:rPr>
          <w:rFonts w:ascii="Times New Roman" w:eastAsia="Calibri" w:hAnsi="Times New Roman" w:cs="Times New Roman"/>
          <w:sz w:val="24"/>
          <w:szCs w:val="24"/>
        </w:rPr>
        <w:t>членове</w:t>
      </w:r>
      <w:r w:rsidRPr="008D4AB4">
        <w:rPr>
          <w:rFonts w:ascii="Times New Roman" w:eastAsia="Calibri" w:hAnsi="Times New Roman" w:cs="Times New Roman"/>
          <w:sz w:val="24"/>
          <w:szCs w:val="24"/>
        </w:rPr>
        <w:t>, определени с Решение на Ръководителя на Управляващия орган</w:t>
      </w:r>
      <w:r>
        <w:rPr>
          <w:rFonts w:ascii="Times New Roman" w:eastAsia="Calibri" w:hAnsi="Times New Roman" w:cs="Times New Roman"/>
          <w:sz w:val="24"/>
          <w:szCs w:val="24"/>
        </w:rPr>
        <w:t xml:space="preserve"> на ПТС</w:t>
      </w:r>
      <w:r w:rsidRPr="008D4AB4">
        <w:rPr>
          <w:rFonts w:ascii="Times New Roman" w:eastAsia="Calibri" w:hAnsi="Times New Roman" w:cs="Times New Roman"/>
          <w:sz w:val="24"/>
          <w:szCs w:val="24"/>
        </w:rPr>
        <w:t xml:space="preserve">. </w:t>
      </w:r>
    </w:p>
    <w:p w14:paraId="63C7BD5F" w14:textId="77777777" w:rsidR="009D631B" w:rsidRDefault="009D631B" w:rsidP="00622EE0">
      <w:pPr>
        <w:ind w:firstLine="567"/>
        <w:contextualSpacing/>
        <w:jc w:val="both"/>
        <w:rPr>
          <w:rFonts w:ascii="Times New Roman" w:eastAsia="Calibri" w:hAnsi="Times New Roman" w:cs="Times New Roman"/>
          <w:sz w:val="24"/>
          <w:szCs w:val="24"/>
        </w:rPr>
      </w:pPr>
    </w:p>
    <w:p w14:paraId="00B8C2F4" w14:textId="77777777" w:rsidR="009D631B" w:rsidRPr="00E17A3E"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 xml:space="preserve">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оценителна </w:t>
      </w:r>
      <w:r w:rsidRPr="00E17A3E">
        <w:rPr>
          <w:rFonts w:ascii="Times New Roman" w:eastAsia="Calibri" w:hAnsi="Times New Roman" w:cs="Times New Roman"/>
          <w:sz w:val="24"/>
          <w:szCs w:val="24"/>
        </w:rPr>
        <w:lastRenderedPageBreak/>
        <w:t>таблица.  Преминаването от един в друг етап на оценка се осъществява след решение на оценителната комисия, взето с мнозинство. Изключение прави оценката на финансовия план, която включва единствено проверка за административно съответствие и оценка за допустимост.</w:t>
      </w:r>
    </w:p>
    <w:p w14:paraId="4B1BAB29" w14:textId="4D6FD267" w:rsidR="009D631B"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Оценката на проектните предложения, включваща оценка на „административното съответствие и допустимостта“ и „техническа и финансова“ оценка се извършва в срок до  три месеца от датата на подаването им.</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В случай на бюджетни линии оценката на финансовия план се извършва в срок до един месец от датата на подаването му.</w:t>
      </w:r>
    </w:p>
    <w:p w14:paraId="55E78731" w14:textId="77777777" w:rsidR="00622EE0" w:rsidRPr="00E17A3E" w:rsidRDefault="00622EE0" w:rsidP="00622EE0">
      <w:pPr>
        <w:ind w:firstLine="567"/>
        <w:contextualSpacing/>
        <w:jc w:val="both"/>
        <w:rPr>
          <w:rFonts w:ascii="Times New Roman" w:eastAsia="Calibri" w:hAnsi="Times New Roman" w:cs="Times New Roman"/>
          <w:sz w:val="24"/>
          <w:szCs w:val="24"/>
        </w:rPr>
      </w:pPr>
    </w:p>
    <w:p w14:paraId="3CC45D8E" w14:textId="753A3E2B"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9D631B">
        <w:rPr>
          <w:rFonts w:ascii="Times New Roman" w:eastAsia="Calibri" w:hAnsi="Times New Roman" w:cs="Times New Roman"/>
          <w:b/>
          <w:sz w:val="24"/>
          <w:szCs w:val="24"/>
        </w:rPr>
        <w:t>Важно:</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w:t>
      </w:r>
    </w:p>
    <w:p w14:paraId="5445EB2C" w14:textId="77777777" w:rsidR="009D631B" w:rsidRPr="00E17A3E"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p>
    <w:p w14:paraId="195BE7FB" w14:textId="77777777"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6C914DF2" w14:textId="77777777" w:rsidR="009D631B" w:rsidRDefault="009D631B" w:rsidP="009D631B">
      <w:pPr>
        <w:contextualSpacing/>
        <w:jc w:val="both"/>
        <w:rPr>
          <w:rFonts w:ascii="Times New Roman" w:eastAsia="Calibri" w:hAnsi="Times New Roman" w:cs="Times New Roman"/>
          <w:sz w:val="24"/>
          <w:szCs w:val="24"/>
        </w:rPr>
      </w:pPr>
    </w:p>
    <w:p w14:paraId="28B22AEA" w14:textId="1E482154" w:rsidR="00685833" w:rsidRPr="00685833" w:rsidRDefault="00685833" w:rsidP="00C66898">
      <w:pPr>
        <w:pStyle w:val="ListParagraph"/>
        <w:numPr>
          <w:ilvl w:val="1"/>
          <w:numId w:val="16"/>
        </w:numPr>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и допустимост</w:t>
      </w:r>
    </w:p>
    <w:p w14:paraId="685F1339" w14:textId="3BC18A21"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предложение/бюджетната линия (финансовия план)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227151EB"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Всички критерии за оценка на административното съответствие  се оценяват с отговор „ДА“ или „НЕ“, което се отразява в зависимост от вида на проектното предложение в оценителни таблици.</w:t>
      </w:r>
    </w:p>
    <w:p w14:paraId="70606089"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За да се премине на следващия етап  на оценка по всички критерии трябва да е получена положителна оценка „ДА“.  В случай, че по някой от критериите  е получена отрицателна оценка „НЕ“, ФК може да бъде върнат за ревизиране или отхвърлен.</w:t>
      </w:r>
    </w:p>
    <w:p w14:paraId="3760963D" w14:textId="77777777" w:rsidR="00685833" w:rsidRDefault="00685833" w:rsidP="00685833">
      <w:pPr>
        <w:ind w:firstLine="708"/>
        <w:contextualSpacing/>
        <w:jc w:val="both"/>
        <w:rPr>
          <w:rFonts w:ascii="Times New Roman" w:eastAsia="Calibri" w:hAnsi="Times New Roman" w:cs="Times New Roman"/>
          <w:sz w:val="24"/>
          <w:szCs w:val="24"/>
        </w:rPr>
      </w:pPr>
    </w:p>
    <w:p w14:paraId="7223B6B7" w14:textId="2440BA34"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След проверката за административното съответствие на проектното предложение, оценителната комисия извършва проверка за допустимост. </w:t>
      </w:r>
    </w:p>
    <w:p w14:paraId="662A043F" w14:textId="77777777" w:rsid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 за допустимост на проектното предложение се прилага при оценката на всички подадени проектни предложения. Проверката за допустимост е важен етап от оценката на проекта. Отговорите на въпросите за допустимост са или „ДА” или „НЕ”. </w:t>
      </w:r>
    </w:p>
    <w:p w14:paraId="1DEBB02C" w14:textId="77777777" w:rsidR="00685833" w:rsidRDefault="00685833" w:rsidP="00685833">
      <w:pPr>
        <w:ind w:firstLine="708"/>
        <w:contextualSpacing/>
        <w:jc w:val="both"/>
        <w:rPr>
          <w:rFonts w:ascii="Times New Roman" w:eastAsia="Calibri" w:hAnsi="Times New Roman" w:cs="Times New Roman"/>
          <w:sz w:val="24"/>
          <w:szCs w:val="24"/>
        </w:rPr>
      </w:pPr>
    </w:p>
    <w:p w14:paraId="5F259219" w14:textId="278D9B66"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Проверката протича в съответствие с Глава пета „Финансово </w:t>
      </w:r>
      <w:r w:rsidRPr="007A0B0A">
        <w:rPr>
          <w:rFonts w:ascii="Times New Roman" w:eastAsia="Calibri" w:hAnsi="Times New Roman" w:cs="Times New Roman"/>
          <w:sz w:val="24"/>
          <w:szCs w:val="24"/>
        </w:rPr>
        <w:t>управление и контрол“, Раздел I. „Общи условия и допустимост на разходите“ от ЗУСЕФСУ и т. 14.2.</w:t>
      </w:r>
    </w:p>
    <w:p w14:paraId="3F62C098" w14:textId="759A17BC"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случай, че всички изисквания са изцяло удовлетворени, се преминава към следващия втори етап – техническа и финансова оценка на предложението. За да се премине на следващия етап на оценка, по всички критерии трябва да е получена положителна оценка „ДА“.  </w:t>
      </w:r>
    </w:p>
    <w:p w14:paraId="4A835631" w14:textId="77777777"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В случай, че по някой от критериите  е получена отрицателна оценка „НЕ“ ФК може да бъде върнат за ревизиране или отхвърлен.  Ако проектното предложение (всички дейности, включени в него) е/са недопустимо/и, то проектното предложение не се процедира за по-нататъшна оценка (не преминава).</w:t>
      </w:r>
    </w:p>
    <w:p w14:paraId="2B8E80E0" w14:textId="77777777" w:rsidR="00685833" w:rsidRPr="007A0B0A" w:rsidRDefault="00685833" w:rsidP="007A0B0A">
      <w:pPr>
        <w:shd w:val="clear" w:color="auto" w:fill="FFFFFF" w:themeFill="background1"/>
        <w:contextualSpacing/>
        <w:jc w:val="both"/>
        <w:rPr>
          <w:rFonts w:ascii="Times New Roman" w:eastAsia="Calibri" w:hAnsi="Times New Roman" w:cs="Times New Roman"/>
          <w:sz w:val="24"/>
          <w:szCs w:val="24"/>
        </w:rPr>
      </w:pPr>
    </w:p>
    <w:p w14:paraId="14F2DA82" w14:textId="1E58207E" w:rsidR="00685833" w:rsidRPr="007A0B0A" w:rsidRDefault="00685833" w:rsidP="00C66898">
      <w:pPr>
        <w:pStyle w:val="ListParagraph"/>
        <w:numPr>
          <w:ilvl w:val="1"/>
          <w:numId w:val="16"/>
        </w:numPr>
        <w:shd w:val="clear" w:color="auto" w:fill="FFFFFF" w:themeFill="background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Техническа и финансова оценка</w:t>
      </w:r>
    </w:p>
    <w:p w14:paraId="43B56B7E" w14:textId="77777777" w:rsidR="00685833" w:rsidRPr="007A0B0A" w:rsidRDefault="00685833" w:rsidP="00543BA9">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Този етап включва детайлна техническа и финансова оценка на проектното предложение. Всички критерии за техническа и финансова оценка се оценяват с отговор „ДА“, „НЕ“, а където са предвидени ограничения на приложимостта на даден критерий с „НЕПРИЛОЖИМО“, като резултатите се отразяват в оценителен лист.</w:t>
      </w:r>
    </w:p>
    <w:p w14:paraId="7D6032E3" w14:textId="77777777" w:rsidR="00C62BF8" w:rsidRPr="007A0B0A" w:rsidRDefault="00C62BF8" w:rsidP="00543BA9">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някои от критериите, относно анализ на търсенето, процедури по ОВОС/ОС, </w:t>
      </w:r>
      <w:proofErr w:type="spellStart"/>
      <w:r w:rsidRPr="007A0B0A">
        <w:rPr>
          <w:rFonts w:ascii="Times New Roman" w:eastAsia="Calibri" w:hAnsi="Times New Roman" w:cs="Times New Roman"/>
          <w:sz w:val="24"/>
          <w:szCs w:val="24"/>
        </w:rPr>
        <w:t>предпроектни</w:t>
      </w:r>
      <w:proofErr w:type="spellEnd"/>
      <w:r w:rsidRPr="007A0B0A">
        <w:rPr>
          <w:rFonts w:ascii="Times New Roman" w:eastAsia="Calibri" w:hAnsi="Times New Roman" w:cs="Times New Roman"/>
          <w:sz w:val="24"/>
          <w:szCs w:val="24"/>
        </w:rPr>
        <w:t xml:space="preserve"> проучвания, финансов анализ, икономически анализ,  безопасност, оценка на риска, климатична устойчивост, </w:t>
      </w:r>
      <w:r w:rsidRPr="007A0B0A">
        <w:rPr>
          <w:rFonts w:ascii="Times New Roman" w:eastAsia="Calibri" w:hAnsi="Times New Roman" w:cs="Times New Roman"/>
          <w:sz w:val="24"/>
          <w:szCs w:val="24"/>
          <w:lang w:val="en-US"/>
        </w:rPr>
        <w:t>DNSH</w:t>
      </w:r>
      <w:r w:rsidRPr="007A0B0A">
        <w:rPr>
          <w:rFonts w:ascii="Times New Roman" w:eastAsia="Calibri" w:hAnsi="Times New Roman" w:cs="Times New Roman"/>
          <w:sz w:val="24"/>
          <w:szCs w:val="24"/>
        </w:rPr>
        <w:t xml:space="preserve"> ще се изисква от бенефициента осигуряване на подробна информация, като изискванията </w:t>
      </w:r>
      <w:r>
        <w:rPr>
          <w:rFonts w:ascii="Times New Roman" w:eastAsia="Calibri" w:hAnsi="Times New Roman" w:cs="Times New Roman"/>
          <w:sz w:val="24"/>
          <w:szCs w:val="24"/>
        </w:rPr>
        <w:t>са</w:t>
      </w:r>
      <w:r w:rsidRPr="007A0B0A">
        <w:rPr>
          <w:rFonts w:ascii="Times New Roman" w:eastAsia="Calibri" w:hAnsi="Times New Roman" w:cs="Times New Roman"/>
          <w:sz w:val="24"/>
          <w:szCs w:val="24"/>
        </w:rPr>
        <w:t xml:space="preserve"> приложени към </w:t>
      </w:r>
      <w:r>
        <w:rPr>
          <w:rFonts w:ascii="Times New Roman" w:eastAsia="Calibri" w:hAnsi="Times New Roman" w:cs="Times New Roman"/>
          <w:sz w:val="24"/>
          <w:szCs w:val="24"/>
        </w:rPr>
        <w:t>тези условия</w:t>
      </w:r>
      <w:r w:rsidRPr="007A0B0A">
        <w:rPr>
          <w:rFonts w:ascii="Times New Roman" w:eastAsia="Calibri" w:hAnsi="Times New Roman" w:cs="Times New Roman"/>
          <w:sz w:val="24"/>
          <w:szCs w:val="24"/>
        </w:rPr>
        <w:t>.</w:t>
      </w:r>
    </w:p>
    <w:p w14:paraId="0FF00920" w14:textId="2EEEE605" w:rsidR="00543BA9" w:rsidRPr="00EF1AC0" w:rsidRDefault="00543BA9" w:rsidP="00543BA9">
      <w:pPr>
        <w:shd w:val="clear" w:color="auto" w:fill="FFFFFF" w:themeFill="background1"/>
        <w:ind w:firstLine="567"/>
        <w:contextualSpacing/>
        <w:jc w:val="both"/>
        <w:rPr>
          <w:rFonts w:ascii="Times New Roman" w:eastAsia="Calibri" w:hAnsi="Times New Roman" w:cs="Times New Roman"/>
          <w:sz w:val="24"/>
          <w:szCs w:val="24"/>
        </w:rPr>
      </w:pPr>
      <w:r w:rsidRPr="004A5E6C">
        <w:rPr>
          <w:rFonts w:ascii="Times New Roman" w:eastAsia="Calibri" w:hAnsi="Times New Roman" w:cs="Times New Roman"/>
          <w:sz w:val="24"/>
          <w:szCs w:val="24"/>
        </w:rPr>
        <w:t xml:space="preserve">Предложението за изпълнение на инвестиция </w:t>
      </w:r>
      <w:r>
        <w:rPr>
          <w:rFonts w:ascii="Times New Roman" w:eastAsia="Calibri" w:hAnsi="Times New Roman" w:cs="Times New Roman"/>
          <w:sz w:val="24"/>
          <w:szCs w:val="24"/>
        </w:rPr>
        <w:t xml:space="preserve">следва </w:t>
      </w:r>
      <w:r w:rsidRPr="004A5E6C">
        <w:rPr>
          <w:rFonts w:ascii="Times New Roman" w:eastAsia="Calibri" w:hAnsi="Times New Roman" w:cs="Times New Roman"/>
          <w:sz w:val="24"/>
          <w:szCs w:val="24"/>
        </w:rPr>
        <w:t>съблюдава принципа за „</w:t>
      </w:r>
      <w:proofErr w:type="spellStart"/>
      <w:r w:rsidRPr="004A5E6C">
        <w:rPr>
          <w:rFonts w:ascii="Times New Roman" w:eastAsia="Calibri" w:hAnsi="Times New Roman" w:cs="Times New Roman"/>
          <w:sz w:val="24"/>
          <w:szCs w:val="24"/>
        </w:rPr>
        <w:t>ненанасяне</w:t>
      </w:r>
      <w:proofErr w:type="spellEnd"/>
      <w:r w:rsidRPr="004A5E6C">
        <w:rPr>
          <w:rFonts w:ascii="Times New Roman" w:eastAsia="Calibri" w:hAnsi="Times New Roman" w:cs="Times New Roman"/>
          <w:sz w:val="24"/>
          <w:szCs w:val="24"/>
        </w:rPr>
        <w:t xml:space="preserve"> на значителни вреди“ </w:t>
      </w:r>
      <w:r>
        <w:rPr>
          <w:rFonts w:ascii="Times New Roman" w:eastAsia="Calibri" w:hAnsi="Times New Roman" w:cs="Times New Roman"/>
          <w:sz w:val="24"/>
          <w:szCs w:val="24"/>
        </w:rPr>
        <w:t>(</w:t>
      </w:r>
      <w:r w:rsidRPr="007A0B0A">
        <w:rPr>
          <w:rFonts w:ascii="Times New Roman" w:eastAsia="Calibri" w:hAnsi="Times New Roman" w:cs="Times New Roman"/>
          <w:sz w:val="24"/>
          <w:szCs w:val="24"/>
          <w:lang w:val="en-US"/>
        </w:rPr>
        <w:t>DNSH</w:t>
      </w:r>
      <w:r>
        <w:rPr>
          <w:rFonts w:ascii="Times New Roman" w:eastAsia="Calibri" w:hAnsi="Times New Roman" w:cs="Times New Roman"/>
          <w:sz w:val="24"/>
          <w:szCs w:val="24"/>
        </w:rPr>
        <w:t xml:space="preserve">) </w:t>
      </w:r>
      <w:r w:rsidRPr="004A5E6C">
        <w:rPr>
          <w:rFonts w:ascii="Times New Roman" w:eastAsia="Calibri" w:hAnsi="Times New Roman" w:cs="Times New Roman"/>
          <w:sz w:val="24"/>
          <w:szCs w:val="24"/>
        </w:rPr>
        <w:t>по отношение на всяка от шестте екологични цели, определени в член 9 на Регламент (ЕС) 2020/852 за създаване на рамка за улесняване на устойчивите инвестиции  и за изменение на Регламент (ЕС) 2019/2088 („регламент за таксономията“),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w:t>
      </w:r>
      <w:proofErr w:type="spellStart"/>
      <w:r w:rsidRPr="004A5E6C">
        <w:rPr>
          <w:rFonts w:ascii="Times New Roman" w:eastAsia="Calibri" w:hAnsi="Times New Roman" w:cs="Times New Roman"/>
          <w:sz w:val="24"/>
          <w:szCs w:val="24"/>
        </w:rPr>
        <w:t>Ненанасяне</w:t>
      </w:r>
      <w:proofErr w:type="spellEnd"/>
      <w:r w:rsidRPr="004A5E6C">
        <w:rPr>
          <w:rFonts w:ascii="Times New Roman" w:eastAsia="Calibri" w:hAnsi="Times New Roman" w:cs="Times New Roman"/>
          <w:sz w:val="24"/>
          <w:szCs w:val="24"/>
        </w:rPr>
        <w:t xml:space="preserve"> на значителни вреди“ (2021/C58/01)</w:t>
      </w:r>
      <w:r>
        <w:rPr>
          <w:rFonts w:ascii="Times New Roman" w:eastAsia="Calibri" w:hAnsi="Times New Roman" w:cs="Times New Roman"/>
          <w:sz w:val="24"/>
          <w:szCs w:val="24"/>
        </w:rPr>
        <w:t>. При извършване на самооценката за съответствие на този принцип може да се използва подхода</w:t>
      </w:r>
      <w:r w:rsidR="00563FAC">
        <w:rPr>
          <w:rFonts w:ascii="Times New Roman" w:eastAsia="Calibri" w:hAnsi="Times New Roman" w:cs="Times New Roman"/>
          <w:sz w:val="24"/>
          <w:szCs w:val="24"/>
        </w:rPr>
        <w:t xml:space="preserve"> и указанията, разработени на национално ниво</w:t>
      </w:r>
      <w:r>
        <w:rPr>
          <w:rFonts w:ascii="Times New Roman" w:eastAsia="Calibri" w:hAnsi="Times New Roman" w:cs="Times New Roman"/>
          <w:sz w:val="24"/>
          <w:szCs w:val="24"/>
        </w:rPr>
        <w:t xml:space="preserve"> по ПВУ </w:t>
      </w:r>
      <w:hyperlink r:id="rId29" w:history="1">
        <w:r w:rsidRPr="00245469">
          <w:rPr>
            <w:rStyle w:val="Hyperlink"/>
            <w:rFonts w:ascii="Times New Roman" w:eastAsia="Calibri" w:hAnsi="Times New Roman" w:cs="Times New Roman"/>
            <w:sz w:val="24"/>
            <w:szCs w:val="24"/>
          </w:rPr>
          <w:t>https://www.minfin.bg/bg/1579</w:t>
        </w:r>
      </w:hyperlink>
      <w:r>
        <w:rPr>
          <w:rFonts w:ascii="Times New Roman" w:eastAsia="Calibri" w:hAnsi="Times New Roman" w:cs="Times New Roman"/>
          <w:sz w:val="24"/>
          <w:szCs w:val="24"/>
        </w:rPr>
        <w:t>.</w:t>
      </w:r>
    </w:p>
    <w:p w14:paraId="069AD7E3" w14:textId="77777777" w:rsidR="00543BA9" w:rsidRDefault="00543BA9" w:rsidP="00543BA9">
      <w:pPr>
        <w:shd w:val="clear" w:color="auto" w:fill="FFFFFF" w:themeFill="background1"/>
        <w:spacing w:after="120" w:line="276" w:lineRule="auto"/>
        <w:ind w:firstLine="567"/>
        <w:jc w:val="both"/>
        <w:rPr>
          <w:rFonts w:ascii="Times New Roman" w:eastAsia="Calibri" w:hAnsi="Times New Roman" w:cs="Times New Roman"/>
          <w:sz w:val="24"/>
          <w:szCs w:val="24"/>
        </w:rPr>
      </w:pPr>
      <w:r w:rsidRPr="007A0B0A">
        <w:rPr>
          <w:rFonts w:ascii="Times New Roman" w:hAnsi="Times New Roman"/>
          <w:sz w:val="24"/>
          <w:szCs w:val="24"/>
        </w:rPr>
        <w:t>Всички бенефициенти по настоящ</w:t>
      </w:r>
      <w:r w:rsidRPr="007A0B0A">
        <w:rPr>
          <w:sz w:val="24"/>
          <w:szCs w:val="24"/>
        </w:rPr>
        <w:t xml:space="preserve">ите </w:t>
      </w:r>
      <w:r w:rsidRPr="007A0B0A">
        <w:rPr>
          <w:rFonts w:ascii="Times New Roman" w:hAnsi="Times New Roman"/>
          <w:sz w:val="24"/>
          <w:szCs w:val="24"/>
        </w:rPr>
        <w:t>процедур</w:t>
      </w:r>
      <w:r w:rsidRPr="007A0B0A">
        <w:rPr>
          <w:sz w:val="24"/>
          <w:szCs w:val="24"/>
        </w:rPr>
        <w:t>и</w:t>
      </w:r>
      <w:r w:rsidRPr="007A0B0A">
        <w:rPr>
          <w:rFonts w:ascii="Times New Roman" w:hAnsi="Times New Roman"/>
          <w:sz w:val="24"/>
          <w:szCs w:val="24"/>
        </w:rPr>
        <w:t xml:space="preserve"> се задължават да спазват принципа за </w:t>
      </w:r>
      <w:proofErr w:type="spellStart"/>
      <w:r w:rsidRPr="007A0B0A">
        <w:rPr>
          <w:rFonts w:ascii="Times New Roman" w:hAnsi="Times New Roman"/>
          <w:sz w:val="24"/>
          <w:szCs w:val="24"/>
        </w:rPr>
        <w:t>ненанасяне</w:t>
      </w:r>
      <w:proofErr w:type="spellEnd"/>
      <w:r w:rsidRPr="007A0B0A">
        <w:rPr>
          <w:rFonts w:ascii="Times New Roman" w:hAnsi="Times New Roman"/>
          <w:sz w:val="24"/>
          <w:szCs w:val="24"/>
        </w:rPr>
        <w:t xml:space="preserve"> на значителна вреда, което се </w:t>
      </w:r>
      <w:r w:rsidRPr="007A0B0A">
        <w:rPr>
          <w:rFonts w:ascii="Times New Roman" w:eastAsia="Calibri" w:hAnsi="Times New Roman" w:cs="Times New Roman"/>
          <w:sz w:val="24"/>
          <w:szCs w:val="24"/>
        </w:rPr>
        <w:t>удостоверява и с декларация, приложена към формуляра за кандидатстване.</w:t>
      </w:r>
    </w:p>
    <w:p w14:paraId="1989EE76" w14:textId="3DA20414" w:rsidR="00685833" w:rsidRPr="00685833" w:rsidRDefault="00685833" w:rsidP="00543BA9">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Най-значимият елемент на оценката на проекта е техническата оценка. Основен аналитичен инструмент, който ще бъде използван при оценката за вземане на решение за финансиране на инвестиционните проекти е Анализа „разходи-ползи“ („АРП“). Целта на АРП  е да допринесе за оценяването на инвестиционните проекти, за да се определи дали инвестиционният проект заслужава да бъде съфинансиран от финансова и от икономическа гледна точка.</w:t>
      </w:r>
      <w:r w:rsidR="00DF4CD2">
        <w:rPr>
          <w:rFonts w:ascii="Times New Roman" w:eastAsia="Calibri" w:hAnsi="Times New Roman" w:cs="Times New Roman"/>
          <w:sz w:val="24"/>
          <w:szCs w:val="24"/>
        </w:rPr>
        <w:t xml:space="preserve"> </w:t>
      </w:r>
      <w:r w:rsidR="00DF4CD2" w:rsidRPr="00685833">
        <w:rPr>
          <w:rFonts w:ascii="Times New Roman" w:eastAsia="Calibri" w:hAnsi="Times New Roman" w:cs="Times New Roman"/>
          <w:sz w:val="24"/>
          <w:szCs w:val="24"/>
        </w:rPr>
        <w:t>АРП</w:t>
      </w:r>
      <w:r w:rsidR="00DF4CD2" w:rsidRPr="00DF4CD2">
        <w:rPr>
          <w:rFonts w:ascii="Times New Roman" w:eastAsia="Calibri" w:hAnsi="Times New Roman" w:cs="Times New Roman"/>
          <w:sz w:val="24"/>
          <w:szCs w:val="24"/>
        </w:rPr>
        <w:t xml:space="preserve"> се изготвя в съответствие с</w:t>
      </w:r>
      <w:r w:rsidR="00DF4CD2">
        <w:t xml:space="preserve"> </w:t>
      </w:r>
      <w:hyperlink r:id="rId30" w:history="1">
        <w:r w:rsidR="00DF4CD2" w:rsidRPr="00C522BF">
          <w:rPr>
            <w:rStyle w:val="Hyperlink"/>
            <w:rFonts w:ascii="Times New Roman" w:eastAsia="Calibri" w:hAnsi="Times New Roman" w:cs="Times New Roman"/>
            <w:sz w:val="24"/>
            <w:szCs w:val="24"/>
          </w:rPr>
          <w:t>Методология</w:t>
        </w:r>
        <w:r w:rsidR="00DF4CD2">
          <w:rPr>
            <w:rStyle w:val="Hyperlink"/>
            <w:rFonts w:ascii="Times New Roman" w:eastAsia="Calibri" w:hAnsi="Times New Roman" w:cs="Times New Roman"/>
            <w:sz w:val="24"/>
            <w:szCs w:val="24"/>
          </w:rPr>
          <w:t>та</w:t>
        </w:r>
        <w:r w:rsidR="00DF4CD2" w:rsidRPr="00C522BF">
          <w:rPr>
            <w:rStyle w:val="Hyperlink"/>
            <w:rFonts w:ascii="Times New Roman" w:eastAsia="Calibri" w:hAnsi="Times New Roman" w:cs="Times New Roman"/>
            <w:sz w:val="24"/>
            <w:szCs w:val="24"/>
          </w:rPr>
          <w:t xml:space="preserve"> за извършване на анализ на разходите и ползите</w:t>
        </w:r>
      </w:hyperlink>
      <w:r w:rsidR="00DF4CD2" w:rsidRPr="007A0B0A">
        <w:rPr>
          <w:rFonts w:ascii="Times New Roman" w:eastAsia="Calibri" w:hAnsi="Times New Roman" w:cs="Times New Roman"/>
          <w:sz w:val="24"/>
          <w:szCs w:val="24"/>
          <w:lang w:val="en-US"/>
        </w:rPr>
        <w:t xml:space="preserve"> </w:t>
      </w:r>
      <w:r w:rsidR="00DF4CD2">
        <w:rPr>
          <w:rFonts w:ascii="Times New Roman" w:eastAsia="Calibri" w:hAnsi="Times New Roman" w:cs="Times New Roman"/>
          <w:sz w:val="24"/>
          <w:szCs w:val="24"/>
        </w:rPr>
        <w:t xml:space="preserve">и </w:t>
      </w:r>
      <w:hyperlink r:id="rId31" w:history="1">
        <w:r w:rsidR="00DF4CD2" w:rsidRPr="00C522BF">
          <w:rPr>
            <w:rStyle w:val="Hyperlink"/>
            <w:rFonts w:ascii="Times New Roman" w:eastAsia="Calibri" w:hAnsi="Times New Roman" w:cs="Times New Roman"/>
            <w:sz w:val="24"/>
            <w:szCs w:val="24"/>
          </w:rPr>
          <w:t>Критерии</w:t>
        </w:r>
        <w:r w:rsidR="00DF4CD2">
          <w:rPr>
            <w:rStyle w:val="Hyperlink"/>
            <w:rFonts w:ascii="Times New Roman" w:eastAsia="Calibri" w:hAnsi="Times New Roman" w:cs="Times New Roman"/>
            <w:sz w:val="24"/>
            <w:szCs w:val="24"/>
          </w:rPr>
          <w:t>те</w:t>
        </w:r>
        <w:r w:rsidR="00DF4CD2" w:rsidRPr="00C522BF">
          <w:rPr>
            <w:rStyle w:val="Hyperlink"/>
            <w:rFonts w:ascii="Times New Roman" w:eastAsia="Calibri" w:hAnsi="Times New Roman" w:cs="Times New Roman"/>
            <w:sz w:val="24"/>
            <w:szCs w:val="24"/>
          </w:rPr>
          <w:t xml:space="preserve"> за осигуряване на информация за инвестиционни проекти</w:t>
        </w:r>
      </w:hyperlink>
      <w:r w:rsidR="00DF4CD2">
        <w:rPr>
          <w:rStyle w:val="Hyperlink"/>
          <w:rFonts w:ascii="Times New Roman" w:eastAsia="Calibri" w:hAnsi="Times New Roman" w:cs="Times New Roman"/>
          <w:sz w:val="24"/>
          <w:szCs w:val="24"/>
        </w:rPr>
        <w:t xml:space="preserve">, </w:t>
      </w:r>
      <w:r w:rsidR="00DF4CD2">
        <w:rPr>
          <w:rFonts w:ascii="Times New Roman" w:eastAsia="Calibri" w:hAnsi="Times New Roman" w:cs="Times New Roman"/>
          <w:sz w:val="24"/>
          <w:szCs w:val="24"/>
        </w:rPr>
        <w:t>приложени</w:t>
      </w:r>
      <w:r w:rsidR="00DF4CD2" w:rsidRPr="007A0B0A">
        <w:rPr>
          <w:rFonts w:ascii="Times New Roman" w:eastAsia="Calibri" w:hAnsi="Times New Roman" w:cs="Times New Roman"/>
          <w:sz w:val="24"/>
          <w:szCs w:val="24"/>
        </w:rPr>
        <w:t xml:space="preserve"> към настоящите </w:t>
      </w:r>
      <w:r w:rsidR="00DF4CD2">
        <w:rPr>
          <w:rFonts w:ascii="Times New Roman" w:eastAsia="Calibri" w:hAnsi="Times New Roman" w:cs="Times New Roman"/>
          <w:sz w:val="24"/>
          <w:szCs w:val="24"/>
        </w:rPr>
        <w:t>Условия за кандидатстване.</w:t>
      </w:r>
    </w:p>
    <w:p w14:paraId="5B8DDC50" w14:textId="7CBC1DD0" w:rsidR="00685833" w:rsidRPr="00685833" w:rsidRDefault="00685833" w:rsidP="00543BA9">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АРП се счита за елемент от ФК, който трябва да бъде взет под внимание в съчетание с други документи, изготвяни във връзка с инвестиционните проекти.</w:t>
      </w:r>
    </w:p>
    <w:p w14:paraId="4DC85372" w14:textId="0BAF30E8" w:rsidR="00685833" w:rsidRPr="007A0B0A" w:rsidRDefault="00685833" w:rsidP="00543BA9">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При оценката на този етап не е задължително по всички критерии да бъде получена положителна оценка „ДА“, възможно е по един или няколко критерии оценката да  бъде „НЕПРИЛОЖИМО“, като в този случай проектното предложение  може да бъде одобрено. В случай, че поне по един от критериите е получена отрицателна  оценка „НЕ“, ФК може да бъде върнат за ревизиране или отхвърлен.</w:t>
      </w:r>
    </w:p>
    <w:p w14:paraId="74F82D8F" w14:textId="77777777" w:rsidR="00B46E5C" w:rsidRDefault="000C67D1" w:rsidP="00543BA9">
      <w:pPr>
        <w:shd w:val="clear" w:color="auto" w:fill="FFFFFF" w:themeFill="background1"/>
        <w:ind w:firstLine="567"/>
        <w:contextualSpacing/>
        <w:jc w:val="both"/>
        <w:rPr>
          <w:rFonts w:ascii="Times New Roman" w:eastAsia="Calibri" w:hAnsi="Times New Roman" w:cs="Times New Roman"/>
          <w:sz w:val="24"/>
          <w:szCs w:val="24"/>
        </w:rPr>
      </w:pPr>
      <w:hyperlink r:id="rId32" w:history="1">
        <w:r w:rsidR="00B46E5C" w:rsidRPr="00C522BF">
          <w:rPr>
            <w:rStyle w:val="Hyperlink"/>
            <w:rFonts w:ascii="Times New Roman" w:eastAsia="Calibri" w:hAnsi="Times New Roman" w:cs="Times New Roman"/>
            <w:sz w:val="24"/>
            <w:szCs w:val="24"/>
          </w:rPr>
          <w:t>Методология за извършване на анализ на разходите и ползите</w:t>
        </w:r>
      </w:hyperlink>
      <w:r w:rsidR="00B46E5C" w:rsidRPr="007A0B0A">
        <w:rPr>
          <w:rFonts w:ascii="Times New Roman" w:eastAsia="Calibri" w:hAnsi="Times New Roman" w:cs="Times New Roman"/>
          <w:sz w:val="24"/>
          <w:szCs w:val="24"/>
          <w:lang w:val="en-US"/>
        </w:rPr>
        <w:t xml:space="preserve"> </w:t>
      </w:r>
      <w:r w:rsidR="00B46E5C">
        <w:rPr>
          <w:rFonts w:ascii="Times New Roman" w:eastAsia="Calibri" w:hAnsi="Times New Roman" w:cs="Times New Roman"/>
          <w:sz w:val="24"/>
          <w:szCs w:val="24"/>
        </w:rPr>
        <w:t xml:space="preserve">и </w:t>
      </w:r>
      <w:hyperlink r:id="rId33" w:history="1">
        <w:r w:rsidR="00B46E5C" w:rsidRPr="00C522BF">
          <w:rPr>
            <w:rStyle w:val="Hyperlink"/>
            <w:rFonts w:ascii="Times New Roman" w:eastAsia="Calibri" w:hAnsi="Times New Roman" w:cs="Times New Roman"/>
            <w:sz w:val="24"/>
            <w:szCs w:val="24"/>
          </w:rPr>
          <w:t>Критерии за осигуряване на информация за инвестиционни проекти</w:t>
        </w:r>
      </w:hyperlink>
      <w:r w:rsidR="00B46E5C" w:rsidRPr="003E0B3E">
        <w:rPr>
          <w:rFonts w:ascii="Times New Roman" w:eastAsia="Calibri" w:hAnsi="Times New Roman" w:cs="Times New Roman"/>
          <w:sz w:val="24"/>
          <w:szCs w:val="24"/>
        </w:rPr>
        <w:t xml:space="preserve"> се използват от оценителната комисия при техническата и финансова им оценка </w:t>
      </w:r>
      <w:r w:rsidR="00B46E5C">
        <w:rPr>
          <w:rFonts w:ascii="Times New Roman" w:eastAsia="Calibri" w:hAnsi="Times New Roman" w:cs="Times New Roman"/>
          <w:sz w:val="24"/>
          <w:szCs w:val="24"/>
        </w:rPr>
        <w:t>са</w:t>
      </w:r>
      <w:r w:rsidR="00B46E5C" w:rsidRPr="003E0B3E">
        <w:rPr>
          <w:rFonts w:ascii="Times New Roman" w:eastAsia="Calibri" w:hAnsi="Times New Roman" w:cs="Times New Roman"/>
          <w:sz w:val="24"/>
          <w:szCs w:val="24"/>
        </w:rPr>
        <w:t xml:space="preserve"> </w:t>
      </w:r>
      <w:r w:rsidR="00B46E5C">
        <w:rPr>
          <w:rFonts w:ascii="Times New Roman" w:eastAsia="Calibri" w:hAnsi="Times New Roman" w:cs="Times New Roman"/>
          <w:sz w:val="24"/>
          <w:szCs w:val="24"/>
        </w:rPr>
        <w:t>представени в Приложения</w:t>
      </w:r>
      <w:r w:rsidR="00B46E5C" w:rsidRPr="007A0B0A">
        <w:rPr>
          <w:rFonts w:ascii="Times New Roman" w:eastAsia="Calibri" w:hAnsi="Times New Roman" w:cs="Times New Roman"/>
          <w:sz w:val="24"/>
          <w:szCs w:val="24"/>
        </w:rPr>
        <w:t xml:space="preserve"> към настоящите </w:t>
      </w:r>
      <w:r w:rsidR="00B46E5C">
        <w:rPr>
          <w:rFonts w:ascii="Times New Roman" w:eastAsia="Calibri" w:hAnsi="Times New Roman" w:cs="Times New Roman"/>
          <w:sz w:val="24"/>
          <w:szCs w:val="24"/>
        </w:rPr>
        <w:t>Условия за кандидатстване</w:t>
      </w:r>
      <w:r w:rsidR="00B46E5C" w:rsidRPr="007A0B0A">
        <w:rPr>
          <w:rFonts w:ascii="Times New Roman" w:eastAsia="Calibri" w:hAnsi="Times New Roman" w:cs="Times New Roman"/>
          <w:sz w:val="24"/>
          <w:szCs w:val="24"/>
        </w:rPr>
        <w:t>.</w:t>
      </w:r>
    </w:p>
    <w:p w14:paraId="6FF8C93F" w14:textId="77777777" w:rsidR="00B46E5C" w:rsidRDefault="00B46E5C" w:rsidP="00543BA9">
      <w:pPr>
        <w:shd w:val="clear" w:color="auto" w:fill="FFFFFF" w:themeFill="background1"/>
        <w:ind w:firstLine="567"/>
        <w:contextualSpacing/>
        <w:jc w:val="both"/>
        <w:rPr>
          <w:rFonts w:ascii="Times New Roman" w:eastAsia="Calibri" w:hAnsi="Times New Roman" w:cs="Times New Roman"/>
          <w:sz w:val="24"/>
          <w:szCs w:val="24"/>
        </w:rPr>
      </w:pPr>
      <w:r w:rsidRPr="004711F1">
        <w:rPr>
          <w:rFonts w:ascii="Times New Roman" w:eastAsia="Calibri" w:hAnsi="Times New Roman" w:cs="Times New Roman"/>
          <w:sz w:val="24"/>
          <w:szCs w:val="24"/>
        </w:rPr>
        <w:t>Въпросници за самооценка на качеството на формуляра за кандидатстване за инвестиционен проект</w:t>
      </w:r>
      <w:r>
        <w:rPr>
          <w:rFonts w:ascii="Times New Roman" w:eastAsia="Calibri" w:hAnsi="Times New Roman" w:cs="Times New Roman"/>
          <w:sz w:val="24"/>
          <w:szCs w:val="24"/>
        </w:rPr>
        <w:t xml:space="preserve"> следва да се попълнят мотивирано (с посочване на конкретни данни от приложените документи), а не само с отговор „да – съответства на изискването“.</w:t>
      </w:r>
    </w:p>
    <w:p w14:paraId="08BE8EE8" w14:textId="77777777" w:rsidR="00DA315D" w:rsidRPr="00DA315D" w:rsidRDefault="00DA315D" w:rsidP="007A0B0A">
      <w:pPr>
        <w:shd w:val="clear" w:color="auto" w:fill="FFFFFF" w:themeFill="background1"/>
        <w:ind w:firstLine="708"/>
        <w:contextualSpacing/>
        <w:jc w:val="both"/>
        <w:rPr>
          <w:rFonts w:ascii="Times New Roman" w:eastAsia="Calibri" w:hAnsi="Times New Roman" w:cs="Times New Roman"/>
          <w:sz w:val="24"/>
          <w:szCs w:val="24"/>
        </w:rPr>
      </w:pPr>
    </w:p>
    <w:p w14:paraId="54188333" w14:textId="6D2E87B5" w:rsidR="004A58E5" w:rsidRPr="008D4AB4" w:rsidRDefault="004A58E5" w:rsidP="00C66898">
      <w:pPr>
        <w:pStyle w:val="Heading2"/>
        <w:numPr>
          <w:ilvl w:val="0"/>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5" w:name="_Toc136269970"/>
      <w:r w:rsidRPr="008D4AB4">
        <w:rPr>
          <w:rFonts w:ascii="Times New Roman" w:hAnsi="Times New Roman" w:cs="Times New Roman"/>
        </w:rPr>
        <w:t>Списък на документите, които се подават на етап кандидатстване:</w:t>
      </w:r>
      <w:bookmarkEnd w:id="45"/>
    </w:p>
    <w:p w14:paraId="4B6E1631" w14:textId="4D6F7B4D" w:rsidR="00BA4710" w:rsidRPr="008D4AB4" w:rsidRDefault="00BA4710" w:rsidP="004711F1">
      <w:pPr>
        <w:spacing w:after="360" w:line="240" w:lineRule="auto"/>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Кандидатът по настоящ</w:t>
      </w:r>
      <w:r w:rsidR="000259FC">
        <w:rPr>
          <w:rFonts w:ascii="Times New Roman" w:eastAsia="Calibri" w:hAnsi="Times New Roman" w:cs="Times New Roman"/>
          <w:sz w:val="24"/>
          <w:szCs w:val="24"/>
        </w:rPr>
        <w:t xml:space="preserve">ите </w:t>
      </w:r>
      <w:r w:rsidRPr="008D4AB4">
        <w:rPr>
          <w:rFonts w:ascii="Times New Roman" w:eastAsia="Calibri" w:hAnsi="Times New Roman" w:cs="Times New Roman"/>
          <w:sz w:val="24"/>
          <w:szCs w:val="24"/>
        </w:rPr>
        <w:t>процедур</w:t>
      </w:r>
      <w:r w:rsidR="000259FC">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w:t>
      </w:r>
      <w:r w:rsidR="0086104E" w:rsidRPr="008D4AB4">
        <w:rPr>
          <w:rFonts w:ascii="Times New Roman" w:eastAsia="Calibri" w:hAnsi="Times New Roman" w:cs="Times New Roman"/>
          <w:sz w:val="24"/>
          <w:szCs w:val="24"/>
        </w:rPr>
        <w:t xml:space="preserve">чрез </w:t>
      </w:r>
      <w:r w:rsidRPr="008D4AB4">
        <w:rPr>
          <w:rFonts w:ascii="Times New Roman" w:eastAsia="Calibri" w:hAnsi="Times New Roman" w:cs="Times New Roman"/>
          <w:sz w:val="24"/>
          <w:szCs w:val="24"/>
        </w:rPr>
        <w:t>директно предоставяне следва да</w:t>
      </w:r>
      <w:r w:rsidR="004D1BCE" w:rsidRPr="008D4AB4">
        <w:rPr>
          <w:rFonts w:ascii="Times New Roman" w:eastAsia="Times New Roman" w:hAnsi="Times New Roman" w:cs="Times New Roman"/>
          <w:snapToGrid w:val="0"/>
          <w:sz w:val="24"/>
          <w:szCs w:val="24"/>
        </w:rPr>
        <w:t xml:space="preserve"> попълни Формуляр за кандидатстване и да </w:t>
      </w:r>
      <w:r w:rsidRPr="008D4AB4">
        <w:rPr>
          <w:rFonts w:ascii="Times New Roman" w:eastAsia="Calibri" w:hAnsi="Times New Roman" w:cs="Times New Roman"/>
          <w:sz w:val="24"/>
          <w:szCs w:val="24"/>
        </w:rPr>
        <w:t xml:space="preserve">представи следните документи, по електронен път чрез ИСУН 2020: </w:t>
      </w:r>
    </w:p>
    <w:p w14:paraId="24324943" w14:textId="01B038C4" w:rsidR="005162CF" w:rsidRDefault="005162CF" w:rsidP="00BB25D0">
      <w:pPr>
        <w:pStyle w:val="ListParagraph"/>
        <w:numPr>
          <w:ilvl w:val="0"/>
          <w:numId w:val="20"/>
        </w:numPr>
        <w:tabs>
          <w:tab w:val="clear" w:pos="2912"/>
          <w:tab w:val="left" w:pos="993"/>
        </w:tabs>
        <w:ind w:left="0" w:firstLine="567"/>
        <w:rPr>
          <w:rFonts w:ascii="Times New Roman" w:eastAsia="Calibri" w:hAnsi="Times New Roman" w:cs="Times New Roman"/>
          <w:sz w:val="24"/>
          <w:szCs w:val="24"/>
        </w:rPr>
      </w:pPr>
      <w:r w:rsidRPr="005162CF">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sidR="008567EE">
        <w:rPr>
          <w:rFonts w:ascii="Times New Roman" w:eastAsia="Calibri" w:hAnsi="Times New Roman" w:cs="Times New Roman"/>
          <w:sz w:val="24"/>
          <w:szCs w:val="24"/>
        </w:rPr>
        <w:t>;</w:t>
      </w:r>
      <w:r w:rsidRPr="005162CF">
        <w:rPr>
          <w:rFonts w:ascii="Times New Roman" w:eastAsia="Calibri" w:hAnsi="Times New Roman" w:cs="Times New Roman"/>
          <w:sz w:val="24"/>
          <w:szCs w:val="24"/>
        </w:rPr>
        <w:t xml:space="preserve"> </w:t>
      </w:r>
    </w:p>
    <w:p w14:paraId="0A3FA527" w14:textId="2F8A667F" w:rsidR="00057A6A" w:rsidRPr="00AD29DC" w:rsidRDefault="00F91BFE" w:rsidP="00BB25D0">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0259FC">
        <w:rPr>
          <w:rFonts w:ascii="Times New Roman" w:eastAsia="Calibri" w:hAnsi="Times New Roman" w:cs="Times New Roman"/>
          <w:sz w:val="24"/>
          <w:szCs w:val="24"/>
        </w:rPr>
        <w:t xml:space="preserve">Документ </w:t>
      </w:r>
      <w:r w:rsidR="00EA085C" w:rsidRPr="000259FC">
        <w:rPr>
          <w:rFonts w:ascii="Times New Roman" w:eastAsia="Calibri" w:hAnsi="Times New Roman" w:cs="Times New Roman"/>
          <w:sz w:val="24"/>
          <w:szCs w:val="24"/>
        </w:rPr>
        <w:t xml:space="preserve">за оправомощаване на лицето, което подписва с КЕП от името на кандидата </w:t>
      </w:r>
      <w:r w:rsidR="008567EE">
        <w:rPr>
          <w:rFonts w:ascii="Times New Roman" w:eastAsia="Calibri" w:hAnsi="Times New Roman" w:cs="Times New Roman"/>
          <w:sz w:val="24"/>
          <w:szCs w:val="24"/>
        </w:rPr>
        <w:t xml:space="preserve">на </w:t>
      </w:r>
      <w:r w:rsidR="00EA085C" w:rsidRPr="000259FC">
        <w:rPr>
          <w:rFonts w:ascii="Times New Roman" w:eastAsia="Calibri" w:hAnsi="Times New Roman" w:cs="Times New Roman"/>
          <w:sz w:val="24"/>
          <w:szCs w:val="24"/>
        </w:rPr>
        <w:t xml:space="preserve">документите за кандидатстване в ИСУН 2020 (в случай че е приложимо) - </w:t>
      </w:r>
      <w:r w:rsidR="008567EE">
        <w:rPr>
          <w:rFonts w:ascii="Times New Roman" w:eastAsia="Calibri" w:hAnsi="Times New Roman" w:cs="Times New Roman"/>
          <w:b/>
          <w:sz w:val="24"/>
          <w:szCs w:val="24"/>
        </w:rPr>
        <w:t>прикачена в ИСУН 2020;</w:t>
      </w:r>
    </w:p>
    <w:p w14:paraId="232F8C3D" w14:textId="77777777" w:rsidR="00456C78" w:rsidRPr="00456C78" w:rsidRDefault="00456C78" w:rsidP="00456C78">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456C78">
        <w:rPr>
          <w:rFonts w:ascii="Times New Roman" w:eastAsia="Calibri" w:hAnsi="Times New Roman" w:cs="Times New Roman"/>
          <w:sz w:val="24"/>
          <w:szCs w:val="24"/>
        </w:rPr>
        <w:t>Документация във връзка с ОВОС и Натура 2000;</w:t>
      </w:r>
    </w:p>
    <w:p w14:paraId="43D8068D" w14:textId="22187937" w:rsidR="008B1ED5" w:rsidRPr="008B1ED5" w:rsidRDefault="00BB25D0" w:rsidP="00CF365F">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А</w:t>
      </w:r>
      <w:r w:rsidR="008567EE">
        <w:rPr>
          <w:rFonts w:ascii="Times New Roman" w:eastAsia="Calibri" w:hAnsi="Times New Roman" w:cs="Times New Roman"/>
          <w:sz w:val="24"/>
          <w:szCs w:val="24"/>
        </w:rPr>
        <w:t xml:space="preserve">нализ на </w:t>
      </w:r>
      <w:r w:rsidR="008567EE" w:rsidRPr="00CF365F">
        <w:rPr>
          <w:rFonts w:ascii="Times New Roman" w:hAnsi="Times New Roman" w:cs="Times New Roman"/>
          <w:sz w:val="24"/>
          <w:szCs w:val="24"/>
          <w:lang w:val="ro-RO"/>
        </w:rPr>
        <w:t>разходите</w:t>
      </w:r>
      <w:r w:rsidR="008567EE">
        <w:rPr>
          <w:rFonts w:ascii="Times New Roman" w:eastAsia="Calibri" w:hAnsi="Times New Roman" w:cs="Times New Roman"/>
          <w:sz w:val="24"/>
          <w:szCs w:val="24"/>
        </w:rPr>
        <w:t xml:space="preserve"> и ползите;</w:t>
      </w:r>
    </w:p>
    <w:p w14:paraId="459E3DC7" w14:textId="10866321" w:rsidR="00AD29DC" w:rsidRPr="008B1ED5" w:rsidRDefault="00AD29DC" w:rsidP="00BB25D0">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B1ED5">
        <w:rPr>
          <w:rFonts w:ascii="Times New Roman" w:hAnsi="Times New Roman" w:cs="Times New Roman"/>
          <w:sz w:val="24"/>
          <w:szCs w:val="24"/>
          <w:lang w:val="ro-RO"/>
        </w:rPr>
        <w:t>Completion note</w:t>
      </w:r>
      <w:r w:rsidRPr="008B1ED5">
        <w:rPr>
          <w:rFonts w:ascii="Times New Roman" w:hAnsi="Times New Roman" w:cs="Times New Roman"/>
          <w:sz w:val="24"/>
          <w:szCs w:val="24"/>
        </w:rPr>
        <w:t xml:space="preserve"> от </w:t>
      </w:r>
      <w:r w:rsidRPr="008B1ED5">
        <w:rPr>
          <w:rFonts w:ascii="Times New Roman" w:hAnsi="Times New Roman" w:cs="Times New Roman"/>
          <w:sz w:val="24"/>
          <w:szCs w:val="24"/>
          <w:lang w:val="ro-RO"/>
        </w:rPr>
        <w:t>JASPERS</w:t>
      </w:r>
      <w:r w:rsidRPr="008B1ED5">
        <w:rPr>
          <w:rFonts w:ascii="Times New Roman" w:hAnsi="Times New Roman" w:cs="Times New Roman"/>
          <w:sz w:val="24"/>
          <w:szCs w:val="24"/>
        </w:rPr>
        <w:t xml:space="preserve"> </w:t>
      </w:r>
      <w:r w:rsidRPr="008B1ED5">
        <w:rPr>
          <w:rFonts w:ascii="Times New Roman" w:hAnsi="Times New Roman" w:cs="Times New Roman"/>
          <w:i/>
          <w:sz w:val="24"/>
          <w:szCs w:val="24"/>
        </w:rPr>
        <w:t xml:space="preserve">Когато проектът е подготвян с подкрепа от страна на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УО получава подкрепа от страна на </w:t>
      </w:r>
      <w:r w:rsidRPr="008B1ED5">
        <w:rPr>
          <w:rFonts w:ascii="Times New Roman" w:hAnsi="Times New Roman" w:cs="Times New Roman"/>
          <w:i/>
          <w:sz w:val="24"/>
          <w:szCs w:val="24"/>
          <w:lang w:val="ro-RO"/>
        </w:rPr>
        <w:t>JASPERS</w:t>
      </w:r>
      <w:r w:rsidRPr="008B1ED5">
        <w:rPr>
          <w:rFonts w:ascii="Times New Roman" w:hAnsi="Times New Roman" w:cs="Times New Roman"/>
          <w:i/>
          <w:sz w:val="24"/>
          <w:szCs w:val="24"/>
        </w:rPr>
        <w:t xml:space="preserve"> за оценката му е наличен  </w:t>
      </w:r>
      <w:r w:rsidRPr="008B1ED5">
        <w:rPr>
          <w:rFonts w:ascii="Times New Roman" w:hAnsi="Times New Roman" w:cs="Times New Roman"/>
          <w:i/>
          <w:sz w:val="24"/>
          <w:szCs w:val="24"/>
          <w:lang w:val="ro-RO"/>
        </w:rPr>
        <w:t>completion note</w:t>
      </w:r>
      <w:r w:rsidRPr="008B1ED5">
        <w:rPr>
          <w:rFonts w:ascii="Times New Roman" w:hAnsi="Times New Roman" w:cs="Times New Roman"/>
          <w:i/>
          <w:sz w:val="24"/>
          <w:szCs w:val="24"/>
        </w:rPr>
        <w:t xml:space="preserve"> от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който съдържа положителна </w:t>
      </w:r>
      <w:r w:rsidR="00BB25D0">
        <w:rPr>
          <w:rFonts w:ascii="Times New Roman" w:hAnsi="Times New Roman" w:cs="Times New Roman"/>
          <w:i/>
          <w:sz w:val="24"/>
          <w:szCs w:val="24"/>
        </w:rPr>
        <w:t>оценка на качеството на проекта;</w:t>
      </w:r>
    </w:p>
    <w:p w14:paraId="786850DE" w14:textId="6AC76EC9" w:rsidR="008567EE" w:rsidRDefault="008567EE" w:rsidP="00BB25D0">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567EE">
        <w:rPr>
          <w:rFonts w:ascii="Times New Roman" w:hAnsi="Times New Roman" w:cs="Times New Roman"/>
          <w:sz w:val="24"/>
          <w:szCs w:val="24"/>
        </w:rPr>
        <w:t>Картен</w:t>
      </w:r>
      <w:r w:rsidRPr="008567EE">
        <w:rPr>
          <w:rFonts w:ascii="Times New Roman" w:eastAsia="Calibri" w:hAnsi="Times New Roman" w:cs="Times New Roman"/>
          <w:sz w:val="24"/>
          <w:szCs w:val="24"/>
        </w:rPr>
        <w:t xml:space="preserve"> материал, определящ местонахождението на обекта</w:t>
      </w:r>
      <w:r w:rsidR="00BB25D0">
        <w:rPr>
          <w:rFonts w:ascii="Times New Roman" w:eastAsia="Calibri" w:hAnsi="Times New Roman" w:cs="Times New Roman"/>
          <w:sz w:val="24"/>
          <w:szCs w:val="24"/>
        </w:rPr>
        <w:t>;</w:t>
      </w:r>
    </w:p>
    <w:p w14:paraId="5D19DA79" w14:textId="6C519A87" w:rsidR="00BB25D0" w:rsidRDefault="00BB25D0" w:rsidP="00BB25D0">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Копия от разрешителни</w:t>
      </w:r>
      <w:r>
        <w:rPr>
          <w:rFonts w:ascii="Times New Roman" w:eastAsia="Calibri" w:hAnsi="Times New Roman" w:cs="Times New Roman"/>
          <w:sz w:val="24"/>
          <w:szCs w:val="24"/>
        </w:rPr>
        <w:t>;</w:t>
      </w:r>
    </w:p>
    <w:p w14:paraId="11A21A24" w14:textId="449E5D9B" w:rsidR="00BB25D0" w:rsidRDefault="00BB25D0" w:rsidP="00BB25D0">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документация</w:t>
      </w:r>
      <w:r>
        <w:rPr>
          <w:rFonts w:ascii="Times New Roman" w:eastAsia="Calibri" w:hAnsi="Times New Roman" w:cs="Times New Roman"/>
          <w:sz w:val="24"/>
          <w:szCs w:val="24"/>
        </w:rPr>
        <w:t>;</w:t>
      </w:r>
    </w:p>
    <w:p w14:paraId="0A79E099" w14:textId="2244C5AE" w:rsidR="00BB25D0" w:rsidRDefault="00BB25D0" w:rsidP="00BB25D0">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спецификация</w:t>
      </w:r>
      <w:r>
        <w:rPr>
          <w:rFonts w:ascii="Times New Roman" w:eastAsia="Calibri" w:hAnsi="Times New Roman" w:cs="Times New Roman"/>
          <w:sz w:val="24"/>
          <w:szCs w:val="24"/>
        </w:rPr>
        <w:t>;</w:t>
      </w:r>
    </w:p>
    <w:p w14:paraId="436064E0" w14:textId="6C594893" w:rsidR="00BB25D0" w:rsidRPr="008567EE" w:rsidRDefault="00BB25D0" w:rsidP="00BB25D0">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Проучвания за осъществимост</w:t>
      </w:r>
      <w:r>
        <w:rPr>
          <w:rFonts w:ascii="Times New Roman" w:eastAsia="Calibri" w:hAnsi="Times New Roman" w:cs="Times New Roman"/>
          <w:sz w:val="24"/>
          <w:szCs w:val="24"/>
        </w:rPr>
        <w:t>;</w:t>
      </w:r>
    </w:p>
    <w:p w14:paraId="0DE75D3C" w14:textId="417E1BDF" w:rsidR="008B1ED5" w:rsidRPr="007D0996" w:rsidRDefault="008B1ED5" w:rsidP="00BB25D0">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Въпросници за самооценка на качеството на формуляра за кандидатстване</w:t>
      </w:r>
      <w:r w:rsidR="004711F1">
        <w:rPr>
          <w:rFonts w:ascii="Times New Roman" w:hAnsi="Times New Roman" w:cs="Times New Roman"/>
          <w:sz w:val="24"/>
          <w:szCs w:val="24"/>
        </w:rPr>
        <w:t xml:space="preserve"> за инвестиционен проект;</w:t>
      </w:r>
    </w:p>
    <w:p w14:paraId="2DDD5CAE" w14:textId="3FFCED47" w:rsidR="007D0996" w:rsidRPr="007D0996" w:rsidRDefault="007D0996" w:rsidP="007D0996">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7D0996">
        <w:rPr>
          <w:rFonts w:ascii="Times New Roman" w:eastAsia="Calibri" w:hAnsi="Times New Roman" w:cs="Times New Roman"/>
          <w:sz w:val="24"/>
          <w:szCs w:val="24"/>
        </w:rPr>
        <w:t>Комуникационен план за операции от стратегическо значение;</w:t>
      </w:r>
    </w:p>
    <w:p w14:paraId="3F7387A9" w14:textId="3B1FFB7E" w:rsidR="007D0996" w:rsidRPr="008B1ED5" w:rsidRDefault="007D0996" w:rsidP="007D0996">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7D0996">
        <w:rPr>
          <w:rFonts w:ascii="Times New Roman" w:eastAsia="Calibri" w:hAnsi="Times New Roman" w:cs="Times New Roman"/>
          <w:sz w:val="24"/>
          <w:szCs w:val="24"/>
        </w:rPr>
        <w:t>Комуникационен план</w:t>
      </w:r>
      <w:r w:rsidR="004711F1">
        <w:rPr>
          <w:rFonts w:ascii="Times New Roman" w:eastAsia="Calibri" w:hAnsi="Times New Roman" w:cs="Times New Roman"/>
          <w:sz w:val="24"/>
          <w:szCs w:val="24"/>
        </w:rPr>
        <w:t>.</w:t>
      </w:r>
    </w:p>
    <w:p w14:paraId="740CEF8D" w14:textId="15BEA0F3" w:rsidR="004D1BCE" w:rsidRDefault="00544288" w:rsidP="00810D84">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w:t>
      </w:r>
      <w:r w:rsidR="00682086" w:rsidRPr="008D4AB4">
        <w:rPr>
          <w:rFonts w:ascii="Times New Roman" w:hAnsi="Times New Roman" w:cs="Times New Roman"/>
          <w:sz w:val="24"/>
          <w:szCs w:val="24"/>
        </w:rPr>
        <w:t>се подписва</w:t>
      </w:r>
      <w:r w:rsidR="00B64A40" w:rsidRPr="008D4AB4">
        <w:rPr>
          <w:rFonts w:ascii="Times New Roman" w:hAnsi="Times New Roman" w:cs="Times New Roman"/>
          <w:sz w:val="24"/>
          <w:szCs w:val="24"/>
        </w:rPr>
        <w:t xml:space="preserve"> </w:t>
      </w:r>
      <w:r w:rsidR="00416340" w:rsidRPr="008D4AB4">
        <w:rPr>
          <w:rFonts w:ascii="Times New Roman" w:hAnsi="Times New Roman" w:cs="Times New Roman"/>
          <w:sz w:val="24"/>
          <w:szCs w:val="24"/>
        </w:rPr>
        <w:t>с КЕП</w:t>
      </w:r>
      <w:r w:rsidR="00682086" w:rsidRPr="008D4AB4">
        <w:rPr>
          <w:rFonts w:ascii="Times New Roman" w:hAnsi="Times New Roman" w:cs="Times New Roman"/>
          <w:sz w:val="24"/>
          <w:szCs w:val="24"/>
        </w:rPr>
        <w:t xml:space="preserve"> от </w:t>
      </w:r>
      <w:r w:rsidR="00942E45" w:rsidRPr="008D4AB4">
        <w:rPr>
          <w:rFonts w:ascii="Times New Roman" w:hAnsi="Times New Roman" w:cs="Times New Roman"/>
          <w:sz w:val="24"/>
          <w:szCs w:val="24"/>
        </w:rPr>
        <w:t>лицето</w:t>
      </w:r>
      <w:r w:rsidR="00C87DA8" w:rsidRPr="008D4AB4">
        <w:rPr>
          <w:rFonts w:ascii="Times New Roman" w:hAnsi="Times New Roman" w:cs="Times New Roman"/>
          <w:sz w:val="24"/>
          <w:szCs w:val="24"/>
        </w:rPr>
        <w:t>,</w:t>
      </w:r>
      <w:r w:rsidR="00682086" w:rsidRPr="008D4AB4">
        <w:rPr>
          <w:rFonts w:ascii="Times New Roman" w:hAnsi="Times New Roman" w:cs="Times New Roman"/>
          <w:sz w:val="24"/>
          <w:szCs w:val="24"/>
        </w:rPr>
        <w:t xml:space="preserve"> </w:t>
      </w:r>
      <w:r w:rsidR="003848CE" w:rsidRPr="008D4AB4">
        <w:rPr>
          <w:rFonts w:ascii="Times New Roman" w:hAnsi="Times New Roman" w:cs="Times New Roman"/>
          <w:sz w:val="24"/>
          <w:szCs w:val="24"/>
        </w:rPr>
        <w:t>представляващ</w:t>
      </w:r>
      <w:r w:rsidR="003C3847" w:rsidRPr="008D4AB4">
        <w:rPr>
          <w:rFonts w:ascii="Times New Roman" w:hAnsi="Times New Roman" w:cs="Times New Roman"/>
          <w:sz w:val="24"/>
          <w:szCs w:val="24"/>
        </w:rPr>
        <w:t>о</w:t>
      </w:r>
      <w:r w:rsidR="003848CE" w:rsidRPr="008D4AB4">
        <w:rPr>
          <w:rFonts w:ascii="Times New Roman" w:hAnsi="Times New Roman" w:cs="Times New Roman"/>
          <w:sz w:val="24"/>
          <w:szCs w:val="24"/>
        </w:rPr>
        <w:t xml:space="preserve"> конкретния бенефициент </w:t>
      </w:r>
      <w:r w:rsidR="0090337C" w:rsidRPr="008D4AB4">
        <w:rPr>
          <w:rFonts w:ascii="Times New Roman" w:hAnsi="Times New Roman" w:cs="Times New Roman"/>
          <w:sz w:val="24"/>
          <w:szCs w:val="24"/>
        </w:rPr>
        <w:t>на БФП.</w:t>
      </w:r>
      <w:r w:rsidR="00942E45" w:rsidRPr="008D4AB4">
        <w:rPr>
          <w:rFonts w:ascii="Times New Roman" w:hAnsi="Times New Roman" w:cs="Times New Roman"/>
          <w:sz w:val="24"/>
          <w:szCs w:val="24"/>
        </w:rPr>
        <w:t xml:space="preserve"> </w:t>
      </w:r>
    </w:p>
    <w:p w14:paraId="55CC11EC" w14:textId="23BDAD55" w:rsidR="0099278A" w:rsidRDefault="000C67D1" w:rsidP="00810D84">
      <w:pPr>
        <w:spacing w:after="120" w:line="240" w:lineRule="auto"/>
        <w:jc w:val="both"/>
        <w:rPr>
          <w:rFonts w:ascii="Times New Roman" w:hAnsi="Times New Roman" w:cs="Times New Roman"/>
          <w:sz w:val="24"/>
          <w:szCs w:val="24"/>
        </w:rPr>
      </w:pPr>
      <w:hyperlink r:id="rId34" w:history="1">
        <w:r w:rsidR="004D1BCE" w:rsidRPr="00DF4CD2">
          <w:rPr>
            <w:rStyle w:val="Hyperlink"/>
            <w:rFonts w:ascii="Times New Roman" w:eastAsia="Calibri" w:hAnsi="Times New Roman" w:cs="Times New Roman"/>
            <w:sz w:val="24"/>
            <w:szCs w:val="24"/>
          </w:rPr>
          <w:t>Декларацията</w:t>
        </w:r>
      </w:hyperlink>
      <w:r w:rsidR="004D1BCE" w:rsidRPr="005162CF">
        <w:rPr>
          <w:rFonts w:ascii="Times New Roman" w:eastAsia="Calibri" w:hAnsi="Times New Roman" w:cs="Times New Roman"/>
          <w:sz w:val="24"/>
          <w:szCs w:val="24"/>
        </w:rPr>
        <w:t xml:space="preserve">, че кандидатът е запознат с условията за кандидатстване и условията за изпълнение </w:t>
      </w:r>
      <w:r w:rsidR="00544288" w:rsidRPr="008D4AB4">
        <w:rPr>
          <w:rFonts w:ascii="Times New Roman" w:hAnsi="Times New Roman" w:cs="Times New Roman"/>
          <w:sz w:val="24"/>
          <w:szCs w:val="24"/>
        </w:rPr>
        <w:t xml:space="preserve">се подава чрез попълване на т. </w:t>
      </w:r>
      <w:r w:rsidR="00F91BFE">
        <w:rPr>
          <w:rFonts w:ascii="Times New Roman" w:hAnsi="Times New Roman" w:cs="Times New Roman"/>
          <w:sz w:val="24"/>
          <w:szCs w:val="24"/>
        </w:rPr>
        <w:t>„</w:t>
      </w:r>
      <w:r w:rsidR="00544288" w:rsidRPr="008D4AB4">
        <w:rPr>
          <w:rFonts w:ascii="Times New Roman" w:hAnsi="Times New Roman" w:cs="Times New Roman"/>
          <w:sz w:val="24"/>
          <w:szCs w:val="24"/>
        </w:rPr>
        <w:t xml:space="preserve">E-ДЕКЛАРАЦИИ“ на Формуляра на кандидатстване. </w:t>
      </w:r>
    </w:p>
    <w:p w14:paraId="10D86E9E" w14:textId="1FCF29FE" w:rsidR="009742DE" w:rsidRPr="008D4AB4" w:rsidRDefault="00D64D49" w:rsidP="00810D84">
      <w:pPr>
        <w:spacing w:after="120" w:line="240" w:lineRule="auto"/>
        <w:jc w:val="both"/>
        <w:rPr>
          <w:rFonts w:ascii="Times New Roman" w:eastAsia="Times New Roman" w:hAnsi="Times New Roman" w:cs="Times New Roman"/>
          <w:snapToGrid w:val="0"/>
          <w:sz w:val="24"/>
          <w:szCs w:val="24"/>
        </w:rPr>
      </w:pPr>
      <w:r w:rsidRPr="008D4AB4">
        <w:rPr>
          <w:rFonts w:ascii="Times New Roman" w:eastAsia="Calibri" w:hAnsi="Times New Roman" w:cs="Times New Roman"/>
          <w:b/>
          <w:sz w:val="24"/>
          <w:szCs w:val="24"/>
        </w:rPr>
        <w:t>ВАЖНО:</w:t>
      </w:r>
      <w:r w:rsidRPr="008D4AB4">
        <w:rPr>
          <w:rFonts w:ascii="Times New Roman" w:eastAsia="Calibri" w:hAnsi="Times New Roman" w:cs="Times New Roman"/>
          <w:sz w:val="24"/>
          <w:szCs w:val="24"/>
        </w:rPr>
        <w:t xml:space="preserve"> </w:t>
      </w:r>
      <w:r w:rsidRPr="008D4AB4">
        <w:rPr>
          <w:rFonts w:ascii="Times New Roman" w:eastAsia="Times New Roman" w:hAnsi="Times New Roman" w:cs="Times New Roman"/>
          <w:snapToGrid w:val="0"/>
          <w:sz w:val="24"/>
          <w:szCs w:val="24"/>
        </w:rPr>
        <w:t>Кандидатът следва да се увери, че всички документи са представени в изискуемата форма</w:t>
      </w:r>
      <w:r w:rsidR="00416340" w:rsidRPr="008D4AB4">
        <w:rPr>
          <w:rFonts w:ascii="Times New Roman" w:eastAsia="Times New Roman" w:hAnsi="Times New Roman" w:cs="Times New Roman"/>
          <w:snapToGrid w:val="0"/>
          <w:sz w:val="24"/>
          <w:szCs w:val="24"/>
        </w:rPr>
        <w:t xml:space="preserve"> </w:t>
      </w:r>
      <w:r w:rsidRPr="008D4AB4">
        <w:rPr>
          <w:rFonts w:ascii="Times New Roman" w:eastAsia="Times New Roman" w:hAnsi="Times New Roman" w:cs="Times New Roman"/>
          <w:snapToGrid w:val="0"/>
          <w:sz w:val="24"/>
          <w:szCs w:val="24"/>
        </w:rPr>
        <w:t xml:space="preserve">съгласно изискванията на настоящите Условия за кандидатстване. </w:t>
      </w:r>
    </w:p>
    <w:p w14:paraId="738478A3" w14:textId="3C197424" w:rsidR="002D4B6A" w:rsidRPr="008D4AB4" w:rsidRDefault="0063166B" w:rsidP="00FE69C6">
      <w:pPr>
        <w:pStyle w:val="Heading2"/>
        <w:numPr>
          <w:ilvl w:val="0"/>
          <w:numId w:val="25"/>
        </w:num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rPr>
          <w:rFonts w:ascii="Times New Roman" w:hAnsi="Times New Roman" w:cs="Times New Roman"/>
          <w:b w:val="0"/>
          <w:sz w:val="24"/>
          <w:szCs w:val="24"/>
        </w:rPr>
      </w:pPr>
      <w:bookmarkStart w:id="46" w:name="_Toc135995236"/>
      <w:bookmarkStart w:id="47" w:name="_Toc136269971"/>
      <w:bookmarkEnd w:id="46"/>
      <w:r w:rsidRPr="008D4AB4">
        <w:rPr>
          <w:rFonts w:ascii="Times New Roman" w:hAnsi="Times New Roman" w:cs="Times New Roman"/>
        </w:rPr>
        <w:t>Краен срок за подаване на проектните предложения:</w:t>
      </w:r>
      <w:bookmarkEnd w:id="47"/>
      <w:r w:rsidRPr="008D4AB4" w:rsidDel="0063166B">
        <w:rPr>
          <w:rFonts w:ascii="Times New Roman" w:hAnsi="Times New Roman" w:cs="Times New Roman"/>
        </w:rPr>
        <w:t xml:space="preserve"> </w:t>
      </w:r>
    </w:p>
    <w:p w14:paraId="3C1505A4" w14:textId="12143478" w:rsidR="00BA40F5" w:rsidRPr="008D4AB4" w:rsidRDefault="00BA40F5" w:rsidP="00FE69C6">
      <w:pPr>
        <w:pStyle w:val="ListParagraph"/>
        <w:spacing w:before="120" w:after="120" w:line="240" w:lineRule="auto"/>
        <w:ind w:left="0"/>
        <w:contextualSpacing w:val="0"/>
        <w:jc w:val="both"/>
        <w:rPr>
          <w:rFonts w:ascii="Times New Roman" w:hAnsi="Times New Roman" w:cs="Times New Roman"/>
          <w:b/>
          <w:sz w:val="24"/>
          <w:szCs w:val="24"/>
        </w:rPr>
      </w:pPr>
      <w:r w:rsidRPr="008D4AB4">
        <w:rPr>
          <w:rFonts w:ascii="Times New Roman" w:hAnsi="Times New Roman" w:cs="Times New Roman"/>
          <w:sz w:val="24"/>
          <w:szCs w:val="24"/>
        </w:rPr>
        <w:t xml:space="preserve">Ще се прилага процедура чрез директно предоставяне с </w:t>
      </w:r>
      <w:r w:rsidR="002E136D" w:rsidRPr="008D4AB4">
        <w:rPr>
          <w:rFonts w:ascii="Times New Roman" w:hAnsi="Times New Roman" w:cs="Times New Roman"/>
          <w:b/>
          <w:sz w:val="24"/>
          <w:szCs w:val="24"/>
        </w:rPr>
        <w:t xml:space="preserve">един </w:t>
      </w:r>
      <w:r w:rsidRPr="008D4AB4">
        <w:rPr>
          <w:rFonts w:ascii="Times New Roman" w:hAnsi="Times New Roman" w:cs="Times New Roman"/>
          <w:b/>
          <w:sz w:val="24"/>
          <w:szCs w:val="24"/>
        </w:rPr>
        <w:t>кра</w:t>
      </w:r>
      <w:r w:rsidR="002E136D" w:rsidRPr="008D4AB4">
        <w:rPr>
          <w:rFonts w:ascii="Times New Roman" w:hAnsi="Times New Roman" w:cs="Times New Roman"/>
          <w:b/>
          <w:sz w:val="24"/>
          <w:szCs w:val="24"/>
        </w:rPr>
        <w:t>ен</w:t>
      </w:r>
      <w:r w:rsidRPr="008D4AB4">
        <w:rPr>
          <w:rFonts w:ascii="Times New Roman" w:hAnsi="Times New Roman" w:cs="Times New Roman"/>
          <w:b/>
          <w:sz w:val="24"/>
          <w:szCs w:val="24"/>
        </w:rPr>
        <w:t xml:space="preserve"> срок за кандидатстване</w:t>
      </w:r>
      <w:r w:rsidR="002E136D" w:rsidRPr="008D4AB4">
        <w:rPr>
          <w:rFonts w:ascii="Times New Roman" w:hAnsi="Times New Roman" w:cs="Times New Roman"/>
          <w:b/>
          <w:sz w:val="24"/>
          <w:szCs w:val="24"/>
        </w:rPr>
        <w:t xml:space="preserve"> – </w:t>
      </w:r>
      <w:r w:rsidR="00616B78" w:rsidRPr="008D4AB4">
        <w:rPr>
          <w:rFonts w:ascii="Times New Roman" w:hAnsi="Times New Roman" w:cs="Times New Roman"/>
          <w:b/>
          <w:sz w:val="24"/>
          <w:szCs w:val="24"/>
        </w:rPr>
        <w:t xml:space="preserve">17:30 часа на </w:t>
      </w:r>
      <w:r w:rsidR="002E136D" w:rsidRPr="008D4AB4">
        <w:rPr>
          <w:rFonts w:ascii="Times New Roman" w:hAnsi="Times New Roman" w:cs="Times New Roman"/>
          <w:b/>
          <w:sz w:val="24"/>
          <w:szCs w:val="24"/>
        </w:rPr>
        <w:t>31.</w:t>
      </w:r>
      <w:r w:rsidR="00F45C8B" w:rsidRPr="008D4AB4">
        <w:rPr>
          <w:rFonts w:ascii="Times New Roman" w:hAnsi="Times New Roman" w:cs="Times New Roman"/>
          <w:b/>
          <w:sz w:val="24"/>
          <w:szCs w:val="24"/>
          <w:lang w:val="en-US"/>
        </w:rPr>
        <w:t>10</w:t>
      </w:r>
      <w:r w:rsidR="00F45C8B" w:rsidRPr="008D4AB4">
        <w:rPr>
          <w:rFonts w:ascii="Times New Roman" w:hAnsi="Times New Roman" w:cs="Times New Roman"/>
          <w:b/>
          <w:sz w:val="24"/>
          <w:szCs w:val="24"/>
        </w:rPr>
        <w:t>.2029</w:t>
      </w:r>
      <w:r w:rsidR="002E136D" w:rsidRPr="008D4AB4">
        <w:rPr>
          <w:rFonts w:ascii="Times New Roman" w:hAnsi="Times New Roman" w:cs="Times New Roman"/>
          <w:b/>
          <w:sz w:val="24"/>
          <w:szCs w:val="24"/>
        </w:rPr>
        <w:t xml:space="preserve"> г</w:t>
      </w:r>
      <w:r w:rsidRPr="008D4AB4">
        <w:rPr>
          <w:rFonts w:ascii="Times New Roman" w:hAnsi="Times New Roman" w:cs="Times New Roman"/>
          <w:b/>
          <w:sz w:val="24"/>
          <w:szCs w:val="24"/>
        </w:rPr>
        <w:t xml:space="preserve">. </w:t>
      </w:r>
    </w:p>
    <w:p w14:paraId="2806EEA4" w14:textId="46592E42" w:rsidR="0063166B" w:rsidRDefault="0063166B" w:rsidP="00FE69C6">
      <w:pPr>
        <w:pStyle w:val="Heading2"/>
        <w:numPr>
          <w:ilvl w:val="0"/>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8" w:name="_Toc136269972"/>
      <w:r w:rsidRPr="008D4AB4">
        <w:rPr>
          <w:rFonts w:ascii="Times New Roman" w:hAnsi="Times New Roman" w:cs="Times New Roman"/>
        </w:rPr>
        <w:lastRenderedPageBreak/>
        <w:t>Адрес за подаване на проектните предложения/концепциите за проектни предложения:</w:t>
      </w:r>
      <w:bookmarkEnd w:id="48"/>
    </w:p>
    <w:p w14:paraId="65D5B1D6" w14:textId="77777777" w:rsidR="003032BD" w:rsidRDefault="00397B05" w:rsidP="003032BD">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и финансовият план </w:t>
      </w:r>
      <w:r w:rsidR="006A5D98" w:rsidRPr="008D4AB4">
        <w:rPr>
          <w:rFonts w:ascii="Times New Roman" w:hAnsi="Times New Roman" w:cs="Times New Roman"/>
          <w:sz w:val="24"/>
          <w:szCs w:val="24"/>
        </w:rPr>
        <w:t>по настоящата процедура се подава</w:t>
      </w:r>
      <w:r w:rsidRPr="008D4AB4">
        <w:rPr>
          <w:rFonts w:ascii="Times New Roman" w:hAnsi="Times New Roman" w:cs="Times New Roman"/>
          <w:sz w:val="24"/>
          <w:szCs w:val="24"/>
        </w:rPr>
        <w:t>т</w:t>
      </w:r>
      <w:r w:rsidR="006A5D98" w:rsidRPr="008D4AB4">
        <w:rPr>
          <w:rFonts w:ascii="Times New Roman" w:hAnsi="Times New Roman" w:cs="Times New Roman"/>
          <w:sz w:val="24"/>
          <w:szCs w:val="24"/>
        </w:rPr>
        <w:t xml:space="preserve"> </w:t>
      </w:r>
      <w:r w:rsidR="003B7DE9" w:rsidRPr="008D4AB4">
        <w:rPr>
          <w:rFonts w:ascii="Times New Roman" w:hAnsi="Times New Roman" w:cs="Times New Roman"/>
          <w:sz w:val="24"/>
          <w:szCs w:val="24"/>
        </w:rPr>
        <w:t xml:space="preserve">по </w:t>
      </w:r>
      <w:r w:rsidR="006A5D98" w:rsidRPr="008D4AB4">
        <w:rPr>
          <w:rFonts w:ascii="Times New Roman" w:hAnsi="Times New Roman" w:cs="Times New Roman"/>
          <w:sz w:val="24"/>
          <w:szCs w:val="24"/>
        </w:rPr>
        <w:t>електронен път чрез ИСУН 2020 на следния интернет адрес:</w:t>
      </w:r>
      <w:r w:rsidR="003B7DE9" w:rsidRPr="008D4AB4">
        <w:rPr>
          <w:rFonts w:ascii="Times New Roman" w:hAnsi="Times New Roman" w:cs="Times New Roman"/>
        </w:rPr>
        <w:t xml:space="preserve"> </w:t>
      </w:r>
      <w:hyperlink r:id="rId35" w:history="1">
        <w:r w:rsidR="003B7DE9" w:rsidRPr="008D4AB4">
          <w:rPr>
            <w:rStyle w:val="Hyperlink"/>
            <w:rFonts w:ascii="Times New Roman" w:hAnsi="Times New Roman" w:cs="Times New Roman"/>
            <w:sz w:val="24"/>
            <w:szCs w:val="24"/>
          </w:rPr>
          <w:t>https://eumis2020.government.bg</w:t>
        </w:r>
      </w:hyperlink>
      <w:r w:rsidR="006A5D98" w:rsidRPr="008D4AB4">
        <w:rPr>
          <w:rFonts w:ascii="Times New Roman" w:hAnsi="Times New Roman" w:cs="Times New Roman"/>
          <w:sz w:val="24"/>
          <w:szCs w:val="24"/>
        </w:rPr>
        <w:t>.</w:t>
      </w:r>
    </w:p>
    <w:p w14:paraId="784FBA8B" w14:textId="08E937B0" w:rsidR="003032BD" w:rsidRDefault="003429B7" w:rsidP="00585BE6">
      <w:pPr>
        <w:pStyle w:val="Heading2"/>
        <w:numPr>
          <w:ilvl w:val="0"/>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r w:rsidRPr="008D4AB4">
        <w:rPr>
          <w:rFonts w:ascii="Times New Roman" w:hAnsi="Times New Roman" w:cs="Times New Roman"/>
        </w:rPr>
        <w:t xml:space="preserve"> </w:t>
      </w:r>
      <w:bookmarkStart w:id="49" w:name="_Toc136269973"/>
      <w:r w:rsidRPr="008D4AB4">
        <w:rPr>
          <w:rFonts w:ascii="Times New Roman" w:hAnsi="Times New Roman" w:cs="Times New Roman"/>
        </w:rPr>
        <w:t>Допълнителна информация</w:t>
      </w:r>
      <w:bookmarkEnd w:id="49"/>
    </w:p>
    <w:p w14:paraId="0DEE7588" w14:textId="3F92E772" w:rsidR="00E75BD5" w:rsidRPr="00E75BD5" w:rsidRDefault="00E75BD5" w:rsidP="00E75BD5">
      <w:pPr>
        <w:spacing w:after="360" w:line="240" w:lineRule="auto"/>
        <w:jc w:val="both"/>
        <w:rPr>
          <w:rFonts w:ascii="Times New Roman" w:hAnsi="Times New Roman" w:cs="Times New Roman"/>
          <w:b/>
          <w:sz w:val="24"/>
          <w:szCs w:val="24"/>
        </w:rPr>
      </w:pPr>
      <w:r w:rsidRPr="00E75BD5">
        <w:rPr>
          <w:rFonts w:ascii="Times New Roman" w:hAnsi="Times New Roman" w:cs="Times New Roman"/>
          <w:sz w:val="24"/>
          <w:szCs w:val="24"/>
        </w:rPr>
        <w:t xml:space="preserve">По настоящите процедури чрез директно предоставяне на БФП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Формуляра за кандидатстване. </w:t>
      </w:r>
    </w:p>
    <w:p w14:paraId="2FA70019" w14:textId="6F2D50EC" w:rsidR="006A2DB8" w:rsidRDefault="006A2DB8" w:rsidP="00585BE6">
      <w:pPr>
        <w:pStyle w:val="Heading2"/>
        <w:numPr>
          <w:ilvl w:val="0"/>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50" w:name="_Toc136269974"/>
      <w:r w:rsidRPr="008D4AB4">
        <w:rPr>
          <w:rFonts w:ascii="Times New Roman" w:hAnsi="Times New Roman" w:cs="Times New Roman"/>
        </w:rPr>
        <w:t xml:space="preserve">Приложения към </w:t>
      </w:r>
      <w:r w:rsidR="00EA11C9" w:rsidRPr="008D4AB4">
        <w:rPr>
          <w:rFonts w:ascii="Times New Roman" w:hAnsi="Times New Roman" w:cs="Times New Roman"/>
        </w:rPr>
        <w:t>Условията за кандидатстване</w:t>
      </w:r>
      <w:bookmarkEnd w:id="50"/>
    </w:p>
    <w:p w14:paraId="38865716" w14:textId="77777777" w:rsidR="004711F1" w:rsidRPr="004711F1" w:rsidRDefault="004711F1" w:rsidP="004711F1"/>
    <w:p w14:paraId="0762670C" w14:textId="77777777" w:rsidR="00620EC3" w:rsidRDefault="000C67D1" w:rsidP="00620EC3">
      <w:pPr>
        <w:pStyle w:val="ListParagraph"/>
        <w:numPr>
          <w:ilvl w:val="0"/>
          <w:numId w:val="36"/>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6" w:history="1">
        <w:r w:rsidR="00620EC3" w:rsidRPr="00DF4CD2">
          <w:rPr>
            <w:rStyle w:val="Hyperlink"/>
            <w:rFonts w:ascii="Times New Roman" w:eastAsia="Calibri" w:hAnsi="Times New Roman" w:cs="Times New Roman"/>
            <w:sz w:val="24"/>
            <w:szCs w:val="24"/>
          </w:rPr>
          <w:t>Приложение № 1: Образец на Декларация, че кандидатът е запознат с условията за кандидатстване и условията за изпълнение;</w:t>
        </w:r>
      </w:hyperlink>
    </w:p>
    <w:p w14:paraId="6517F9F8" w14:textId="77777777" w:rsidR="00620EC3" w:rsidRPr="005D5426" w:rsidRDefault="00620EC3" w:rsidP="00620EC3">
      <w:pPr>
        <w:pStyle w:val="ListParagraph"/>
        <w:numPr>
          <w:ilvl w:val="0"/>
          <w:numId w:val="36"/>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2 Натура 2000.docx"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2: Образец на Декларация на органа, отговарящ за мониторинга на обектите НАТУРА 2000;</w:t>
      </w:r>
    </w:p>
    <w:p w14:paraId="63DD8B4A" w14:textId="77777777" w:rsidR="00620EC3" w:rsidRPr="005D5426" w:rsidRDefault="00620EC3" w:rsidP="00620EC3">
      <w:pPr>
        <w:pStyle w:val="ListParagraph"/>
        <w:numPr>
          <w:ilvl w:val="0"/>
          <w:numId w:val="36"/>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3 Декларация за водите.docx"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3: Образец на Декларация на компетентния орган, отговарящ за управлението на водите;</w:t>
      </w:r>
    </w:p>
    <w:p w14:paraId="45357AD0" w14:textId="77777777" w:rsidR="00620EC3" w:rsidRPr="007A2831" w:rsidRDefault="00620EC3" w:rsidP="00620EC3">
      <w:pPr>
        <w:pStyle w:val="ListParagraph"/>
        <w:numPr>
          <w:ilvl w:val="0"/>
          <w:numId w:val="36"/>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end"/>
      </w:r>
      <w:hyperlink r:id="rId37" w:history="1">
        <w:r w:rsidRPr="00DF4CD2">
          <w:rPr>
            <w:rStyle w:val="Hyperlink"/>
            <w:rFonts w:ascii="Times New Roman" w:eastAsia="Calibri" w:hAnsi="Times New Roman" w:cs="Times New Roman"/>
            <w:sz w:val="24"/>
            <w:szCs w:val="24"/>
          </w:rPr>
          <w:t xml:space="preserve">Приложение № 4: </w:t>
        </w:r>
        <w:r w:rsidRPr="00DF4CD2">
          <w:rPr>
            <w:rStyle w:val="Hyperlink"/>
            <w:rFonts w:ascii="inherit" w:hAnsi="inherit"/>
            <w:bCs/>
            <w:sz w:val="24"/>
            <w:szCs w:val="24"/>
          </w:rPr>
          <w:t>Методология за извършване на анализ на разходите и ползите;</w:t>
        </w:r>
      </w:hyperlink>
    </w:p>
    <w:p w14:paraId="2FB54ABD" w14:textId="77777777" w:rsidR="00620EC3" w:rsidRPr="008B1ED5" w:rsidRDefault="000C67D1" w:rsidP="00620EC3">
      <w:pPr>
        <w:pStyle w:val="ListParagraph"/>
        <w:numPr>
          <w:ilvl w:val="0"/>
          <w:numId w:val="36"/>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8" w:history="1">
        <w:r w:rsidR="00620EC3" w:rsidRPr="00DF4CD2">
          <w:rPr>
            <w:rStyle w:val="Hyperlink"/>
            <w:rFonts w:ascii="Times New Roman" w:eastAsia="Calibri" w:hAnsi="Times New Roman" w:cs="Times New Roman"/>
            <w:sz w:val="24"/>
            <w:szCs w:val="24"/>
          </w:rPr>
          <w:t>Приложение № 5: Критерии за осигуряване на информация за инфраструктурни проекти;</w:t>
        </w:r>
      </w:hyperlink>
    </w:p>
    <w:p w14:paraId="590111F2" w14:textId="77777777" w:rsidR="00620EC3" w:rsidRDefault="000C67D1" w:rsidP="00620EC3">
      <w:pPr>
        <w:pStyle w:val="ListParagraph"/>
        <w:numPr>
          <w:ilvl w:val="0"/>
          <w:numId w:val="36"/>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9" w:history="1">
        <w:r w:rsidR="00620EC3" w:rsidRPr="00DF4CD2">
          <w:rPr>
            <w:rStyle w:val="Hyperlink"/>
            <w:rFonts w:ascii="Times New Roman" w:eastAsia="Calibri" w:hAnsi="Times New Roman" w:cs="Times New Roman"/>
            <w:sz w:val="24"/>
            <w:szCs w:val="24"/>
          </w:rPr>
          <w:t>Приложение № 6: Критерии за оценка на проектно предложение, одобрени от КН на ПТС;</w:t>
        </w:r>
      </w:hyperlink>
    </w:p>
    <w:p w14:paraId="191A503A" w14:textId="77777777" w:rsidR="00620EC3" w:rsidRPr="004711F1" w:rsidRDefault="000C67D1" w:rsidP="00620EC3">
      <w:pPr>
        <w:pStyle w:val="ListParagraph"/>
        <w:numPr>
          <w:ilvl w:val="0"/>
          <w:numId w:val="36"/>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0" w:history="1">
        <w:r w:rsidR="00620EC3" w:rsidRPr="00DF4CD2">
          <w:rPr>
            <w:rStyle w:val="Hyperlink"/>
            <w:rFonts w:ascii="Times New Roman" w:eastAsia="Calibri" w:hAnsi="Times New Roman" w:cs="Times New Roman"/>
            <w:sz w:val="24"/>
            <w:szCs w:val="24"/>
          </w:rPr>
          <w:t>Приложение № 7: Образец на Комуникационен план за операции от стратегическо значение;</w:t>
        </w:r>
      </w:hyperlink>
    </w:p>
    <w:p w14:paraId="21847659" w14:textId="77777777" w:rsidR="00620EC3" w:rsidRPr="004711F1" w:rsidRDefault="000C67D1" w:rsidP="00620EC3">
      <w:pPr>
        <w:pStyle w:val="ListParagraph"/>
        <w:numPr>
          <w:ilvl w:val="0"/>
          <w:numId w:val="36"/>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1" w:history="1">
        <w:r w:rsidR="00620EC3" w:rsidRPr="00DF4CD2">
          <w:rPr>
            <w:rStyle w:val="Hyperlink"/>
            <w:rFonts w:ascii="Times New Roman" w:eastAsia="Calibri" w:hAnsi="Times New Roman" w:cs="Times New Roman"/>
            <w:sz w:val="24"/>
            <w:szCs w:val="24"/>
          </w:rPr>
          <w:t>Приложение № 8: Образец на Комуникационен план;</w:t>
        </w:r>
      </w:hyperlink>
    </w:p>
    <w:p w14:paraId="71BCED6D" w14:textId="77777777" w:rsidR="00620EC3" w:rsidRPr="004711F1" w:rsidRDefault="000C67D1" w:rsidP="00620EC3">
      <w:pPr>
        <w:pStyle w:val="ListParagraph"/>
        <w:numPr>
          <w:ilvl w:val="0"/>
          <w:numId w:val="36"/>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2" w:history="1">
        <w:r w:rsidR="00620EC3" w:rsidRPr="00DF4CD2">
          <w:rPr>
            <w:rStyle w:val="Hyperlink"/>
            <w:rFonts w:ascii="Times New Roman" w:eastAsia="Calibri" w:hAnsi="Times New Roman" w:cs="Times New Roman"/>
            <w:sz w:val="24"/>
            <w:szCs w:val="24"/>
          </w:rPr>
          <w:t>Приложение № 9: Образци на Въпросници за самооценка на качеството на формуляра за кандидатстване за инвестиционен проект;</w:t>
        </w:r>
      </w:hyperlink>
    </w:p>
    <w:p w14:paraId="7EB07108" w14:textId="77777777" w:rsidR="004711F1" w:rsidRPr="004711F1" w:rsidRDefault="004711F1" w:rsidP="004711F1"/>
    <w:sectPr w:rsidR="004711F1" w:rsidRPr="004711F1" w:rsidSect="00C731B2">
      <w:headerReference w:type="default" r:id="rId43"/>
      <w:footerReference w:type="default" r:id="rId44"/>
      <w:pgSz w:w="11906" w:h="16838"/>
      <w:pgMar w:top="851"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80BE3" w14:textId="77777777" w:rsidR="00F7220B" w:rsidRDefault="00F7220B" w:rsidP="002325A3">
      <w:pPr>
        <w:spacing w:after="0" w:line="240" w:lineRule="auto"/>
      </w:pPr>
      <w:r>
        <w:separator/>
      </w:r>
    </w:p>
  </w:endnote>
  <w:endnote w:type="continuationSeparator" w:id="0">
    <w:p w14:paraId="3F4F8DF7" w14:textId="77777777" w:rsidR="00F7220B" w:rsidRDefault="00F7220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139B403E" w:rsidR="00F7220B" w:rsidRDefault="00F7220B">
        <w:pPr>
          <w:pStyle w:val="Footer"/>
          <w:jc w:val="right"/>
        </w:pPr>
        <w:r>
          <w:fldChar w:fldCharType="begin"/>
        </w:r>
        <w:r>
          <w:instrText xml:space="preserve"> PAGE   \* MERGEFORMAT </w:instrText>
        </w:r>
        <w:r>
          <w:fldChar w:fldCharType="separate"/>
        </w:r>
        <w:r w:rsidR="000C67D1">
          <w:rPr>
            <w:noProof/>
          </w:rPr>
          <w:t>44</w:t>
        </w:r>
        <w:r>
          <w:rPr>
            <w:noProof/>
          </w:rPr>
          <w:fldChar w:fldCharType="end"/>
        </w:r>
      </w:p>
    </w:sdtContent>
  </w:sdt>
  <w:p w14:paraId="47A8C132" w14:textId="77777777" w:rsidR="00F7220B" w:rsidRDefault="00F7220B">
    <w:pPr>
      <w:pStyle w:val="Footer"/>
    </w:pPr>
  </w:p>
  <w:p w14:paraId="69C6DA69" w14:textId="77777777" w:rsidR="00F7220B" w:rsidRDefault="00F722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C9A69" w14:textId="77777777" w:rsidR="00F7220B" w:rsidRDefault="00F7220B" w:rsidP="002325A3">
      <w:pPr>
        <w:spacing w:after="0" w:line="240" w:lineRule="auto"/>
      </w:pPr>
      <w:r>
        <w:separator/>
      </w:r>
    </w:p>
  </w:footnote>
  <w:footnote w:type="continuationSeparator" w:id="0">
    <w:p w14:paraId="390F4501" w14:textId="77777777" w:rsidR="00F7220B" w:rsidRDefault="00F7220B" w:rsidP="002325A3">
      <w:pPr>
        <w:spacing w:after="0" w:line="240" w:lineRule="auto"/>
      </w:pPr>
      <w:r>
        <w:continuationSeparator/>
      </w:r>
    </w:p>
  </w:footnote>
  <w:footnote w:id="1">
    <w:p w14:paraId="21278FC4" w14:textId="6FD41BF4" w:rsidR="00F7220B" w:rsidRPr="0065728F" w:rsidRDefault="00F7220B"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IV Списък на държавите членки, подпомагани от Кохезионния фонд на РЕШЕНИЕ ЗА ИЗПЪЛНЕНИЕ (ЕС) 2021/1130 НА КОМИСИЯТА от 5 юли 2021 година за определяне на списъка на регионите, които отговарят на условията за финансиране по Европейския фонд за регионално развитие и Европейския социален фонд плюс, и на държавите членки, които отговарят на условията за финансиране по Кохезионния фонд за периода 2021—2027 г.</w:t>
      </w:r>
    </w:p>
    <w:p w14:paraId="581D6EFF" w14:textId="0C5D47FF" w:rsidR="00F7220B" w:rsidRPr="0065728F" w:rsidRDefault="00F7220B">
      <w:pPr>
        <w:pStyle w:val="FootnoteText"/>
        <w:rPr>
          <w:rFonts w:ascii="Times New Roman" w:hAnsi="Times New Roman" w:cs="Times New Roman"/>
        </w:rPr>
      </w:pPr>
    </w:p>
  </w:footnote>
  <w:footnote w:id="2">
    <w:p w14:paraId="76080D4F" w14:textId="22CA3391" w:rsidR="00F7220B" w:rsidRDefault="00F7220B">
      <w:pPr>
        <w:pStyle w:val="FootnoteText"/>
      </w:pPr>
      <w:r>
        <w:rPr>
          <w:rStyle w:val="FootnoteReference"/>
        </w:rPr>
        <w:footnoteRef/>
      </w:r>
      <w:r>
        <w:t xml:space="preserve"> виж Указания на МФ № ДНФ № 3 от 2016 г. </w:t>
      </w:r>
      <w:hyperlink r:id="rId1" w:history="1">
        <w:r w:rsidRPr="00EF61A7">
          <w:rPr>
            <w:rStyle w:val="Hyperlink"/>
          </w:rPr>
          <w:t>https://www.minfin.bg/upload/19193/DNF%E2%84%963_23.12.2016.pdf</w:t>
        </w:r>
      </w:hyperlink>
      <w:r>
        <w:t xml:space="preserve"> до издаване на актуализирани за програмен период 2021- 2027 г.</w:t>
      </w:r>
    </w:p>
  </w:footnote>
  <w:footnote w:id="3">
    <w:p w14:paraId="17F64B24" w14:textId="77777777" w:rsidR="00F7220B" w:rsidRDefault="00F7220B" w:rsidP="00820F97">
      <w:pPr>
        <w:pStyle w:val="FootnoteText"/>
      </w:pPr>
      <w:r>
        <w:rPr>
          <w:rStyle w:val="FootnoteReference"/>
        </w:rPr>
        <w:footnoteRef/>
      </w:r>
      <w:r>
        <w:t xml:space="preserve"> Към момента на откриване на процедурата, НКС са в процес на одобрение от КН за Споразумението за партньорство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F7220B" w14:paraId="502C0EC7" w14:textId="77777777" w:rsidTr="00B95EF9">
      <w:tc>
        <w:tcPr>
          <w:tcW w:w="4748" w:type="dxa"/>
        </w:tcPr>
        <w:p w14:paraId="2421303A" w14:textId="77777777" w:rsidR="00F7220B" w:rsidRDefault="00F7220B" w:rsidP="00B20C73">
          <w:pPr>
            <w:pStyle w:val="Header"/>
          </w:pPr>
          <w:r w:rsidRPr="00677D4C">
            <w:rPr>
              <w:i/>
              <w:noProof/>
            </w:rPr>
            <w:drawing>
              <wp:inline distT="0" distB="0" distL="0" distR="0" wp14:anchorId="2B6BD9B5" wp14:editId="6249FCC3">
                <wp:extent cx="1272845" cy="295187"/>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108" cy="300582"/>
                        </a:xfrm>
                        <a:prstGeom prst="rect">
                          <a:avLst/>
                        </a:prstGeom>
                        <a:noFill/>
                        <a:ln>
                          <a:noFill/>
                        </a:ln>
                      </pic:spPr>
                    </pic:pic>
                  </a:graphicData>
                </a:graphic>
              </wp:inline>
            </w:drawing>
          </w:r>
        </w:p>
      </w:tc>
      <w:tc>
        <w:tcPr>
          <w:tcW w:w="4748" w:type="dxa"/>
        </w:tcPr>
        <w:p w14:paraId="2843E81B" w14:textId="08F01DBB" w:rsidR="00F7220B" w:rsidRDefault="00F7220B" w:rsidP="00B20C73">
          <w:pPr>
            <w:pStyle w:val="Header"/>
            <w:jc w:val="right"/>
          </w:pPr>
        </w:p>
      </w:tc>
    </w:tr>
  </w:tbl>
  <w:p w14:paraId="453FC042" w14:textId="77777777" w:rsidR="00F7220B" w:rsidRPr="00B90A42" w:rsidRDefault="00F7220B"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D2D83"/>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600CCE"/>
    <w:multiLevelType w:val="hybridMultilevel"/>
    <w:tmpl w:val="79A2A294"/>
    <w:lvl w:ilvl="0" w:tplc="DDF8F570">
      <w:start w:val="60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5E69FA"/>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90C0CFA"/>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9" w15:restartNumberingAfterBreak="0">
    <w:nsid w:val="26D325D8"/>
    <w:multiLevelType w:val="hybridMultilevel"/>
    <w:tmpl w:val="A1141E9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15:restartNumberingAfterBreak="0">
    <w:nsid w:val="28410164"/>
    <w:multiLevelType w:val="hybridMultilevel"/>
    <w:tmpl w:val="BD6EAA9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29222C54"/>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31803F4E"/>
    <w:multiLevelType w:val="hybridMultilevel"/>
    <w:tmpl w:val="B69859EA"/>
    <w:lvl w:ilvl="0" w:tplc="74625418">
      <w:start w:val="60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4A3196A"/>
    <w:multiLevelType w:val="hybridMultilevel"/>
    <w:tmpl w:val="578AAE4A"/>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72A0CC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7A32D43"/>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3A8A0538"/>
    <w:multiLevelType w:val="hybridMultilevel"/>
    <w:tmpl w:val="E3642A3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0"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4A1138DF"/>
    <w:multiLevelType w:val="hybridMultilevel"/>
    <w:tmpl w:val="03D457E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15:restartNumberingAfterBreak="0">
    <w:nsid w:val="4C0A5DA1"/>
    <w:multiLevelType w:val="hybridMultilevel"/>
    <w:tmpl w:val="110EC6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CCD25B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5" w15:restartNumberingAfterBreak="0">
    <w:nsid w:val="4DD47812"/>
    <w:multiLevelType w:val="hybridMultilevel"/>
    <w:tmpl w:val="3EF21FB2"/>
    <w:lvl w:ilvl="0" w:tplc="20B079D4">
      <w:start w:val="1"/>
      <mc:AlternateContent>
        <mc:Choice Requires="w14">
          <w:numFmt w:val="custom" w:format="А, Й, К, ..."/>
        </mc:Choice>
        <mc:Fallback>
          <w:numFmt w:val="decimal"/>
        </mc:Fallback>
      </mc:AlternateContent>
      <w:lvlText w:val="%1)"/>
      <w:lvlJc w:val="left"/>
      <w:pPr>
        <w:ind w:left="1571" w:hanging="360"/>
      </w:pPr>
      <w:rPr>
        <w:rFonts w:ascii="Times New Roman" w:hAnsi="Times New Roman" w:cs="Times New Roman"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6" w15:restartNumberingAfterBreak="0">
    <w:nsid w:val="56E60CCB"/>
    <w:multiLevelType w:val="hybridMultilevel"/>
    <w:tmpl w:val="0D606DC4"/>
    <w:lvl w:ilvl="0" w:tplc="04020001">
      <w:start w:val="1"/>
      <w:numFmt w:val="bullet"/>
      <w:lvlText w:val=""/>
      <w:lvlJc w:val="left"/>
      <w:pPr>
        <w:ind w:left="1495" w:hanging="360"/>
      </w:pPr>
      <w:rPr>
        <w:rFonts w:ascii="Symbol" w:hAnsi="Symbol" w:hint="default"/>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27"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8" w15:restartNumberingAfterBreak="0">
    <w:nsid w:val="5DE84F1B"/>
    <w:multiLevelType w:val="multilevel"/>
    <w:tmpl w:val="FE92CC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0" w15:restartNumberingAfterBreak="0">
    <w:nsid w:val="67AD361C"/>
    <w:multiLevelType w:val="hybridMultilevel"/>
    <w:tmpl w:val="6576F280"/>
    <w:lvl w:ilvl="0" w:tplc="04020001">
      <w:start w:val="1"/>
      <w:numFmt w:val="bullet"/>
      <w:lvlText w:val=""/>
      <w:lvlJc w:val="left"/>
      <w:pPr>
        <w:ind w:left="1495" w:hanging="360"/>
      </w:pPr>
      <w:rPr>
        <w:rFonts w:ascii="Symbol" w:hAnsi="Symbol" w:hint="default"/>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31"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32"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58C5C62"/>
    <w:multiLevelType w:val="hybridMultilevel"/>
    <w:tmpl w:val="E31E79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4"/>
  </w:num>
  <w:num w:numId="2">
    <w:abstractNumId w:val="35"/>
  </w:num>
  <w:num w:numId="3">
    <w:abstractNumId w:val="26"/>
  </w:num>
  <w:num w:numId="4">
    <w:abstractNumId w:val="28"/>
  </w:num>
  <w:num w:numId="5">
    <w:abstractNumId w:val="30"/>
  </w:num>
  <w:num w:numId="6">
    <w:abstractNumId w:val="23"/>
  </w:num>
  <w:num w:numId="7">
    <w:abstractNumId w:val="6"/>
  </w:num>
  <w:num w:numId="8">
    <w:abstractNumId w:val="15"/>
  </w:num>
  <w:num w:numId="9">
    <w:abstractNumId w:val="11"/>
  </w:num>
  <w:num w:numId="10">
    <w:abstractNumId w:val="20"/>
  </w:num>
  <w:num w:numId="11">
    <w:abstractNumId w:val="17"/>
  </w:num>
  <w:num w:numId="12">
    <w:abstractNumId w:val="33"/>
  </w:num>
  <w:num w:numId="13">
    <w:abstractNumId w:val="8"/>
  </w:num>
  <w:num w:numId="14">
    <w:abstractNumId w:val="7"/>
  </w:num>
  <w:num w:numId="15">
    <w:abstractNumId w:val="27"/>
  </w:num>
  <w:num w:numId="16">
    <w:abstractNumId w:val="1"/>
  </w:num>
  <w:num w:numId="17">
    <w:abstractNumId w:val="0"/>
  </w:num>
  <w:num w:numId="18">
    <w:abstractNumId w:val="32"/>
  </w:num>
  <w:num w:numId="19">
    <w:abstractNumId w:val="13"/>
  </w:num>
  <w:num w:numId="20">
    <w:abstractNumId w:val="19"/>
  </w:num>
  <w:num w:numId="21">
    <w:abstractNumId w:val="10"/>
  </w:num>
  <w:num w:numId="22">
    <w:abstractNumId w:val="25"/>
  </w:num>
  <w:num w:numId="23">
    <w:abstractNumId w:val="18"/>
  </w:num>
  <w:num w:numId="24">
    <w:abstractNumId w:val="3"/>
  </w:num>
  <w:num w:numId="25">
    <w:abstractNumId w:val="2"/>
  </w:num>
  <w:num w:numId="26">
    <w:abstractNumId w:val="22"/>
  </w:num>
  <w:num w:numId="27">
    <w:abstractNumId w:val="9"/>
  </w:num>
  <w:num w:numId="28">
    <w:abstractNumId w:val="21"/>
  </w:num>
  <w:num w:numId="29">
    <w:abstractNumId w:val="16"/>
  </w:num>
  <w:num w:numId="30">
    <w:abstractNumId w:val="29"/>
  </w:num>
  <w:num w:numId="31">
    <w:abstractNumId w:val="14"/>
  </w:num>
  <w:num w:numId="32">
    <w:abstractNumId w:val="34"/>
  </w:num>
  <w:num w:numId="33">
    <w:abstractNumId w:val="24"/>
  </w:num>
  <w:num w:numId="34">
    <w:abstractNumId w:val="5"/>
  </w:num>
  <w:num w:numId="35">
    <w:abstractNumId w:val="36"/>
  </w:num>
  <w:num w:numId="36">
    <w:abstractNumId w:val="31"/>
  </w:num>
  <w:num w:numId="37">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oNotTrackFormatting/>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89"/>
    <w:rsid w:val="000010A3"/>
    <w:rsid w:val="00001633"/>
    <w:rsid w:val="00001D35"/>
    <w:rsid w:val="00002AC7"/>
    <w:rsid w:val="00002C33"/>
    <w:rsid w:val="000032A7"/>
    <w:rsid w:val="000035F1"/>
    <w:rsid w:val="00005803"/>
    <w:rsid w:val="000058C2"/>
    <w:rsid w:val="00007FF9"/>
    <w:rsid w:val="00010B97"/>
    <w:rsid w:val="00011168"/>
    <w:rsid w:val="000115A9"/>
    <w:rsid w:val="000116B8"/>
    <w:rsid w:val="00012083"/>
    <w:rsid w:val="0001214B"/>
    <w:rsid w:val="000128B4"/>
    <w:rsid w:val="000138C3"/>
    <w:rsid w:val="00014042"/>
    <w:rsid w:val="00014BC8"/>
    <w:rsid w:val="0001673C"/>
    <w:rsid w:val="00016F8F"/>
    <w:rsid w:val="000177A4"/>
    <w:rsid w:val="000179C1"/>
    <w:rsid w:val="00017C55"/>
    <w:rsid w:val="00017F87"/>
    <w:rsid w:val="00020926"/>
    <w:rsid w:val="00020E16"/>
    <w:rsid w:val="00021529"/>
    <w:rsid w:val="00021BB5"/>
    <w:rsid w:val="00021EAE"/>
    <w:rsid w:val="00021FB4"/>
    <w:rsid w:val="00022988"/>
    <w:rsid w:val="00022B77"/>
    <w:rsid w:val="00022DE5"/>
    <w:rsid w:val="00023D73"/>
    <w:rsid w:val="0002458F"/>
    <w:rsid w:val="00024732"/>
    <w:rsid w:val="000252A0"/>
    <w:rsid w:val="000259FC"/>
    <w:rsid w:val="0002620B"/>
    <w:rsid w:val="000278A9"/>
    <w:rsid w:val="00027C95"/>
    <w:rsid w:val="000301F9"/>
    <w:rsid w:val="000308FC"/>
    <w:rsid w:val="00031708"/>
    <w:rsid w:val="00031D4A"/>
    <w:rsid w:val="00033E92"/>
    <w:rsid w:val="0003433D"/>
    <w:rsid w:val="000347C2"/>
    <w:rsid w:val="000349EF"/>
    <w:rsid w:val="00035458"/>
    <w:rsid w:val="00035C06"/>
    <w:rsid w:val="00035CCC"/>
    <w:rsid w:val="00036C55"/>
    <w:rsid w:val="000377EF"/>
    <w:rsid w:val="000402A3"/>
    <w:rsid w:val="00040E36"/>
    <w:rsid w:val="0004134D"/>
    <w:rsid w:val="00041D19"/>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0F85"/>
    <w:rsid w:val="00051A77"/>
    <w:rsid w:val="00052675"/>
    <w:rsid w:val="0005356D"/>
    <w:rsid w:val="00053CDF"/>
    <w:rsid w:val="00054000"/>
    <w:rsid w:val="0005411C"/>
    <w:rsid w:val="000544FA"/>
    <w:rsid w:val="000546E4"/>
    <w:rsid w:val="0005483D"/>
    <w:rsid w:val="000553B8"/>
    <w:rsid w:val="0005623A"/>
    <w:rsid w:val="00056283"/>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3CBC"/>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3A78"/>
    <w:rsid w:val="000740AA"/>
    <w:rsid w:val="000742DD"/>
    <w:rsid w:val="00074C7B"/>
    <w:rsid w:val="00075B4C"/>
    <w:rsid w:val="0007610D"/>
    <w:rsid w:val="0007668E"/>
    <w:rsid w:val="00076D55"/>
    <w:rsid w:val="000771C1"/>
    <w:rsid w:val="00077C45"/>
    <w:rsid w:val="00080420"/>
    <w:rsid w:val="000813D7"/>
    <w:rsid w:val="0008198A"/>
    <w:rsid w:val="00081F47"/>
    <w:rsid w:val="000831BC"/>
    <w:rsid w:val="00083545"/>
    <w:rsid w:val="00085084"/>
    <w:rsid w:val="00085E14"/>
    <w:rsid w:val="000861A3"/>
    <w:rsid w:val="000871E2"/>
    <w:rsid w:val="000903E4"/>
    <w:rsid w:val="00090804"/>
    <w:rsid w:val="0009106A"/>
    <w:rsid w:val="0009155E"/>
    <w:rsid w:val="00091DB8"/>
    <w:rsid w:val="00091E13"/>
    <w:rsid w:val="0009213F"/>
    <w:rsid w:val="00092EF9"/>
    <w:rsid w:val="000934BC"/>
    <w:rsid w:val="000940D3"/>
    <w:rsid w:val="000943E0"/>
    <w:rsid w:val="000944BF"/>
    <w:rsid w:val="00095257"/>
    <w:rsid w:val="00096695"/>
    <w:rsid w:val="00096A5C"/>
    <w:rsid w:val="00096DF5"/>
    <w:rsid w:val="00097895"/>
    <w:rsid w:val="000A1FE9"/>
    <w:rsid w:val="000A2CB2"/>
    <w:rsid w:val="000A2CB5"/>
    <w:rsid w:val="000A35C9"/>
    <w:rsid w:val="000A4B75"/>
    <w:rsid w:val="000A4D7D"/>
    <w:rsid w:val="000A5AB3"/>
    <w:rsid w:val="000A5C6D"/>
    <w:rsid w:val="000A667D"/>
    <w:rsid w:val="000A684E"/>
    <w:rsid w:val="000A6EF2"/>
    <w:rsid w:val="000A6F37"/>
    <w:rsid w:val="000A7490"/>
    <w:rsid w:val="000B0399"/>
    <w:rsid w:val="000B08CF"/>
    <w:rsid w:val="000B20F1"/>
    <w:rsid w:val="000B28E5"/>
    <w:rsid w:val="000B2F9F"/>
    <w:rsid w:val="000B3343"/>
    <w:rsid w:val="000B3E9B"/>
    <w:rsid w:val="000B4228"/>
    <w:rsid w:val="000B4491"/>
    <w:rsid w:val="000B4497"/>
    <w:rsid w:val="000B4939"/>
    <w:rsid w:val="000B4A17"/>
    <w:rsid w:val="000B5461"/>
    <w:rsid w:val="000B5A80"/>
    <w:rsid w:val="000B5B2F"/>
    <w:rsid w:val="000B5BAC"/>
    <w:rsid w:val="000B6A5D"/>
    <w:rsid w:val="000B6B49"/>
    <w:rsid w:val="000B6DD9"/>
    <w:rsid w:val="000C2AC3"/>
    <w:rsid w:val="000C393A"/>
    <w:rsid w:val="000C3EB2"/>
    <w:rsid w:val="000C4657"/>
    <w:rsid w:val="000C47B7"/>
    <w:rsid w:val="000C55BC"/>
    <w:rsid w:val="000C5FC4"/>
    <w:rsid w:val="000C61AC"/>
    <w:rsid w:val="000C67D1"/>
    <w:rsid w:val="000C7245"/>
    <w:rsid w:val="000D043C"/>
    <w:rsid w:val="000D1164"/>
    <w:rsid w:val="000D14F4"/>
    <w:rsid w:val="000D1939"/>
    <w:rsid w:val="000D20A0"/>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7B1"/>
    <w:rsid w:val="000F2260"/>
    <w:rsid w:val="000F2A00"/>
    <w:rsid w:val="000F3548"/>
    <w:rsid w:val="000F3D1F"/>
    <w:rsid w:val="000F3F75"/>
    <w:rsid w:val="000F49DF"/>
    <w:rsid w:val="000F5783"/>
    <w:rsid w:val="000F7381"/>
    <w:rsid w:val="001000AA"/>
    <w:rsid w:val="0010018A"/>
    <w:rsid w:val="00100AA8"/>
    <w:rsid w:val="00100D65"/>
    <w:rsid w:val="001028C1"/>
    <w:rsid w:val="00102A2D"/>
    <w:rsid w:val="0010326E"/>
    <w:rsid w:val="00103BF2"/>
    <w:rsid w:val="00103CE2"/>
    <w:rsid w:val="00104101"/>
    <w:rsid w:val="00106320"/>
    <w:rsid w:val="0010642B"/>
    <w:rsid w:val="0010652A"/>
    <w:rsid w:val="00106AC1"/>
    <w:rsid w:val="00106E7C"/>
    <w:rsid w:val="001079C6"/>
    <w:rsid w:val="001105E2"/>
    <w:rsid w:val="001108BC"/>
    <w:rsid w:val="0011098D"/>
    <w:rsid w:val="00110EF4"/>
    <w:rsid w:val="00111092"/>
    <w:rsid w:val="001122FB"/>
    <w:rsid w:val="00112A1D"/>
    <w:rsid w:val="0011368E"/>
    <w:rsid w:val="001136BB"/>
    <w:rsid w:val="0011443E"/>
    <w:rsid w:val="00114A3E"/>
    <w:rsid w:val="00115432"/>
    <w:rsid w:val="00115659"/>
    <w:rsid w:val="001156E8"/>
    <w:rsid w:val="001158E5"/>
    <w:rsid w:val="00116217"/>
    <w:rsid w:val="00116515"/>
    <w:rsid w:val="001173F0"/>
    <w:rsid w:val="0011751F"/>
    <w:rsid w:val="001203F8"/>
    <w:rsid w:val="00120A4A"/>
    <w:rsid w:val="00120DC2"/>
    <w:rsid w:val="00120E65"/>
    <w:rsid w:val="0012134A"/>
    <w:rsid w:val="00121669"/>
    <w:rsid w:val="00121C2A"/>
    <w:rsid w:val="00121C94"/>
    <w:rsid w:val="001220E0"/>
    <w:rsid w:val="00122666"/>
    <w:rsid w:val="0012280A"/>
    <w:rsid w:val="00122997"/>
    <w:rsid w:val="001238FF"/>
    <w:rsid w:val="00123D89"/>
    <w:rsid w:val="00123FCD"/>
    <w:rsid w:val="00124EBE"/>
    <w:rsid w:val="001256C4"/>
    <w:rsid w:val="00125E98"/>
    <w:rsid w:val="001266F5"/>
    <w:rsid w:val="00127FC6"/>
    <w:rsid w:val="00130003"/>
    <w:rsid w:val="00130853"/>
    <w:rsid w:val="0013092A"/>
    <w:rsid w:val="0013112E"/>
    <w:rsid w:val="00131D95"/>
    <w:rsid w:val="00134DCB"/>
    <w:rsid w:val="00135070"/>
    <w:rsid w:val="001352F8"/>
    <w:rsid w:val="00135B3E"/>
    <w:rsid w:val="001366D1"/>
    <w:rsid w:val="0013711D"/>
    <w:rsid w:val="00137288"/>
    <w:rsid w:val="001378B1"/>
    <w:rsid w:val="00137AA9"/>
    <w:rsid w:val="00141204"/>
    <w:rsid w:val="0014144C"/>
    <w:rsid w:val="001416B0"/>
    <w:rsid w:val="001417B7"/>
    <w:rsid w:val="00141D90"/>
    <w:rsid w:val="0014264C"/>
    <w:rsid w:val="00142A7B"/>
    <w:rsid w:val="00143367"/>
    <w:rsid w:val="001434A4"/>
    <w:rsid w:val="00143716"/>
    <w:rsid w:val="001440B5"/>
    <w:rsid w:val="00144458"/>
    <w:rsid w:val="00144B34"/>
    <w:rsid w:val="00145623"/>
    <w:rsid w:val="001463CD"/>
    <w:rsid w:val="00146ACF"/>
    <w:rsid w:val="00146E79"/>
    <w:rsid w:val="00147C2F"/>
    <w:rsid w:val="00150101"/>
    <w:rsid w:val="0015146F"/>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B1C"/>
    <w:rsid w:val="0016023B"/>
    <w:rsid w:val="001602FC"/>
    <w:rsid w:val="0016031A"/>
    <w:rsid w:val="001603B0"/>
    <w:rsid w:val="00160767"/>
    <w:rsid w:val="00160CCA"/>
    <w:rsid w:val="00161013"/>
    <w:rsid w:val="0016127A"/>
    <w:rsid w:val="001615D7"/>
    <w:rsid w:val="00162122"/>
    <w:rsid w:val="00162139"/>
    <w:rsid w:val="00162273"/>
    <w:rsid w:val="0016272A"/>
    <w:rsid w:val="00163465"/>
    <w:rsid w:val="00163775"/>
    <w:rsid w:val="00163D5E"/>
    <w:rsid w:val="0016406D"/>
    <w:rsid w:val="001656FC"/>
    <w:rsid w:val="00166081"/>
    <w:rsid w:val="001662B2"/>
    <w:rsid w:val="00166A2F"/>
    <w:rsid w:val="00166F22"/>
    <w:rsid w:val="0016797D"/>
    <w:rsid w:val="001714A6"/>
    <w:rsid w:val="00171BAE"/>
    <w:rsid w:val="00172828"/>
    <w:rsid w:val="00172EFC"/>
    <w:rsid w:val="001736FC"/>
    <w:rsid w:val="00173F96"/>
    <w:rsid w:val="00174401"/>
    <w:rsid w:val="00176857"/>
    <w:rsid w:val="001778F6"/>
    <w:rsid w:val="0018150B"/>
    <w:rsid w:val="00181FE0"/>
    <w:rsid w:val="001852CF"/>
    <w:rsid w:val="00185A35"/>
    <w:rsid w:val="001868C4"/>
    <w:rsid w:val="00186DF4"/>
    <w:rsid w:val="001878C1"/>
    <w:rsid w:val="00187BDF"/>
    <w:rsid w:val="00187C86"/>
    <w:rsid w:val="0019140F"/>
    <w:rsid w:val="00191789"/>
    <w:rsid w:val="001932E5"/>
    <w:rsid w:val="00193BF2"/>
    <w:rsid w:val="00195E31"/>
    <w:rsid w:val="0019602D"/>
    <w:rsid w:val="00196555"/>
    <w:rsid w:val="001978CC"/>
    <w:rsid w:val="001A15D4"/>
    <w:rsid w:val="001A1B6D"/>
    <w:rsid w:val="001A2045"/>
    <w:rsid w:val="001A27BD"/>
    <w:rsid w:val="001A3D2A"/>
    <w:rsid w:val="001A4C47"/>
    <w:rsid w:val="001A4E65"/>
    <w:rsid w:val="001A5A45"/>
    <w:rsid w:val="001A619B"/>
    <w:rsid w:val="001A6457"/>
    <w:rsid w:val="001A65E8"/>
    <w:rsid w:val="001A76D4"/>
    <w:rsid w:val="001B0796"/>
    <w:rsid w:val="001B0BD9"/>
    <w:rsid w:val="001B0D62"/>
    <w:rsid w:val="001B1119"/>
    <w:rsid w:val="001B1DD1"/>
    <w:rsid w:val="001B2159"/>
    <w:rsid w:val="001B2DE8"/>
    <w:rsid w:val="001B4977"/>
    <w:rsid w:val="001B52A8"/>
    <w:rsid w:val="001B52F1"/>
    <w:rsid w:val="001B5708"/>
    <w:rsid w:val="001B67DE"/>
    <w:rsid w:val="001C0BDA"/>
    <w:rsid w:val="001C0F1E"/>
    <w:rsid w:val="001C16CE"/>
    <w:rsid w:val="001C23DD"/>
    <w:rsid w:val="001C3E80"/>
    <w:rsid w:val="001C40B1"/>
    <w:rsid w:val="001C4327"/>
    <w:rsid w:val="001C4E20"/>
    <w:rsid w:val="001C4EB5"/>
    <w:rsid w:val="001C6703"/>
    <w:rsid w:val="001C6A12"/>
    <w:rsid w:val="001D0921"/>
    <w:rsid w:val="001D0E58"/>
    <w:rsid w:val="001D12D0"/>
    <w:rsid w:val="001D1926"/>
    <w:rsid w:val="001D1D03"/>
    <w:rsid w:val="001D26B8"/>
    <w:rsid w:val="001D2C3B"/>
    <w:rsid w:val="001D3341"/>
    <w:rsid w:val="001D373C"/>
    <w:rsid w:val="001D5352"/>
    <w:rsid w:val="001D6560"/>
    <w:rsid w:val="001D6727"/>
    <w:rsid w:val="001D67F7"/>
    <w:rsid w:val="001D68A0"/>
    <w:rsid w:val="001D6CCF"/>
    <w:rsid w:val="001D7406"/>
    <w:rsid w:val="001D79C3"/>
    <w:rsid w:val="001E1769"/>
    <w:rsid w:val="001E1D08"/>
    <w:rsid w:val="001E38BC"/>
    <w:rsid w:val="001E5B9B"/>
    <w:rsid w:val="001E6246"/>
    <w:rsid w:val="001E7C25"/>
    <w:rsid w:val="001F02D2"/>
    <w:rsid w:val="001F09A1"/>
    <w:rsid w:val="001F0B64"/>
    <w:rsid w:val="001F15FC"/>
    <w:rsid w:val="001F2D7C"/>
    <w:rsid w:val="001F3D42"/>
    <w:rsid w:val="001F430D"/>
    <w:rsid w:val="001F4813"/>
    <w:rsid w:val="001F4D85"/>
    <w:rsid w:val="001F4ED0"/>
    <w:rsid w:val="001F4F60"/>
    <w:rsid w:val="001F5ED2"/>
    <w:rsid w:val="001F661A"/>
    <w:rsid w:val="0020188C"/>
    <w:rsid w:val="00202ED3"/>
    <w:rsid w:val="002045D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35E"/>
    <w:rsid w:val="002153C8"/>
    <w:rsid w:val="00215C2F"/>
    <w:rsid w:val="00215FC3"/>
    <w:rsid w:val="002170CF"/>
    <w:rsid w:val="00217219"/>
    <w:rsid w:val="00217A63"/>
    <w:rsid w:val="0022067A"/>
    <w:rsid w:val="0022089E"/>
    <w:rsid w:val="0022144A"/>
    <w:rsid w:val="002218CF"/>
    <w:rsid w:val="00222B4D"/>
    <w:rsid w:val="00224156"/>
    <w:rsid w:val="00224194"/>
    <w:rsid w:val="00224209"/>
    <w:rsid w:val="002245BD"/>
    <w:rsid w:val="00224A9A"/>
    <w:rsid w:val="0022567D"/>
    <w:rsid w:val="00225DE5"/>
    <w:rsid w:val="00227375"/>
    <w:rsid w:val="00227FDA"/>
    <w:rsid w:val="0023024A"/>
    <w:rsid w:val="00230395"/>
    <w:rsid w:val="002306CE"/>
    <w:rsid w:val="0023186D"/>
    <w:rsid w:val="002318ED"/>
    <w:rsid w:val="002325A3"/>
    <w:rsid w:val="002336E0"/>
    <w:rsid w:val="00233BF5"/>
    <w:rsid w:val="002342AD"/>
    <w:rsid w:val="00234461"/>
    <w:rsid w:val="002347A2"/>
    <w:rsid w:val="0023606E"/>
    <w:rsid w:val="00236399"/>
    <w:rsid w:val="00236740"/>
    <w:rsid w:val="00237575"/>
    <w:rsid w:val="002375EC"/>
    <w:rsid w:val="002376D5"/>
    <w:rsid w:val="00237E63"/>
    <w:rsid w:val="00240428"/>
    <w:rsid w:val="0024057E"/>
    <w:rsid w:val="002406DA"/>
    <w:rsid w:val="00240BDB"/>
    <w:rsid w:val="00240D17"/>
    <w:rsid w:val="00240E5D"/>
    <w:rsid w:val="00240EE1"/>
    <w:rsid w:val="00241E4C"/>
    <w:rsid w:val="00243229"/>
    <w:rsid w:val="0024378B"/>
    <w:rsid w:val="0024410D"/>
    <w:rsid w:val="0024413F"/>
    <w:rsid w:val="0024416C"/>
    <w:rsid w:val="00245011"/>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60F64"/>
    <w:rsid w:val="002610FF"/>
    <w:rsid w:val="00261A59"/>
    <w:rsid w:val="00262A1C"/>
    <w:rsid w:val="0026345D"/>
    <w:rsid w:val="00263947"/>
    <w:rsid w:val="002648E7"/>
    <w:rsid w:val="00264B0B"/>
    <w:rsid w:val="00265019"/>
    <w:rsid w:val="00265735"/>
    <w:rsid w:val="00266599"/>
    <w:rsid w:val="0026796D"/>
    <w:rsid w:val="00270DB1"/>
    <w:rsid w:val="00271D0B"/>
    <w:rsid w:val="00271E97"/>
    <w:rsid w:val="0027239C"/>
    <w:rsid w:val="0027274E"/>
    <w:rsid w:val="002734C5"/>
    <w:rsid w:val="00274F23"/>
    <w:rsid w:val="00275813"/>
    <w:rsid w:val="00275F16"/>
    <w:rsid w:val="00275F89"/>
    <w:rsid w:val="00277932"/>
    <w:rsid w:val="00277FE9"/>
    <w:rsid w:val="00280F8A"/>
    <w:rsid w:val="002810CF"/>
    <w:rsid w:val="0028156C"/>
    <w:rsid w:val="00281B3E"/>
    <w:rsid w:val="0028448B"/>
    <w:rsid w:val="002847BD"/>
    <w:rsid w:val="00284A99"/>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4D82"/>
    <w:rsid w:val="002A69AE"/>
    <w:rsid w:val="002A7923"/>
    <w:rsid w:val="002B01F8"/>
    <w:rsid w:val="002B0A73"/>
    <w:rsid w:val="002B0F5D"/>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2138"/>
    <w:rsid w:val="002C2473"/>
    <w:rsid w:val="002C2CC3"/>
    <w:rsid w:val="002C3B49"/>
    <w:rsid w:val="002C44BD"/>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790"/>
    <w:rsid w:val="002D4813"/>
    <w:rsid w:val="002D4B6A"/>
    <w:rsid w:val="002D4B86"/>
    <w:rsid w:val="002D525A"/>
    <w:rsid w:val="002D535C"/>
    <w:rsid w:val="002D53E2"/>
    <w:rsid w:val="002D667E"/>
    <w:rsid w:val="002D68A3"/>
    <w:rsid w:val="002D68F9"/>
    <w:rsid w:val="002D7451"/>
    <w:rsid w:val="002E0039"/>
    <w:rsid w:val="002E0273"/>
    <w:rsid w:val="002E03E9"/>
    <w:rsid w:val="002E136D"/>
    <w:rsid w:val="002E174D"/>
    <w:rsid w:val="002E1C25"/>
    <w:rsid w:val="002E1C76"/>
    <w:rsid w:val="002E1F57"/>
    <w:rsid w:val="002E2E59"/>
    <w:rsid w:val="002E2F78"/>
    <w:rsid w:val="002E386E"/>
    <w:rsid w:val="002E645D"/>
    <w:rsid w:val="002E64CC"/>
    <w:rsid w:val="002E78DA"/>
    <w:rsid w:val="002F0874"/>
    <w:rsid w:val="002F16AE"/>
    <w:rsid w:val="002F35A4"/>
    <w:rsid w:val="002F35A9"/>
    <w:rsid w:val="002F425A"/>
    <w:rsid w:val="002F470D"/>
    <w:rsid w:val="002F4D77"/>
    <w:rsid w:val="002F6644"/>
    <w:rsid w:val="00300324"/>
    <w:rsid w:val="003003DB"/>
    <w:rsid w:val="00300C94"/>
    <w:rsid w:val="00301323"/>
    <w:rsid w:val="00301BC6"/>
    <w:rsid w:val="00301E5A"/>
    <w:rsid w:val="00302132"/>
    <w:rsid w:val="00302774"/>
    <w:rsid w:val="00302C48"/>
    <w:rsid w:val="003032BD"/>
    <w:rsid w:val="0030355F"/>
    <w:rsid w:val="00305106"/>
    <w:rsid w:val="00305B7D"/>
    <w:rsid w:val="003068BD"/>
    <w:rsid w:val="003100EA"/>
    <w:rsid w:val="0031062A"/>
    <w:rsid w:val="00310FE1"/>
    <w:rsid w:val="00311082"/>
    <w:rsid w:val="00311110"/>
    <w:rsid w:val="00311D35"/>
    <w:rsid w:val="0031351B"/>
    <w:rsid w:val="00314779"/>
    <w:rsid w:val="003147A3"/>
    <w:rsid w:val="00315704"/>
    <w:rsid w:val="0031587C"/>
    <w:rsid w:val="0031646E"/>
    <w:rsid w:val="00316555"/>
    <w:rsid w:val="00317CD6"/>
    <w:rsid w:val="00317E02"/>
    <w:rsid w:val="00320373"/>
    <w:rsid w:val="00320895"/>
    <w:rsid w:val="003216BD"/>
    <w:rsid w:val="00321C67"/>
    <w:rsid w:val="00323A7D"/>
    <w:rsid w:val="00325414"/>
    <w:rsid w:val="00325B30"/>
    <w:rsid w:val="003263C0"/>
    <w:rsid w:val="00327352"/>
    <w:rsid w:val="00327654"/>
    <w:rsid w:val="00327670"/>
    <w:rsid w:val="00327CA5"/>
    <w:rsid w:val="00327D58"/>
    <w:rsid w:val="00327E65"/>
    <w:rsid w:val="0033005B"/>
    <w:rsid w:val="00330803"/>
    <w:rsid w:val="00330A41"/>
    <w:rsid w:val="00330E3B"/>
    <w:rsid w:val="00330EA6"/>
    <w:rsid w:val="00331016"/>
    <w:rsid w:val="003315B4"/>
    <w:rsid w:val="003315FE"/>
    <w:rsid w:val="00331901"/>
    <w:rsid w:val="00334417"/>
    <w:rsid w:val="003365BF"/>
    <w:rsid w:val="00336831"/>
    <w:rsid w:val="00336E80"/>
    <w:rsid w:val="00341AA2"/>
    <w:rsid w:val="003429B7"/>
    <w:rsid w:val="00342CCB"/>
    <w:rsid w:val="00344277"/>
    <w:rsid w:val="00345916"/>
    <w:rsid w:val="00346133"/>
    <w:rsid w:val="003467C0"/>
    <w:rsid w:val="0034688D"/>
    <w:rsid w:val="0035013C"/>
    <w:rsid w:val="003520EA"/>
    <w:rsid w:val="00353659"/>
    <w:rsid w:val="0035367F"/>
    <w:rsid w:val="00353775"/>
    <w:rsid w:val="00354C2F"/>
    <w:rsid w:val="0035514F"/>
    <w:rsid w:val="003558FF"/>
    <w:rsid w:val="00355EC6"/>
    <w:rsid w:val="00356440"/>
    <w:rsid w:val="00356B86"/>
    <w:rsid w:val="003571CD"/>
    <w:rsid w:val="0035733E"/>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8F1"/>
    <w:rsid w:val="00373F80"/>
    <w:rsid w:val="0037435A"/>
    <w:rsid w:val="00374F0E"/>
    <w:rsid w:val="0037577D"/>
    <w:rsid w:val="00375BC7"/>
    <w:rsid w:val="00375ED8"/>
    <w:rsid w:val="00375FA4"/>
    <w:rsid w:val="00376B48"/>
    <w:rsid w:val="00377CF1"/>
    <w:rsid w:val="00381072"/>
    <w:rsid w:val="003813D2"/>
    <w:rsid w:val="003814B3"/>
    <w:rsid w:val="00382486"/>
    <w:rsid w:val="00382501"/>
    <w:rsid w:val="00382E6E"/>
    <w:rsid w:val="00383791"/>
    <w:rsid w:val="00383F1E"/>
    <w:rsid w:val="0038451C"/>
    <w:rsid w:val="00384611"/>
    <w:rsid w:val="003848CE"/>
    <w:rsid w:val="003849C0"/>
    <w:rsid w:val="00384E47"/>
    <w:rsid w:val="00385318"/>
    <w:rsid w:val="00385C9E"/>
    <w:rsid w:val="00385E35"/>
    <w:rsid w:val="003863DB"/>
    <w:rsid w:val="003871E9"/>
    <w:rsid w:val="00387A8C"/>
    <w:rsid w:val="003910C8"/>
    <w:rsid w:val="003910F6"/>
    <w:rsid w:val="00392DF6"/>
    <w:rsid w:val="00393744"/>
    <w:rsid w:val="00394182"/>
    <w:rsid w:val="00394893"/>
    <w:rsid w:val="00394B8E"/>
    <w:rsid w:val="0039572F"/>
    <w:rsid w:val="003959A9"/>
    <w:rsid w:val="00395D5F"/>
    <w:rsid w:val="0039650D"/>
    <w:rsid w:val="0039696C"/>
    <w:rsid w:val="0039707F"/>
    <w:rsid w:val="00397340"/>
    <w:rsid w:val="003975B2"/>
    <w:rsid w:val="00397780"/>
    <w:rsid w:val="00397783"/>
    <w:rsid w:val="0039798A"/>
    <w:rsid w:val="00397B05"/>
    <w:rsid w:val="003A0741"/>
    <w:rsid w:val="003A0855"/>
    <w:rsid w:val="003A0F12"/>
    <w:rsid w:val="003A222A"/>
    <w:rsid w:val="003A2BF7"/>
    <w:rsid w:val="003A2F93"/>
    <w:rsid w:val="003A31D1"/>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C0E"/>
    <w:rsid w:val="003B14A2"/>
    <w:rsid w:val="003B16C1"/>
    <w:rsid w:val="003B30A3"/>
    <w:rsid w:val="003B3D88"/>
    <w:rsid w:val="003B6B1B"/>
    <w:rsid w:val="003B6E5E"/>
    <w:rsid w:val="003B7063"/>
    <w:rsid w:val="003B7DE9"/>
    <w:rsid w:val="003C0D9A"/>
    <w:rsid w:val="003C23FE"/>
    <w:rsid w:val="003C253A"/>
    <w:rsid w:val="003C31FA"/>
    <w:rsid w:val="003C3751"/>
    <w:rsid w:val="003C3847"/>
    <w:rsid w:val="003C3B45"/>
    <w:rsid w:val="003C3DC0"/>
    <w:rsid w:val="003C4754"/>
    <w:rsid w:val="003C4E6B"/>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6FE"/>
    <w:rsid w:val="003D4927"/>
    <w:rsid w:val="003D54AF"/>
    <w:rsid w:val="003D562F"/>
    <w:rsid w:val="003D6A69"/>
    <w:rsid w:val="003D6BA5"/>
    <w:rsid w:val="003D72E5"/>
    <w:rsid w:val="003D739B"/>
    <w:rsid w:val="003D7E18"/>
    <w:rsid w:val="003E0B3E"/>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450A"/>
    <w:rsid w:val="003F49F8"/>
    <w:rsid w:val="003F4B54"/>
    <w:rsid w:val="003F4E48"/>
    <w:rsid w:val="003F4E97"/>
    <w:rsid w:val="003F5EBB"/>
    <w:rsid w:val="003F6446"/>
    <w:rsid w:val="003F6462"/>
    <w:rsid w:val="003F6A1B"/>
    <w:rsid w:val="003F706A"/>
    <w:rsid w:val="003F7DBE"/>
    <w:rsid w:val="003F7FFC"/>
    <w:rsid w:val="0040096D"/>
    <w:rsid w:val="004010F1"/>
    <w:rsid w:val="004018C5"/>
    <w:rsid w:val="0040238D"/>
    <w:rsid w:val="0040266A"/>
    <w:rsid w:val="00402C24"/>
    <w:rsid w:val="004031FA"/>
    <w:rsid w:val="00403266"/>
    <w:rsid w:val="004032B3"/>
    <w:rsid w:val="004033B9"/>
    <w:rsid w:val="0040356B"/>
    <w:rsid w:val="004041B6"/>
    <w:rsid w:val="004050F0"/>
    <w:rsid w:val="0040571B"/>
    <w:rsid w:val="00405B1C"/>
    <w:rsid w:val="00406227"/>
    <w:rsid w:val="00407799"/>
    <w:rsid w:val="00407F02"/>
    <w:rsid w:val="004106E3"/>
    <w:rsid w:val="00410D54"/>
    <w:rsid w:val="00410F65"/>
    <w:rsid w:val="00413428"/>
    <w:rsid w:val="0041349B"/>
    <w:rsid w:val="00414ADF"/>
    <w:rsid w:val="00415514"/>
    <w:rsid w:val="00416340"/>
    <w:rsid w:val="00416603"/>
    <w:rsid w:val="0041677D"/>
    <w:rsid w:val="004169FF"/>
    <w:rsid w:val="00416DE9"/>
    <w:rsid w:val="00416E9B"/>
    <w:rsid w:val="00417184"/>
    <w:rsid w:val="004217E2"/>
    <w:rsid w:val="00422AE8"/>
    <w:rsid w:val="004230AE"/>
    <w:rsid w:val="004231CC"/>
    <w:rsid w:val="00425EDF"/>
    <w:rsid w:val="00426577"/>
    <w:rsid w:val="004265F9"/>
    <w:rsid w:val="00426CCE"/>
    <w:rsid w:val="00427411"/>
    <w:rsid w:val="00427637"/>
    <w:rsid w:val="00427826"/>
    <w:rsid w:val="00427B06"/>
    <w:rsid w:val="00430AB7"/>
    <w:rsid w:val="00430ECE"/>
    <w:rsid w:val="004310C0"/>
    <w:rsid w:val="00431575"/>
    <w:rsid w:val="004328CE"/>
    <w:rsid w:val="00433053"/>
    <w:rsid w:val="00433624"/>
    <w:rsid w:val="00434CBE"/>
    <w:rsid w:val="00434D0D"/>
    <w:rsid w:val="0043505E"/>
    <w:rsid w:val="00435AB0"/>
    <w:rsid w:val="00437B46"/>
    <w:rsid w:val="00437DB0"/>
    <w:rsid w:val="00441085"/>
    <w:rsid w:val="00441858"/>
    <w:rsid w:val="00441882"/>
    <w:rsid w:val="00441A9B"/>
    <w:rsid w:val="00442301"/>
    <w:rsid w:val="00442873"/>
    <w:rsid w:val="00442A2C"/>
    <w:rsid w:val="0044385D"/>
    <w:rsid w:val="00443B15"/>
    <w:rsid w:val="00444613"/>
    <w:rsid w:val="004451E9"/>
    <w:rsid w:val="004452A8"/>
    <w:rsid w:val="00447574"/>
    <w:rsid w:val="004478B1"/>
    <w:rsid w:val="004504FF"/>
    <w:rsid w:val="0045085D"/>
    <w:rsid w:val="0045097A"/>
    <w:rsid w:val="00450A2B"/>
    <w:rsid w:val="00450BB6"/>
    <w:rsid w:val="00451C2D"/>
    <w:rsid w:val="004526B8"/>
    <w:rsid w:val="00452849"/>
    <w:rsid w:val="00453F55"/>
    <w:rsid w:val="004540C2"/>
    <w:rsid w:val="004542E9"/>
    <w:rsid w:val="00454325"/>
    <w:rsid w:val="004545C5"/>
    <w:rsid w:val="00454AFA"/>
    <w:rsid w:val="004553FA"/>
    <w:rsid w:val="00455F95"/>
    <w:rsid w:val="0045676F"/>
    <w:rsid w:val="00456C78"/>
    <w:rsid w:val="00457582"/>
    <w:rsid w:val="00457737"/>
    <w:rsid w:val="00457BE9"/>
    <w:rsid w:val="00457D8A"/>
    <w:rsid w:val="00460A3F"/>
    <w:rsid w:val="004616D5"/>
    <w:rsid w:val="00461CD5"/>
    <w:rsid w:val="00461D71"/>
    <w:rsid w:val="00462488"/>
    <w:rsid w:val="00462737"/>
    <w:rsid w:val="00463038"/>
    <w:rsid w:val="004639B8"/>
    <w:rsid w:val="00464F99"/>
    <w:rsid w:val="004654F2"/>
    <w:rsid w:val="004658A0"/>
    <w:rsid w:val="00465F7B"/>
    <w:rsid w:val="00466682"/>
    <w:rsid w:val="00466BBE"/>
    <w:rsid w:val="00467474"/>
    <w:rsid w:val="004674D9"/>
    <w:rsid w:val="0046798F"/>
    <w:rsid w:val="00467A05"/>
    <w:rsid w:val="00467A52"/>
    <w:rsid w:val="004707F6"/>
    <w:rsid w:val="00470BF9"/>
    <w:rsid w:val="004711F1"/>
    <w:rsid w:val="0047161F"/>
    <w:rsid w:val="00471BC0"/>
    <w:rsid w:val="004721BF"/>
    <w:rsid w:val="00472A05"/>
    <w:rsid w:val="0047324D"/>
    <w:rsid w:val="00473819"/>
    <w:rsid w:val="00474DB7"/>
    <w:rsid w:val="004759E8"/>
    <w:rsid w:val="00477A31"/>
    <w:rsid w:val="00477ACB"/>
    <w:rsid w:val="00477E9D"/>
    <w:rsid w:val="00477FB1"/>
    <w:rsid w:val="004802D7"/>
    <w:rsid w:val="0048135A"/>
    <w:rsid w:val="0048217D"/>
    <w:rsid w:val="00482337"/>
    <w:rsid w:val="00483926"/>
    <w:rsid w:val="00483C85"/>
    <w:rsid w:val="00484D2C"/>
    <w:rsid w:val="00485879"/>
    <w:rsid w:val="004868FD"/>
    <w:rsid w:val="00486BFE"/>
    <w:rsid w:val="00487069"/>
    <w:rsid w:val="00487CB0"/>
    <w:rsid w:val="004904EB"/>
    <w:rsid w:val="00490610"/>
    <w:rsid w:val="00490683"/>
    <w:rsid w:val="00490EF1"/>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A8E"/>
    <w:rsid w:val="00495BC0"/>
    <w:rsid w:val="00495FF9"/>
    <w:rsid w:val="00496136"/>
    <w:rsid w:val="004966C5"/>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3C85"/>
    <w:rsid w:val="004A5450"/>
    <w:rsid w:val="004A550B"/>
    <w:rsid w:val="004A58E5"/>
    <w:rsid w:val="004A635D"/>
    <w:rsid w:val="004A7423"/>
    <w:rsid w:val="004A7762"/>
    <w:rsid w:val="004A7C4D"/>
    <w:rsid w:val="004A7CA6"/>
    <w:rsid w:val="004A7E66"/>
    <w:rsid w:val="004B0B25"/>
    <w:rsid w:val="004B16DF"/>
    <w:rsid w:val="004B1B02"/>
    <w:rsid w:val="004B21A8"/>
    <w:rsid w:val="004B23DF"/>
    <w:rsid w:val="004B3C84"/>
    <w:rsid w:val="004B4422"/>
    <w:rsid w:val="004B47F9"/>
    <w:rsid w:val="004B4B37"/>
    <w:rsid w:val="004B4F94"/>
    <w:rsid w:val="004B5716"/>
    <w:rsid w:val="004B5E03"/>
    <w:rsid w:val="004B6259"/>
    <w:rsid w:val="004B6394"/>
    <w:rsid w:val="004B64A8"/>
    <w:rsid w:val="004B65E7"/>
    <w:rsid w:val="004B6641"/>
    <w:rsid w:val="004B71B6"/>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6CE3"/>
    <w:rsid w:val="004C708C"/>
    <w:rsid w:val="004C7971"/>
    <w:rsid w:val="004C7AB2"/>
    <w:rsid w:val="004C7D88"/>
    <w:rsid w:val="004D0247"/>
    <w:rsid w:val="004D0341"/>
    <w:rsid w:val="004D09F5"/>
    <w:rsid w:val="004D12F8"/>
    <w:rsid w:val="004D1660"/>
    <w:rsid w:val="004D1857"/>
    <w:rsid w:val="004D1BCE"/>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6A6"/>
    <w:rsid w:val="004D6858"/>
    <w:rsid w:val="004D6E07"/>
    <w:rsid w:val="004E0135"/>
    <w:rsid w:val="004E0CB5"/>
    <w:rsid w:val="004E1EA5"/>
    <w:rsid w:val="004E2C1C"/>
    <w:rsid w:val="004E3445"/>
    <w:rsid w:val="004E36AC"/>
    <w:rsid w:val="004E36DE"/>
    <w:rsid w:val="004E3FCD"/>
    <w:rsid w:val="004E5033"/>
    <w:rsid w:val="004E6370"/>
    <w:rsid w:val="004E65E9"/>
    <w:rsid w:val="004E6FCB"/>
    <w:rsid w:val="004E723F"/>
    <w:rsid w:val="004E7C45"/>
    <w:rsid w:val="004E7D39"/>
    <w:rsid w:val="004F03E9"/>
    <w:rsid w:val="004F049F"/>
    <w:rsid w:val="004F0541"/>
    <w:rsid w:val="004F0AA2"/>
    <w:rsid w:val="004F20EF"/>
    <w:rsid w:val="004F2AC9"/>
    <w:rsid w:val="004F2E7C"/>
    <w:rsid w:val="004F3521"/>
    <w:rsid w:val="004F355A"/>
    <w:rsid w:val="004F3F36"/>
    <w:rsid w:val="004F4AE9"/>
    <w:rsid w:val="004F4AEF"/>
    <w:rsid w:val="004F4BF7"/>
    <w:rsid w:val="004F5673"/>
    <w:rsid w:val="004F71AF"/>
    <w:rsid w:val="004F7CFA"/>
    <w:rsid w:val="0050045F"/>
    <w:rsid w:val="00500CFF"/>
    <w:rsid w:val="00500DE5"/>
    <w:rsid w:val="0050183A"/>
    <w:rsid w:val="00501B6C"/>
    <w:rsid w:val="00502033"/>
    <w:rsid w:val="0050271C"/>
    <w:rsid w:val="00502FC6"/>
    <w:rsid w:val="00504BE8"/>
    <w:rsid w:val="005053FA"/>
    <w:rsid w:val="005054A6"/>
    <w:rsid w:val="00505559"/>
    <w:rsid w:val="005063CA"/>
    <w:rsid w:val="00506601"/>
    <w:rsid w:val="00507AB9"/>
    <w:rsid w:val="00507F9F"/>
    <w:rsid w:val="005107B4"/>
    <w:rsid w:val="005109BA"/>
    <w:rsid w:val="00510B7A"/>
    <w:rsid w:val="00510BED"/>
    <w:rsid w:val="005114EC"/>
    <w:rsid w:val="00511739"/>
    <w:rsid w:val="005127CC"/>
    <w:rsid w:val="00513ACA"/>
    <w:rsid w:val="00513E33"/>
    <w:rsid w:val="0051489F"/>
    <w:rsid w:val="00514B5C"/>
    <w:rsid w:val="00516107"/>
    <w:rsid w:val="005162CF"/>
    <w:rsid w:val="005166D8"/>
    <w:rsid w:val="00516A8B"/>
    <w:rsid w:val="00517481"/>
    <w:rsid w:val="005178AA"/>
    <w:rsid w:val="00520771"/>
    <w:rsid w:val="00520A95"/>
    <w:rsid w:val="0052177B"/>
    <w:rsid w:val="0052261F"/>
    <w:rsid w:val="00523D0E"/>
    <w:rsid w:val="00524497"/>
    <w:rsid w:val="00524EA5"/>
    <w:rsid w:val="00525FF2"/>
    <w:rsid w:val="0052684E"/>
    <w:rsid w:val="00526FC1"/>
    <w:rsid w:val="005271F8"/>
    <w:rsid w:val="0052720E"/>
    <w:rsid w:val="005277F1"/>
    <w:rsid w:val="005279FA"/>
    <w:rsid w:val="00527B1D"/>
    <w:rsid w:val="00530AD6"/>
    <w:rsid w:val="005321FA"/>
    <w:rsid w:val="00532418"/>
    <w:rsid w:val="00533649"/>
    <w:rsid w:val="00533C98"/>
    <w:rsid w:val="00533D53"/>
    <w:rsid w:val="00534151"/>
    <w:rsid w:val="00534DC1"/>
    <w:rsid w:val="00535728"/>
    <w:rsid w:val="005357AF"/>
    <w:rsid w:val="00535DBB"/>
    <w:rsid w:val="00536A86"/>
    <w:rsid w:val="0054004C"/>
    <w:rsid w:val="00540576"/>
    <w:rsid w:val="005420BD"/>
    <w:rsid w:val="00542206"/>
    <w:rsid w:val="00543BA9"/>
    <w:rsid w:val="005441D7"/>
    <w:rsid w:val="00544288"/>
    <w:rsid w:val="00544F27"/>
    <w:rsid w:val="005451E9"/>
    <w:rsid w:val="00545233"/>
    <w:rsid w:val="005457E4"/>
    <w:rsid w:val="00545EEB"/>
    <w:rsid w:val="005463E4"/>
    <w:rsid w:val="00547322"/>
    <w:rsid w:val="00550036"/>
    <w:rsid w:val="00550147"/>
    <w:rsid w:val="005502FD"/>
    <w:rsid w:val="005508BA"/>
    <w:rsid w:val="00550928"/>
    <w:rsid w:val="005509CB"/>
    <w:rsid w:val="00551601"/>
    <w:rsid w:val="00552054"/>
    <w:rsid w:val="00552370"/>
    <w:rsid w:val="00552B9A"/>
    <w:rsid w:val="0055341C"/>
    <w:rsid w:val="0055396E"/>
    <w:rsid w:val="005552EE"/>
    <w:rsid w:val="005556F4"/>
    <w:rsid w:val="00555A15"/>
    <w:rsid w:val="00556396"/>
    <w:rsid w:val="00556DF6"/>
    <w:rsid w:val="00557E05"/>
    <w:rsid w:val="005606E9"/>
    <w:rsid w:val="005607EE"/>
    <w:rsid w:val="00561B67"/>
    <w:rsid w:val="0056284E"/>
    <w:rsid w:val="00562DD0"/>
    <w:rsid w:val="0056347B"/>
    <w:rsid w:val="00563FAC"/>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6B"/>
    <w:rsid w:val="00572EE0"/>
    <w:rsid w:val="00574B97"/>
    <w:rsid w:val="00574F40"/>
    <w:rsid w:val="00576582"/>
    <w:rsid w:val="00576753"/>
    <w:rsid w:val="0057703A"/>
    <w:rsid w:val="0057720B"/>
    <w:rsid w:val="0057753A"/>
    <w:rsid w:val="005779AA"/>
    <w:rsid w:val="00577CAA"/>
    <w:rsid w:val="00580605"/>
    <w:rsid w:val="00581E4B"/>
    <w:rsid w:val="005822DD"/>
    <w:rsid w:val="00582B1B"/>
    <w:rsid w:val="00582EDF"/>
    <w:rsid w:val="0058390F"/>
    <w:rsid w:val="00583BE8"/>
    <w:rsid w:val="00583F75"/>
    <w:rsid w:val="005855A9"/>
    <w:rsid w:val="00585BE6"/>
    <w:rsid w:val="00585FC5"/>
    <w:rsid w:val="00586D3E"/>
    <w:rsid w:val="0058713E"/>
    <w:rsid w:val="0058736D"/>
    <w:rsid w:val="00587BBB"/>
    <w:rsid w:val="00590DC0"/>
    <w:rsid w:val="00590F2D"/>
    <w:rsid w:val="00591F3B"/>
    <w:rsid w:val="005926D4"/>
    <w:rsid w:val="00592D80"/>
    <w:rsid w:val="0059375B"/>
    <w:rsid w:val="005946BD"/>
    <w:rsid w:val="005955D2"/>
    <w:rsid w:val="005958E2"/>
    <w:rsid w:val="00596F1A"/>
    <w:rsid w:val="00597B4A"/>
    <w:rsid w:val="00597D47"/>
    <w:rsid w:val="005A033A"/>
    <w:rsid w:val="005A15EC"/>
    <w:rsid w:val="005A24B3"/>
    <w:rsid w:val="005A2540"/>
    <w:rsid w:val="005A2D64"/>
    <w:rsid w:val="005A3CD7"/>
    <w:rsid w:val="005A5183"/>
    <w:rsid w:val="005A5E7D"/>
    <w:rsid w:val="005A65E0"/>
    <w:rsid w:val="005A6A80"/>
    <w:rsid w:val="005A71A4"/>
    <w:rsid w:val="005B0DA8"/>
    <w:rsid w:val="005B1574"/>
    <w:rsid w:val="005B160C"/>
    <w:rsid w:val="005B2161"/>
    <w:rsid w:val="005B248B"/>
    <w:rsid w:val="005B39DD"/>
    <w:rsid w:val="005B521C"/>
    <w:rsid w:val="005B5519"/>
    <w:rsid w:val="005B5B67"/>
    <w:rsid w:val="005B5FE3"/>
    <w:rsid w:val="005B6B09"/>
    <w:rsid w:val="005B6E43"/>
    <w:rsid w:val="005B71D5"/>
    <w:rsid w:val="005B7309"/>
    <w:rsid w:val="005B772B"/>
    <w:rsid w:val="005C0E4C"/>
    <w:rsid w:val="005C11E6"/>
    <w:rsid w:val="005C1723"/>
    <w:rsid w:val="005C1A05"/>
    <w:rsid w:val="005C1B36"/>
    <w:rsid w:val="005C27D4"/>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547"/>
    <w:rsid w:val="005D5DC7"/>
    <w:rsid w:val="005D5FF6"/>
    <w:rsid w:val="005D621C"/>
    <w:rsid w:val="005D7D7A"/>
    <w:rsid w:val="005E1013"/>
    <w:rsid w:val="005E106B"/>
    <w:rsid w:val="005E1D6A"/>
    <w:rsid w:val="005E1FEC"/>
    <w:rsid w:val="005E20A1"/>
    <w:rsid w:val="005E26DA"/>
    <w:rsid w:val="005E2E76"/>
    <w:rsid w:val="005E350A"/>
    <w:rsid w:val="005E3931"/>
    <w:rsid w:val="005E5D3B"/>
    <w:rsid w:val="005E60B0"/>
    <w:rsid w:val="005E68E4"/>
    <w:rsid w:val="005E72D3"/>
    <w:rsid w:val="005F0038"/>
    <w:rsid w:val="005F1202"/>
    <w:rsid w:val="005F1555"/>
    <w:rsid w:val="005F1A37"/>
    <w:rsid w:val="005F27FA"/>
    <w:rsid w:val="005F2802"/>
    <w:rsid w:val="005F2967"/>
    <w:rsid w:val="005F2AC9"/>
    <w:rsid w:val="005F45BE"/>
    <w:rsid w:val="005F4715"/>
    <w:rsid w:val="005F4A24"/>
    <w:rsid w:val="005F5803"/>
    <w:rsid w:val="005F5BA5"/>
    <w:rsid w:val="005F5C47"/>
    <w:rsid w:val="005F636E"/>
    <w:rsid w:val="005F6E19"/>
    <w:rsid w:val="005F7CA8"/>
    <w:rsid w:val="006009AE"/>
    <w:rsid w:val="00601040"/>
    <w:rsid w:val="00601AC2"/>
    <w:rsid w:val="006030B1"/>
    <w:rsid w:val="00603108"/>
    <w:rsid w:val="00603C22"/>
    <w:rsid w:val="00603DC4"/>
    <w:rsid w:val="00604C89"/>
    <w:rsid w:val="00605080"/>
    <w:rsid w:val="00605E97"/>
    <w:rsid w:val="00607716"/>
    <w:rsid w:val="00607780"/>
    <w:rsid w:val="00607F65"/>
    <w:rsid w:val="006107C9"/>
    <w:rsid w:val="006108E9"/>
    <w:rsid w:val="00610A7D"/>
    <w:rsid w:val="00612029"/>
    <w:rsid w:val="0061207E"/>
    <w:rsid w:val="006124BB"/>
    <w:rsid w:val="00614CA4"/>
    <w:rsid w:val="006157DD"/>
    <w:rsid w:val="00615891"/>
    <w:rsid w:val="006162C3"/>
    <w:rsid w:val="006165BD"/>
    <w:rsid w:val="00616B78"/>
    <w:rsid w:val="00617001"/>
    <w:rsid w:val="0061760B"/>
    <w:rsid w:val="00617D75"/>
    <w:rsid w:val="00620EC3"/>
    <w:rsid w:val="00620FBA"/>
    <w:rsid w:val="00621D29"/>
    <w:rsid w:val="00622790"/>
    <w:rsid w:val="00622EE0"/>
    <w:rsid w:val="00623197"/>
    <w:rsid w:val="0062410B"/>
    <w:rsid w:val="0062413C"/>
    <w:rsid w:val="006245D9"/>
    <w:rsid w:val="006249C9"/>
    <w:rsid w:val="006255EF"/>
    <w:rsid w:val="0062590A"/>
    <w:rsid w:val="00626146"/>
    <w:rsid w:val="006264B1"/>
    <w:rsid w:val="0062650E"/>
    <w:rsid w:val="00627B6B"/>
    <w:rsid w:val="00627E73"/>
    <w:rsid w:val="006305E1"/>
    <w:rsid w:val="00630BC7"/>
    <w:rsid w:val="00630D36"/>
    <w:rsid w:val="006313F8"/>
    <w:rsid w:val="0063166B"/>
    <w:rsid w:val="0063344C"/>
    <w:rsid w:val="0063392D"/>
    <w:rsid w:val="00634760"/>
    <w:rsid w:val="00634838"/>
    <w:rsid w:val="006356B9"/>
    <w:rsid w:val="00635B38"/>
    <w:rsid w:val="00635C4B"/>
    <w:rsid w:val="006367AF"/>
    <w:rsid w:val="00636829"/>
    <w:rsid w:val="00636C48"/>
    <w:rsid w:val="0063705D"/>
    <w:rsid w:val="0064034E"/>
    <w:rsid w:val="00640670"/>
    <w:rsid w:val="00641078"/>
    <w:rsid w:val="00641A22"/>
    <w:rsid w:val="006432D3"/>
    <w:rsid w:val="0064359E"/>
    <w:rsid w:val="00643827"/>
    <w:rsid w:val="00643E17"/>
    <w:rsid w:val="0064519B"/>
    <w:rsid w:val="00645DAD"/>
    <w:rsid w:val="006460D8"/>
    <w:rsid w:val="00647DA8"/>
    <w:rsid w:val="006501C1"/>
    <w:rsid w:val="00650A0B"/>
    <w:rsid w:val="00651125"/>
    <w:rsid w:val="00652B32"/>
    <w:rsid w:val="0065629A"/>
    <w:rsid w:val="00656636"/>
    <w:rsid w:val="00656D15"/>
    <w:rsid w:val="0065728F"/>
    <w:rsid w:val="006575B4"/>
    <w:rsid w:val="00657789"/>
    <w:rsid w:val="00657AAF"/>
    <w:rsid w:val="006600FA"/>
    <w:rsid w:val="0066186C"/>
    <w:rsid w:val="00662076"/>
    <w:rsid w:val="006633A9"/>
    <w:rsid w:val="00663477"/>
    <w:rsid w:val="00663A49"/>
    <w:rsid w:val="00665511"/>
    <w:rsid w:val="006657F2"/>
    <w:rsid w:val="00666494"/>
    <w:rsid w:val="006669DC"/>
    <w:rsid w:val="00666A4E"/>
    <w:rsid w:val="006675D5"/>
    <w:rsid w:val="00670723"/>
    <w:rsid w:val="00670835"/>
    <w:rsid w:val="006716EA"/>
    <w:rsid w:val="006718FC"/>
    <w:rsid w:val="006721BE"/>
    <w:rsid w:val="00672256"/>
    <w:rsid w:val="00672323"/>
    <w:rsid w:val="00672C7C"/>
    <w:rsid w:val="00672CCD"/>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833"/>
    <w:rsid w:val="00685DDE"/>
    <w:rsid w:val="006862D3"/>
    <w:rsid w:val="00686E18"/>
    <w:rsid w:val="00686F3F"/>
    <w:rsid w:val="00686F44"/>
    <w:rsid w:val="0068728A"/>
    <w:rsid w:val="00687410"/>
    <w:rsid w:val="00687CB4"/>
    <w:rsid w:val="00690DB6"/>
    <w:rsid w:val="00694432"/>
    <w:rsid w:val="0069487C"/>
    <w:rsid w:val="00694AA2"/>
    <w:rsid w:val="00694C12"/>
    <w:rsid w:val="006964DF"/>
    <w:rsid w:val="00696803"/>
    <w:rsid w:val="00696A5A"/>
    <w:rsid w:val="006975D2"/>
    <w:rsid w:val="00697890"/>
    <w:rsid w:val="00697DC4"/>
    <w:rsid w:val="00697FCD"/>
    <w:rsid w:val="006A01E9"/>
    <w:rsid w:val="006A0740"/>
    <w:rsid w:val="006A0F8C"/>
    <w:rsid w:val="006A17FC"/>
    <w:rsid w:val="006A1961"/>
    <w:rsid w:val="006A2DB8"/>
    <w:rsid w:val="006A37FA"/>
    <w:rsid w:val="006A3A93"/>
    <w:rsid w:val="006A41E9"/>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573B"/>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E8D"/>
    <w:rsid w:val="006C72A7"/>
    <w:rsid w:val="006C7AE8"/>
    <w:rsid w:val="006D004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1734"/>
    <w:rsid w:val="006F24E5"/>
    <w:rsid w:val="006F26C0"/>
    <w:rsid w:val="006F2AA7"/>
    <w:rsid w:val="006F30D1"/>
    <w:rsid w:val="006F35A3"/>
    <w:rsid w:val="006F3818"/>
    <w:rsid w:val="006F4397"/>
    <w:rsid w:val="006F47FB"/>
    <w:rsid w:val="006F4AB0"/>
    <w:rsid w:val="006F4F04"/>
    <w:rsid w:val="006F50C0"/>
    <w:rsid w:val="006F54AF"/>
    <w:rsid w:val="006F5931"/>
    <w:rsid w:val="006F697B"/>
    <w:rsid w:val="006F71C9"/>
    <w:rsid w:val="007000FA"/>
    <w:rsid w:val="0070350E"/>
    <w:rsid w:val="00703791"/>
    <w:rsid w:val="0070451B"/>
    <w:rsid w:val="00704903"/>
    <w:rsid w:val="00704995"/>
    <w:rsid w:val="00704CB6"/>
    <w:rsid w:val="007057A9"/>
    <w:rsid w:val="007059EA"/>
    <w:rsid w:val="00705DBA"/>
    <w:rsid w:val="0070642C"/>
    <w:rsid w:val="00707567"/>
    <w:rsid w:val="007077B9"/>
    <w:rsid w:val="00710706"/>
    <w:rsid w:val="00711BA3"/>
    <w:rsid w:val="00712065"/>
    <w:rsid w:val="007125D8"/>
    <w:rsid w:val="0071278D"/>
    <w:rsid w:val="00712865"/>
    <w:rsid w:val="007132FD"/>
    <w:rsid w:val="007137CE"/>
    <w:rsid w:val="007137EE"/>
    <w:rsid w:val="00713C57"/>
    <w:rsid w:val="00714019"/>
    <w:rsid w:val="00714366"/>
    <w:rsid w:val="007149BA"/>
    <w:rsid w:val="00714AB8"/>
    <w:rsid w:val="00714D31"/>
    <w:rsid w:val="00714F2E"/>
    <w:rsid w:val="0071539E"/>
    <w:rsid w:val="00715C2C"/>
    <w:rsid w:val="00716B83"/>
    <w:rsid w:val="00720449"/>
    <w:rsid w:val="007205C5"/>
    <w:rsid w:val="00722AA4"/>
    <w:rsid w:val="007236A5"/>
    <w:rsid w:val="0072479A"/>
    <w:rsid w:val="00724C0C"/>
    <w:rsid w:val="00725C49"/>
    <w:rsid w:val="00725E81"/>
    <w:rsid w:val="007261BB"/>
    <w:rsid w:val="00726771"/>
    <w:rsid w:val="00726B82"/>
    <w:rsid w:val="007274CC"/>
    <w:rsid w:val="00727E33"/>
    <w:rsid w:val="007302F1"/>
    <w:rsid w:val="007303DE"/>
    <w:rsid w:val="00730834"/>
    <w:rsid w:val="00730999"/>
    <w:rsid w:val="00730A8D"/>
    <w:rsid w:val="007311C2"/>
    <w:rsid w:val="00731872"/>
    <w:rsid w:val="00732D86"/>
    <w:rsid w:val="0073369C"/>
    <w:rsid w:val="007341D3"/>
    <w:rsid w:val="00734E76"/>
    <w:rsid w:val="00734E89"/>
    <w:rsid w:val="007351DD"/>
    <w:rsid w:val="007357F0"/>
    <w:rsid w:val="007362EA"/>
    <w:rsid w:val="00736357"/>
    <w:rsid w:val="007363D2"/>
    <w:rsid w:val="0073684B"/>
    <w:rsid w:val="00736F42"/>
    <w:rsid w:val="007408CB"/>
    <w:rsid w:val="00740C69"/>
    <w:rsid w:val="007415ED"/>
    <w:rsid w:val="00742648"/>
    <w:rsid w:val="007428D3"/>
    <w:rsid w:val="0074382A"/>
    <w:rsid w:val="00743B5C"/>
    <w:rsid w:val="00743C3D"/>
    <w:rsid w:val="00744039"/>
    <w:rsid w:val="00744122"/>
    <w:rsid w:val="007442E3"/>
    <w:rsid w:val="007450DC"/>
    <w:rsid w:val="00746585"/>
    <w:rsid w:val="00746739"/>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9A4"/>
    <w:rsid w:val="00756D50"/>
    <w:rsid w:val="00756F42"/>
    <w:rsid w:val="007573D6"/>
    <w:rsid w:val="00757508"/>
    <w:rsid w:val="00757857"/>
    <w:rsid w:val="00757A00"/>
    <w:rsid w:val="0076018A"/>
    <w:rsid w:val="007609B0"/>
    <w:rsid w:val="007609F4"/>
    <w:rsid w:val="00760EB7"/>
    <w:rsid w:val="00761079"/>
    <w:rsid w:val="007613FE"/>
    <w:rsid w:val="00762389"/>
    <w:rsid w:val="00762798"/>
    <w:rsid w:val="00763111"/>
    <w:rsid w:val="007635BC"/>
    <w:rsid w:val="00763EB4"/>
    <w:rsid w:val="00763ED7"/>
    <w:rsid w:val="00765069"/>
    <w:rsid w:val="00765482"/>
    <w:rsid w:val="0076665C"/>
    <w:rsid w:val="007672BA"/>
    <w:rsid w:val="0076736D"/>
    <w:rsid w:val="007706CB"/>
    <w:rsid w:val="00771C22"/>
    <w:rsid w:val="0077259B"/>
    <w:rsid w:val="00772F9F"/>
    <w:rsid w:val="0077302E"/>
    <w:rsid w:val="0077341F"/>
    <w:rsid w:val="00773D46"/>
    <w:rsid w:val="00774305"/>
    <w:rsid w:val="00774564"/>
    <w:rsid w:val="0077506F"/>
    <w:rsid w:val="00775090"/>
    <w:rsid w:val="00775419"/>
    <w:rsid w:val="007754C6"/>
    <w:rsid w:val="00776F2D"/>
    <w:rsid w:val="007778F7"/>
    <w:rsid w:val="00777DE7"/>
    <w:rsid w:val="00780926"/>
    <w:rsid w:val="00780E3A"/>
    <w:rsid w:val="00780F8B"/>
    <w:rsid w:val="00782EDD"/>
    <w:rsid w:val="007833A6"/>
    <w:rsid w:val="0078358A"/>
    <w:rsid w:val="007835D7"/>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92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0A"/>
    <w:rsid w:val="007A0BD3"/>
    <w:rsid w:val="007A15FB"/>
    <w:rsid w:val="007A1D4B"/>
    <w:rsid w:val="007A2831"/>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367"/>
    <w:rsid w:val="007B14B6"/>
    <w:rsid w:val="007B1947"/>
    <w:rsid w:val="007B19A6"/>
    <w:rsid w:val="007B295A"/>
    <w:rsid w:val="007B29C9"/>
    <w:rsid w:val="007B3422"/>
    <w:rsid w:val="007B3CB5"/>
    <w:rsid w:val="007B3F13"/>
    <w:rsid w:val="007B4244"/>
    <w:rsid w:val="007B52DD"/>
    <w:rsid w:val="007B71B9"/>
    <w:rsid w:val="007B742F"/>
    <w:rsid w:val="007B7480"/>
    <w:rsid w:val="007B77DA"/>
    <w:rsid w:val="007B7919"/>
    <w:rsid w:val="007B7B2D"/>
    <w:rsid w:val="007C0422"/>
    <w:rsid w:val="007C069F"/>
    <w:rsid w:val="007C0B35"/>
    <w:rsid w:val="007C0C76"/>
    <w:rsid w:val="007C1CA4"/>
    <w:rsid w:val="007C1CC7"/>
    <w:rsid w:val="007C286F"/>
    <w:rsid w:val="007C31E1"/>
    <w:rsid w:val="007C36C8"/>
    <w:rsid w:val="007C3B47"/>
    <w:rsid w:val="007C3DCF"/>
    <w:rsid w:val="007C45FB"/>
    <w:rsid w:val="007C4649"/>
    <w:rsid w:val="007C4CC0"/>
    <w:rsid w:val="007C5488"/>
    <w:rsid w:val="007C59C5"/>
    <w:rsid w:val="007C64CA"/>
    <w:rsid w:val="007D036B"/>
    <w:rsid w:val="007D03F3"/>
    <w:rsid w:val="007D0996"/>
    <w:rsid w:val="007D0CE6"/>
    <w:rsid w:val="007D0D40"/>
    <w:rsid w:val="007D15AC"/>
    <w:rsid w:val="007D23D4"/>
    <w:rsid w:val="007D26E1"/>
    <w:rsid w:val="007D2D80"/>
    <w:rsid w:val="007D3237"/>
    <w:rsid w:val="007D33ED"/>
    <w:rsid w:val="007D392A"/>
    <w:rsid w:val="007D3A65"/>
    <w:rsid w:val="007D5180"/>
    <w:rsid w:val="007D546C"/>
    <w:rsid w:val="007D585C"/>
    <w:rsid w:val="007D63AF"/>
    <w:rsid w:val="007D6834"/>
    <w:rsid w:val="007D6E35"/>
    <w:rsid w:val="007D721A"/>
    <w:rsid w:val="007D72C5"/>
    <w:rsid w:val="007D7835"/>
    <w:rsid w:val="007E0911"/>
    <w:rsid w:val="007E1237"/>
    <w:rsid w:val="007E1A49"/>
    <w:rsid w:val="007E2530"/>
    <w:rsid w:val="007E339E"/>
    <w:rsid w:val="007E3A5F"/>
    <w:rsid w:val="007E3BF6"/>
    <w:rsid w:val="007E4500"/>
    <w:rsid w:val="007E52B2"/>
    <w:rsid w:val="007E5756"/>
    <w:rsid w:val="007E5789"/>
    <w:rsid w:val="007E66A5"/>
    <w:rsid w:val="007E69B8"/>
    <w:rsid w:val="007E6D5A"/>
    <w:rsid w:val="007E7810"/>
    <w:rsid w:val="007F04FB"/>
    <w:rsid w:val="007F06D5"/>
    <w:rsid w:val="007F15DE"/>
    <w:rsid w:val="007F3B58"/>
    <w:rsid w:val="007F412B"/>
    <w:rsid w:val="007F53B1"/>
    <w:rsid w:val="007F5577"/>
    <w:rsid w:val="007F5BE2"/>
    <w:rsid w:val="007F5DBD"/>
    <w:rsid w:val="007F5DE5"/>
    <w:rsid w:val="007F6398"/>
    <w:rsid w:val="007F65C8"/>
    <w:rsid w:val="007F67E5"/>
    <w:rsid w:val="007F76E6"/>
    <w:rsid w:val="0080007D"/>
    <w:rsid w:val="008005E2"/>
    <w:rsid w:val="00800D3F"/>
    <w:rsid w:val="0080216D"/>
    <w:rsid w:val="008023B4"/>
    <w:rsid w:val="00803CAC"/>
    <w:rsid w:val="00804BC7"/>
    <w:rsid w:val="00804EC3"/>
    <w:rsid w:val="0080531C"/>
    <w:rsid w:val="0080575E"/>
    <w:rsid w:val="00805DD6"/>
    <w:rsid w:val="00806286"/>
    <w:rsid w:val="0080637A"/>
    <w:rsid w:val="00807B39"/>
    <w:rsid w:val="00807CBA"/>
    <w:rsid w:val="00810938"/>
    <w:rsid w:val="00810D84"/>
    <w:rsid w:val="00811435"/>
    <w:rsid w:val="00811644"/>
    <w:rsid w:val="00812A15"/>
    <w:rsid w:val="008153CF"/>
    <w:rsid w:val="008154F0"/>
    <w:rsid w:val="0081603D"/>
    <w:rsid w:val="00816C51"/>
    <w:rsid w:val="008174FC"/>
    <w:rsid w:val="00820060"/>
    <w:rsid w:val="00820D0E"/>
    <w:rsid w:val="00820F97"/>
    <w:rsid w:val="00821644"/>
    <w:rsid w:val="00821C32"/>
    <w:rsid w:val="00822BF6"/>
    <w:rsid w:val="008232A1"/>
    <w:rsid w:val="00824A2B"/>
    <w:rsid w:val="00826D24"/>
    <w:rsid w:val="00826D9C"/>
    <w:rsid w:val="00826E67"/>
    <w:rsid w:val="00826F10"/>
    <w:rsid w:val="00827355"/>
    <w:rsid w:val="008274ED"/>
    <w:rsid w:val="0082770C"/>
    <w:rsid w:val="00827969"/>
    <w:rsid w:val="00831D86"/>
    <w:rsid w:val="008322D6"/>
    <w:rsid w:val="008326DE"/>
    <w:rsid w:val="008328DB"/>
    <w:rsid w:val="00832B19"/>
    <w:rsid w:val="008334C6"/>
    <w:rsid w:val="0083360A"/>
    <w:rsid w:val="008344C2"/>
    <w:rsid w:val="00834884"/>
    <w:rsid w:val="00835891"/>
    <w:rsid w:val="00835A37"/>
    <w:rsid w:val="00835C50"/>
    <w:rsid w:val="0083623A"/>
    <w:rsid w:val="0083628E"/>
    <w:rsid w:val="00836ED2"/>
    <w:rsid w:val="00836F7E"/>
    <w:rsid w:val="0083748A"/>
    <w:rsid w:val="00837FD3"/>
    <w:rsid w:val="00840B61"/>
    <w:rsid w:val="00840CD1"/>
    <w:rsid w:val="008416D0"/>
    <w:rsid w:val="0084189A"/>
    <w:rsid w:val="00841AB3"/>
    <w:rsid w:val="00841D25"/>
    <w:rsid w:val="00841DCB"/>
    <w:rsid w:val="0084205E"/>
    <w:rsid w:val="00842558"/>
    <w:rsid w:val="008427D5"/>
    <w:rsid w:val="00843132"/>
    <w:rsid w:val="008435E3"/>
    <w:rsid w:val="008439A9"/>
    <w:rsid w:val="00844FB3"/>
    <w:rsid w:val="00844FD1"/>
    <w:rsid w:val="00844FDD"/>
    <w:rsid w:val="00845CE5"/>
    <w:rsid w:val="00846685"/>
    <w:rsid w:val="008467F6"/>
    <w:rsid w:val="008469DC"/>
    <w:rsid w:val="0084752F"/>
    <w:rsid w:val="0085071E"/>
    <w:rsid w:val="0085099D"/>
    <w:rsid w:val="008513FE"/>
    <w:rsid w:val="00852568"/>
    <w:rsid w:val="00852785"/>
    <w:rsid w:val="008535F4"/>
    <w:rsid w:val="008538A8"/>
    <w:rsid w:val="00853A44"/>
    <w:rsid w:val="00853DCB"/>
    <w:rsid w:val="008540C1"/>
    <w:rsid w:val="0085421B"/>
    <w:rsid w:val="00854FF3"/>
    <w:rsid w:val="008553E4"/>
    <w:rsid w:val="00856427"/>
    <w:rsid w:val="008567EE"/>
    <w:rsid w:val="0086020D"/>
    <w:rsid w:val="00860599"/>
    <w:rsid w:val="00860EF8"/>
    <w:rsid w:val="0086104E"/>
    <w:rsid w:val="008610B2"/>
    <w:rsid w:val="008610C7"/>
    <w:rsid w:val="008615A3"/>
    <w:rsid w:val="0086290B"/>
    <w:rsid w:val="00862EFA"/>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05"/>
    <w:rsid w:val="00874559"/>
    <w:rsid w:val="00876393"/>
    <w:rsid w:val="008766B0"/>
    <w:rsid w:val="00877181"/>
    <w:rsid w:val="00880CE8"/>
    <w:rsid w:val="008815CB"/>
    <w:rsid w:val="00881F12"/>
    <w:rsid w:val="008826B9"/>
    <w:rsid w:val="008843DF"/>
    <w:rsid w:val="00884673"/>
    <w:rsid w:val="00886067"/>
    <w:rsid w:val="008861C2"/>
    <w:rsid w:val="00886D98"/>
    <w:rsid w:val="00886EDC"/>
    <w:rsid w:val="008870D1"/>
    <w:rsid w:val="00887420"/>
    <w:rsid w:val="00887D3E"/>
    <w:rsid w:val="00887DF4"/>
    <w:rsid w:val="00890269"/>
    <w:rsid w:val="00890653"/>
    <w:rsid w:val="0089086C"/>
    <w:rsid w:val="00890E38"/>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A0C8B"/>
    <w:rsid w:val="008A196C"/>
    <w:rsid w:val="008A1B00"/>
    <w:rsid w:val="008A2392"/>
    <w:rsid w:val="008A2719"/>
    <w:rsid w:val="008A307C"/>
    <w:rsid w:val="008A327C"/>
    <w:rsid w:val="008A350A"/>
    <w:rsid w:val="008A376E"/>
    <w:rsid w:val="008A4521"/>
    <w:rsid w:val="008A4562"/>
    <w:rsid w:val="008A45A3"/>
    <w:rsid w:val="008A590A"/>
    <w:rsid w:val="008A75C3"/>
    <w:rsid w:val="008A771A"/>
    <w:rsid w:val="008B01CB"/>
    <w:rsid w:val="008B047F"/>
    <w:rsid w:val="008B080E"/>
    <w:rsid w:val="008B15DA"/>
    <w:rsid w:val="008B174E"/>
    <w:rsid w:val="008B1ED5"/>
    <w:rsid w:val="008B2203"/>
    <w:rsid w:val="008B2395"/>
    <w:rsid w:val="008B3467"/>
    <w:rsid w:val="008B39A2"/>
    <w:rsid w:val="008B40F6"/>
    <w:rsid w:val="008B42EF"/>
    <w:rsid w:val="008B4C99"/>
    <w:rsid w:val="008B7245"/>
    <w:rsid w:val="008B7FE3"/>
    <w:rsid w:val="008C0779"/>
    <w:rsid w:val="008C1548"/>
    <w:rsid w:val="008C1C6C"/>
    <w:rsid w:val="008C21D1"/>
    <w:rsid w:val="008C2760"/>
    <w:rsid w:val="008C72F2"/>
    <w:rsid w:val="008C7C89"/>
    <w:rsid w:val="008D029D"/>
    <w:rsid w:val="008D080B"/>
    <w:rsid w:val="008D0EA6"/>
    <w:rsid w:val="008D2952"/>
    <w:rsid w:val="008D2C61"/>
    <w:rsid w:val="008D44E8"/>
    <w:rsid w:val="008D4860"/>
    <w:rsid w:val="008D4AB4"/>
    <w:rsid w:val="008D532A"/>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F61"/>
    <w:rsid w:val="008E4FD5"/>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760F"/>
    <w:rsid w:val="008F76AA"/>
    <w:rsid w:val="008F79BF"/>
    <w:rsid w:val="008F7ACF"/>
    <w:rsid w:val="008F7D5D"/>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783"/>
    <w:rsid w:val="00915856"/>
    <w:rsid w:val="00915933"/>
    <w:rsid w:val="009159F6"/>
    <w:rsid w:val="00916077"/>
    <w:rsid w:val="009167FE"/>
    <w:rsid w:val="00916B5A"/>
    <w:rsid w:val="00916BC8"/>
    <w:rsid w:val="0091704C"/>
    <w:rsid w:val="00917BD4"/>
    <w:rsid w:val="00920158"/>
    <w:rsid w:val="009220CB"/>
    <w:rsid w:val="00922777"/>
    <w:rsid w:val="00922ED5"/>
    <w:rsid w:val="00922FE9"/>
    <w:rsid w:val="00925379"/>
    <w:rsid w:val="00925DF8"/>
    <w:rsid w:val="00926C89"/>
    <w:rsid w:val="00930194"/>
    <w:rsid w:val="00930A75"/>
    <w:rsid w:val="00930C7E"/>
    <w:rsid w:val="00931772"/>
    <w:rsid w:val="00931C30"/>
    <w:rsid w:val="009321EF"/>
    <w:rsid w:val="009337B2"/>
    <w:rsid w:val="00933BF6"/>
    <w:rsid w:val="0093416A"/>
    <w:rsid w:val="0093572A"/>
    <w:rsid w:val="00935C09"/>
    <w:rsid w:val="0093625E"/>
    <w:rsid w:val="0093645E"/>
    <w:rsid w:val="009367F6"/>
    <w:rsid w:val="00936859"/>
    <w:rsid w:val="00936BC5"/>
    <w:rsid w:val="009375EE"/>
    <w:rsid w:val="00937D60"/>
    <w:rsid w:val="00940081"/>
    <w:rsid w:val="00940425"/>
    <w:rsid w:val="00940A94"/>
    <w:rsid w:val="00940D03"/>
    <w:rsid w:val="00941E97"/>
    <w:rsid w:val="00941EC1"/>
    <w:rsid w:val="00942571"/>
    <w:rsid w:val="00942E45"/>
    <w:rsid w:val="00943CD3"/>
    <w:rsid w:val="00944222"/>
    <w:rsid w:val="009445A7"/>
    <w:rsid w:val="009448D9"/>
    <w:rsid w:val="009451BB"/>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C5E"/>
    <w:rsid w:val="009546EF"/>
    <w:rsid w:val="00954912"/>
    <w:rsid w:val="009558AD"/>
    <w:rsid w:val="00955B7B"/>
    <w:rsid w:val="0095603A"/>
    <w:rsid w:val="00956C90"/>
    <w:rsid w:val="00957773"/>
    <w:rsid w:val="00957A3B"/>
    <w:rsid w:val="00957BE2"/>
    <w:rsid w:val="00957BFA"/>
    <w:rsid w:val="00960D6F"/>
    <w:rsid w:val="00960E67"/>
    <w:rsid w:val="009612A6"/>
    <w:rsid w:val="009615A4"/>
    <w:rsid w:val="00962848"/>
    <w:rsid w:val="009634EF"/>
    <w:rsid w:val="00964761"/>
    <w:rsid w:val="00964C2F"/>
    <w:rsid w:val="00965669"/>
    <w:rsid w:val="00965D12"/>
    <w:rsid w:val="00967478"/>
    <w:rsid w:val="00967FC6"/>
    <w:rsid w:val="009707CB"/>
    <w:rsid w:val="009713A1"/>
    <w:rsid w:val="00973443"/>
    <w:rsid w:val="00973807"/>
    <w:rsid w:val="00973F0D"/>
    <w:rsid w:val="009742DE"/>
    <w:rsid w:val="009746CC"/>
    <w:rsid w:val="0097471C"/>
    <w:rsid w:val="00974934"/>
    <w:rsid w:val="00975432"/>
    <w:rsid w:val="00975997"/>
    <w:rsid w:val="00976A0D"/>
    <w:rsid w:val="00976E79"/>
    <w:rsid w:val="0098066D"/>
    <w:rsid w:val="00980794"/>
    <w:rsid w:val="009809E4"/>
    <w:rsid w:val="00980C01"/>
    <w:rsid w:val="00980C61"/>
    <w:rsid w:val="0098114A"/>
    <w:rsid w:val="009814C3"/>
    <w:rsid w:val="00981985"/>
    <w:rsid w:val="00981A62"/>
    <w:rsid w:val="00981B92"/>
    <w:rsid w:val="0098201A"/>
    <w:rsid w:val="009822AC"/>
    <w:rsid w:val="00982762"/>
    <w:rsid w:val="00982DDA"/>
    <w:rsid w:val="00982E48"/>
    <w:rsid w:val="009836A0"/>
    <w:rsid w:val="00983861"/>
    <w:rsid w:val="009838B8"/>
    <w:rsid w:val="00984873"/>
    <w:rsid w:val="00985702"/>
    <w:rsid w:val="00985A96"/>
    <w:rsid w:val="00986A2A"/>
    <w:rsid w:val="009879E3"/>
    <w:rsid w:val="00990214"/>
    <w:rsid w:val="00990BCF"/>
    <w:rsid w:val="00991005"/>
    <w:rsid w:val="00991A5A"/>
    <w:rsid w:val="00991D91"/>
    <w:rsid w:val="00991EFC"/>
    <w:rsid w:val="0099278A"/>
    <w:rsid w:val="00992A3D"/>
    <w:rsid w:val="00992AB9"/>
    <w:rsid w:val="009932A3"/>
    <w:rsid w:val="00993DD2"/>
    <w:rsid w:val="00994011"/>
    <w:rsid w:val="009941A3"/>
    <w:rsid w:val="00994402"/>
    <w:rsid w:val="00995363"/>
    <w:rsid w:val="00996003"/>
    <w:rsid w:val="00996A3B"/>
    <w:rsid w:val="009976F4"/>
    <w:rsid w:val="009A11D0"/>
    <w:rsid w:val="009A1C99"/>
    <w:rsid w:val="009A1E43"/>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E58"/>
    <w:rsid w:val="009B739A"/>
    <w:rsid w:val="009C0E04"/>
    <w:rsid w:val="009C1565"/>
    <w:rsid w:val="009C1B84"/>
    <w:rsid w:val="009C2DA6"/>
    <w:rsid w:val="009C34FA"/>
    <w:rsid w:val="009C3547"/>
    <w:rsid w:val="009C544A"/>
    <w:rsid w:val="009C56AF"/>
    <w:rsid w:val="009C5918"/>
    <w:rsid w:val="009C65D8"/>
    <w:rsid w:val="009C6768"/>
    <w:rsid w:val="009C7ECB"/>
    <w:rsid w:val="009C7F48"/>
    <w:rsid w:val="009D087D"/>
    <w:rsid w:val="009D198E"/>
    <w:rsid w:val="009D1DB8"/>
    <w:rsid w:val="009D24F2"/>
    <w:rsid w:val="009D2818"/>
    <w:rsid w:val="009D2E92"/>
    <w:rsid w:val="009D3BE8"/>
    <w:rsid w:val="009D631B"/>
    <w:rsid w:val="009D722F"/>
    <w:rsid w:val="009D75B4"/>
    <w:rsid w:val="009D7D38"/>
    <w:rsid w:val="009E0204"/>
    <w:rsid w:val="009E0489"/>
    <w:rsid w:val="009E0CAF"/>
    <w:rsid w:val="009E1290"/>
    <w:rsid w:val="009E21BF"/>
    <w:rsid w:val="009E2470"/>
    <w:rsid w:val="009E27A1"/>
    <w:rsid w:val="009E2990"/>
    <w:rsid w:val="009E2EEF"/>
    <w:rsid w:val="009E3660"/>
    <w:rsid w:val="009E4883"/>
    <w:rsid w:val="009E4B41"/>
    <w:rsid w:val="009E5B12"/>
    <w:rsid w:val="009E5ED8"/>
    <w:rsid w:val="009E632E"/>
    <w:rsid w:val="009E6E19"/>
    <w:rsid w:val="009F0003"/>
    <w:rsid w:val="009F05DA"/>
    <w:rsid w:val="009F1B0B"/>
    <w:rsid w:val="009F1DB3"/>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907"/>
    <w:rsid w:val="00A03DBF"/>
    <w:rsid w:val="00A04FA3"/>
    <w:rsid w:val="00A056EE"/>
    <w:rsid w:val="00A06293"/>
    <w:rsid w:val="00A06A26"/>
    <w:rsid w:val="00A06B3B"/>
    <w:rsid w:val="00A12C4F"/>
    <w:rsid w:val="00A131F4"/>
    <w:rsid w:val="00A13C26"/>
    <w:rsid w:val="00A13DAE"/>
    <w:rsid w:val="00A1414F"/>
    <w:rsid w:val="00A16533"/>
    <w:rsid w:val="00A179BF"/>
    <w:rsid w:val="00A17E56"/>
    <w:rsid w:val="00A20522"/>
    <w:rsid w:val="00A21369"/>
    <w:rsid w:val="00A21528"/>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4B02"/>
    <w:rsid w:val="00A34DBF"/>
    <w:rsid w:val="00A362A5"/>
    <w:rsid w:val="00A36CD3"/>
    <w:rsid w:val="00A36F41"/>
    <w:rsid w:val="00A37D7B"/>
    <w:rsid w:val="00A40434"/>
    <w:rsid w:val="00A40617"/>
    <w:rsid w:val="00A406B4"/>
    <w:rsid w:val="00A408FD"/>
    <w:rsid w:val="00A409AF"/>
    <w:rsid w:val="00A41551"/>
    <w:rsid w:val="00A41576"/>
    <w:rsid w:val="00A41DF7"/>
    <w:rsid w:val="00A4244A"/>
    <w:rsid w:val="00A426AF"/>
    <w:rsid w:val="00A429DD"/>
    <w:rsid w:val="00A42B36"/>
    <w:rsid w:val="00A43714"/>
    <w:rsid w:val="00A44BFD"/>
    <w:rsid w:val="00A4548A"/>
    <w:rsid w:val="00A4550A"/>
    <w:rsid w:val="00A45BE8"/>
    <w:rsid w:val="00A46011"/>
    <w:rsid w:val="00A46332"/>
    <w:rsid w:val="00A465E7"/>
    <w:rsid w:val="00A46ABF"/>
    <w:rsid w:val="00A46EBC"/>
    <w:rsid w:val="00A50D08"/>
    <w:rsid w:val="00A50ED6"/>
    <w:rsid w:val="00A511EF"/>
    <w:rsid w:val="00A5138F"/>
    <w:rsid w:val="00A515A9"/>
    <w:rsid w:val="00A53361"/>
    <w:rsid w:val="00A5488D"/>
    <w:rsid w:val="00A55167"/>
    <w:rsid w:val="00A5672F"/>
    <w:rsid w:val="00A577D2"/>
    <w:rsid w:val="00A60597"/>
    <w:rsid w:val="00A6064E"/>
    <w:rsid w:val="00A61515"/>
    <w:rsid w:val="00A61D4E"/>
    <w:rsid w:val="00A61E2B"/>
    <w:rsid w:val="00A622E4"/>
    <w:rsid w:val="00A629F4"/>
    <w:rsid w:val="00A63826"/>
    <w:rsid w:val="00A63BAE"/>
    <w:rsid w:val="00A65456"/>
    <w:rsid w:val="00A65561"/>
    <w:rsid w:val="00A657AB"/>
    <w:rsid w:val="00A65856"/>
    <w:rsid w:val="00A65E90"/>
    <w:rsid w:val="00A66512"/>
    <w:rsid w:val="00A666AB"/>
    <w:rsid w:val="00A66AAD"/>
    <w:rsid w:val="00A6797C"/>
    <w:rsid w:val="00A70070"/>
    <w:rsid w:val="00A71C24"/>
    <w:rsid w:val="00A71F8B"/>
    <w:rsid w:val="00A72309"/>
    <w:rsid w:val="00A72562"/>
    <w:rsid w:val="00A73526"/>
    <w:rsid w:val="00A73ED5"/>
    <w:rsid w:val="00A74E3E"/>
    <w:rsid w:val="00A74F06"/>
    <w:rsid w:val="00A7519C"/>
    <w:rsid w:val="00A75DB8"/>
    <w:rsid w:val="00A766AE"/>
    <w:rsid w:val="00A76A96"/>
    <w:rsid w:val="00A77419"/>
    <w:rsid w:val="00A8031D"/>
    <w:rsid w:val="00A80880"/>
    <w:rsid w:val="00A81D41"/>
    <w:rsid w:val="00A81DEC"/>
    <w:rsid w:val="00A81E17"/>
    <w:rsid w:val="00A82D29"/>
    <w:rsid w:val="00A83E55"/>
    <w:rsid w:val="00A856D6"/>
    <w:rsid w:val="00A86313"/>
    <w:rsid w:val="00A866B3"/>
    <w:rsid w:val="00A8747C"/>
    <w:rsid w:val="00A87BD0"/>
    <w:rsid w:val="00A90ACA"/>
    <w:rsid w:val="00A91308"/>
    <w:rsid w:val="00A91A02"/>
    <w:rsid w:val="00A91DDF"/>
    <w:rsid w:val="00A926E5"/>
    <w:rsid w:val="00A93FC6"/>
    <w:rsid w:val="00A9478E"/>
    <w:rsid w:val="00A94852"/>
    <w:rsid w:val="00A949AE"/>
    <w:rsid w:val="00A95598"/>
    <w:rsid w:val="00A95C44"/>
    <w:rsid w:val="00A95C76"/>
    <w:rsid w:val="00A95ECC"/>
    <w:rsid w:val="00A96548"/>
    <w:rsid w:val="00A970B6"/>
    <w:rsid w:val="00A97187"/>
    <w:rsid w:val="00A9773D"/>
    <w:rsid w:val="00A97C19"/>
    <w:rsid w:val="00A97D30"/>
    <w:rsid w:val="00AA0216"/>
    <w:rsid w:val="00AA062B"/>
    <w:rsid w:val="00AA0952"/>
    <w:rsid w:val="00AA0967"/>
    <w:rsid w:val="00AA1104"/>
    <w:rsid w:val="00AA1125"/>
    <w:rsid w:val="00AA11E3"/>
    <w:rsid w:val="00AA1F26"/>
    <w:rsid w:val="00AA1FEF"/>
    <w:rsid w:val="00AA27A1"/>
    <w:rsid w:val="00AA3281"/>
    <w:rsid w:val="00AA338F"/>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18A"/>
    <w:rsid w:val="00AC0418"/>
    <w:rsid w:val="00AC042B"/>
    <w:rsid w:val="00AC111B"/>
    <w:rsid w:val="00AC1D20"/>
    <w:rsid w:val="00AC3478"/>
    <w:rsid w:val="00AC495D"/>
    <w:rsid w:val="00AC53C6"/>
    <w:rsid w:val="00AC5812"/>
    <w:rsid w:val="00AC5B29"/>
    <w:rsid w:val="00AC5BE0"/>
    <w:rsid w:val="00AC608A"/>
    <w:rsid w:val="00AC6346"/>
    <w:rsid w:val="00AC69E5"/>
    <w:rsid w:val="00AC732C"/>
    <w:rsid w:val="00AC762E"/>
    <w:rsid w:val="00AD1276"/>
    <w:rsid w:val="00AD1338"/>
    <w:rsid w:val="00AD19C6"/>
    <w:rsid w:val="00AD1EB9"/>
    <w:rsid w:val="00AD297C"/>
    <w:rsid w:val="00AD29DC"/>
    <w:rsid w:val="00AD369C"/>
    <w:rsid w:val="00AD391A"/>
    <w:rsid w:val="00AD3C15"/>
    <w:rsid w:val="00AD459E"/>
    <w:rsid w:val="00AD5602"/>
    <w:rsid w:val="00AD5A15"/>
    <w:rsid w:val="00AD605D"/>
    <w:rsid w:val="00AE0606"/>
    <w:rsid w:val="00AE0BA3"/>
    <w:rsid w:val="00AE0C25"/>
    <w:rsid w:val="00AE1E1A"/>
    <w:rsid w:val="00AE37B3"/>
    <w:rsid w:val="00AE3979"/>
    <w:rsid w:val="00AE43EC"/>
    <w:rsid w:val="00AE5040"/>
    <w:rsid w:val="00AE5080"/>
    <w:rsid w:val="00AE54F7"/>
    <w:rsid w:val="00AE561E"/>
    <w:rsid w:val="00AE56D3"/>
    <w:rsid w:val="00AE7211"/>
    <w:rsid w:val="00AE783B"/>
    <w:rsid w:val="00AF0179"/>
    <w:rsid w:val="00AF136D"/>
    <w:rsid w:val="00AF20E8"/>
    <w:rsid w:val="00AF357B"/>
    <w:rsid w:val="00AF377D"/>
    <w:rsid w:val="00AF3AE7"/>
    <w:rsid w:val="00AF4B29"/>
    <w:rsid w:val="00AF519C"/>
    <w:rsid w:val="00AF56B9"/>
    <w:rsid w:val="00AF57B4"/>
    <w:rsid w:val="00AF5E41"/>
    <w:rsid w:val="00AF6250"/>
    <w:rsid w:val="00AF627D"/>
    <w:rsid w:val="00AF66F6"/>
    <w:rsid w:val="00AF67D5"/>
    <w:rsid w:val="00AF6C47"/>
    <w:rsid w:val="00AF7A69"/>
    <w:rsid w:val="00B0080B"/>
    <w:rsid w:val="00B00FBE"/>
    <w:rsid w:val="00B014E5"/>
    <w:rsid w:val="00B02AF0"/>
    <w:rsid w:val="00B02EA3"/>
    <w:rsid w:val="00B037A9"/>
    <w:rsid w:val="00B03E14"/>
    <w:rsid w:val="00B04113"/>
    <w:rsid w:val="00B04A7E"/>
    <w:rsid w:val="00B05033"/>
    <w:rsid w:val="00B05350"/>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3ACB"/>
    <w:rsid w:val="00B242D7"/>
    <w:rsid w:val="00B244AD"/>
    <w:rsid w:val="00B2480B"/>
    <w:rsid w:val="00B249BE"/>
    <w:rsid w:val="00B24A32"/>
    <w:rsid w:val="00B24D6B"/>
    <w:rsid w:val="00B25065"/>
    <w:rsid w:val="00B25B3F"/>
    <w:rsid w:val="00B25BD8"/>
    <w:rsid w:val="00B25FD9"/>
    <w:rsid w:val="00B27371"/>
    <w:rsid w:val="00B27777"/>
    <w:rsid w:val="00B27899"/>
    <w:rsid w:val="00B27A4E"/>
    <w:rsid w:val="00B30259"/>
    <w:rsid w:val="00B3114C"/>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7F"/>
    <w:rsid w:val="00B443FC"/>
    <w:rsid w:val="00B44E92"/>
    <w:rsid w:val="00B44F26"/>
    <w:rsid w:val="00B45B8A"/>
    <w:rsid w:val="00B45C78"/>
    <w:rsid w:val="00B45D19"/>
    <w:rsid w:val="00B45E77"/>
    <w:rsid w:val="00B467AB"/>
    <w:rsid w:val="00B46E5C"/>
    <w:rsid w:val="00B47766"/>
    <w:rsid w:val="00B5015A"/>
    <w:rsid w:val="00B506AB"/>
    <w:rsid w:val="00B50931"/>
    <w:rsid w:val="00B50E70"/>
    <w:rsid w:val="00B51202"/>
    <w:rsid w:val="00B52214"/>
    <w:rsid w:val="00B52E4D"/>
    <w:rsid w:val="00B52FF0"/>
    <w:rsid w:val="00B533FF"/>
    <w:rsid w:val="00B53EAE"/>
    <w:rsid w:val="00B552FC"/>
    <w:rsid w:val="00B5563D"/>
    <w:rsid w:val="00B55653"/>
    <w:rsid w:val="00B55833"/>
    <w:rsid w:val="00B56235"/>
    <w:rsid w:val="00B56D0C"/>
    <w:rsid w:val="00B57804"/>
    <w:rsid w:val="00B60783"/>
    <w:rsid w:val="00B62BB4"/>
    <w:rsid w:val="00B62DC5"/>
    <w:rsid w:val="00B630E1"/>
    <w:rsid w:val="00B6385C"/>
    <w:rsid w:val="00B63E34"/>
    <w:rsid w:val="00B64613"/>
    <w:rsid w:val="00B647AD"/>
    <w:rsid w:val="00B64A40"/>
    <w:rsid w:val="00B65345"/>
    <w:rsid w:val="00B65CF6"/>
    <w:rsid w:val="00B674BB"/>
    <w:rsid w:val="00B67D9A"/>
    <w:rsid w:val="00B67E08"/>
    <w:rsid w:val="00B71495"/>
    <w:rsid w:val="00B714C0"/>
    <w:rsid w:val="00B71D27"/>
    <w:rsid w:val="00B724FB"/>
    <w:rsid w:val="00B74253"/>
    <w:rsid w:val="00B746FC"/>
    <w:rsid w:val="00B7659F"/>
    <w:rsid w:val="00B768DA"/>
    <w:rsid w:val="00B77055"/>
    <w:rsid w:val="00B7794D"/>
    <w:rsid w:val="00B77A95"/>
    <w:rsid w:val="00B80B60"/>
    <w:rsid w:val="00B8297B"/>
    <w:rsid w:val="00B82D49"/>
    <w:rsid w:val="00B847D5"/>
    <w:rsid w:val="00B8504C"/>
    <w:rsid w:val="00B85F23"/>
    <w:rsid w:val="00B8699A"/>
    <w:rsid w:val="00B90A42"/>
    <w:rsid w:val="00B917CD"/>
    <w:rsid w:val="00B919F7"/>
    <w:rsid w:val="00B91FBD"/>
    <w:rsid w:val="00B925C7"/>
    <w:rsid w:val="00B937CF"/>
    <w:rsid w:val="00B946D3"/>
    <w:rsid w:val="00B95BD8"/>
    <w:rsid w:val="00B95BFC"/>
    <w:rsid w:val="00B95E7A"/>
    <w:rsid w:val="00B95EF9"/>
    <w:rsid w:val="00B9612B"/>
    <w:rsid w:val="00B96BAD"/>
    <w:rsid w:val="00B96D2D"/>
    <w:rsid w:val="00B97951"/>
    <w:rsid w:val="00B97B27"/>
    <w:rsid w:val="00BA01A5"/>
    <w:rsid w:val="00BA090D"/>
    <w:rsid w:val="00BA0F94"/>
    <w:rsid w:val="00BA1DFE"/>
    <w:rsid w:val="00BA2E00"/>
    <w:rsid w:val="00BA3508"/>
    <w:rsid w:val="00BA3FCB"/>
    <w:rsid w:val="00BA40F5"/>
    <w:rsid w:val="00BA4710"/>
    <w:rsid w:val="00BA5230"/>
    <w:rsid w:val="00BA56FE"/>
    <w:rsid w:val="00BA5A21"/>
    <w:rsid w:val="00BA6152"/>
    <w:rsid w:val="00BB02FB"/>
    <w:rsid w:val="00BB0302"/>
    <w:rsid w:val="00BB1E73"/>
    <w:rsid w:val="00BB23A9"/>
    <w:rsid w:val="00BB25D0"/>
    <w:rsid w:val="00BB2944"/>
    <w:rsid w:val="00BB2F58"/>
    <w:rsid w:val="00BB342B"/>
    <w:rsid w:val="00BB347C"/>
    <w:rsid w:val="00BB3FEF"/>
    <w:rsid w:val="00BB428B"/>
    <w:rsid w:val="00BB47BD"/>
    <w:rsid w:val="00BB5790"/>
    <w:rsid w:val="00BB5C5B"/>
    <w:rsid w:val="00BB64F6"/>
    <w:rsid w:val="00BC0525"/>
    <w:rsid w:val="00BC090A"/>
    <w:rsid w:val="00BC1B02"/>
    <w:rsid w:val="00BC2604"/>
    <w:rsid w:val="00BC292E"/>
    <w:rsid w:val="00BC29DA"/>
    <w:rsid w:val="00BC2DEC"/>
    <w:rsid w:val="00BC2F45"/>
    <w:rsid w:val="00BC37D2"/>
    <w:rsid w:val="00BC384B"/>
    <w:rsid w:val="00BC38DB"/>
    <w:rsid w:val="00BC4984"/>
    <w:rsid w:val="00BC52F0"/>
    <w:rsid w:val="00BC5472"/>
    <w:rsid w:val="00BC60F9"/>
    <w:rsid w:val="00BC7177"/>
    <w:rsid w:val="00BC7952"/>
    <w:rsid w:val="00BC79C5"/>
    <w:rsid w:val="00BD0277"/>
    <w:rsid w:val="00BD03BE"/>
    <w:rsid w:val="00BD0A78"/>
    <w:rsid w:val="00BD0B5A"/>
    <w:rsid w:val="00BD1DCC"/>
    <w:rsid w:val="00BD26ED"/>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5C"/>
    <w:rsid w:val="00BE3DA9"/>
    <w:rsid w:val="00BE479D"/>
    <w:rsid w:val="00BE52A7"/>
    <w:rsid w:val="00BE6013"/>
    <w:rsid w:val="00BE66B6"/>
    <w:rsid w:val="00BE772F"/>
    <w:rsid w:val="00BF02BC"/>
    <w:rsid w:val="00BF037A"/>
    <w:rsid w:val="00BF057E"/>
    <w:rsid w:val="00BF14B1"/>
    <w:rsid w:val="00BF1A49"/>
    <w:rsid w:val="00BF1EB2"/>
    <w:rsid w:val="00BF2122"/>
    <w:rsid w:val="00BF284C"/>
    <w:rsid w:val="00BF466D"/>
    <w:rsid w:val="00BF47C3"/>
    <w:rsid w:val="00BF4CE2"/>
    <w:rsid w:val="00BF4FFE"/>
    <w:rsid w:val="00BF5003"/>
    <w:rsid w:val="00BF5479"/>
    <w:rsid w:val="00BF5BE3"/>
    <w:rsid w:val="00BF5C6E"/>
    <w:rsid w:val="00BF64FD"/>
    <w:rsid w:val="00BF71EB"/>
    <w:rsid w:val="00BF7377"/>
    <w:rsid w:val="00BF7976"/>
    <w:rsid w:val="00C003D7"/>
    <w:rsid w:val="00C011F4"/>
    <w:rsid w:val="00C016C6"/>
    <w:rsid w:val="00C01739"/>
    <w:rsid w:val="00C02A75"/>
    <w:rsid w:val="00C02F49"/>
    <w:rsid w:val="00C03116"/>
    <w:rsid w:val="00C040F4"/>
    <w:rsid w:val="00C05188"/>
    <w:rsid w:val="00C05872"/>
    <w:rsid w:val="00C061BE"/>
    <w:rsid w:val="00C06244"/>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57C"/>
    <w:rsid w:val="00C22640"/>
    <w:rsid w:val="00C24494"/>
    <w:rsid w:val="00C247E3"/>
    <w:rsid w:val="00C25C54"/>
    <w:rsid w:val="00C25D44"/>
    <w:rsid w:val="00C27147"/>
    <w:rsid w:val="00C2751D"/>
    <w:rsid w:val="00C305BC"/>
    <w:rsid w:val="00C30747"/>
    <w:rsid w:val="00C3183C"/>
    <w:rsid w:val="00C3211A"/>
    <w:rsid w:val="00C3257C"/>
    <w:rsid w:val="00C3330A"/>
    <w:rsid w:val="00C3540A"/>
    <w:rsid w:val="00C35909"/>
    <w:rsid w:val="00C36B75"/>
    <w:rsid w:val="00C40622"/>
    <w:rsid w:val="00C41316"/>
    <w:rsid w:val="00C41680"/>
    <w:rsid w:val="00C41747"/>
    <w:rsid w:val="00C41EA7"/>
    <w:rsid w:val="00C41FD0"/>
    <w:rsid w:val="00C42492"/>
    <w:rsid w:val="00C42622"/>
    <w:rsid w:val="00C43626"/>
    <w:rsid w:val="00C44FFB"/>
    <w:rsid w:val="00C451BF"/>
    <w:rsid w:val="00C460EF"/>
    <w:rsid w:val="00C500A3"/>
    <w:rsid w:val="00C503BF"/>
    <w:rsid w:val="00C508C7"/>
    <w:rsid w:val="00C50E16"/>
    <w:rsid w:val="00C515C1"/>
    <w:rsid w:val="00C51781"/>
    <w:rsid w:val="00C518FA"/>
    <w:rsid w:val="00C51A1D"/>
    <w:rsid w:val="00C522BF"/>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371"/>
    <w:rsid w:val="00C60265"/>
    <w:rsid w:val="00C6066C"/>
    <w:rsid w:val="00C608B2"/>
    <w:rsid w:val="00C60BE4"/>
    <w:rsid w:val="00C612EB"/>
    <w:rsid w:val="00C61D75"/>
    <w:rsid w:val="00C62BF8"/>
    <w:rsid w:val="00C63FF1"/>
    <w:rsid w:val="00C64079"/>
    <w:rsid w:val="00C65059"/>
    <w:rsid w:val="00C65F47"/>
    <w:rsid w:val="00C66464"/>
    <w:rsid w:val="00C66898"/>
    <w:rsid w:val="00C67E43"/>
    <w:rsid w:val="00C70152"/>
    <w:rsid w:val="00C70185"/>
    <w:rsid w:val="00C7099D"/>
    <w:rsid w:val="00C70D30"/>
    <w:rsid w:val="00C71316"/>
    <w:rsid w:val="00C723D3"/>
    <w:rsid w:val="00C7298D"/>
    <w:rsid w:val="00C72995"/>
    <w:rsid w:val="00C729C6"/>
    <w:rsid w:val="00C72B3F"/>
    <w:rsid w:val="00C731B2"/>
    <w:rsid w:val="00C7337C"/>
    <w:rsid w:val="00C74D24"/>
    <w:rsid w:val="00C75331"/>
    <w:rsid w:val="00C75A45"/>
    <w:rsid w:val="00C75FAE"/>
    <w:rsid w:val="00C76B39"/>
    <w:rsid w:val="00C8050C"/>
    <w:rsid w:val="00C8060A"/>
    <w:rsid w:val="00C82798"/>
    <w:rsid w:val="00C8470C"/>
    <w:rsid w:val="00C85283"/>
    <w:rsid w:val="00C85AF4"/>
    <w:rsid w:val="00C86272"/>
    <w:rsid w:val="00C871B1"/>
    <w:rsid w:val="00C87C45"/>
    <w:rsid w:val="00C87DA8"/>
    <w:rsid w:val="00C90ACA"/>
    <w:rsid w:val="00C910A7"/>
    <w:rsid w:val="00C910E7"/>
    <w:rsid w:val="00C912FB"/>
    <w:rsid w:val="00C92659"/>
    <w:rsid w:val="00C93077"/>
    <w:rsid w:val="00C93287"/>
    <w:rsid w:val="00C940D0"/>
    <w:rsid w:val="00C940DD"/>
    <w:rsid w:val="00C942FC"/>
    <w:rsid w:val="00C94778"/>
    <w:rsid w:val="00C94C01"/>
    <w:rsid w:val="00C950FB"/>
    <w:rsid w:val="00C95C21"/>
    <w:rsid w:val="00C9629D"/>
    <w:rsid w:val="00C96763"/>
    <w:rsid w:val="00C9772E"/>
    <w:rsid w:val="00C979F7"/>
    <w:rsid w:val="00CA0939"/>
    <w:rsid w:val="00CA0A0F"/>
    <w:rsid w:val="00CA1091"/>
    <w:rsid w:val="00CA12D5"/>
    <w:rsid w:val="00CA18F4"/>
    <w:rsid w:val="00CA2657"/>
    <w:rsid w:val="00CA26BD"/>
    <w:rsid w:val="00CA4039"/>
    <w:rsid w:val="00CA41BF"/>
    <w:rsid w:val="00CA4277"/>
    <w:rsid w:val="00CA4A01"/>
    <w:rsid w:val="00CA545C"/>
    <w:rsid w:val="00CA548D"/>
    <w:rsid w:val="00CA6695"/>
    <w:rsid w:val="00CA79DB"/>
    <w:rsid w:val="00CA7B9F"/>
    <w:rsid w:val="00CB0185"/>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6045"/>
    <w:rsid w:val="00CB6263"/>
    <w:rsid w:val="00CB65AF"/>
    <w:rsid w:val="00CC0AE5"/>
    <w:rsid w:val="00CC0C3A"/>
    <w:rsid w:val="00CC2385"/>
    <w:rsid w:val="00CC2D51"/>
    <w:rsid w:val="00CC350D"/>
    <w:rsid w:val="00CC3776"/>
    <w:rsid w:val="00CC39CD"/>
    <w:rsid w:val="00CC5459"/>
    <w:rsid w:val="00CC6D17"/>
    <w:rsid w:val="00CC6E0E"/>
    <w:rsid w:val="00CD022F"/>
    <w:rsid w:val="00CD046B"/>
    <w:rsid w:val="00CD2CB9"/>
    <w:rsid w:val="00CD2ECF"/>
    <w:rsid w:val="00CD36A3"/>
    <w:rsid w:val="00CD37FA"/>
    <w:rsid w:val="00CD485C"/>
    <w:rsid w:val="00CD49D8"/>
    <w:rsid w:val="00CD4B74"/>
    <w:rsid w:val="00CD51ED"/>
    <w:rsid w:val="00CD55DF"/>
    <w:rsid w:val="00CD6357"/>
    <w:rsid w:val="00CD6596"/>
    <w:rsid w:val="00CD6614"/>
    <w:rsid w:val="00CD6708"/>
    <w:rsid w:val="00CD695A"/>
    <w:rsid w:val="00CD69CD"/>
    <w:rsid w:val="00CD6A3E"/>
    <w:rsid w:val="00CD6A9E"/>
    <w:rsid w:val="00CD774A"/>
    <w:rsid w:val="00CD78D1"/>
    <w:rsid w:val="00CE030F"/>
    <w:rsid w:val="00CE127A"/>
    <w:rsid w:val="00CE1C83"/>
    <w:rsid w:val="00CE1E30"/>
    <w:rsid w:val="00CE1F8E"/>
    <w:rsid w:val="00CE22EE"/>
    <w:rsid w:val="00CE2383"/>
    <w:rsid w:val="00CE3F01"/>
    <w:rsid w:val="00CE48DA"/>
    <w:rsid w:val="00CE5745"/>
    <w:rsid w:val="00CE594E"/>
    <w:rsid w:val="00CE7589"/>
    <w:rsid w:val="00CE75DC"/>
    <w:rsid w:val="00CF0D10"/>
    <w:rsid w:val="00CF0DE8"/>
    <w:rsid w:val="00CF0FC6"/>
    <w:rsid w:val="00CF16B0"/>
    <w:rsid w:val="00CF1A4D"/>
    <w:rsid w:val="00CF21C0"/>
    <w:rsid w:val="00CF2360"/>
    <w:rsid w:val="00CF365F"/>
    <w:rsid w:val="00CF3667"/>
    <w:rsid w:val="00CF4A76"/>
    <w:rsid w:val="00CF4F17"/>
    <w:rsid w:val="00CF51EC"/>
    <w:rsid w:val="00CF5751"/>
    <w:rsid w:val="00CF6E17"/>
    <w:rsid w:val="00CF7C0B"/>
    <w:rsid w:val="00D00165"/>
    <w:rsid w:val="00D01BFB"/>
    <w:rsid w:val="00D01EB5"/>
    <w:rsid w:val="00D02B7E"/>
    <w:rsid w:val="00D03016"/>
    <w:rsid w:val="00D050AE"/>
    <w:rsid w:val="00D062D1"/>
    <w:rsid w:val="00D06C9A"/>
    <w:rsid w:val="00D07378"/>
    <w:rsid w:val="00D079A1"/>
    <w:rsid w:val="00D105C9"/>
    <w:rsid w:val="00D10A5A"/>
    <w:rsid w:val="00D1165D"/>
    <w:rsid w:val="00D1215D"/>
    <w:rsid w:val="00D12206"/>
    <w:rsid w:val="00D123C2"/>
    <w:rsid w:val="00D12F75"/>
    <w:rsid w:val="00D1303B"/>
    <w:rsid w:val="00D14B78"/>
    <w:rsid w:val="00D16ECF"/>
    <w:rsid w:val="00D17940"/>
    <w:rsid w:val="00D17D2A"/>
    <w:rsid w:val="00D21457"/>
    <w:rsid w:val="00D21623"/>
    <w:rsid w:val="00D21B9F"/>
    <w:rsid w:val="00D2203B"/>
    <w:rsid w:val="00D2328F"/>
    <w:rsid w:val="00D2417E"/>
    <w:rsid w:val="00D25471"/>
    <w:rsid w:val="00D27175"/>
    <w:rsid w:val="00D30E04"/>
    <w:rsid w:val="00D31BF3"/>
    <w:rsid w:val="00D31CFB"/>
    <w:rsid w:val="00D3233C"/>
    <w:rsid w:val="00D3273B"/>
    <w:rsid w:val="00D32B8F"/>
    <w:rsid w:val="00D33862"/>
    <w:rsid w:val="00D33B86"/>
    <w:rsid w:val="00D33EC8"/>
    <w:rsid w:val="00D344BF"/>
    <w:rsid w:val="00D375D6"/>
    <w:rsid w:val="00D40544"/>
    <w:rsid w:val="00D40CDA"/>
    <w:rsid w:val="00D42EA0"/>
    <w:rsid w:val="00D43834"/>
    <w:rsid w:val="00D4466C"/>
    <w:rsid w:val="00D44FB5"/>
    <w:rsid w:val="00D4569D"/>
    <w:rsid w:val="00D45874"/>
    <w:rsid w:val="00D46010"/>
    <w:rsid w:val="00D46170"/>
    <w:rsid w:val="00D4692B"/>
    <w:rsid w:val="00D47570"/>
    <w:rsid w:val="00D50168"/>
    <w:rsid w:val="00D52E87"/>
    <w:rsid w:val="00D5316A"/>
    <w:rsid w:val="00D53343"/>
    <w:rsid w:val="00D561CD"/>
    <w:rsid w:val="00D56924"/>
    <w:rsid w:val="00D56A81"/>
    <w:rsid w:val="00D577CA"/>
    <w:rsid w:val="00D608A4"/>
    <w:rsid w:val="00D609A3"/>
    <w:rsid w:val="00D61AB6"/>
    <w:rsid w:val="00D61D94"/>
    <w:rsid w:val="00D62398"/>
    <w:rsid w:val="00D6243D"/>
    <w:rsid w:val="00D632FB"/>
    <w:rsid w:val="00D6385A"/>
    <w:rsid w:val="00D649F2"/>
    <w:rsid w:val="00D64D49"/>
    <w:rsid w:val="00D64D56"/>
    <w:rsid w:val="00D65020"/>
    <w:rsid w:val="00D66649"/>
    <w:rsid w:val="00D67076"/>
    <w:rsid w:val="00D703D1"/>
    <w:rsid w:val="00D70922"/>
    <w:rsid w:val="00D7131A"/>
    <w:rsid w:val="00D7168F"/>
    <w:rsid w:val="00D71E33"/>
    <w:rsid w:val="00D73D31"/>
    <w:rsid w:val="00D740B0"/>
    <w:rsid w:val="00D74384"/>
    <w:rsid w:val="00D74B07"/>
    <w:rsid w:val="00D75AAA"/>
    <w:rsid w:val="00D75ABE"/>
    <w:rsid w:val="00D765D3"/>
    <w:rsid w:val="00D76A3E"/>
    <w:rsid w:val="00D77708"/>
    <w:rsid w:val="00D81754"/>
    <w:rsid w:val="00D8280D"/>
    <w:rsid w:val="00D828B2"/>
    <w:rsid w:val="00D84646"/>
    <w:rsid w:val="00D90636"/>
    <w:rsid w:val="00D9161F"/>
    <w:rsid w:val="00D92636"/>
    <w:rsid w:val="00D929A4"/>
    <w:rsid w:val="00D93592"/>
    <w:rsid w:val="00D93CD0"/>
    <w:rsid w:val="00D94540"/>
    <w:rsid w:val="00D9467A"/>
    <w:rsid w:val="00D9497A"/>
    <w:rsid w:val="00D951A5"/>
    <w:rsid w:val="00D957F1"/>
    <w:rsid w:val="00D95844"/>
    <w:rsid w:val="00D95DC4"/>
    <w:rsid w:val="00D95E25"/>
    <w:rsid w:val="00D966FA"/>
    <w:rsid w:val="00D96759"/>
    <w:rsid w:val="00D968A6"/>
    <w:rsid w:val="00D97076"/>
    <w:rsid w:val="00D97346"/>
    <w:rsid w:val="00D97A74"/>
    <w:rsid w:val="00DA12AB"/>
    <w:rsid w:val="00DA1F9C"/>
    <w:rsid w:val="00DA2025"/>
    <w:rsid w:val="00DA315D"/>
    <w:rsid w:val="00DA329E"/>
    <w:rsid w:val="00DA3C78"/>
    <w:rsid w:val="00DA456C"/>
    <w:rsid w:val="00DA53DC"/>
    <w:rsid w:val="00DA565A"/>
    <w:rsid w:val="00DA5AF2"/>
    <w:rsid w:val="00DA6779"/>
    <w:rsid w:val="00DA6B49"/>
    <w:rsid w:val="00DA7C7A"/>
    <w:rsid w:val="00DB08CE"/>
    <w:rsid w:val="00DB0F01"/>
    <w:rsid w:val="00DB12C4"/>
    <w:rsid w:val="00DB1562"/>
    <w:rsid w:val="00DB1D18"/>
    <w:rsid w:val="00DB2442"/>
    <w:rsid w:val="00DB2A95"/>
    <w:rsid w:val="00DB2CF4"/>
    <w:rsid w:val="00DB2FE1"/>
    <w:rsid w:val="00DB31B5"/>
    <w:rsid w:val="00DB3364"/>
    <w:rsid w:val="00DB47DA"/>
    <w:rsid w:val="00DB4FFB"/>
    <w:rsid w:val="00DB58A6"/>
    <w:rsid w:val="00DB763B"/>
    <w:rsid w:val="00DC0138"/>
    <w:rsid w:val="00DC0AFB"/>
    <w:rsid w:val="00DC0B0C"/>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E036B"/>
    <w:rsid w:val="00DE27A9"/>
    <w:rsid w:val="00DE2B51"/>
    <w:rsid w:val="00DE2F80"/>
    <w:rsid w:val="00DE31AF"/>
    <w:rsid w:val="00DE3AEF"/>
    <w:rsid w:val="00DE4078"/>
    <w:rsid w:val="00DE4562"/>
    <w:rsid w:val="00DE50F4"/>
    <w:rsid w:val="00DE661A"/>
    <w:rsid w:val="00DF087C"/>
    <w:rsid w:val="00DF103C"/>
    <w:rsid w:val="00DF188F"/>
    <w:rsid w:val="00DF1DC0"/>
    <w:rsid w:val="00DF1EAA"/>
    <w:rsid w:val="00DF205A"/>
    <w:rsid w:val="00DF2937"/>
    <w:rsid w:val="00DF3B27"/>
    <w:rsid w:val="00DF3D0B"/>
    <w:rsid w:val="00DF4CD2"/>
    <w:rsid w:val="00DF549E"/>
    <w:rsid w:val="00DF5818"/>
    <w:rsid w:val="00DF6353"/>
    <w:rsid w:val="00DF6830"/>
    <w:rsid w:val="00DF750F"/>
    <w:rsid w:val="00DF7D6A"/>
    <w:rsid w:val="00E0071C"/>
    <w:rsid w:val="00E02859"/>
    <w:rsid w:val="00E02989"/>
    <w:rsid w:val="00E02C51"/>
    <w:rsid w:val="00E03486"/>
    <w:rsid w:val="00E037C5"/>
    <w:rsid w:val="00E03FC6"/>
    <w:rsid w:val="00E0587A"/>
    <w:rsid w:val="00E06FC2"/>
    <w:rsid w:val="00E078F1"/>
    <w:rsid w:val="00E07A47"/>
    <w:rsid w:val="00E100EC"/>
    <w:rsid w:val="00E10973"/>
    <w:rsid w:val="00E13342"/>
    <w:rsid w:val="00E14B2F"/>
    <w:rsid w:val="00E15B41"/>
    <w:rsid w:val="00E1617D"/>
    <w:rsid w:val="00E17052"/>
    <w:rsid w:val="00E172A6"/>
    <w:rsid w:val="00E17949"/>
    <w:rsid w:val="00E17A3E"/>
    <w:rsid w:val="00E17E36"/>
    <w:rsid w:val="00E207AA"/>
    <w:rsid w:val="00E20888"/>
    <w:rsid w:val="00E21649"/>
    <w:rsid w:val="00E21B2E"/>
    <w:rsid w:val="00E21C5F"/>
    <w:rsid w:val="00E22BCD"/>
    <w:rsid w:val="00E23E24"/>
    <w:rsid w:val="00E262F3"/>
    <w:rsid w:val="00E27351"/>
    <w:rsid w:val="00E2773D"/>
    <w:rsid w:val="00E317A8"/>
    <w:rsid w:val="00E31F2F"/>
    <w:rsid w:val="00E325C6"/>
    <w:rsid w:val="00E33002"/>
    <w:rsid w:val="00E3330D"/>
    <w:rsid w:val="00E33D39"/>
    <w:rsid w:val="00E3432D"/>
    <w:rsid w:val="00E34D08"/>
    <w:rsid w:val="00E34DA6"/>
    <w:rsid w:val="00E354A4"/>
    <w:rsid w:val="00E35B70"/>
    <w:rsid w:val="00E36704"/>
    <w:rsid w:val="00E36AE4"/>
    <w:rsid w:val="00E36D55"/>
    <w:rsid w:val="00E36E28"/>
    <w:rsid w:val="00E37D89"/>
    <w:rsid w:val="00E40C94"/>
    <w:rsid w:val="00E40CF2"/>
    <w:rsid w:val="00E41B37"/>
    <w:rsid w:val="00E429AC"/>
    <w:rsid w:val="00E42D8B"/>
    <w:rsid w:val="00E42F5B"/>
    <w:rsid w:val="00E43213"/>
    <w:rsid w:val="00E435B6"/>
    <w:rsid w:val="00E44772"/>
    <w:rsid w:val="00E45F0B"/>
    <w:rsid w:val="00E466A1"/>
    <w:rsid w:val="00E46DDA"/>
    <w:rsid w:val="00E47202"/>
    <w:rsid w:val="00E4770B"/>
    <w:rsid w:val="00E47796"/>
    <w:rsid w:val="00E50D0F"/>
    <w:rsid w:val="00E51002"/>
    <w:rsid w:val="00E5103D"/>
    <w:rsid w:val="00E51B4D"/>
    <w:rsid w:val="00E53CE2"/>
    <w:rsid w:val="00E54A79"/>
    <w:rsid w:val="00E55037"/>
    <w:rsid w:val="00E553F1"/>
    <w:rsid w:val="00E5718A"/>
    <w:rsid w:val="00E6026A"/>
    <w:rsid w:val="00E603B8"/>
    <w:rsid w:val="00E60A61"/>
    <w:rsid w:val="00E60BF4"/>
    <w:rsid w:val="00E61D8D"/>
    <w:rsid w:val="00E621AF"/>
    <w:rsid w:val="00E62212"/>
    <w:rsid w:val="00E62521"/>
    <w:rsid w:val="00E62957"/>
    <w:rsid w:val="00E63270"/>
    <w:rsid w:val="00E646F9"/>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BD5"/>
    <w:rsid w:val="00E75D98"/>
    <w:rsid w:val="00E75F33"/>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E8F"/>
    <w:rsid w:val="00E87DF7"/>
    <w:rsid w:val="00E90441"/>
    <w:rsid w:val="00E909DB"/>
    <w:rsid w:val="00E9238A"/>
    <w:rsid w:val="00E9290C"/>
    <w:rsid w:val="00E92EBE"/>
    <w:rsid w:val="00E93A1E"/>
    <w:rsid w:val="00E94088"/>
    <w:rsid w:val="00E941F4"/>
    <w:rsid w:val="00E94BFE"/>
    <w:rsid w:val="00E9507F"/>
    <w:rsid w:val="00E95492"/>
    <w:rsid w:val="00E9630B"/>
    <w:rsid w:val="00E9657D"/>
    <w:rsid w:val="00E96662"/>
    <w:rsid w:val="00E96672"/>
    <w:rsid w:val="00E96A73"/>
    <w:rsid w:val="00E96CC8"/>
    <w:rsid w:val="00E97256"/>
    <w:rsid w:val="00E979B3"/>
    <w:rsid w:val="00E97E73"/>
    <w:rsid w:val="00EA0847"/>
    <w:rsid w:val="00EA085C"/>
    <w:rsid w:val="00EA11C9"/>
    <w:rsid w:val="00EA1852"/>
    <w:rsid w:val="00EA2C8B"/>
    <w:rsid w:val="00EA32E9"/>
    <w:rsid w:val="00EA37BA"/>
    <w:rsid w:val="00EA45E4"/>
    <w:rsid w:val="00EA475F"/>
    <w:rsid w:val="00EA5104"/>
    <w:rsid w:val="00EA51A2"/>
    <w:rsid w:val="00EA650D"/>
    <w:rsid w:val="00EA65EF"/>
    <w:rsid w:val="00EA6B2F"/>
    <w:rsid w:val="00EA6B72"/>
    <w:rsid w:val="00EA74C9"/>
    <w:rsid w:val="00EA762C"/>
    <w:rsid w:val="00EA7EF4"/>
    <w:rsid w:val="00EB0447"/>
    <w:rsid w:val="00EB1425"/>
    <w:rsid w:val="00EB25F5"/>
    <w:rsid w:val="00EB2CAA"/>
    <w:rsid w:val="00EB2DA1"/>
    <w:rsid w:val="00EB4529"/>
    <w:rsid w:val="00EB4A68"/>
    <w:rsid w:val="00EB51A8"/>
    <w:rsid w:val="00EB572A"/>
    <w:rsid w:val="00EB7490"/>
    <w:rsid w:val="00EB7BBA"/>
    <w:rsid w:val="00EC03CF"/>
    <w:rsid w:val="00EC04FC"/>
    <w:rsid w:val="00EC0579"/>
    <w:rsid w:val="00EC0EFC"/>
    <w:rsid w:val="00EC1460"/>
    <w:rsid w:val="00EC1625"/>
    <w:rsid w:val="00EC1FFE"/>
    <w:rsid w:val="00EC2329"/>
    <w:rsid w:val="00EC2DE2"/>
    <w:rsid w:val="00EC3287"/>
    <w:rsid w:val="00EC3815"/>
    <w:rsid w:val="00EC3B52"/>
    <w:rsid w:val="00EC3E35"/>
    <w:rsid w:val="00EC46E7"/>
    <w:rsid w:val="00EC49A3"/>
    <w:rsid w:val="00EC56E3"/>
    <w:rsid w:val="00EC57ED"/>
    <w:rsid w:val="00EC63CE"/>
    <w:rsid w:val="00ED00B5"/>
    <w:rsid w:val="00ED0835"/>
    <w:rsid w:val="00ED0B00"/>
    <w:rsid w:val="00ED15A0"/>
    <w:rsid w:val="00ED21BF"/>
    <w:rsid w:val="00ED2448"/>
    <w:rsid w:val="00ED3538"/>
    <w:rsid w:val="00ED3B89"/>
    <w:rsid w:val="00ED3C5B"/>
    <w:rsid w:val="00ED4624"/>
    <w:rsid w:val="00ED50A9"/>
    <w:rsid w:val="00ED54FD"/>
    <w:rsid w:val="00ED6709"/>
    <w:rsid w:val="00ED696A"/>
    <w:rsid w:val="00ED6B0C"/>
    <w:rsid w:val="00EE00FE"/>
    <w:rsid w:val="00EE1578"/>
    <w:rsid w:val="00EE28B6"/>
    <w:rsid w:val="00EE2E45"/>
    <w:rsid w:val="00EE3006"/>
    <w:rsid w:val="00EE332B"/>
    <w:rsid w:val="00EE348A"/>
    <w:rsid w:val="00EE356B"/>
    <w:rsid w:val="00EE43F3"/>
    <w:rsid w:val="00EE45FA"/>
    <w:rsid w:val="00EE4767"/>
    <w:rsid w:val="00EE4E54"/>
    <w:rsid w:val="00EE4F3F"/>
    <w:rsid w:val="00EE5795"/>
    <w:rsid w:val="00EE5933"/>
    <w:rsid w:val="00EE599D"/>
    <w:rsid w:val="00EE69D9"/>
    <w:rsid w:val="00EE6A8E"/>
    <w:rsid w:val="00EE76B0"/>
    <w:rsid w:val="00EF07D4"/>
    <w:rsid w:val="00EF0D0C"/>
    <w:rsid w:val="00EF126B"/>
    <w:rsid w:val="00EF1325"/>
    <w:rsid w:val="00EF137F"/>
    <w:rsid w:val="00EF25C2"/>
    <w:rsid w:val="00EF2674"/>
    <w:rsid w:val="00EF2FDB"/>
    <w:rsid w:val="00EF3393"/>
    <w:rsid w:val="00EF37A8"/>
    <w:rsid w:val="00EF3828"/>
    <w:rsid w:val="00EF3998"/>
    <w:rsid w:val="00EF3FB1"/>
    <w:rsid w:val="00EF439A"/>
    <w:rsid w:val="00EF4DC3"/>
    <w:rsid w:val="00EF5017"/>
    <w:rsid w:val="00EF5CF7"/>
    <w:rsid w:val="00EF7BB2"/>
    <w:rsid w:val="00EF7F68"/>
    <w:rsid w:val="00F005AD"/>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9C5"/>
    <w:rsid w:val="00F15BF7"/>
    <w:rsid w:val="00F15E52"/>
    <w:rsid w:val="00F160A1"/>
    <w:rsid w:val="00F16452"/>
    <w:rsid w:val="00F16AE2"/>
    <w:rsid w:val="00F20379"/>
    <w:rsid w:val="00F20CE7"/>
    <w:rsid w:val="00F20FBD"/>
    <w:rsid w:val="00F21A15"/>
    <w:rsid w:val="00F21E5E"/>
    <w:rsid w:val="00F228B5"/>
    <w:rsid w:val="00F229C4"/>
    <w:rsid w:val="00F230A5"/>
    <w:rsid w:val="00F24B3E"/>
    <w:rsid w:val="00F25A7D"/>
    <w:rsid w:val="00F266BA"/>
    <w:rsid w:val="00F26975"/>
    <w:rsid w:val="00F26E9D"/>
    <w:rsid w:val="00F27730"/>
    <w:rsid w:val="00F304CE"/>
    <w:rsid w:val="00F315A1"/>
    <w:rsid w:val="00F32B36"/>
    <w:rsid w:val="00F33D71"/>
    <w:rsid w:val="00F34187"/>
    <w:rsid w:val="00F351E3"/>
    <w:rsid w:val="00F366E3"/>
    <w:rsid w:val="00F367A1"/>
    <w:rsid w:val="00F36D0E"/>
    <w:rsid w:val="00F37BAC"/>
    <w:rsid w:val="00F37C8B"/>
    <w:rsid w:val="00F37ED3"/>
    <w:rsid w:val="00F4031B"/>
    <w:rsid w:val="00F40FC6"/>
    <w:rsid w:val="00F42E9C"/>
    <w:rsid w:val="00F44208"/>
    <w:rsid w:val="00F44FFF"/>
    <w:rsid w:val="00F4515A"/>
    <w:rsid w:val="00F4520B"/>
    <w:rsid w:val="00F4520E"/>
    <w:rsid w:val="00F453EB"/>
    <w:rsid w:val="00F45C8B"/>
    <w:rsid w:val="00F45E7A"/>
    <w:rsid w:val="00F467FE"/>
    <w:rsid w:val="00F471CB"/>
    <w:rsid w:val="00F47278"/>
    <w:rsid w:val="00F47703"/>
    <w:rsid w:val="00F4782C"/>
    <w:rsid w:val="00F500C2"/>
    <w:rsid w:val="00F5011E"/>
    <w:rsid w:val="00F5024D"/>
    <w:rsid w:val="00F51277"/>
    <w:rsid w:val="00F51891"/>
    <w:rsid w:val="00F51ABD"/>
    <w:rsid w:val="00F524F5"/>
    <w:rsid w:val="00F52DB8"/>
    <w:rsid w:val="00F536D4"/>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3D"/>
    <w:rsid w:val="00F64E48"/>
    <w:rsid w:val="00F65665"/>
    <w:rsid w:val="00F65871"/>
    <w:rsid w:val="00F65DBB"/>
    <w:rsid w:val="00F65E76"/>
    <w:rsid w:val="00F663BA"/>
    <w:rsid w:val="00F66739"/>
    <w:rsid w:val="00F66763"/>
    <w:rsid w:val="00F66818"/>
    <w:rsid w:val="00F66AD7"/>
    <w:rsid w:val="00F67125"/>
    <w:rsid w:val="00F700C2"/>
    <w:rsid w:val="00F704C4"/>
    <w:rsid w:val="00F704ED"/>
    <w:rsid w:val="00F7081E"/>
    <w:rsid w:val="00F70B70"/>
    <w:rsid w:val="00F70DF6"/>
    <w:rsid w:val="00F70FBC"/>
    <w:rsid w:val="00F71496"/>
    <w:rsid w:val="00F718EF"/>
    <w:rsid w:val="00F7220B"/>
    <w:rsid w:val="00F72380"/>
    <w:rsid w:val="00F725AB"/>
    <w:rsid w:val="00F7341D"/>
    <w:rsid w:val="00F7357E"/>
    <w:rsid w:val="00F73785"/>
    <w:rsid w:val="00F73F3B"/>
    <w:rsid w:val="00F73F3C"/>
    <w:rsid w:val="00F7442C"/>
    <w:rsid w:val="00F7498B"/>
    <w:rsid w:val="00F759D6"/>
    <w:rsid w:val="00F7626C"/>
    <w:rsid w:val="00F768C3"/>
    <w:rsid w:val="00F7696A"/>
    <w:rsid w:val="00F77002"/>
    <w:rsid w:val="00F774AF"/>
    <w:rsid w:val="00F777EF"/>
    <w:rsid w:val="00F81F53"/>
    <w:rsid w:val="00F82284"/>
    <w:rsid w:val="00F83CAA"/>
    <w:rsid w:val="00F852E1"/>
    <w:rsid w:val="00F8545F"/>
    <w:rsid w:val="00F8583F"/>
    <w:rsid w:val="00F86BA8"/>
    <w:rsid w:val="00F8728E"/>
    <w:rsid w:val="00F873C3"/>
    <w:rsid w:val="00F87885"/>
    <w:rsid w:val="00F879ED"/>
    <w:rsid w:val="00F901DE"/>
    <w:rsid w:val="00F90331"/>
    <w:rsid w:val="00F906D4"/>
    <w:rsid w:val="00F9080E"/>
    <w:rsid w:val="00F90CA6"/>
    <w:rsid w:val="00F90CCE"/>
    <w:rsid w:val="00F91BFE"/>
    <w:rsid w:val="00F92386"/>
    <w:rsid w:val="00F92A2F"/>
    <w:rsid w:val="00F92CBF"/>
    <w:rsid w:val="00F938EE"/>
    <w:rsid w:val="00F94919"/>
    <w:rsid w:val="00F94B53"/>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F3D"/>
    <w:rsid w:val="00FA6F70"/>
    <w:rsid w:val="00FA776E"/>
    <w:rsid w:val="00FA7FCB"/>
    <w:rsid w:val="00FB0337"/>
    <w:rsid w:val="00FB0F3F"/>
    <w:rsid w:val="00FB12F3"/>
    <w:rsid w:val="00FB18CE"/>
    <w:rsid w:val="00FB1B61"/>
    <w:rsid w:val="00FB1BC4"/>
    <w:rsid w:val="00FB28D2"/>
    <w:rsid w:val="00FB2E9E"/>
    <w:rsid w:val="00FB3C7B"/>
    <w:rsid w:val="00FB4324"/>
    <w:rsid w:val="00FB4BEF"/>
    <w:rsid w:val="00FB553A"/>
    <w:rsid w:val="00FB597F"/>
    <w:rsid w:val="00FB5FA3"/>
    <w:rsid w:val="00FB6E4C"/>
    <w:rsid w:val="00FB74C8"/>
    <w:rsid w:val="00FB7CB2"/>
    <w:rsid w:val="00FB7E69"/>
    <w:rsid w:val="00FC03D4"/>
    <w:rsid w:val="00FC0697"/>
    <w:rsid w:val="00FC0758"/>
    <w:rsid w:val="00FC0EFE"/>
    <w:rsid w:val="00FC16A5"/>
    <w:rsid w:val="00FC1F88"/>
    <w:rsid w:val="00FC22C3"/>
    <w:rsid w:val="00FC305D"/>
    <w:rsid w:val="00FC343B"/>
    <w:rsid w:val="00FC4C6B"/>
    <w:rsid w:val="00FC4D6E"/>
    <w:rsid w:val="00FC72A6"/>
    <w:rsid w:val="00FC7807"/>
    <w:rsid w:val="00FD0788"/>
    <w:rsid w:val="00FD110F"/>
    <w:rsid w:val="00FD1138"/>
    <w:rsid w:val="00FD19D5"/>
    <w:rsid w:val="00FD1FAF"/>
    <w:rsid w:val="00FD26C0"/>
    <w:rsid w:val="00FD2956"/>
    <w:rsid w:val="00FD29FC"/>
    <w:rsid w:val="00FD3359"/>
    <w:rsid w:val="00FD4671"/>
    <w:rsid w:val="00FD4B6D"/>
    <w:rsid w:val="00FD5383"/>
    <w:rsid w:val="00FD53A2"/>
    <w:rsid w:val="00FD559E"/>
    <w:rsid w:val="00FD5775"/>
    <w:rsid w:val="00FD6002"/>
    <w:rsid w:val="00FD7527"/>
    <w:rsid w:val="00FD7662"/>
    <w:rsid w:val="00FD7BB4"/>
    <w:rsid w:val="00FE07C5"/>
    <w:rsid w:val="00FE0838"/>
    <w:rsid w:val="00FE12DD"/>
    <w:rsid w:val="00FE1E23"/>
    <w:rsid w:val="00FE1E34"/>
    <w:rsid w:val="00FE3777"/>
    <w:rsid w:val="00FE4513"/>
    <w:rsid w:val="00FE699F"/>
    <w:rsid w:val="00FE69C6"/>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82F7D02"/>
  <w15:docId w15:val="{4BA60963-76E8-4A06-B970-77C7B9257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B724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A91A02"/>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A91A02"/>
    <w:pPr>
      <w:numPr>
        <w:numId w:val="1"/>
      </w:numPr>
    </w:pPr>
  </w:style>
  <w:style w:type="table" w:customStyle="1" w:styleId="TableGrid1">
    <w:name w:val="Table Grid1"/>
    <w:basedOn w:val="TableNormal"/>
    <w:next w:val="TableGrid"/>
    <w:uiPriority w:val="59"/>
    <w:rsid w:val="004B65E7"/>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B724FB"/>
    <w:rPr>
      <w:rFonts w:asciiTheme="majorHAnsi" w:eastAsiaTheme="majorEastAsia" w:hAnsiTheme="majorHAnsi" w:cstheme="majorBidi"/>
      <w:color w:val="2E74B5" w:themeColor="accent1" w:themeShade="BF"/>
    </w:r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24378B"/>
  </w:style>
  <w:style w:type="paragraph" w:customStyle="1" w:styleId="oj-normal">
    <w:name w:val="oj-normal"/>
    <w:basedOn w:val="Normal"/>
    <w:rsid w:val="0011565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FD5383"/>
    <w:pPr>
      <w:numPr>
        <w:numId w:val="15"/>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FD5383"/>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FD5383"/>
    <w:pPr>
      <w:numPr>
        <w:numId w:val="17"/>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FD5383"/>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D95844"/>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57720B"/>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E96662"/>
  </w:style>
  <w:style w:type="paragraph" w:customStyle="1" w:styleId="Normal2">
    <w:name w:val="Normal2"/>
    <w:basedOn w:val="Normal"/>
    <w:rsid w:val="0012166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121669"/>
  </w:style>
  <w:style w:type="character" w:customStyle="1" w:styleId="super">
    <w:name w:val="super"/>
    <w:basedOn w:val="DefaultParagraphFont"/>
    <w:rsid w:val="00121669"/>
  </w:style>
  <w:style w:type="character" w:customStyle="1" w:styleId="WW8Num9z0">
    <w:name w:val="WW8Num9z0"/>
    <w:rsid w:val="00E325C6"/>
    <w:rPr>
      <w:rFonts w:hint="default"/>
    </w:rPr>
  </w:style>
  <w:style w:type="numbering" w:styleId="111111">
    <w:name w:val="Outline List 2"/>
    <w:basedOn w:val="NoList"/>
    <w:uiPriority w:val="99"/>
    <w:semiHidden/>
    <w:unhideWhenUsed/>
    <w:rsid w:val="00E325C6"/>
    <w:pPr>
      <w:numPr>
        <w:numId w:val="23"/>
      </w:numPr>
    </w:pPr>
  </w:style>
  <w:style w:type="paragraph" w:customStyle="1" w:styleId="norm">
    <w:name w:val="norm"/>
    <w:basedOn w:val="Normal"/>
    <w:rsid w:val="00EE35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EE356B"/>
  </w:style>
  <w:style w:type="paragraph" w:customStyle="1" w:styleId="doc-ti">
    <w:name w:val="doc-ti"/>
    <w:basedOn w:val="Normal"/>
    <w:rsid w:val="00B45B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1">
    <w:name w:val="toc 1"/>
    <w:basedOn w:val="Normal"/>
    <w:next w:val="Normal"/>
    <w:autoRedefine/>
    <w:uiPriority w:val="39"/>
    <w:unhideWhenUsed/>
    <w:rsid w:val="001C432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681">
      <w:bodyDiv w:val="1"/>
      <w:marLeft w:val="0"/>
      <w:marRight w:val="0"/>
      <w:marTop w:val="0"/>
      <w:marBottom w:val="0"/>
      <w:divBdr>
        <w:top w:val="none" w:sz="0" w:space="0" w:color="auto"/>
        <w:left w:val="none" w:sz="0" w:space="0" w:color="auto"/>
        <w:bottom w:val="none" w:sz="0" w:space="0" w:color="auto"/>
        <w:right w:val="none" w:sz="0" w:space="0" w:color="auto"/>
      </w:divBdr>
    </w:div>
    <w:div w:id="95903086">
      <w:bodyDiv w:val="1"/>
      <w:marLeft w:val="0"/>
      <w:marRight w:val="0"/>
      <w:marTop w:val="0"/>
      <w:marBottom w:val="0"/>
      <w:divBdr>
        <w:top w:val="none" w:sz="0" w:space="0" w:color="auto"/>
        <w:left w:val="none" w:sz="0" w:space="0" w:color="auto"/>
        <w:bottom w:val="none" w:sz="0" w:space="0" w:color="auto"/>
        <w:right w:val="none" w:sz="0" w:space="0" w:color="auto"/>
      </w:divBdr>
    </w:div>
    <w:div w:id="104233576">
      <w:bodyDiv w:val="1"/>
      <w:marLeft w:val="0"/>
      <w:marRight w:val="0"/>
      <w:marTop w:val="0"/>
      <w:marBottom w:val="0"/>
      <w:divBdr>
        <w:top w:val="none" w:sz="0" w:space="0" w:color="auto"/>
        <w:left w:val="none" w:sz="0" w:space="0" w:color="auto"/>
        <w:bottom w:val="none" w:sz="0" w:space="0" w:color="auto"/>
        <w:right w:val="none" w:sz="0" w:space="0" w:color="auto"/>
      </w:divBdr>
      <w:divsChild>
        <w:div w:id="224492503">
          <w:marLeft w:val="0"/>
          <w:marRight w:val="0"/>
          <w:marTop w:val="0"/>
          <w:marBottom w:val="0"/>
          <w:divBdr>
            <w:top w:val="none" w:sz="0" w:space="0" w:color="auto"/>
            <w:left w:val="none" w:sz="0" w:space="0" w:color="auto"/>
            <w:bottom w:val="none" w:sz="0" w:space="0" w:color="auto"/>
            <w:right w:val="none" w:sz="0" w:space="0" w:color="auto"/>
          </w:divBdr>
          <w:divsChild>
            <w:div w:id="1670323946">
              <w:marLeft w:val="0"/>
              <w:marRight w:val="0"/>
              <w:marTop w:val="0"/>
              <w:marBottom w:val="0"/>
              <w:divBdr>
                <w:top w:val="none" w:sz="0" w:space="0" w:color="auto"/>
                <w:left w:val="none" w:sz="0" w:space="0" w:color="auto"/>
                <w:bottom w:val="none" w:sz="0" w:space="0" w:color="auto"/>
                <w:right w:val="none" w:sz="0" w:space="0" w:color="auto"/>
              </w:divBdr>
              <w:divsChild>
                <w:div w:id="11490876">
                  <w:marLeft w:val="0"/>
                  <w:marRight w:val="0"/>
                  <w:marTop w:val="0"/>
                  <w:marBottom w:val="0"/>
                  <w:divBdr>
                    <w:top w:val="none" w:sz="0" w:space="0" w:color="auto"/>
                    <w:left w:val="none" w:sz="0" w:space="0" w:color="auto"/>
                    <w:bottom w:val="none" w:sz="0" w:space="0" w:color="auto"/>
                    <w:right w:val="none" w:sz="0" w:space="0" w:color="auto"/>
                  </w:divBdr>
                  <w:divsChild>
                    <w:div w:id="1310868831">
                      <w:marLeft w:val="0"/>
                      <w:marRight w:val="0"/>
                      <w:marTop w:val="120"/>
                      <w:marBottom w:val="0"/>
                      <w:divBdr>
                        <w:top w:val="none" w:sz="0" w:space="0" w:color="auto"/>
                        <w:left w:val="none" w:sz="0" w:space="0" w:color="auto"/>
                        <w:bottom w:val="none" w:sz="0" w:space="0" w:color="auto"/>
                        <w:right w:val="none" w:sz="0" w:space="0" w:color="auto"/>
                      </w:divBdr>
                    </w:div>
                    <w:div w:id="1447433778">
                      <w:marLeft w:val="0"/>
                      <w:marRight w:val="0"/>
                      <w:marTop w:val="0"/>
                      <w:marBottom w:val="0"/>
                      <w:divBdr>
                        <w:top w:val="none" w:sz="0" w:space="0" w:color="auto"/>
                        <w:left w:val="none" w:sz="0" w:space="0" w:color="auto"/>
                        <w:bottom w:val="none" w:sz="0" w:space="0" w:color="auto"/>
                        <w:right w:val="none" w:sz="0" w:space="0" w:color="auto"/>
                      </w:divBdr>
                      <w:divsChild>
                        <w:div w:id="146677545">
                          <w:marLeft w:val="0"/>
                          <w:marRight w:val="0"/>
                          <w:marTop w:val="0"/>
                          <w:marBottom w:val="0"/>
                          <w:divBdr>
                            <w:top w:val="none" w:sz="0" w:space="0" w:color="auto"/>
                            <w:left w:val="none" w:sz="0" w:space="0" w:color="auto"/>
                            <w:bottom w:val="none" w:sz="0" w:space="0" w:color="auto"/>
                            <w:right w:val="none" w:sz="0" w:space="0" w:color="auto"/>
                          </w:divBdr>
                          <w:divsChild>
                            <w:div w:id="191384718">
                              <w:marLeft w:val="0"/>
                              <w:marRight w:val="0"/>
                              <w:marTop w:val="0"/>
                              <w:marBottom w:val="0"/>
                              <w:divBdr>
                                <w:top w:val="none" w:sz="0" w:space="0" w:color="auto"/>
                                <w:left w:val="none" w:sz="0" w:space="0" w:color="auto"/>
                                <w:bottom w:val="none" w:sz="0" w:space="0" w:color="auto"/>
                                <w:right w:val="none" w:sz="0" w:space="0" w:color="auto"/>
                              </w:divBdr>
                              <w:divsChild>
                                <w:div w:id="1416853930">
                                  <w:marLeft w:val="0"/>
                                  <w:marRight w:val="0"/>
                                  <w:marTop w:val="120"/>
                                  <w:marBottom w:val="0"/>
                                  <w:divBdr>
                                    <w:top w:val="none" w:sz="0" w:space="0" w:color="auto"/>
                                    <w:left w:val="none" w:sz="0" w:space="0" w:color="auto"/>
                                    <w:bottom w:val="none" w:sz="0" w:space="0" w:color="auto"/>
                                    <w:right w:val="none" w:sz="0" w:space="0" w:color="auto"/>
                                  </w:divBdr>
                                </w:div>
                              </w:divsChild>
                            </w:div>
                            <w:div w:id="1955594772">
                              <w:marLeft w:val="0"/>
                              <w:marRight w:val="0"/>
                              <w:marTop w:val="120"/>
                              <w:marBottom w:val="0"/>
                              <w:divBdr>
                                <w:top w:val="none" w:sz="0" w:space="0" w:color="auto"/>
                                <w:left w:val="none" w:sz="0" w:space="0" w:color="auto"/>
                                <w:bottom w:val="none" w:sz="0" w:space="0" w:color="auto"/>
                                <w:right w:val="none" w:sz="0" w:space="0" w:color="auto"/>
                              </w:divBdr>
                            </w:div>
                          </w:divsChild>
                        </w:div>
                        <w:div w:id="1231236937">
                          <w:marLeft w:val="0"/>
                          <w:marRight w:val="0"/>
                          <w:marTop w:val="0"/>
                          <w:marBottom w:val="0"/>
                          <w:divBdr>
                            <w:top w:val="none" w:sz="0" w:space="0" w:color="auto"/>
                            <w:left w:val="none" w:sz="0" w:space="0" w:color="auto"/>
                            <w:bottom w:val="none" w:sz="0" w:space="0" w:color="auto"/>
                            <w:right w:val="none" w:sz="0" w:space="0" w:color="auto"/>
                          </w:divBdr>
                          <w:divsChild>
                            <w:div w:id="1405949175">
                              <w:marLeft w:val="0"/>
                              <w:marRight w:val="0"/>
                              <w:marTop w:val="0"/>
                              <w:marBottom w:val="0"/>
                              <w:divBdr>
                                <w:top w:val="none" w:sz="0" w:space="0" w:color="auto"/>
                                <w:left w:val="none" w:sz="0" w:space="0" w:color="auto"/>
                                <w:bottom w:val="none" w:sz="0" w:space="0" w:color="auto"/>
                                <w:right w:val="none" w:sz="0" w:space="0" w:color="auto"/>
                              </w:divBdr>
                              <w:divsChild>
                                <w:div w:id="1922986985">
                                  <w:marLeft w:val="0"/>
                                  <w:marRight w:val="0"/>
                                  <w:marTop w:val="120"/>
                                  <w:marBottom w:val="0"/>
                                  <w:divBdr>
                                    <w:top w:val="none" w:sz="0" w:space="0" w:color="auto"/>
                                    <w:left w:val="none" w:sz="0" w:space="0" w:color="auto"/>
                                    <w:bottom w:val="none" w:sz="0" w:space="0" w:color="auto"/>
                                    <w:right w:val="none" w:sz="0" w:space="0" w:color="auto"/>
                                  </w:divBdr>
                                </w:div>
                              </w:divsChild>
                            </w:div>
                            <w:div w:id="1881164107">
                              <w:marLeft w:val="0"/>
                              <w:marRight w:val="0"/>
                              <w:marTop w:val="120"/>
                              <w:marBottom w:val="0"/>
                              <w:divBdr>
                                <w:top w:val="none" w:sz="0" w:space="0" w:color="auto"/>
                                <w:left w:val="none" w:sz="0" w:space="0" w:color="auto"/>
                                <w:bottom w:val="none" w:sz="0" w:space="0" w:color="auto"/>
                                <w:right w:val="none" w:sz="0" w:space="0" w:color="auto"/>
                              </w:divBdr>
                            </w:div>
                          </w:divsChild>
                        </w:div>
                        <w:div w:id="2005931041">
                          <w:marLeft w:val="0"/>
                          <w:marRight w:val="0"/>
                          <w:marTop w:val="0"/>
                          <w:marBottom w:val="0"/>
                          <w:divBdr>
                            <w:top w:val="none" w:sz="0" w:space="0" w:color="auto"/>
                            <w:left w:val="none" w:sz="0" w:space="0" w:color="auto"/>
                            <w:bottom w:val="none" w:sz="0" w:space="0" w:color="auto"/>
                            <w:right w:val="none" w:sz="0" w:space="0" w:color="auto"/>
                          </w:divBdr>
                          <w:divsChild>
                            <w:div w:id="742488149">
                              <w:marLeft w:val="0"/>
                              <w:marRight w:val="0"/>
                              <w:marTop w:val="120"/>
                              <w:marBottom w:val="0"/>
                              <w:divBdr>
                                <w:top w:val="none" w:sz="0" w:space="0" w:color="auto"/>
                                <w:left w:val="none" w:sz="0" w:space="0" w:color="auto"/>
                                <w:bottom w:val="none" w:sz="0" w:space="0" w:color="auto"/>
                                <w:right w:val="none" w:sz="0" w:space="0" w:color="auto"/>
                              </w:divBdr>
                            </w:div>
                            <w:div w:id="2062167280">
                              <w:marLeft w:val="0"/>
                              <w:marRight w:val="0"/>
                              <w:marTop w:val="0"/>
                              <w:marBottom w:val="0"/>
                              <w:divBdr>
                                <w:top w:val="none" w:sz="0" w:space="0" w:color="auto"/>
                                <w:left w:val="none" w:sz="0" w:space="0" w:color="auto"/>
                                <w:bottom w:val="none" w:sz="0" w:space="0" w:color="auto"/>
                                <w:right w:val="none" w:sz="0" w:space="0" w:color="auto"/>
                              </w:divBdr>
                              <w:divsChild>
                                <w:div w:id="2020352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9429203">
                  <w:marLeft w:val="0"/>
                  <w:marRight w:val="0"/>
                  <w:marTop w:val="0"/>
                  <w:marBottom w:val="0"/>
                  <w:divBdr>
                    <w:top w:val="none" w:sz="0" w:space="0" w:color="auto"/>
                    <w:left w:val="none" w:sz="0" w:space="0" w:color="auto"/>
                    <w:bottom w:val="none" w:sz="0" w:space="0" w:color="auto"/>
                    <w:right w:val="none" w:sz="0" w:space="0" w:color="auto"/>
                  </w:divBdr>
                  <w:divsChild>
                    <w:div w:id="458836482">
                      <w:marLeft w:val="0"/>
                      <w:marRight w:val="0"/>
                      <w:marTop w:val="120"/>
                      <w:marBottom w:val="0"/>
                      <w:divBdr>
                        <w:top w:val="none" w:sz="0" w:space="0" w:color="auto"/>
                        <w:left w:val="none" w:sz="0" w:space="0" w:color="auto"/>
                        <w:bottom w:val="none" w:sz="0" w:space="0" w:color="auto"/>
                        <w:right w:val="none" w:sz="0" w:space="0" w:color="auto"/>
                      </w:divBdr>
                    </w:div>
                    <w:div w:id="15422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253385">
          <w:marLeft w:val="0"/>
          <w:marRight w:val="0"/>
          <w:marTop w:val="0"/>
          <w:marBottom w:val="0"/>
          <w:divBdr>
            <w:top w:val="none" w:sz="0" w:space="0" w:color="auto"/>
            <w:left w:val="none" w:sz="0" w:space="0" w:color="auto"/>
            <w:bottom w:val="none" w:sz="0" w:space="0" w:color="auto"/>
            <w:right w:val="none" w:sz="0" w:space="0" w:color="auto"/>
          </w:divBdr>
          <w:divsChild>
            <w:div w:id="1308318359">
              <w:marLeft w:val="0"/>
              <w:marRight w:val="0"/>
              <w:marTop w:val="0"/>
              <w:marBottom w:val="0"/>
              <w:divBdr>
                <w:top w:val="none" w:sz="0" w:space="0" w:color="auto"/>
                <w:left w:val="none" w:sz="0" w:space="0" w:color="auto"/>
                <w:bottom w:val="none" w:sz="0" w:space="0" w:color="auto"/>
                <w:right w:val="none" w:sz="0" w:space="0" w:color="auto"/>
              </w:divBdr>
              <w:divsChild>
                <w:div w:id="36129813">
                  <w:marLeft w:val="0"/>
                  <w:marRight w:val="0"/>
                  <w:marTop w:val="0"/>
                  <w:marBottom w:val="0"/>
                  <w:divBdr>
                    <w:top w:val="none" w:sz="0" w:space="0" w:color="auto"/>
                    <w:left w:val="none" w:sz="0" w:space="0" w:color="auto"/>
                    <w:bottom w:val="none" w:sz="0" w:space="0" w:color="auto"/>
                    <w:right w:val="none" w:sz="0" w:space="0" w:color="auto"/>
                  </w:divBdr>
                  <w:divsChild>
                    <w:div w:id="407654886">
                      <w:marLeft w:val="0"/>
                      <w:marRight w:val="0"/>
                      <w:marTop w:val="120"/>
                      <w:marBottom w:val="0"/>
                      <w:divBdr>
                        <w:top w:val="none" w:sz="0" w:space="0" w:color="auto"/>
                        <w:left w:val="none" w:sz="0" w:space="0" w:color="auto"/>
                        <w:bottom w:val="none" w:sz="0" w:space="0" w:color="auto"/>
                        <w:right w:val="none" w:sz="0" w:space="0" w:color="auto"/>
                      </w:divBdr>
                    </w:div>
                    <w:div w:id="1940092673">
                      <w:marLeft w:val="0"/>
                      <w:marRight w:val="0"/>
                      <w:marTop w:val="0"/>
                      <w:marBottom w:val="0"/>
                      <w:divBdr>
                        <w:top w:val="none" w:sz="0" w:space="0" w:color="auto"/>
                        <w:left w:val="none" w:sz="0" w:space="0" w:color="auto"/>
                        <w:bottom w:val="none" w:sz="0" w:space="0" w:color="auto"/>
                        <w:right w:val="none" w:sz="0" w:space="0" w:color="auto"/>
                      </w:divBdr>
                    </w:div>
                  </w:divsChild>
                </w:div>
                <w:div w:id="218517785">
                  <w:marLeft w:val="0"/>
                  <w:marRight w:val="0"/>
                  <w:marTop w:val="0"/>
                  <w:marBottom w:val="0"/>
                  <w:divBdr>
                    <w:top w:val="none" w:sz="0" w:space="0" w:color="auto"/>
                    <w:left w:val="none" w:sz="0" w:space="0" w:color="auto"/>
                    <w:bottom w:val="none" w:sz="0" w:space="0" w:color="auto"/>
                    <w:right w:val="none" w:sz="0" w:space="0" w:color="auto"/>
                  </w:divBdr>
                  <w:divsChild>
                    <w:div w:id="1165391140">
                      <w:marLeft w:val="0"/>
                      <w:marRight w:val="0"/>
                      <w:marTop w:val="0"/>
                      <w:marBottom w:val="0"/>
                      <w:divBdr>
                        <w:top w:val="none" w:sz="0" w:space="0" w:color="auto"/>
                        <w:left w:val="none" w:sz="0" w:space="0" w:color="auto"/>
                        <w:bottom w:val="none" w:sz="0" w:space="0" w:color="auto"/>
                        <w:right w:val="none" w:sz="0" w:space="0" w:color="auto"/>
                      </w:divBdr>
                    </w:div>
                    <w:div w:id="1707677135">
                      <w:marLeft w:val="0"/>
                      <w:marRight w:val="0"/>
                      <w:marTop w:val="120"/>
                      <w:marBottom w:val="0"/>
                      <w:divBdr>
                        <w:top w:val="none" w:sz="0" w:space="0" w:color="auto"/>
                        <w:left w:val="none" w:sz="0" w:space="0" w:color="auto"/>
                        <w:bottom w:val="none" w:sz="0" w:space="0" w:color="auto"/>
                        <w:right w:val="none" w:sz="0" w:space="0" w:color="auto"/>
                      </w:divBdr>
                    </w:div>
                  </w:divsChild>
                </w:div>
                <w:div w:id="322586931">
                  <w:marLeft w:val="0"/>
                  <w:marRight w:val="0"/>
                  <w:marTop w:val="0"/>
                  <w:marBottom w:val="0"/>
                  <w:divBdr>
                    <w:top w:val="none" w:sz="0" w:space="0" w:color="auto"/>
                    <w:left w:val="none" w:sz="0" w:space="0" w:color="auto"/>
                    <w:bottom w:val="none" w:sz="0" w:space="0" w:color="auto"/>
                    <w:right w:val="none" w:sz="0" w:space="0" w:color="auto"/>
                  </w:divBdr>
                  <w:divsChild>
                    <w:div w:id="952246591">
                      <w:marLeft w:val="0"/>
                      <w:marRight w:val="0"/>
                      <w:marTop w:val="120"/>
                      <w:marBottom w:val="0"/>
                      <w:divBdr>
                        <w:top w:val="none" w:sz="0" w:space="0" w:color="auto"/>
                        <w:left w:val="none" w:sz="0" w:space="0" w:color="auto"/>
                        <w:bottom w:val="none" w:sz="0" w:space="0" w:color="auto"/>
                        <w:right w:val="none" w:sz="0" w:space="0" w:color="auto"/>
                      </w:divBdr>
                    </w:div>
                    <w:div w:id="1987392182">
                      <w:marLeft w:val="0"/>
                      <w:marRight w:val="0"/>
                      <w:marTop w:val="0"/>
                      <w:marBottom w:val="0"/>
                      <w:divBdr>
                        <w:top w:val="none" w:sz="0" w:space="0" w:color="auto"/>
                        <w:left w:val="none" w:sz="0" w:space="0" w:color="auto"/>
                        <w:bottom w:val="none" w:sz="0" w:space="0" w:color="auto"/>
                        <w:right w:val="none" w:sz="0" w:space="0" w:color="auto"/>
                      </w:divBdr>
                    </w:div>
                  </w:divsChild>
                </w:div>
                <w:div w:id="1234773679">
                  <w:marLeft w:val="0"/>
                  <w:marRight w:val="0"/>
                  <w:marTop w:val="0"/>
                  <w:marBottom w:val="0"/>
                  <w:divBdr>
                    <w:top w:val="none" w:sz="0" w:space="0" w:color="auto"/>
                    <w:left w:val="none" w:sz="0" w:space="0" w:color="auto"/>
                    <w:bottom w:val="none" w:sz="0" w:space="0" w:color="auto"/>
                    <w:right w:val="none" w:sz="0" w:space="0" w:color="auto"/>
                  </w:divBdr>
                  <w:divsChild>
                    <w:div w:id="919606727">
                      <w:marLeft w:val="0"/>
                      <w:marRight w:val="0"/>
                      <w:marTop w:val="120"/>
                      <w:marBottom w:val="0"/>
                      <w:divBdr>
                        <w:top w:val="none" w:sz="0" w:space="0" w:color="auto"/>
                        <w:left w:val="none" w:sz="0" w:space="0" w:color="auto"/>
                        <w:bottom w:val="none" w:sz="0" w:space="0" w:color="auto"/>
                        <w:right w:val="none" w:sz="0" w:space="0" w:color="auto"/>
                      </w:divBdr>
                    </w:div>
                    <w:div w:id="1943030077">
                      <w:marLeft w:val="0"/>
                      <w:marRight w:val="0"/>
                      <w:marTop w:val="0"/>
                      <w:marBottom w:val="0"/>
                      <w:divBdr>
                        <w:top w:val="none" w:sz="0" w:space="0" w:color="auto"/>
                        <w:left w:val="none" w:sz="0" w:space="0" w:color="auto"/>
                        <w:bottom w:val="none" w:sz="0" w:space="0" w:color="auto"/>
                        <w:right w:val="none" w:sz="0" w:space="0" w:color="auto"/>
                      </w:divBdr>
                    </w:div>
                  </w:divsChild>
                </w:div>
                <w:div w:id="1752967832">
                  <w:marLeft w:val="0"/>
                  <w:marRight w:val="0"/>
                  <w:marTop w:val="0"/>
                  <w:marBottom w:val="0"/>
                  <w:divBdr>
                    <w:top w:val="none" w:sz="0" w:space="0" w:color="auto"/>
                    <w:left w:val="none" w:sz="0" w:space="0" w:color="auto"/>
                    <w:bottom w:val="none" w:sz="0" w:space="0" w:color="auto"/>
                    <w:right w:val="none" w:sz="0" w:space="0" w:color="auto"/>
                  </w:divBdr>
                  <w:divsChild>
                    <w:div w:id="155074691">
                      <w:marLeft w:val="0"/>
                      <w:marRight w:val="0"/>
                      <w:marTop w:val="120"/>
                      <w:marBottom w:val="0"/>
                      <w:divBdr>
                        <w:top w:val="none" w:sz="0" w:space="0" w:color="auto"/>
                        <w:left w:val="none" w:sz="0" w:space="0" w:color="auto"/>
                        <w:bottom w:val="none" w:sz="0" w:space="0" w:color="auto"/>
                        <w:right w:val="none" w:sz="0" w:space="0" w:color="auto"/>
                      </w:divBdr>
                    </w:div>
                    <w:div w:id="202253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5559">
      <w:bodyDiv w:val="1"/>
      <w:marLeft w:val="0"/>
      <w:marRight w:val="0"/>
      <w:marTop w:val="0"/>
      <w:marBottom w:val="0"/>
      <w:divBdr>
        <w:top w:val="none" w:sz="0" w:space="0" w:color="auto"/>
        <w:left w:val="none" w:sz="0" w:space="0" w:color="auto"/>
        <w:bottom w:val="none" w:sz="0" w:space="0" w:color="auto"/>
        <w:right w:val="none" w:sz="0" w:space="0" w:color="auto"/>
      </w:divBdr>
      <w:divsChild>
        <w:div w:id="882980301">
          <w:marLeft w:val="0"/>
          <w:marRight w:val="0"/>
          <w:marTop w:val="0"/>
          <w:marBottom w:val="0"/>
          <w:divBdr>
            <w:top w:val="none" w:sz="0" w:space="0" w:color="auto"/>
            <w:left w:val="none" w:sz="0" w:space="0" w:color="auto"/>
            <w:bottom w:val="none" w:sz="0" w:space="0" w:color="auto"/>
            <w:right w:val="none" w:sz="0" w:space="0" w:color="auto"/>
          </w:divBdr>
        </w:div>
      </w:divsChild>
    </w:div>
    <w:div w:id="191650846">
      <w:bodyDiv w:val="1"/>
      <w:marLeft w:val="0"/>
      <w:marRight w:val="0"/>
      <w:marTop w:val="0"/>
      <w:marBottom w:val="0"/>
      <w:divBdr>
        <w:top w:val="none" w:sz="0" w:space="0" w:color="auto"/>
        <w:left w:val="none" w:sz="0" w:space="0" w:color="auto"/>
        <w:bottom w:val="none" w:sz="0" w:space="0" w:color="auto"/>
        <w:right w:val="none" w:sz="0" w:space="0" w:color="auto"/>
      </w:divBdr>
    </w:div>
    <w:div w:id="237058962">
      <w:bodyDiv w:val="1"/>
      <w:marLeft w:val="0"/>
      <w:marRight w:val="0"/>
      <w:marTop w:val="0"/>
      <w:marBottom w:val="0"/>
      <w:divBdr>
        <w:top w:val="none" w:sz="0" w:space="0" w:color="auto"/>
        <w:left w:val="none" w:sz="0" w:space="0" w:color="auto"/>
        <w:bottom w:val="none" w:sz="0" w:space="0" w:color="auto"/>
        <w:right w:val="none" w:sz="0" w:space="0" w:color="auto"/>
      </w:divBdr>
    </w:div>
    <w:div w:id="301929974">
      <w:bodyDiv w:val="1"/>
      <w:marLeft w:val="0"/>
      <w:marRight w:val="0"/>
      <w:marTop w:val="0"/>
      <w:marBottom w:val="0"/>
      <w:divBdr>
        <w:top w:val="none" w:sz="0" w:space="0" w:color="auto"/>
        <w:left w:val="none" w:sz="0" w:space="0" w:color="auto"/>
        <w:bottom w:val="none" w:sz="0" w:space="0" w:color="auto"/>
        <w:right w:val="none" w:sz="0" w:space="0" w:color="auto"/>
      </w:divBdr>
      <w:divsChild>
        <w:div w:id="1838299097">
          <w:marLeft w:val="0"/>
          <w:marRight w:val="0"/>
          <w:marTop w:val="0"/>
          <w:marBottom w:val="0"/>
          <w:divBdr>
            <w:top w:val="none" w:sz="0" w:space="0" w:color="auto"/>
            <w:left w:val="none" w:sz="0" w:space="0" w:color="auto"/>
            <w:bottom w:val="none" w:sz="0" w:space="0" w:color="auto"/>
            <w:right w:val="none" w:sz="0" w:space="0" w:color="auto"/>
          </w:divBdr>
        </w:div>
      </w:divsChild>
    </w:div>
    <w:div w:id="345332287">
      <w:bodyDiv w:val="1"/>
      <w:marLeft w:val="0"/>
      <w:marRight w:val="0"/>
      <w:marTop w:val="0"/>
      <w:marBottom w:val="0"/>
      <w:divBdr>
        <w:top w:val="none" w:sz="0" w:space="0" w:color="auto"/>
        <w:left w:val="none" w:sz="0" w:space="0" w:color="auto"/>
        <w:bottom w:val="none" w:sz="0" w:space="0" w:color="auto"/>
        <w:right w:val="none" w:sz="0" w:space="0" w:color="auto"/>
      </w:divBdr>
      <w:divsChild>
        <w:div w:id="2362749">
          <w:marLeft w:val="0"/>
          <w:marRight w:val="0"/>
          <w:marTop w:val="0"/>
          <w:marBottom w:val="0"/>
          <w:divBdr>
            <w:top w:val="none" w:sz="0" w:space="0" w:color="auto"/>
            <w:left w:val="none" w:sz="0" w:space="0" w:color="auto"/>
            <w:bottom w:val="none" w:sz="0" w:space="0" w:color="auto"/>
            <w:right w:val="none" w:sz="0" w:space="0" w:color="auto"/>
          </w:divBdr>
        </w:div>
        <w:div w:id="312219025">
          <w:marLeft w:val="0"/>
          <w:marRight w:val="0"/>
          <w:marTop w:val="0"/>
          <w:marBottom w:val="0"/>
          <w:divBdr>
            <w:top w:val="none" w:sz="0" w:space="0" w:color="auto"/>
            <w:left w:val="none" w:sz="0" w:space="0" w:color="auto"/>
            <w:bottom w:val="none" w:sz="0" w:space="0" w:color="auto"/>
            <w:right w:val="none" w:sz="0" w:space="0" w:color="auto"/>
          </w:divBdr>
        </w:div>
        <w:div w:id="319579146">
          <w:marLeft w:val="0"/>
          <w:marRight w:val="0"/>
          <w:marTop w:val="0"/>
          <w:marBottom w:val="0"/>
          <w:divBdr>
            <w:top w:val="none" w:sz="0" w:space="0" w:color="auto"/>
            <w:left w:val="none" w:sz="0" w:space="0" w:color="auto"/>
            <w:bottom w:val="none" w:sz="0" w:space="0" w:color="auto"/>
            <w:right w:val="none" w:sz="0" w:space="0" w:color="auto"/>
          </w:divBdr>
        </w:div>
        <w:div w:id="396628392">
          <w:marLeft w:val="0"/>
          <w:marRight w:val="0"/>
          <w:marTop w:val="0"/>
          <w:marBottom w:val="0"/>
          <w:divBdr>
            <w:top w:val="none" w:sz="0" w:space="0" w:color="auto"/>
            <w:left w:val="none" w:sz="0" w:space="0" w:color="auto"/>
            <w:bottom w:val="none" w:sz="0" w:space="0" w:color="auto"/>
            <w:right w:val="none" w:sz="0" w:space="0" w:color="auto"/>
          </w:divBdr>
        </w:div>
        <w:div w:id="451898170">
          <w:marLeft w:val="0"/>
          <w:marRight w:val="0"/>
          <w:marTop w:val="0"/>
          <w:marBottom w:val="0"/>
          <w:divBdr>
            <w:top w:val="none" w:sz="0" w:space="0" w:color="auto"/>
            <w:left w:val="none" w:sz="0" w:space="0" w:color="auto"/>
            <w:bottom w:val="none" w:sz="0" w:space="0" w:color="auto"/>
            <w:right w:val="none" w:sz="0" w:space="0" w:color="auto"/>
          </w:divBdr>
        </w:div>
        <w:div w:id="491796942">
          <w:marLeft w:val="0"/>
          <w:marRight w:val="0"/>
          <w:marTop w:val="0"/>
          <w:marBottom w:val="0"/>
          <w:divBdr>
            <w:top w:val="none" w:sz="0" w:space="0" w:color="auto"/>
            <w:left w:val="none" w:sz="0" w:space="0" w:color="auto"/>
            <w:bottom w:val="none" w:sz="0" w:space="0" w:color="auto"/>
            <w:right w:val="none" w:sz="0" w:space="0" w:color="auto"/>
          </w:divBdr>
        </w:div>
        <w:div w:id="552078790">
          <w:marLeft w:val="0"/>
          <w:marRight w:val="0"/>
          <w:marTop w:val="0"/>
          <w:marBottom w:val="0"/>
          <w:divBdr>
            <w:top w:val="none" w:sz="0" w:space="0" w:color="auto"/>
            <w:left w:val="none" w:sz="0" w:space="0" w:color="auto"/>
            <w:bottom w:val="none" w:sz="0" w:space="0" w:color="auto"/>
            <w:right w:val="none" w:sz="0" w:space="0" w:color="auto"/>
          </w:divBdr>
        </w:div>
        <w:div w:id="572859559">
          <w:marLeft w:val="0"/>
          <w:marRight w:val="0"/>
          <w:marTop w:val="0"/>
          <w:marBottom w:val="0"/>
          <w:divBdr>
            <w:top w:val="none" w:sz="0" w:space="0" w:color="auto"/>
            <w:left w:val="none" w:sz="0" w:space="0" w:color="auto"/>
            <w:bottom w:val="none" w:sz="0" w:space="0" w:color="auto"/>
            <w:right w:val="none" w:sz="0" w:space="0" w:color="auto"/>
          </w:divBdr>
        </w:div>
        <w:div w:id="588732253">
          <w:marLeft w:val="0"/>
          <w:marRight w:val="0"/>
          <w:marTop w:val="0"/>
          <w:marBottom w:val="0"/>
          <w:divBdr>
            <w:top w:val="none" w:sz="0" w:space="0" w:color="auto"/>
            <w:left w:val="none" w:sz="0" w:space="0" w:color="auto"/>
            <w:bottom w:val="none" w:sz="0" w:space="0" w:color="auto"/>
            <w:right w:val="none" w:sz="0" w:space="0" w:color="auto"/>
          </w:divBdr>
        </w:div>
        <w:div w:id="700477925">
          <w:marLeft w:val="0"/>
          <w:marRight w:val="0"/>
          <w:marTop w:val="0"/>
          <w:marBottom w:val="0"/>
          <w:divBdr>
            <w:top w:val="none" w:sz="0" w:space="0" w:color="auto"/>
            <w:left w:val="none" w:sz="0" w:space="0" w:color="auto"/>
            <w:bottom w:val="none" w:sz="0" w:space="0" w:color="auto"/>
            <w:right w:val="none" w:sz="0" w:space="0" w:color="auto"/>
          </w:divBdr>
        </w:div>
        <w:div w:id="774787692">
          <w:marLeft w:val="0"/>
          <w:marRight w:val="0"/>
          <w:marTop w:val="0"/>
          <w:marBottom w:val="0"/>
          <w:divBdr>
            <w:top w:val="none" w:sz="0" w:space="0" w:color="auto"/>
            <w:left w:val="none" w:sz="0" w:space="0" w:color="auto"/>
            <w:bottom w:val="none" w:sz="0" w:space="0" w:color="auto"/>
            <w:right w:val="none" w:sz="0" w:space="0" w:color="auto"/>
          </w:divBdr>
        </w:div>
        <w:div w:id="815340619">
          <w:marLeft w:val="0"/>
          <w:marRight w:val="0"/>
          <w:marTop w:val="0"/>
          <w:marBottom w:val="0"/>
          <w:divBdr>
            <w:top w:val="none" w:sz="0" w:space="0" w:color="auto"/>
            <w:left w:val="none" w:sz="0" w:space="0" w:color="auto"/>
            <w:bottom w:val="none" w:sz="0" w:space="0" w:color="auto"/>
            <w:right w:val="none" w:sz="0" w:space="0" w:color="auto"/>
          </w:divBdr>
        </w:div>
        <w:div w:id="974483194">
          <w:marLeft w:val="0"/>
          <w:marRight w:val="0"/>
          <w:marTop w:val="0"/>
          <w:marBottom w:val="0"/>
          <w:divBdr>
            <w:top w:val="none" w:sz="0" w:space="0" w:color="auto"/>
            <w:left w:val="none" w:sz="0" w:space="0" w:color="auto"/>
            <w:bottom w:val="none" w:sz="0" w:space="0" w:color="auto"/>
            <w:right w:val="none" w:sz="0" w:space="0" w:color="auto"/>
          </w:divBdr>
        </w:div>
        <w:div w:id="1024672181">
          <w:marLeft w:val="0"/>
          <w:marRight w:val="0"/>
          <w:marTop w:val="0"/>
          <w:marBottom w:val="0"/>
          <w:divBdr>
            <w:top w:val="none" w:sz="0" w:space="0" w:color="auto"/>
            <w:left w:val="none" w:sz="0" w:space="0" w:color="auto"/>
            <w:bottom w:val="none" w:sz="0" w:space="0" w:color="auto"/>
            <w:right w:val="none" w:sz="0" w:space="0" w:color="auto"/>
          </w:divBdr>
        </w:div>
        <w:div w:id="1174417745">
          <w:marLeft w:val="0"/>
          <w:marRight w:val="0"/>
          <w:marTop w:val="0"/>
          <w:marBottom w:val="0"/>
          <w:divBdr>
            <w:top w:val="none" w:sz="0" w:space="0" w:color="auto"/>
            <w:left w:val="none" w:sz="0" w:space="0" w:color="auto"/>
            <w:bottom w:val="none" w:sz="0" w:space="0" w:color="auto"/>
            <w:right w:val="none" w:sz="0" w:space="0" w:color="auto"/>
          </w:divBdr>
        </w:div>
        <w:div w:id="1324622620">
          <w:marLeft w:val="0"/>
          <w:marRight w:val="0"/>
          <w:marTop w:val="0"/>
          <w:marBottom w:val="0"/>
          <w:divBdr>
            <w:top w:val="none" w:sz="0" w:space="0" w:color="auto"/>
            <w:left w:val="none" w:sz="0" w:space="0" w:color="auto"/>
            <w:bottom w:val="none" w:sz="0" w:space="0" w:color="auto"/>
            <w:right w:val="none" w:sz="0" w:space="0" w:color="auto"/>
          </w:divBdr>
        </w:div>
        <w:div w:id="1360355766">
          <w:marLeft w:val="0"/>
          <w:marRight w:val="0"/>
          <w:marTop w:val="0"/>
          <w:marBottom w:val="0"/>
          <w:divBdr>
            <w:top w:val="none" w:sz="0" w:space="0" w:color="auto"/>
            <w:left w:val="none" w:sz="0" w:space="0" w:color="auto"/>
            <w:bottom w:val="none" w:sz="0" w:space="0" w:color="auto"/>
            <w:right w:val="none" w:sz="0" w:space="0" w:color="auto"/>
          </w:divBdr>
        </w:div>
        <w:div w:id="1407337510">
          <w:marLeft w:val="0"/>
          <w:marRight w:val="0"/>
          <w:marTop w:val="0"/>
          <w:marBottom w:val="0"/>
          <w:divBdr>
            <w:top w:val="none" w:sz="0" w:space="0" w:color="auto"/>
            <w:left w:val="none" w:sz="0" w:space="0" w:color="auto"/>
            <w:bottom w:val="none" w:sz="0" w:space="0" w:color="auto"/>
            <w:right w:val="none" w:sz="0" w:space="0" w:color="auto"/>
          </w:divBdr>
        </w:div>
        <w:div w:id="1427119198">
          <w:marLeft w:val="0"/>
          <w:marRight w:val="0"/>
          <w:marTop w:val="0"/>
          <w:marBottom w:val="0"/>
          <w:divBdr>
            <w:top w:val="none" w:sz="0" w:space="0" w:color="auto"/>
            <w:left w:val="none" w:sz="0" w:space="0" w:color="auto"/>
            <w:bottom w:val="none" w:sz="0" w:space="0" w:color="auto"/>
            <w:right w:val="none" w:sz="0" w:space="0" w:color="auto"/>
          </w:divBdr>
        </w:div>
        <w:div w:id="1487281344">
          <w:marLeft w:val="0"/>
          <w:marRight w:val="0"/>
          <w:marTop w:val="0"/>
          <w:marBottom w:val="0"/>
          <w:divBdr>
            <w:top w:val="none" w:sz="0" w:space="0" w:color="auto"/>
            <w:left w:val="none" w:sz="0" w:space="0" w:color="auto"/>
            <w:bottom w:val="none" w:sz="0" w:space="0" w:color="auto"/>
            <w:right w:val="none" w:sz="0" w:space="0" w:color="auto"/>
          </w:divBdr>
        </w:div>
        <w:div w:id="1588229334">
          <w:marLeft w:val="0"/>
          <w:marRight w:val="0"/>
          <w:marTop w:val="0"/>
          <w:marBottom w:val="0"/>
          <w:divBdr>
            <w:top w:val="none" w:sz="0" w:space="0" w:color="auto"/>
            <w:left w:val="none" w:sz="0" w:space="0" w:color="auto"/>
            <w:bottom w:val="none" w:sz="0" w:space="0" w:color="auto"/>
            <w:right w:val="none" w:sz="0" w:space="0" w:color="auto"/>
          </w:divBdr>
        </w:div>
        <w:div w:id="1601447605">
          <w:marLeft w:val="0"/>
          <w:marRight w:val="0"/>
          <w:marTop w:val="0"/>
          <w:marBottom w:val="0"/>
          <w:divBdr>
            <w:top w:val="none" w:sz="0" w:space="0" w:color="auto"/>
            <w:left w:val="none" w:sz="0" w:space="0" w:color="auto"/>
            <w:bottom w:val="none" w:sz="0" w:space="0" w:color="auto"/>
            <w:right w:val="none" w:sz="0" w:space="0" w:color="auto"/>
          </w:divBdr>
        </w:div>
        <w:div w:id="1633750396">
          <w:marLeft w:val="0"/>
          <w:marRight w:val="0"/>
          <w:marTop w:val="0"/>
          <w:marBottom w:val="0"/>
          <w:divBdr>
            <w:top w:val="none" w:sz="0" w:space="0" w:color="auto"/>
            <w:left w:val="none" w:sz="0" w:space="0" w:color="auto"/>
            <w:bottom w:val="none" w:sz="0" w:space="0" w:color="auto"/>
            <w:right w:val="none" w:sz="0" w:space="0" w:color="auto"/>
          </w:divBdr>
        </w:div>
        <w:div w:id="1637878977">
          <w:marLeft w:val="0"/>
          <w:marRight w:val="0"/>
          <w:marTop w:val="0"/>
          <w:marBottom w:val="0"/>
          <w:divBdr>
            <w:top w:val="none" w:sz="0" w:space="0" w:color="auto"/>
            <w:left w:val="none" w:sz="0" w:space="0" w:color="auto"/>
            <w:bottom w:val="none" w:sz="0" w:space="0" w:color="auto"/>
            <w:right w:val="none" w:sz="0" w:space="0" w:color="auto"/>
          </w:divBdr>
        </w:div>
        <w:div w:id="1823346019">
          <w:marLeft w:val="0"/>
          <w:marRight w:val="0"/>
          <w:marTop w:val="0"/>
          <w:marBottom w:val="0"/>
          <w:divBdr>
            <w:top w:val="none" w:sz="0" w:space="0" w:color="auto"/>
            <w:left w:val="none" w:sz="0" w:space="0" w:color="auto"/>
            <w:bottom w:val="none" w:sz="0" w:space="0" w:color="auto"/>
            <w:right w:val="none" w:sz="0" w:space="0" w:color="auto"/>
          </w:divBdr>
        </w:div>
        <w:div w:id="1904943522">
          <w:marLeft w:val="0"/>
          <w:marRight w:val="0"/>
          <w:marTop w:val="0"/>
          <w:marBottom w:val="0"/>
          <w:divBdr>
            <w:top w:val="none" w:sz="0" w:space="0" w:color="auto"/>
            <w:left w:val="none" w:sz="0" w:space="0" w:color="auto"/>
            <w:bottom w:val="none" w:sz="0" w:space="0" w:color="auto"/>
            <w:right w:val="none" w:sz="0" w:space="0" w:color="auto"/>
          </w:divBdr>
        </w:div>
        <w:div w:id="1920288671">
          <w:marLeft w:val="0"/>
          <w:marRight w:val="0"/>
          <w:marTop w:val="0"/>
          <w:marBottom w:val="0"/>
          <w:divBdr>
            <w:top w:val="none" w:sz="0" w:space="0" w:color="auto"/>
            <w:left w:val="none" w:sz="0" w:space="0" w:color="auto"/>
            <w:bottom w:val="none" w:sz="0" w:space="0" w:color="auto"/>
            <w:right w:val="none" w:sz="0" w:space="0" w:color="auto"/>
          </w:divBdr>
        </w:div>
        <w:div w:id="1922444430">
          <w:marLeft w:val="0"/>
          <w:marRight w:val="0"/>
          <w:marTop w:val="0"/>
          <w:marBottom w:val="0"/>
          <w:divBdr>
            <w:top w:val="none" w:sz="0" w:space="0" w:color="auto"/>
            <w:left w:val="none" w:sz="0" w:space="0" w:color="auto"/>
            <w:bottom w:val="none" w:sz="0" w:space="0" w:color="auto"/>
            <w:right w:val="none" w:sz="0" w:space="0" w:color="auto"/>
          </w:divBdr>
        </w:div>
        <w:div w:id="1941598583">
          <w:marLeft w:val="0"/>
          <w:marRight w:val="0"/>
          <w:marTop w:val="0"/>
          <w:marBottom w:val="0"/>
          <w:divBdr>
            <w:top w:val="none" w:sz="0" w:space="0" w:color="auto"/>
            <w:left w:val="none" w:sz="0" w:space="0" w:color="auto"/>
            <w:bottom w:val="none" w:sz="0" w:space="0" w:color="auto"/>
            <w:right w:val="none" w:sz="0" w:space="0" w:color="auto"/>
          </w:divBdr>
        </w:div>
        <w:div w:id="1944223625">
          <w:marLeft w:val="0"/>
          <w:marRight w:val="0"/>
          <w:marTop w:val="0"/>
          <w:marBottom w:val="0"/>
          <w:divBdr>
            <w:top w:val="none" w:sz="0" w:space="0" w:color="auto"/>
            <w:left w:val="none" w:sz="0" w:space="0" w:color="auto"/>
            <w:bottom w:val="none" w:sz="0" w:space="0" w:color="auto"/>
            <w:right w:val="none" w:sz="0" w:space="0" w:color="auto"/>
          </w:divBdr>
        </w:div>
        <w:div w:id="1954314191">
          <w:marLeft w:val="0"/>
          <w:marRight w:val="0"/>
          <w:marTop w:val="0"/>
          <w:marBottom w:val="0"/>
          <w:divBdr>
            <w:top w:val="none" w:sz="0" w:space="0" w:color="auto"/>
            <w:left w:val="none" w:sz="0" w:space="0" w:color="auto"/>
            <w:bottom w:val="none" w:sz="0" w:space="0" w:color="auto"/>
            <w:right w:val="none" w:sz="0" w:space="0" w:color="auto"/>
          </w:divBdr>
        </w:div>
        <w:div w:id="1962299633">
          <w:marLeft w:val="0"/>
          <w:marRight w:val="0"/>
          <w:marTop w:val="0"/>
          <w:marBottom w:val="0"/>
          <w:divBdr>
            <w:top w:val="none" w:sz="0" w:space="0" w:color="auto"/>
            <w:left w:val="none" w:sz="0" w:space="0" w:color="auto"/>
            <w:bottom w:val="none" w:sz="0" w:space="0" w:color="auto"/>
            <w:right w:val="none" w:sz="0" w:space="0" w:color="auto"/>
          </w:divBdr>
        </w:div>
        <w:div w:id="1970865620">
          <w:marLeft w:val="0"/>
          <w:marRight w:val="0"/>
          <w:marTop w:val="0"/>
          <w:marBottom w:val="0"/>
          <w:divBdr>
            <w:top w:val="none" w:sz="0" w:space="0" w:color="auto"/>
            <w:left w:val="none" w:sz="0" w:space="0" w:color="auto"/>
            <w:bottom w:val="none" w:sz="0" w:space="0" w:color="auto"/>
            <w:right w:val="none" w:sz="0" w:space="0" w:color="auto"/>
          </w:divBdr>
        </w:div>
        <w:div w:id="2042588442">
          <w:marLeft w:val="0"/>
          <w:marRight w:val="0"/>
          <w:marTop w:val="0"/>
          <w:marBottom w:val="0"/>
          <w:divBdr>
            <w:top w:val="none" w:sz="0" w:space="0" w:color="auto"/>
            <w:left w:val="none" w:sz="0" w:space="0" w:color="auto"/>
            <w:bottom w:val="none" w:sz="0" w:space="0" w:color="auto"/>
            <w:right w:val="none" w:sz="0" w:space="0" w:color="auto"/>
          </w:divBdr>
        </w:div>
        <w:div w:id="2069838036">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9570499">
      <w:bodyDiv w:val="1"/>
      <w:marLeft w:val="0"/>
      <w:marRight w:val="0"/>
      <w:marTop w:val="0"/>
      <w:marBottom w:val="0"/>
      <w:divBdr>
        <w:top w:val="none" w:sz="0" w:space="0" w:color="auto"/>
        <w:left w:val="none" w:sz="0" w:space="0" w:color="auto"/>
        <w:bottom w:val="none" w:sz="0" w:space="0" w:color="auto"/>
        <w:right w:val="none" w:sz="0" w:space="0" w:color="auto"/>
      </w:divBdr>
    </w:div>
    <w:div w:id="468866044">
      <w:bodyDiv w:val="1"/>
      <w:marLeft w:val="0"/>
      <w:marRight w:val="0"/>
      <w:marTop w:val="0"/>
      <w:marBottom w:val="0"/>
      <w:divBdr>
        <w:top w:val="none" w:sz="0" w:space="0" w:color="auto"/>
        <w:left w:val="none" w:sz="0" w:space="0" w:color="auto"/>
        <w:bottom w:val="none" w:sz="0" w:space="0" w:color="auto"/>
        <w:right w:val="none" w:sz="0" w:space="0" w:color="auto"/>
      </w:divBdr>
    </w:div>
    <w:div w:id="473987259">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6178948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05566504">
      <w:bodyDiv w:val="1"/>
      <w:marLeft w:val="0"/>
      <w:marRight w:val="0"/>
      <w:marTop w:val="0"/>
      <w:marBottom w:val="0"/>
      <w:divBdr>
        <w:top w:val="none" w:sz="0" w:space="0" w:color="auto"/>
        <w:left w:val="none" w:sz="0" w:space="0" w:color="auto"/>
        <w:bottom w:val="none" w:sz="0" w:space="0" w:color="auto"/>
        <w:right w:val="none" w:sz="0" w:space="0" w:color="auto"/>
      </w:divBdr>
      <w:divsChild>
        <w:div w:id="1026055893">
          <w:marLeft w:val="0"/>
          <w:marRight w:val="0"/>
          <w:marTop w:val="0"/>
          <w:marBottom w:val="0"/>
          <w:divBdr>
            <w:top w:val="none" w:sz="0" w:space="0" w:color="auto"/>
            <w:left w:val="none" w:sz="0" w:space="0" w:color="auto"/>
            <w:bottom w:val="none" w:sz="0" w:space="0" w:color="auto"/>
            <w:right w:val="none" w:sz="0" w:space="0" w:color="auto"/>
          </w:divBdr>
          <w:divsChild>
            <w:div w:id="371729509">
              <w:marLeft w:val="0"/>
              <w:marRight w:val="0"/>
              <w:marTop w:val="120"/>
              <w:marBottom w:val="0"/>
              <w:divBdr>
                <w:top w:val="none" w:sz="0" w:space="0" w:color="auto"/>
                <w:left w:val="none" w:sz="0" w:space="0" w:color="auto"/>
                <w:bottom w:val="none" w:sz="0" w:space="0" w:color="auto"/>
                <w:right w:val="none" w:sz="0" w:space="0" w:color="auto"/>
              </w:divBdr>
            </w:div>
            <w:div w:id="1384988444">
              <w:marLeft w:val="0"/>
              <w:marRight w:val="0"/>
              <w:marTop w:val="0"/>
              <w:marBottom w:val="0"/>
              <w:divBdr>
                <w:top w:val="none" w:sz="0" w:space="0" w:color="auto"/>
                <w:left w:val="none" w:sz="0" w:space="0" w:color="auto"/>
                <w:bottom w:val="none" w:sz="0" w:space="0" w:color="auto"/>
                <w:right w:val="none" w:sz="0" w:space="0" w:color="auto"/>
              </w:divBdr>
            </w:div>
          </w:divsChild>
        </w:div>
        <w:div w:id="1194226584">
          <w:marLeft w:val="0"/>
          <w:marRight w:val="0"/>
          <w:marTop w:val="0"/>
          <w:marBottom w:val="0"/>
          <w:divBdr>
            <w:top w:val="none" w:sz="0" w:space="0" w:color="auto"/>
            <w:left w:val="none" w:sz="0" w:space="0" w:color="auto"/>
            <w:bottom w:val="none" w:sz="0" w:space="0" w:color="auto"/>
            <w:right w:val="none" w:sz="0" w:space="0" w:color="auto"/>
          </w:divBdr>
          <w:divsChild>
            <w:div w:id="1038622701">
              <w:marLeft w:val="0"/>
              <w:marRight w:val="0"/>
              <w:marTop w:val="0"/>
              <w:marBottom w:val="0"/>
              <w:divBdr>
                <w:top w:val="none" w:sz="0" w:space="0" w:color="auto"/>
                <w:left w:val="none" w:sz="0" w:space="0" w:color="auto"/>
                <w:bottom w:val="none" w:sz="0" w:space="0" w:color="auto"/>
                <w:right w:val="none" w:sz="0" w:space="0" w:color="auto"/>
              </w:divBdr>
            </w:div>
          </w:divsChild>
        </w:div>
        <w:div w:id="1380936809">
          <w:marLeft w:val="0"/>
          <w:marRight w:val="0"/>
          <w:marTop w:val="0"/>
          <w:marBottom w:val="0"/>
          <w:divBdr>
            <w:top w:val="none" w:sz="0" w:space="0" w:color="auto"/>
            <w:left w:val="none" w:sz="0" w:space="0" w:color="auto"/>
            <w:bottom w:val="none" w:sz="0" w:space="0" w:color="auto"/>
            <w:right w:val="none" w:sz="0" w:space="0" w:color="auto"/>
          </w:divBdr>
          <w:divsChild>
            <w:div w:id="710883464">
              <w:marLeft w:val="0"/>
              <w:marRight w:val="0"/>
              <w:marTop w:val="0"/>
              <w:marBottom w:val="0"/>
              <w:divBdr>
                <w:top w:val="none" w:sz="0" w:space="0" w:color="auto"/>
                <w:left w:val="none" w:sz="0" w:space="0" w:color="auto"/>
                <w:bottom w:val="none" w:sz="0" w:space="0" w:color="auto"/>
                <w:right w:val="none" w:sz="0" w:space="0" w:color="auto"/>
              </w:divBdr>
            </w:div>
          </w:divsChild>
        </w:div>
        <w:div w:id="1583250557">
          <w:marLeft w:val="0"/>
          <w:marRight w:val="0"/>
          <w:marTop w:val="0"/>
          <w:marBottom w:val="0"/>
          <w:divBdr>
            <w:top w:val="none" w:sz="0" w:space="0" w:color="auto"/>
            <w:left w:val="none" w:sz="0" w:space="0" w:color="auto"/>
            <w:bottom w:val="none" w:sz="0" w:space="0" w:color="auto"/>
            <w:right w:val="none" w:sz="0" w:space="0" w:color="auto"/>
          </w:divBdr>
          <w:divsChild>
            <w:div w:id="642468224">
              <w:marLeft w:val="0"/>
              <w:marRight w:val="0"/>
              <w:marTop w:val="120"/>
              <w:marBottom w:val="0"/>
              <w:divBdr>
                <w:top w:val="none" w:sz="0" w:space="0" w:color="auto"/>
                <w:left w:val="none" w:sz="0" w:space="0" w:color="auto"/>
                <w:bottom w:val="none" w:sz="0" w:space="0" w:color="auto"/>
                <w:right w:val="none" w:sz="0" w:space="0" w:color="auto"/>
              </w:divBdr>
            </w:div>
            <w:div w:id="1229725113">
              <w:marLeft w:val="0"/>
              <w:marRight w:val="0"/>
              <w:marTop w:val="0"/>
              <w:marBottom w:val="0"/>
              <w:divBdr>
                <w:top w:val="none" w:sz="0" w:space="0" w:color="auto"/>
                <w:left w:val="none" w:sz="0" w:space="0" w:color="auto"/>
                <w:bottom w:val="none" w:sz="0" w:space="0" w:color="auto"/>
                <w:right w:val="none" w:sz="0" w:space="0" w:color="auto"/>
              </w:divBdr>
            </w:div>
          </w:divsChild>
        </w:div>
        <w:div w:id="1659306211">
          <w:marLeft w:val="0"/>
          <w:marRight w:val="0"/>
          <w:marTop w:val="0"/>
          <w:marBottom w:val="0"/>
          <w:divBdr>
            <w:top w:val="none" w:sz="0" w:space="0" w:color="auto"/>
            <w:left w:val="none" w:sz="0" w:space="0" w:color="auto"/>
            <w:bottom w:val="none" w:sz="0" w:space="0" w:color="auto"/>
            <w:right w:val="none" w:sz="0" w:space="0" w:color="auto"/>
          </w:divBdr>
          <w:divsChild>
            <w:div w:id="1581132288">
              <w:marLeft w:val="0"/>
              <w:marRight w:val="0"/>
              <w:marTop w:val="0"/>
              <w:marBottom w:val="0"/>
              <w:divBdr>
                <w:top w:val="none" w:sz="0" w:space="0" w:color="auto"/>
                <w:left w:val="none" w:sz="0" w:space="0" w:color="auto"/>
                <w:bottom w:val="none" w:sz="0" w:space="0" w:color="auto"/>
                <w:right w:val="none" w:sz="0" w:space="0" w:color="auto"/>
              </w:divBdr>
            </w:div>
            <w:div w:id="1938830502">
              <w:marLeft w:val="0"/>
              <w:marRight w:val="0"/>
              <w:marTop w:val="120"/>
              <w:marBottom w:val="0"/>
              <w:divBdr>
                <w:top w:val="none" w:sz="0" w:space="0" w:color="auto"/>
                <w:left w:val="none" w:sz="0" w:space="0" w:color="auto"/>
                <w:bottom w:val="none" w:sz="0" w:space="0" w:color="auto"/>
                <w:right w:val="none" w:sz="0" w:space="0" w:color="auto"/>
              </w:divBdr>
            </w:div>
          </w:divsChild>
        </w:div>
        <w:div w:id="1780566478">
          <w:marLeft w:val="0"/>
          <w:marRight w:val="0"/>
          <w:marTop w:val="0"/>
          <w:marBottom w:val="0"/>
          <w:divBdr>
            <w:top w:val="none" w:sz="0" w:space="0" w:color="auto"/>
            <w:left w:val="none" w:sz="0" w:space="0" w:color="auto"/>
            <w:bottom w:val="none" w:sz="0" w:space="0" w:color="auto"/>
            <w:right w:val="none" w:sz="0" w:space="0" w:color="auto"/>
          </w:divBdr>
          <w:divsChild>
            <w:div w:id="1611621736">
              <w:marLeft w:val="0"/>
              <w:marRight w:val="0"/>
              <w:marTop w:val="0"/>
              <w:marBottom w:val="0"/>
              <w:divBdr>
                <w:top w:val="none" w:sz="0" w:space="0" w:color="auto"/>
                <w:left w:val="none" w:sz="0" w:space="0" w:color="auto"/>
                <w:bottom w:val="none" w:sz="0" w:space="0" w:color="auto"/>
                <w:right w:val="none" w:sz="0" w:space="0" w:color="auto"/>
              </w:divBdr>
            </w:div>
            <w:div w:id="20556895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81193782">
      <w:bodyDiv w:val="1"/>
      <w:marLeft w:val="0"/>
      <w:marRight w:val="0"/>
      <w:marTop w:val="0"/>
      <w:marBottom w:val="0"/>
      <w:divBdr>
        <w:top w:val="none" w:sz="0" w:space="0" w:color="auto"/>
        <w:left w:val="none" w:sz="0" w:space="0" w:color="auto"/>
        <w:bottom w:val="none" w:sz="0" w:space="0" w:color="auto"/>
        <w:right w:val="none" w:sz="0" w:space="0" w:color="auto"/>
      </w:divBdr>
    </w:div>
    <w:div w:id="791747583">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362871">
      <w:bodyDiv w:val="1"/>
      <w:marLeft w:val="0"/>
      <w:marRight w:val="0"/>
      <w:marTop w:val="0"/>
      <w:marBottom w:val="0"/>
      <w:divBdr>
        <w:top w:val="none" w:sz="0" w:space="0" w:color="auto"/>
        <w:left w:val="none" w:sz="0" w:space="0" w:color="auto"/>
        <w:bottom w:val="none" w:sz="0" w:space="0" w:color="auto"/>
        <w:right w:val="none" w:sz="0" w:space="0" w:color="auto"/>
      </w:divBdr>
    </w:div>
    <w:div w:id="807670057">
      <w:bodyDiv w:val="1"/>
      <w:marLeft w:val="0"/>
      <w:marRight w:val="0"/>
      <w:marTop w:val="0"/>
      <w:marBottom w:val="0"/>
      <w:divBdr>
        <w:top w:val="none" w:sz="0" w:space="0" w:color="auto"/>
        <w:left w:val="none" w:sz="0" w:space="0" w:color="auto"/>
        <w:bottom w:val="none" w:sz="0" w:space="0" w:color="auto"/>
        <w:right w:val="none" w:sz="0" w:space="0" w:color="auto"/>
      </w:divBdr>
      <w:divsChild>
        <w:div w:id="685906755">
          <w:marLeft w:val="0"/>
          <w:marRight w:val="0"/>
          <w:marTop w:val="0"/>
          <w:marBottom w:val="0"/>
          <w:divBdr>
            <w:top w:val="none" w:sz="0" w:space="0" w:color="auto"/>
            <w:left w:val="none" w:sz="0" w:space="0" w:color="auto"/>
            <w:bottom w:val="none" w:sz="0" w:space="0" w:color="auto"/>
            <w:right w:val="none" w:sz="0" w:space="0" w:color="auto"/>
          </w:divBdr>
        </w:div>
        <w:div w:id="785003249">
          <w:marLeft w:val="0"/>
          <w:marRight w:val="0"/>
          <w:marTop w:val="0"/>
          <w:marBottom w:val="0"/>
          <w:divBdr>
            <w:top w:val="none" w:sz="0" w:space="0" w:color="auto"/>
            <w:left w:val="none" w:sz="0" w:space="0" w:color="auto"/>
            <w:bottom w:val="none" w:sz="0" w:space="0" w:color="auto"/>
            <w:right w:val="none" w:sz="0" w:space="0" w:color="auto"/>
          </w:divBdr>
        </w:div>
        <w:div w:id="1402870178">
          <w:marLeft w:val="0"/>
          <w:marRight w:val="0"/>
          <w:marTop w:val="0"/>
          <w:marBottom w:val="0"/>
          <w:divBdr>
            <w:top w:val="none" w:sz="0" w:space="0" w:color="auto"/>
            <w:left w:val="none" w:sz="0" w:space="0" w:color="auto"/>
            <w:bottom w:val="none" w:sz="0" w:space="0" w:color="auto"/>
            <w:right w:val="none" w:sz="0" w:space="0" w:color="auto"/>
          </w:divBdr>
        </w:div>
        <w:div w:id="1467508004">
          <w:marLeft w:val="0"/>
          <w:marRight w:val="0"/>
          <w:marTop w:val="0"/>
          <w:marBottom w:val="0"/>
          <w:divBdr>
            <w:top w:val="none" w:sz="0" w:space="0" w:color="auto"/>
            <w:left w:val="none" w:sz="0" w:space="0" w:color="auto"/>
            <w:bottom w:val="none" w:sz="0" w:space="0" w:color="auto"/>
            <w:right w:val="none" w:sz="0" w:space="0" w:color="auto"/>
          </w:divBdr>
        </w:div>
        <w:div w:id="1489245607">
          <w:marLeft w:val="0"/>
          <w:marRight w:val="0"/>
          <w:marTop w:val="0"/>
          <w:marBottom w:val="0"/>
          <w:divBdr>
            <w:top w:val="none" w:sz="0" w:space="0" w:color="auto"/>
            <w:left w:val="none" w:sz="0" w:space="0" w:color="auto"/>
            <w:bottom w:val="none" w:sz="0" w:space="0" w:color="auto"/>
            <w:right w:val="none" w:sz="0" w:space="0" w:color="auto"/>
          </w:divBdr>
        </w:div>
        <w:div w:id="1547109555">
          <w:marLeft w:val="0"/>
          <w:marRight w:val="0"/>
          <w:marTop w:val="0"/>
          <w:marBottom w:val="0"/>
          <w:divBdr>
            <w:top w:val="none" w:sz="0" w:space="0" w:color="auto"/>
            <w:left w:val="none" w:sz="0" w:space="0" w:color="auto"/>
            <w:bottom w:val="none" w:sz="0" w:space="0" w:color="auto"/>
            <w:right w:val="none" w:sz="0" w:space="0" w:color="auto"/>
          </w:divBdr>
        </w:div>
        <w:div w:id="1574075296">
          <w:marLeft w:val="0"/>
          <w:marRight w:val="0"/>
          <w:marTop w:val="0"/>
          <w:marBottom w:val="0"/>
          <w:divBdr>
            <w:top w:val="none" w:sz="0" w:space="0" w:color="auto"/>
            <w:left w:val="none" w:sz="0" w:space="0" w:color="auto"/>
            <w:bottom w:val="none" w:sz="0" w:space="0" w:color="auto"/>
            <w:right w:val="none" w:sz="0" w:space="0" w:color="auto"/>
          </w:divBdr>
        </w:div>
        <w:div w:id="2033650638">
          <w:marLeft w:val="0"/>
          <w:marRight w:val="0"/>
          <w:marTop w:val="0"/>
          <w:marBottom w:val="0"/>
          <w:divBdr>
            <w:top w:val="none" w:sz="0" w:space="0" w:color="auto"/>
            <w:left w:val="none" w:sz="0" w:space="0" w:color="auto"/>
            <w:bottom w:val="none" w:sz="0" w:space="0" w:color="auto"/>
            <w:right w:val="none" w:sz="0" w:space="0" w:color="auto"/>
          </w:divBdr>
        </w:div>
        <w:div w:id="2062824193">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8810248">
      <w:bodyDiv w:val="1"/>
      <w:marLeft w:val="0"/>
      <w:marRight w:val="0"/>
      <w:marTop w:val="0"/>
      <w:marBottom w:val="0"/>
      <w:divBdr>
        <w:top w:val="none" w:sz="0" w:space="0" w:color="auto"/>
        <w:left w:val="none" w:sz="0" w:space="0" w:color="auto"/>
        <w:bottom w:val="none" w:sz="0" w:space="0" w:color="auto"/>
        <w:right w:val="none" w:sz="0" w:space="0" w:color="auto"/>
      </w:divBdr>
      <w:divsChild>
        <w:div w:id="480122195">
          <w:marLeft w:val="0"/>
          <w:marRight w:val="0"/>
          <w:marTop w:val="0"/>
          <w:marBottom w:val="0"/>
          <w:divBdr>
            <w:top w:val="none" w:sz="0" w:space="0" w:color="auto"/>
            <w:left w:val="none" w:sz="0" w:space="0" w:color="auto"/>
            <w:bottom w:val="none" w:sz="0" w:space="0" w:color="auto"/>
            <w:right w:val="none" w:sz="0" w:space="0" w:color="auto"/>
          </w:divBdr>
        </w:div>
        <w:div w:id="1109621466">
          <w:marLeft w:val="0"/>
          <w:marRight w:val="0"/>
          <w:marTop w:val="0"/>
          <w:marBottom w:val="0"/>
          <w:divBdr>
            <w:top w:val="none" w:sz="0" w:space="0" w:color="auto"/>
            <w:left w:val="none" w:sz="0" w:space="0" w:color="auto"/>
            <w:bottom w:val="none" w:sz="0" w:space="0" w:color="auto"/>
            <w:right w:val="none" w:sz="0" w:space="0" w:color="auto"/>
          </w:divBdr>
        </w:div>
      </w:divsChild>
    </w:div>
    <w:div w:id="861354829">
      <w:bodyDiv w:val="1"/>
      <w:marLeft w:val="0"/>
      <w:marRight w:val="0"/>
      <w:marTop w:val="0"/>
      <w:marBottom w:val="0"/>
      <w:divBdr>
        <w:top w:val="none" w:sz="0" w:space="0" w:color="auto"/>
        <w:left w:val="none" w:sz="0" w:space="0" w:color="auto"/>
        <w:bottom w:val="none" w:sz="0" w:space="0" w:color="auto"/>
        <w:right w:val="none" w:sz="0" w:space="0" w:color="auto"/>
      </w:divBdr>
      <w:divsChild>
        <w:div w:id="376127046">
          <w:marLeft w:val="0"/>
          <w:marRight w:val="0"/>
          <w:marTop w:val="0"/>
          <w:marBottom w:val="0"/>
          <w:divBdr>
            <w:top w:val="none" w:sz="0" w:space="0" w:color="auto"/>
            <w:left w:val="none" w:sz="0" w:space="0" w:color="auto"/>
            <w:bottom w:val="none" w:sz="0" w:space="0" w:color="auto"/>
            <w:right w:val="none" w:sz="0" w:space="0" w:color="auto"/>
          </w:divBdr>
          <w:divsChild>
            <w:div w:id="1085613296">
              <w:marLeft w:val="0"/>
              <w:marRight w:val="0"/>
              <w:marTop w:val="0"/>
              <w:marBottom w:val="0"/>
              <w:divBdr>
                <w:top w:val="none" w:sz="0" w:space="0" w:color="auto"/>
                <w:left w:val="none" w:sz="0" w:space="0" w:color="auto"/>
                <w:bottom w:val="none" w:sz="0" w:space="0" w:color="auto"/>
                <w:right w:val="none" w:sz="0" w:space="0" w:color="auto"/>
              </w:divBdr>
            </w:div>
            <w:div w:id="1785344675">
              <w:marLeft w:val="0"/>
              <w:marRight w:val="0"/>
              <w:marTop w:val="120"/>
              <w:marBottom w:val="0"/>
              <w:divBdr>
                <w:top w:val="none" w:sz="0" w:space="0" w:color="auto"/>
                <w:left w:val="none" w:sz="0" w:space="0" w:color="auto"/>
                <w:bottom w:val="none" w:sz="0" w:space="0" w:color="auto"/>
                <w:right w:val="none" w:sz="0" w:space="0" w:color="auto"/>
              </w:divBdr>
            </w:div>
          </w:divsChild>
        </w:div>
        <w:div w:id="448207189">
          <w:marLeft w:val="0"/>
          <w:marRight w:val="0"/>
          <w:marTop w:val="0"/>
          <w:marBottom w:val="0"/>
          <w:divBdr>
            <w:top w:val="none" w:sz="0" w:space="0" w:color="auto"/>
            <w:left w:val="none" w:sz="0" w:space="0" w:color="auto"/>
            <w:bottom w:val="none" w:sz="0" w:space="0" w:color="auto"/>
            <w:right w:val="none" w:sz="0" w:space="0" w:color="auto"/>
          </w:divBdr>
          <w:divsChild>
            <w:div w:id="555431377">
              <w:marLeft w:val="0"/>
              <w:marRight w:val="0"/>
              <w:marTop w:val="0"/>
              <w:marBottom w:val="0"/>
              <w:divBdr>
                <w:top w:val="none" w:sz="0" w:space="0" w:color="auto"/>
                <w:left w:val="none" w:sz="0" w:space="0" w:color="auto"/>
                <w:bottom w:val="none" w:sz="0" w:space="0" w:color="auto"/>
                <w:right w:val="none" w:sz="0" w:space="0" w:color="auto"/>
              </w:divBdr>
            </w:div>
            <w:div w:id="1563368964">
              <w:marLeft w:val="0"/>
              <w:marRight w:val="0"/>
              <w:marTop w:val="120"/>
              <w:marBottom w:val="0"/>
              <w:divBdr>
                <w:top w:val="none" w:sz="0" w:space="0" w:color="auto"/>
                <w:left w:val="none" w:sz="0" w:space="0" w:color="auto"/>
                <w:bottom w:val="none" w:sz="0" w:space="0" w:color="auto"/>
                <w:right w:val="none" w:sz="0" w:space="0" w:color="auto"/>
              </w:divBdr>
            </w:div>
          </w:divsChild>
        </w:div>
        <w:div w:id="468941493">
          <w:marLeft w:val="0"/>
          <w:marRight w:val="0"/>
          <w:marTop w:val="0"/>
          <w:marBottom w:val="0"/>
          <w:divBdr>
            <w:top w:val="none" w:sz="0" w:space="0" w:color="auto"/>
            <w:left w:val="none" w:sz="0" w:space="0" w:color="auto"/>
            <w:bottom w:val="none" w:sz="0" w:space="0" w:color="auto"/>
            <w:right w:val="none" w:sz="0" w:space="0" w:color="auto"/>
          </w:divBdr>
          <w:divsChild>
            <w:div w:id="734821696">
              <w:marLeft w:val="0"/>
              <w:marRight w:val="0"/>
              <w:marTop w:val="0"/>
              <w:marBottom w:val="0"/>
              <w:divBdr>
                <w:top w:val="none" w:sz="0" w:space="0" w:color="auto"/>
                <w:left w:val="none" w:sz="0" w:space="0" w:color="auto"/>
                <w:bottom w:val="none" w:sz="0" w:space="0" w:color="auto"/>
                <w:right w:val="none" w:sz="0" w:space="0" w:color="auto"/>
              </w:divBdr>
            </w:div>
            <w:div w:id="1467158183">
              <w:marLeft w:val="0"/>
              <w:marRight w:val="0"/>
              <w:marTop w:val="120"/>
              <w:marBottom w:val="0"/>
              <w:divBdr>
                <w:top w:val="none" w:sz="0" w:space="0" w:color="auto"/>
                <w:left w:val="none" w:sz="0" w:space="0" w:color="auto"/>
                <w:bottom w:val="none" w:sz="0" w:space="0" w:color="auto"/>
                <w:right w:val="none" w:sz="0" w:space="0" w:color="auto"/>
              </w:divBdr>
            </w:div>
          </w:divsChild>
        </w:div>
        <w:div w:id="670959731">
          <w:marLeft w:val="0"/>
          <w:marRight w:val="0"/>
          <w:marTop w:val="0"/>
          <w:marBottom w:val="0"/>
          <w:divBdr>
            <w:top w:val="none" w:sz="0" w:space="0" w:color="auto"/>
            <w:left w:val="none" w:sz="0" w:space="0" w:color="auto"/>
            <w:bottom w:val="none" w:sz="0" w:space="0" w:color="auto"/>
            <w:right w:val="none" w:sz="0" w:space="0" w:color="auto"/>
          </w:divBdr>
          <w:divsChild>
            <w:div w:id="667945799">
              <w:marLeft w:val="0"/>
              <w:marRight w:val="0"/>
              <w:marTop w:val="0"/>
              <w:marBottom w:val="0"/>
              <w:divBdr>
                <w:top w:val="none" w:sz="0" w:space="0" w:color="auto"/>
                <w:left w:val="none" w:sz="0" w:space="0" w:color="auto"/>
                <w:bottom w:val="none" w:sz="0" w:space="0" w:color="auto"/>
                <w:right w:val="none" w:sz="0" w:space="0" w:color="auto"/>
              </w:divBdr>
            </w:div>
          </w:divsChild>
        </w:div>
        <w:div w:id="985087523">
          <w:marLeft w:val="0"/>
          <w:marRight w:val="0"/>
          <w:marTop w:val="0"/>
          <w:marBottom w:val="0"/>
          <w:divBdr>
            <w:top w:val="none" w:sz="0" w:space="0" w:color="auto"/>
            <w:left w:val="none" w:sz="0" w:space="0" w:color="auto"/>
            <w:bottom w:val="none" w:sz="0" w:space="0" w:color="auto"/>
            <w:right w:val="none" w:sz="0" w:space="0" w:color="auto"/>
          </w:divBdr>
          <w:divsChild>
            <w:div w:id="5331028">
              <w:marLeft w:val="0"/>
              <w:marRight w:val="0"/>
              <w:marTop w:val="0"/>
              <w:marBottom w:val="0"/>
              <w:divBdr>
                <w:top w:val="none" w:sz="0" w:space="0" w:color="auto"/>
                <w:left w:val="none" w:sz="0" w:space="0" w:color="auto"/>
                <w:bottom w:val="none" w:sz="0" w:space="0" w:color="auto"/>
                <w:right w:val="none" w:sz="0" w:space="0" w:color="auto"/>
              </w:divBdr>
            </w:div>
            <w:div w:id="212616647">
              <w:marLeft w:val="0"/>
              <w:marRight w:val="0"/>
              <w:marTop w:val="120"/>
              <w:marBottom w:val="0"/>
              <w:divBdr>
                <w:top w:val="none" w:sz="0" w:space="0" w:color="auto"/>
                <w:left w:val="none" w:sz="0" w:space="0" w:color="auto"/>
                <w:bottom w:val="none" w:sz="0" w:space="0" w:color="auto"/>
                <w:right w:val="none" w:sz="0" w:space="0" w:color="auto"/>
              </w:divBdr>
            </w:div>
          </w:divsChild>
        </w:div>
        <w:div w:id="1496874585">
          <w:marLeft w:val="0"/>
          <w:marRight w:val="0"/>
          <w:marTop w:val="0"/>
          <w:marBottom w:val="0"/>
          <w:divBdr>
            <w:top w:val="none" w:sz="0" w:space="0" w:color="auto"/>
            <w:left w:val="none" w:sz="0" w:space="0" w:color="auto"/>
            <w:bottom w:val="none" w:sz="0" w:space="0" w:color="auto"/>
            <w:right w:val="none" w:sz="0" w:space="0" w:color="auto"/>
          </w:divBdr>
          <w:divsChild>
            <w:div w:id="10201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7243">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14778648">
      <w:bodyDiv w:val="1"/>
      <w:marLeft w:val="0"/>
      <w:marRight w:val="0"/>
      <w:marTop w:val="0"/>
      <w:marBottom w:val="0"/>
      <w:divBdr>
        <w:top w:val="none" w:sz="0" w:space="0" w:color="auto"/>
        <w:left w:val="none" w:sz="0" w:space="0" w:color="auto"/>
        <w:bottom w:val="none" w:sz="0" w:space="0" w:color="auto"/>
        <w:right w:val="none" w:sz="0" w:space="0" w:color="auto"/>
      </w:divBdr>
      <w:divsChild>
        <w:div w:id="1253514573">
          <w:marLeft w:val="0"/>
          <w:marRight w:val="0"/>
          <w:marTop w:val="0"/>
          <w:marBottom w:val="0"/>
          <w:divBdr>
            <w:top w:val="none" w:sz="0" w:space="0" w:color="auto"/>
            <w:left w:val="none" w:sz="0" w:space="0" w:color="auto"/>
            <w:bottom w:val="none" w:sz="0" w:space="0" w:color="auto"/>
            <w:right w:val="none" w:sz="0" w:space="0" w:color="auto"/>
          </w:divBdr>
        </w:div>
      </w:divsChild>
    </w:div>
    <w:div w:id="943653898">
      <w:bodyDiv w:val="1"/>
      <w:marLeft w:val="0"/>
      <w:marRight w:val="0"/>
      <w:marTop w:val="0"/>
      <w:marBottom w:val="0"/>
      <w:divBdr>
        <w:top w:val="none" w:sz="0" w:space="0" w:color="auto"/>
        <w:left w:val="none" w:sz="0" w:space="0" w:color="auto"/>
        <w:bottom w:val="none" w:sz="0" w:space="0" w:color="auto"/>
        <w:right w:val="none" w:sz="0" w:space="0" w:color="auto"/>
      </w:divBdr>
      <w:divsChild>
        <w:div w:id="849295812">
          <w:marLeft w:val="0"/>
          <w:marRight w:val="0"/>
          <w:marTop w:val="0"/>
          <w:marBottom w:val="0"/>
          <w:divBdr>
            <w:top w:val="none" w:sz="0" w:space="0" w:color="auto"/>
            <w:left w:val="none" w:sz="0" w:space="0" w:color="auto"/>
            <w:bottom w:val="none" w:sz="0" w:space="0" w:color="auto"/>
            <w:right w:val="none" w:sz="0" w:space="0" w:color="auto"/>
          </w:divBdr>
        </w:div>
        <w:div w:id="1097603809">
          <w:marLeft w:val="0"/>
          <w:marRight w:val="0"/>
          <w:marTop w:val="0"/>
          <w:marBottom w:val="0"/>
          <w:divBdr>
            <w:top w:val="none" w:sz="0" w:space="0" w:color="auto"/>
            <w:left w:val="none" w:sz="0" w:space="0" w:color="auto"/>
            <w:bottom w:val="none" w:sz="0" w:space="0" w:color="auto"/>
            <w:right w:val="none" w:sz="0" w:space="0" w:color="auto"/>
          </w:divBdr>
        </w:div>
      </w:divsChild>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904966">
      <w:bodyDiv w:val="1"/>
      <w:marLeft w:val="0"/>
      <w:marRight w:val="0"/>
      <w:marTop w:val="0"/>
      <w:marBottom w:val="0"/>
      <w:divBdr>
        <w:top w:val="none" w:sz="0" w:space="0" w:color="auto"/>
        <w:left w:val="none" w:sz="0" w:space="0" w:color="auto"/>
        <w:bottom w:val="none" w:sz="0" w:space="0" w:color="auto"/>
        <w:right w:val="none" w:sz="0" w:space="0" w:color="auto"/>
      </w:divBdr>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27408538">
      <w:bodyDiv w:val="1"/>
      <w:marLeft w:val="0"/>
      <w:marRight w:val="0"/>
      <w:marTop w:val="0"/>
      <w:marBottom w:val="0"/>
      <w:divBdr>
        <w:top w:val="none" w:sz="0" w:space="0" w:color="auto"/>
        <w:left w:val="none" w:sz="0" w:space="0" w:color="auto"/>
        <w:bottom w:val="none" w:sz="0" w:space="0" w:color="auto"/>
        <w:right w:val="none" w:sz="0" w:space="0" w:color="auto"/>
      </w:divBdr>
      <w:divsChild>
        <w:div w:id="116873216">
          <w:marLeft w:val="0"/>
          <w:marRight w:val="0"/>
          <w:marTop w:val="0"/>
          <w:marBottom w:val="0"/>
          <w:divBdr>
            <w:top w:val="none" w:sz="0" w:space="0" w:color="auto"/>
            <w:left w:val="none" w:sz="0" w:space="0" w:color="auto"/>
            <w:bottom w:val="none" w:sz="0" w:space="0" w:color="auto"/>
            <w:right w:val="none" w:sz="0" w:space="0" w:color="auto"/>
          </w:divBdr>
        </w:div>
        <w:div w:id="582839565">
          <w:marLeft w:val="0"/>
          <w:marRight w:val="0"/>
          <w:marTop w:val="0"/>
          <w:marBottom w:val="0"/>
          <w:divBdr>
            <w:top w:val="none" w:sz="0" w:space="0" w:color="auto"/>
            <w:left w:val="none" w:sz="0" w:space="0" w:color="auto"/>
            <w:bottom w:val="none" w:sz="0" w:space="0" w:color="auto"/>
            <w:right w:val="none" w:sz="0" w:space="0" w:color="auto"/>
          </w:divBdr>
        </w:div>
        <w:div w:id="946158065">
          <w:marLeft w:val="0"/>
          <w:marRight w:val="0"/>
          <w:marTop w:val="0"/>
          <w:marBottom w:val="0"/>
          <w:divBdr>
            <w:top w:val="none" w:sz="0" w:space="0" w:color="auto"/>
            <w:left w:val="none" w:sz="0" w:space="0" w:color="auto"/>
            <w:bottom w:val="none" w:sz="0" w:space="0" w:color="auto"/>
            <w:right w:val="none" w:sz="0" w:space="0" w:color="auto"/>
          </w:divBdr>
        </w:div>
        <w:div w:id="1062867891">
          <w:marLeft w:val="0"/>
          <w:marRight w:val="0"/>
          <w:marTop w:val="0"/>
          <w:marBottom w:val="0"/>
          <w:divBdr>
            <w:top w:val="none" w:sz="0" w:space="0" w:color="auto"/>
            <w:left w:val="none" w:sz="0" w:space="0" w:color="auto"/>
            <w:bottom w:val="none" w:sz="0" w:space="0" w:color="auto"/>
            <w:right w:val="none" w:sz="0" w:space="0" w:color="auto"/>
          </w:divBdr>
        </w:div>
        <w:div w:id="1067998387">
          <w:marLeft w:val="0"/>
          <w:marRight w:val="0"/>
          <w:marTop w:val="0"/>
          <w:marBottom w:val="0"/>
          <w:divBdr>
            <w:top w:val="none" w:sz="0" w:space="0" w:color="auto"/>
            <w:left w:val="none" w:sz="0" w:space="0" w:color="auto"/>
            <w:bottom w:val="none" w:sz="0" w:space="0" w:color="auto"/>
            <w:right w:val="none" w:sz="0" w:space="0" w:color="auto"/>
          </w:divBdr>
        </w:div>
        <w:div w:id="1096553989">
          <w:marLeft w:val="0"/>
          <w:marRight w:val="0"/>
          <w:marTop w:val="0"/>
          <w:marBottom w:val="0"/>
          <w:divBdr>
            <w:top w:val="none" w:sz="0" w:space="0" w:color="auto"/>
            <w:left w:val="none" w:sz="0" w:space="0" w:color="auto"/>
            <w:bottom w:val="none" w:sz="0" w:space="0" w:color="auto"/>
            <w:right w:val="none" w:sz="0" w:space="0" w:color="auto"/>
          </w:divBdr>
        </w:div>
        <w:div w:id="1200705752">
          <w:marLeft w:val="0"/>
          <w:marRight w:val="0"/>
          <w:marTop w:val="0"/>
          <w:marBottom w:val="0"/>
          <w:divBdr>
            <w:top w:val="none" w:sz="0" w:space="0" w:color="auto"/>
            <w:left w:val="none" w:sz="0" w:space="0" w:color="auto"/>
            <w:bottom w:val="none" w:sz="0" w:space="0" w:color="auto"/>
            <w:right w:val="none" w:sz="0" w:space="0" w:color="auto"/>
          </w:divBdr>
        </w:div>
        <w:div w:id="1301959047">
          <w:marLeft w:val="0"/>
          <w:marRight w:val="0"/>
          <w:marTop w:val="0"/>
          <w:marBottom w:val="0"/>
          <w:divBdr>
            <w:top w:val="none" w:sz="0" w:space="0" w:color="auto"/>
            <w:left w:val="none" w:sz="0" w:space="0" w:color="auto"/>
            <w:bottom w:val="none" w:sz="0" w:space="0" w:color="auto"/>
            <w:right w:val="none" w:sz="0" w:space="0" w:color="auto"/>
          </w:divBdr>
        </w:div>
        <w:div w:id="1664897622">
          <w:marLeft w:val="0"/>
          <w:marRight w:val="0"/>
          <w:marTop w:val="0"/>
          <w:marBottom w:val="0"/>
          <w:divBdr>
            <w:top w:val="none" w:sz="0" w:space="0" w:color="auto"/>
            <w:left w:val="none" w:sz="0" w:space="0" w:color="auto"/>
            <w:bottom w:val="none" w:sz="0" w:space="0" w:color="auto"/>
            <w:right w:val="none" w:sz="0" w:space="0" w:color="auto"/>
          </w:divBdr>
        </w:div>
        <w:div w:id="2121753488">
          <w:marLeft w:val="0"/>
          <w:marRight w:val="0"/>
          <w:marTop w:val="0"/>
          <w:marBottom w:val="0"/>
          <w:divBdr>
            <w:top w:val="none" w:sz="0" w:space="0" w:color="auto"/>
            <w:left w:val="none" w:sz="0" w:space="0" w:color="auto"/>
            <w:bottom w:val="none" w:sz="0" w:space="0" w:color="auto"/>
            <w:right w:val="none" w:sz="0" w:space="0" w:color="auto"/>
          </w:divBdr>
        </w:div>
      </w:divsChild>
    </w:div>
    <w:div w:id="1097868212">
      <w:bodyDiv w:val="1"/>
      <w:marLeft w:val="0"/>
      <w:marRight w:val="0"/>
      <w:marTop w:val="0"/>
      <w:marBottom w:val="0"/>
      <w:divBdr>
        <w:top w:val="none" w:sz="0" w:space="0" w:color="auto"/>
        <w:left w:val="none" w:sz="0" w:space="0" w:color="auto"/>
        <w:bottom w:val="none" w:sz="0" w:space="0" w:color="auto"/>
        <w:right w:val="none" w:sz="0" w:space="0" w:color="auto"/>
      </w:divBdr>
    </w:div>
    <w:div w:id="1142117346">
      <w:bodyDiv w:val="1"/>
      <w:marLeft w:val="0"/>
      <w:marRight w:val="0"/>
      <w:marTop w:val="0"/>
      <w:marBottom w:val="0"/>
      <w:divBdr>
        <w:top w:val="none" w:sz="0" w:space="0" w:color="auto"/>
        <w:left w:val="none" w:sz="0" w:space="0" w:color="auto"/>
        <w:bottom w:val="none" w:sz="0" w:space="0" w:color="auto"/>
        <w:right w:val="none" w:sz="0" w:space="0" w:color="auto"/>
      </w:divBdr>
    </w:div>
    <w:div w:id="1164197432">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13805825">
      <w:bodyDiv w:val="1"/>
      <w:marLeft w:val="0"/>
      <w:marRight w:val="0"/>
      <w:marTop w:val="0"/>
      <w:marBottom w:val="0"/>
      <w:divBdr>
        <w:top w:val="none" w:sz="0" w:space="0" w:color="auto"/>
        <w:left w:val="none" w:sz="0" w:space="0" w:color="auto"/>
        <w:bottom w:val="none" w:sz="0" w:space="0" w:color="auto"/>
        <w:right w:val="none" w:sz="0" w:space="0" w:color="auto"/>
      </w:divBdr>
    </w:div>
    <w:div w:id="1234044454">
      <w:bodyDiv w:val="1"/>
      <w:marLeft w:val="0"/>
      <w:marRight w:val="0"/>
      <w:marTop w:val="0"/>
      <w:marBottom w:val="0"/>
      <w:divBdr>
        <w:top w:val="none" w:sz="0" w:space="0" w:color="auto"/>
        <w:left w:val="none" w:sz="0" w:space="0" w:color="auto"/>
        <w:bottom w:val="none" w:sz="0" w:space="0" w:color="auto"/>
        <w:right w:val="none" w:sz="0" w:space="0" w:color="auto"/>
      </w:divBdr>
      <w:divsChild>
        <w:div w:id="305402122">
          <w:marLeft w:val="0"/>
          <w:marRight w:val="0"/>
          <w:marTop w:val="0"/>
          <w:marBottom w:val="0"/>
          <w:divBdr>
            <w:top w:val="none" w:sz="0" w:space="0" w:color="auto"/>
            <w:left w:val="none" w:sz="0" w:space="0" w:color="auto"/>
            <w:bottom w:val="none" w:sz="0" w:space="0" w:color="auto"/>
            <w:right w:val="none" w:sz="0" w:space="0" w:color="auto"/>
          </w:divBdr>
          <w:divsChild>
            <w:div w:id="218521102">
              <w:marLeft w:val="0"/>
              <w:marRight w:val="0"/>
              <w:marTop w:val="120"/>
              <w:marBottom w:val="0"/>
              <w:divBdr>
                <w:top w:val="none" w:sz="0" w:space="0" w:color="auto"/>
                <w:left w:val="none" w:sz="0" w:space="0" w:color="auto"/>
                <w:bottom w:val="none" w:sz="0" w:space="0" w:color="auto"/>
                <w:right w:val="none" w:sz="0" w:space="0" w:color="auto"/>
              </w:divBdr>
            </w:div>
            <w:div w:id="1971400791">
              <w:marLeft w:val="0"/>
              <w:marRight w:val="0"/>
              <w:marTop w:val="0"/>
              <w:marBottom w:val="0"/>
              <w:divBdr>
                <w:top w:val="none" w:sz="0" w:space="0" w:color="auto"/>
                <w:left w:val="none" w:sz="0" w:space="0" w:color="auto"/>
                <w:bottom w:val="none" w:sz="0" w:space="0" w:color="auto"/>
                <w:right w:val="none" w:sz="0" w:space="0" w:color="auto"/>
              </w:divBdr>
            </w:div>
          </w:divsChild>
        </w:div>
        <w:div w:id="2123383102">
          <w:marLeft w:val="0"/>
          <w:marRight w:val="0"/>
          <w:marTop w:val="0"/>
          <w:marBottom w:val="0"/>
          <w:divBdr>
            <w:top w:val="none" w:sz="0" w:space="0" w:color="auto"/>
            <w:left w:val="none" w:sz="0" w:space="0" w:color="auto"/>
            <w:bottom w:val="none" w:sz="0" w:space="0" w:color="auto"/>
            <w:right w:val="none" w:sz="0" w:space="0" w:color="auto"/>
          </w:divBdr>
          <w:divsChild>
            <w:div w:id="988706506">
              <w:marLeft w:val="0"/>
              <w:marRight w:val="0"/>
              <w:marTop w:val="120"/>
              <w:marBottom w:val="0"/>
              <w:divBdr>
                <w:top w:val="none" w:sz="0" w:space="0" w:color="auto"/>
                <w:left w:val="none" w:sz="0" w:space="0" w:color="auto"/>
                <w:bottom w:val="none" w:sz="0" w:space="0" w:color="auto"/>
                <w:right w:val="none" w:sz="0" w:space="0" w:color="auto"/>
              </w:divBdr>
            </w:div>
            <w:div w:id="11204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19295">
      <w:bodyDiv w:val="1"/>
      <w:marLeft w:val="0"/>
      <w:marRight w:val="0"/>
      <w:marTop w:val="0"/>
      <w:marBottom w:val="0"/>
      <w:divBdr>
        <w:top w:val="none" w:sz="0" w:space="0" w:color="auto"/>
        <w:left w:val="none" w:sz="0" w:space="0" w:color="auto"/>
        <w:bottom w:val="none" w:sz="0" w:space="0" w:color="auto"/>
        <w:right w:val="none" w:sz="0" w:space="0" w:color="auto"/>
      </w:divBdr>
    </w:div>
    <w:div w:id="1248885286">
      <w:bodyDiv w:val="1"/>
      <w:marLeft w:val="0"/>
      <w:marRight w:val="0"/>
      <w:marTop w:val="0"/>
      <w:marBottom w:val="0"/>
      <w:divBdr>
        <w:top w:val="none" w:sz="0" w:space="0" w:color="auto"/>
        <w:left w:val="none" w:sz="0" w:space="0" w:color="auto"/>
        <w:bottom w:val="none" w:sz="0" w:space="0" w:color="auto"/>
        <w:right w:val="none" w:sz="0" w:space="0" w:color="auto"/>
      </w:divBdr>
    </w:div>
    <w:div w:id="1281574153">
      <w:bodyDiv w:val="1"/>
      <w:marLeft w:val="0"/>
      <w:marRight w:val="0"/>
      <w:marTop w:val="0"/>
      <w:marBottom w:val="0"/>
      <w:divBdr>
        <w:top w:val="none" w:sz="0" w:space="0" w:color="auto"/>
        <w:left w:val="none" w:sz="0" w:space="0" w:color="auto"/>
        <w:bottom w:val="none" w:sz="0" w:space="0" w:color="auto"/>
        <w:right w:val="none" w:sz="0" w:space="0" w:color="auto"/>
      </w:divBdr>
    </w:div>
    <w:div w:id="1294286119">
      <w:bodyDiv w:val="1"/>
      <w:marLeft w:val="0"/>
      <w:marRight w:val="0"/>
      <w:marTop w:val="0"/>
      <w:marBottom w:val="0"/>
      <w:divBdr>
        <w:top w:val="none" w:sz="0" w:space="0" w:color="auto"/>
        <w:left w:val="none" w:sz="0" w:space="0" w:color="auto"/>
        <w:bottom w:val="none" w:sz="0" w:space="0" w:color="auto"/>
        <w:right w:val="none" w:sz="0" w:space="0" w:color="auto"/>
      </w:divBdr>
    </w:div>
    <w:div w:id="1304002041">
      <w:bodyDiv w:val="1"/>
      <w:marLeft w:val="0"/>
      <w:marRight w:val="0"/>
      <w:marTop w:val="0"/>
      <w:marBottom w:val="0"/>
      <w:divBdr>
        <w:top w:val="none" w:sz="0" w:space="0" w:color="auto"/>
        <w:left w:val="none" w:sz="0" w:space="0" w:color="auto"/>
        <w:bottom w:val="none" w:sz="0" w:space="0" w:color="auto"/>
        <w:right w:val="none" w:sz="0" w:space="0" w:color="auto"/>
      </w:divBdr>
      <w:divsChild>
        <w:div w:id="49352676">
          <w:marLeft w:val="0"/>
          <w:marRight w:val="0"/>
          <w:marTop w:val="0"/>
          <w:marBottom w:val="0"/>
          <w:divBdr>
            <w:top w:val="none" w:sz="0" w:space="0" w:color="auto"/>
            <w:left w:val="none" w:sz="0" w:space="0" w:color="auto"/>
            <w:bottom w:val="none" w:sz="0" w:space="0" w:color="auto"/>
            <w:right w:val="none" w:sz="0" w:space="0" w:color="auto"/>
          </w:divBdr>
        </w:div>
        <w:div w:id="658576224">
          <w:marLeft w:val="0"/>
          <w:marRight w:val="0"/>
          <w:marTop w:val="0"/>
          <w:marBottom w:val="0"/>
          <w:divBdr>
            <w:top w:val="none" w:sz="0" w:space="0" w:color="auto"/>
            <w:left w:val="none" w:sz="0" w:space="0" w:color="auto"/>
            <w:bottom w:val="none" w:sz="0" w:space="0" w:color="auto"/>
            <w:right w:val="none" w:sz="0" w:space="0" w:color="auto"/>
          </w:divBdr>
        </w:div>
        <w:div w:id="786193165">
          <w:marLeft w:val="0"/>
          <w:marRight w:val="0"/>
          <w:marTop w:val="0"/>
          <w:marBottom w:val="0"/>
          <w:divBdr>
            <w:top w:val="none" w:sz="0" w:space="0" w:color="auto"/>
            <w:left w:val="none" w:sz="0" w:space="0" w:color="auto"/>
            <w:bottom w:val="none" w:sz="0" w:space="0" w:color="auto"/>
            <w:right w:val="none" w:sz="0" w:space="0" w:color="auto"/>
          </w:divBdr>
        </w:div>
        <w:div w:id="796795545">
          <w:marLeft w:val="0"/>
          <w:marRight w:val="0"/>
          <w:marTop w:val="0"/>
          <w:marBottom w:val="0"/>
          <w:divBdr>
            <w:top w:val="none" w:sz="0" w:space="0" w:color="auto"/>
            <w:left w:val="none" w:sz="0" w:space="0" w:color="auto"/>
            <w:bottom w:val="none" w:sz="0" w:space="0" w:color="auto"/>
            <w:right w:val="none" w:sz="0" w:space="0" w:color="auto"/>
          </w:divBdr>
        </w:div>
        <w:div w:id="967662624">
          <w:marLeft w:val="0"/>
          <w:marRight w:val="0"/>
          <w:marTop w:val="0"/>
          <w:marBottom w:val="0"/>
          <w:divBdr>
            <w:top w:val="none" w:sz="0" w:space="0" w:color="auto"/>
            <w:left w:val="none" w:sz="0" w:space="0" w:color="auto"/>
            <w:bottom w:val="none" w:sz="0" w:space="0" w:color="auto"/>
            <w:right w:val="none" w:sz="0" w:space="0" w:color="auto"/>
          </w:divBdr>
        </w:div>
        <w:div w:id="1313486890">
          <w:marLeft w:val="0"/>
          <w:marRight w:val="0"/>
          <w:marTop w:val="0"/>
          <w:marBottom w:val="0"/>
          <w:divBdr>
            <w:top w:val="none" w:sz="0" w:space="0" w:color="auto"/>
            <w:left w:val="none" w:sz="0" w:space="0" w:color="auto"/>
            <w:bottom w:val="none" w:sz="0" w:space="0" w:color="auto"/>
            <w:right w:val="none" w:sz="0" w:space="0" w:color="auto"/>
          </w:divBdr>
        </w:div>
        <w:div w:id="1364290081">
          <w:marLeft w:val="0"/>
          <w:marRight w:val="0"/>
          <w:marTop w:val="0"/>
          <w:marBottom w:val="0"/>
          <w:divBdr>
            <w:top w:val="none" w:sz="0" w:space="0" w:color="auto"/>
            <w:left w:val="none" w:sz="0" w:space="0" w:color="auto"/>
            <w:bottom w:val="none" w:sz="0" w:space="0" w:color="auto"/>
            <w:right w:val="none" w:sz="0" w:space="0" w:color="auto"/>
          </w:divBdr>
        </w:div>
        <w:div w:id="1507282892">
          <w:marLeft w:val="0"/>
          <w:marRight w:val="0"/>
          <w:marTop w:val="0"/>
          <w:marBottom w:val="0"/>
          <w:divBdr>
            <w:top w:val="none" w:sz="0" w:space="0" w:color="auto"/>
            <w:left w:val="none" w:sz="0" w:space="0" w:color="auto"/>
            <w:bottom w:val="none" w:sz="0" w:space="0" w:color="auto"/>
            <w:right w:val="none" w:sz="0" w:space="0" w:color="auto"/>
          </w:divBdr>
        </w:div>
        <w:div w:id="1753696803">
          <w:marLeft w:val="0"/>
          <w:marRight w:val="0"/>
          <w:marTop w:val="0"/>
          <w:marBottom w:val="0"/>
          <w:divBdr>
            <w:top w:val="none" w:sz="0" w:space="0" w:color="auto"/>
            <w:left w:val="none" w:sz="0" w:space="0" w:color="auto"/>
            <w:bottom w:val="none" w:sz="0" w:space="0" w:color="auto"/>
            <w:right w:val="none" w:sz="0" w:space="0" w:color="auto"/>
          </w:divBdr>
        </w:div>
      </w:divsChild>
    </w:div>
    <w:div w:id="1344670733">
      <w:bodyDiv w:val="1"/>
      <w:marLeft w:val="0"/>
      <w:marRight w:val="0"/>
      <w:marTop w:val="0"/>
      <w:marBottom w:val="0"/>
      <w:divBdr>
        <w:top w:val="none" w:sz="0" w:space="0" w:color="auto"/>
        <w:left w:val="none" w:sz="0" w:space="0" w:color="auto"/>
        <w:bottom w:val="none" w:sz="0" w:space="0" w:color="auto"/>
        <w:right w:val="none" w:sz="0" w:space="0" w:color="auto"/>
      </w:divBdr>
    </w:div>
    <w:div w:id="1385059232">
      <w:bodyDiv w:val="1"/>
      <w:marLeft w:val="0"/>
      <w:marRight w:val="0"/>
      <w:marTop w:val="0"/>
      <w:marBottom w:val="0"/>
      <w:divBdr>
        <w:top w:val="none" w:sz="0" w:space="0" w:color="auto"/>
        <w:left w:val="none" w:sz="0" w:space="0" w:color="auto"/>
        <w:bottom w:val="none" w:sz="0" w:space="0" w:color="auto"/>
        <w:right w:val="none" w:sz="0" w:space="0" w:color="auto"/>
      </w:divBdr>
    </w:div>
    <w:div w:id="1400516582">
      <w:bodyDiv w:val="1"/>
      <w:marLeft w:val="0"/>
      <w:marRight w:val="0"/>
      <w:marTop w:val="0"/>
      <w:marBottom w:val="0"/>
      <w:divBdr>
        <w:top w:val="none" w:sz="0" w:space="0" w:color="auto"/>
        <w:left w:val="none" w:sz="0" w:space="0" w:color="auto"/>
        <w:bottom w:val="none" w:sz="0" w:space="0" w:color="auto"/>
        <w:right w:val="none" w:sz="0" w:space="0" w:color="auto"/>
      </w:divBdr>
    </w:div>
    <w:div w:id="1510365542">
      <w:bodyDiv w:val="1"/>
      <w:marLeft w:val="0"/>
      <w:marRight w:val="0"/>
      <w:marTop w:val="0"/>
      <w:marBottom w:val="0"/>
      <w:divBdr>
        <w:top w:val="none" w:sz="0" w:space="0" w:color="auto"/>
        <w:left w:val="none" w:sz="0" w:space="0" w:color="auto"/>
        <w:bottom w:val="none" w:sz="0" w:space="0" w:color="auto"/>
        <w:right w:val="none" w:sz="0" w:space="0" w:color="auto"/>
      </w:divBdr>
    </w:div>
    <w:div w:id="1574706756">
      <w:bodyDiv w:val="1"/>
      <w:marLeft w:val="0"/>
      <w:marRight w:val="0"/>
      <w:marTop w:val="0"/>
      <w:marBottom w:val="0"/>
      <w:divBdr>
        <w:top w:val="none" w:sz="0" w:space="0" w:color="auto"/>
        <w:left w:val="none" w:sz="0" w:space="0" w:color="auto"/>
        <w:bottom w:val="none" w:sz="0" w:space="0" w:color="auto"/>
        <w:right w:val="none" w:sz="0" w:space="0" w:color="auto"/>
      </w:divBdr>
    </w:div>
    <w:div w:id="1592158664">
      <w:bodyDiv w:val="1"/>
      <w:marLeft w:val="0"/>
      <w:marRight w:val="0"/>
      <w:marTop w:val="0"/>
      <w:marBottom w:val="0"/>
      <w:divBdr>
        <w:top w:val="none" w:sz="0" w:space="0" w:color="auto"/>
        <w:left w:val="none" w:sz="0" w:space="0" w:color="auto"/>
        <w:bottom w:val="none" w:sz="0" w:space="0" w:color="auto"/>
        <w:right w:val="none" w:sz="0" w:space="0" w:color="auto"/>
      </w:divBdr>
    </w:div>
    <w:div w:id="1598752374">
      <w:bodyDiv w:val="1"/>
      <w:marLeft w:val="0"/>
      <w:marRight w:val="0"/>
      <w:marTop w:val="0"/>
      <w:marBottom w:val="0"/>
      <w:divBdr>
        <w:top w:val="none" w:sz="0" w:space="0" w:color="auto"/>
        <w:left w:val="none" w:sz="0" w:space="0" w:color="auto"/>
        <w:bottom w:val="none" w:sz="0" w:space="0" w:color="auto"/>
        <w:right w:val="none" w:sz="0" w:space="0" w:color="auto"/>
      </w:divBdr>
    </w:div>
    <w:div w:id="1651522302">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93867364">
      <w:bodyDiv w:val="1"/>
      <w:marLeft w:val="0"/>
      <w:marRight w:val="0"/>
      <w:marTop w:val="0"/>
      <w:marBottom w:val="0"/>
      <w:divBdr>
        <w:top w:val="none" w:sz="0" w:space="0" w:color="auto"/>
        <w:left w:val="none" w:sz="0" w:space="0" w:color="auto"/>
        <w:bottom w:val="none" w:sz="0" w:space="0" w:color="auto"/>
        <w:right w:val="none" w:sz="0" w:space="0" w:color="auto"/>
      </w:divBdr>
    </w:div>
    <w:div w:id="1802067097">
      <w:bodyDiv w:val="1"/>
      <w:marLeft w:val="0"/>
      <w:marRight w:val="0"/>
      <w:marTop w:val="0"/>
      <w:marBottom w:val="0"/>
      <w:divBdr>
        <w:top w:val="none" w:sz="0" w:space="0" w:color="auto"/>
        <w:left w:val="none" w:sz="0" w:space="0" w:color="auto"/>
        <w:bottom w:val="none" w:sz="0" w:space="0" w:color="auto"/>
        <w:right w:val="none" w:sz="0" w:space="0" w:color="auto"/>
      </w:divBdr>
    </w:div>
    <w:div w:id="1844203856">
      <w:bodyDiv w:val="1"/>
      <w:marLeft w:val="0"/>
      <w:marRight w:val="0"/>
      <w:marTop w:val="0"/>
      <w:marBottom w:val="0"/>
      <w:divBdr>
        <w:top w:val="none" w:sz="0" w:space="0" w:color="auto"/>
        <w:left w:val="none" w:sz="0" w:space="0" w:color="auto"/>
        <w:bottom w:val="none" w:sz="0" w:space="0" w:color="auto"/>
        <w:right w:val="none" w:sz="0" w:space="0" w:color="auto"/>
      </w:divBdr>
    </w:div>
    <w:div w:id="1879736135">
      <w:bodyDiv w:val="1"/>
      <w:marLeft w:val="0"/>
      <w:marRight w:val="0"/>
      <w:marTop w:val="0"/>
      <w:marBottom w:val="0"/>
      <w:divBdr>
        <w:top w:val="none" w:sz="0" w:space="0" w:color="auto"/>
        <w:left w:val="none" w:sz="0" w:space="0" w:color="auto"/>
        <w:bottom w:val="none" w:sz="0" w:space="0" w:color="auto"/>
        <w:right w:val="none" w:sz="0" w:space="0" w:color="auto"/>
      </w:divBdr>
    </w:div>
    <w:div w:id="1930888283">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3050069">
      <w:bodyDiv w:val="1"/>
      <w:marLeft w:val="0"/>
      <w:marRight w:val="0"/>
      <w:marTop w:val="0"/>
      <w:marBottom w:val="0"/>
      <w:divBdr>
        <w:top w:val="none" w:sz="0" w:space="0" w:color="auto"/>
        <w:left w:val="none" w:sz="0" w:space="0" w:color="auto"/>
        <w:bottom w:val="none" w:sz="0" w:space="0" w:color="auto"/>
        <w:right w:val="none" w:sz="0" w:space="0" w:color="auto"/>
      </w:divBdr>
      <w:divsChild>
        <w:div w:id="379593346">
          <w:marLeft w:val="0"/>
          <w:marRight w:val="0"/>
          <w:marTop w:val="0"/>
          <w:marBottom w:val="0"/>
          <w:divBdr>
            <w:top w:val="none" w:sz="0" w:space="0" w:color="auto"/>
            <w:left w:val="none" w:sz="0" w:space="0" w:color="auto"/>
            <w:bottom w:val="none" w:sz="0" w:space="0" w:color="auto"/>
            <w:right w:val="none" w:sz="0" w:space="0" w:color="auto"/>
          </w:divBdr>
        </w:div>
        <w:div w:id="776801047">
          <w:marLeft w:val="0"/>
          <w:marRight w:val="0"/>
          <w:marTop w:val="0"/>
          <w:marBottom w:val="0"/>
          <w:divBdr>
            <w:top w:val="none" w:sz="0" w:space="0" w:color="auto"/>
            <w:left w:val="none" w:sz="0" w:space="0" w:color="auto"/>
            <w:bottom w:val="none" w:sz="0" w:space="0" w:color="auto"/>
            <w:right w:val="none" w:sz="0" w:space="0" w:color="auto"/>
          </w:divBdr>
        </w:div>
        <w:div w:id="1342513346">
          <w:marLeft w:val="0"/>
          <w:marRight w:val="0"/>
          <w:marTop w:val="0"/>
          <w:marBottom w:val="0"/>
          <w:divBdr>
            <w:top w:val="none" w:sz="0" w:space="0" w:color="auto"/>
            <w:left w:val="none" w:sz="0" w:space="0" w:color="auto"/>
            <w:bottom w:val="none" w:sz="0" w:space="0" w:color="auto"/>
            <w:right w:val="none" w:sz="0" w:space="0" w:color="auto"/>
          </w:divBdr>
        </w:div>
        <w:div w:id="1438141159">
          <w:marLeft w:val="0"/>
          <w:marRight w:val="0"/>
          <w:marTop w:val="0"/>
          <w:marBottom w:val="0"/>
          <w:divBdr>
            <w:top w:val="none" w:sz="0" w:space="0" w:color="auto"/>
            <w:left w:val="none" w:sz="0" w:space="0" w:color="auto"/>
            <w:bottom w:val="none" w:sz="0" w:space="0" w:color="auto"/>
            <w:right w:val="none" w:sz="0" w:space="0" w:color="auto"/>
          </w:divBdr>
        </w:div>
        <w:div w:id="1460802270">
          <w:marLeft w:val="0"/>
          <w:marRight w:val="0"/>
          <w:marTop w:val="0"/>
          <w:marBottom w:val="0"/>
          <w:divBdr>
            <w:top w:val="none" w:sz="0" w:space="0" w:color="auto"/>
            <w:left w:val="none" w:sz="0" w:space="0" w:color="auto"/>
            <w:bottom w:val="none" w:sz="0" w:space="0" w:color="auto"/>
            <w:right w:val="none" w:sz="0" w:space="0" w:color="auto"/>
          </w:divBdr>
        </w:div>
        <w:div w:id="1565683312">
          <w:marLeft w:val="0"/>
          <w:marRight w:val="0"/>
          <w:marTop w:val="0"/>
          <w:marBottom w:val="0"/>
          <w:divBdr>
            <w:top w:val="none" w:sz="0" w:space="0" w:color="auto"/>
            <w:left w:val="none" w:sz="0" w:space="0" w:color="auto"/>
            <w:bottom w:val="none" w:sz="0" w:space="0" w:color="auto"/>
            <w:right w:val="none" w:sz="0" w:space="0" w:color="auto"/>
          </w:divBdr>
        </w:div>
        <w:div w:id="1657881443">
          <w:marLeft w:val="0"/>
          <w:marRight w:val="0"/>
          <w:marTop w:val="0"/>
          <w:marBottom w:val="0"/>
          <w:divBdr>
            <w:top w:val="none" w:sz="0" w:space="0" w:color="auto"/>
            <w:left w:val="none" w:sz="0" w:space="0" w:color="auto"/>
            <w:bottom w:val="none" w:sz="0" w:space="0" w:color="auto"/>
            <w:right w:val="none" w:sz="0" w:space="0" w:color="auto"/>
          </w:divBdr>
        </w:div>
        <w:div w:id="1722249917">
          <w:marLeft w:val="0"/>
          <w:marRight w:val="0"/>
          <w:marTop w:val="0"/>
          <w:marBottom w:val="0"/>
          <w:divBdr>
            <w:top w:val="none" w:sz="0" w:space="0" w:color="auto"/>
            <w:left w:val="none" w:sz="0" w:space="0" w:color="auto"/>
            <w:bottom w:val="none" w:sz="0" w:space="0" w:color="auto"/>
            <w:right w:val="none" w:sz="0" w:space="0" w:color="auto"/>
          </w:divBdr>
        </w:div>
        <w:div w:id="1846438802">
          <w:marLeft w:val="0"/>
          <w:marRight w:val="0"/>
          <w:marTop w:val="0"/>
          <w:marBottom w:val="0"/>
          <w:divBdr>
            <w:top w:val="none" w:sz="0" w:space="0" w:color="auto"/>
            <w:left w:val="none" w:sz="0" w:space="0" w:color="auto"/>
            <w:bottom w:val="none" w:sz="0" w:space="0" w:color="auto"/>
            <w:right w:val="none" w:sz="0" w:space="0" w:color="auto"/>
          </w:divBdr>
        </w:div>
        <w:div w:id="1915158737">
          <w:marLeft w:val="0"/>
          <w:marRight w:val="0"/>
          <w:marTop w:val="0"/>
          <w:marBottom w:val="0"/>
          <w:divBdr>
            <w:top w:val="none" w:sz="0" w:space="0" w:color="auto"/>
            <w:left w:val="none" w:sz="0" w:space="0" w:color="auto"/>
            <w:bottom w:val="none" w:sz="0" w:space="0" w:color="auto"/>
            <w:right w:val="none" w:sz="0" w:space="0" w:color="auto"/>
          </w:divBdr>
        </w:div>
      </w:divsChild>
    </w:div>
    <w:div w:id="1956860226">
      <w:bodyDiv w:val="1"/>
      <w:marLeft w:val="0"/>
      <w:marRight w:val="0"/>
      <w:marTop w:val="0"/>
      <w:marBottom w:val="0"/>
      <w:divBdr>
        <w:top w:val="none" w:sz="0" w:space="0" w:color="auto"/>
        <w:left w:val="none" w:sz="0" w:space="0" w:color="auto"/>
        <w:bottom w:val="none" w:sz="0" w:space="0" w:color="auto"/>
        <w:right w:val="none" w:sz="0" w:space="0" w:color="auto"/>
      </w:divBdr>
      <w:divsChild>
        <w:div w:id="189300707">
          <w:marLeft w:val="0"/>
          <w:marRight w:val="0"/>
          <w:marTop w:val="0"/>
          <w:marBottom w:val="0"/>
          <w:divBdr>
            <w:top w:val="none" w:sz="0" w:space="0" w:color="auto"/>
            <w:left w:val="none" w:sz="0" w:space="0" w:color="auto"/>
            <w:bottom w:val="none" w:sz="0" w:space="0" w:color="auto"/>
            <w:right w:val="none" w:sz="0" w:space="0" w:color="auto"/>
          </w:divBdr>
        </w:div>
        <w:div w:id="927227366">
          <w:marLeft w:val="0"/>
          <w:marRight w:val="0"/>
          <w:marTop w:val="0"/>
          <w:marBottom w:val="0"/>
          <w:divBdr>
            <w:top w:val="none" w:sz="0" w:space="0" w:color="auto"/>
            <w:left w:val="none" w:sz="0" w:space="0" w:color="auto"/>
            <w:bottom w:val="none" w:sz="0" w:space="0" w:color="auto"/>
            <w:right w:val="none" w:sz="0" w:space="0" w:color="auto"/>
          </w:divBdr>
        </w:div>
        <w:div w:id="1332641512">
          <w:marLeft w:val="0"/>
          <w:marRight w:val="0"/>
          <w:marTop w:val="0"/>
          <w:marBottom w:val="0"/>
          <w:divBdr>
            <w:top w:val="none" w:sz="0" w:space="0" w:color="auto"/>
            <w:left w:val="none" w:sz="0" w:space="0" w:color="auto"/>
            <w:bottom w:val="none" w:sz="0" w:space="0" w:color="auto"/>
            <w:right w:val="none" w:sz="0" w:space="0" w:color="auto"/>
          </w:divBdr>
        </w:div>
      </w:divsChild>
    </w:div>
    <w:div w:id="1980181081">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50452054">
      <w:bodyDiv w:val="1"/>
      <w:marLeft w:val="0"/>
      <w:marRight w:val="0"/>
      <w:marTop w:val="0"/>
      <w:marBottom w:val="0"/>
      <w:divBdr>
        <w:top w:val="none" w:sz="0" w:space="0" w:color="auto"/>
        <w:left w:val="none" w:sz="0" w:space="0" w:color="auto"/>
        <w:bottom w:val="none" w:sz="0" w:space="0" w:color="auto"/>
        <w:right w:val="none" w:sz="0" w:space="0" w:color="auto"/>
      </w:divBdr>
    </w:div>
    <w:div w:id="2095277974">
      <w:bodyDiv w:val="1"/>
      <w:marLeft w:val="0"/>
      <w:marRight w:val="0"/>
      <w:marTop w:val="0"/>
      <w:marBottom w:val="0"/>
      <w:divBdr>
        <w:top w:val="none" w:sz="0" w:space="0" w:color="auto"/>
        <w:left w:val="none" w:sz="0" w:space="0" w:color="auto"/>
        <w:bottom w:val="none" w:sz="0" w:space="0" w:color="auto"/>
        <w:right w:val="none" w:sz="0" w:space="0" w:color="auto"/>
      </w:divBdr>
      <w:divsChild>
        <w:div w:id="41751178">
          <w:marLeft w:val="0"/>
          <w:marRight w:val="0"/>
          <w:marTop w:val="0"/>
          <w:marBottom w:val="0"/>
          <w:divBdr>
            <w:top w:val="none" w:sz="0" w:space="0" w:color="auto"/>
            <w:left w:val="none" w:sz="0" w:space="0" w:color="auto"/>
            <w:bottom w:val="none" w:sz="0" w:space="0" w:color="auto"/>
            <w:right w:val="none" w:sz="0" w:space="0" w:color="auto"/>
          </w:divBdr>
          <w:divsChild>
            <w:div w:id="2137751521">
              <w:marLeft w:val="0"/>
              <w:marRight w:val="0"/>
              <w:marTop w:val="0"/>
              <w:marBottom w:val="0"/>
              <w:divBdr>
                <w:top w:val="none" w:sz="0" w:space="0" w:color="auto"/>
                <w:left w:val="none" w:sz="0" w:space="0" w:color="auto"/>
                <w:bottom w:val="none" w:sz="0" w:space="0" w:color="auto"/>
                <w:right w:val="none" w:sz="0" w:space="0" w:color="auto"/>
              </w:divBdr>
            </w:div>
          </w:divsChild>
        </w:div>
        <w:div w:id="112135770">
          <w:marLeft w:val="0"/>
          <w:marRight w:val="0"/>
          <w:marTop w:val="0"/>
          <w:marBottom w:val="0"/>
          <w:divBdr>
            <w:top w:val="none" w:sz="0" w:space="0" w:color="auto"/>
            <w:left w:val="none" w:sz="0" w:space="0" w:color="auto"/>
            <w:bottom w:val="none" w:sz="0" w:space="0" w:color="auto"/>
            <w:right w:val="none" w:sz="0" w:space="0" w:color="auto"/>
          </w:divBdr>
          <w:divsChild>
            <w:div w:id="668563618">
              <w:marLeft w:val="0"/>
              <w:marRight w:val="0"/>
              <w:marTop w:val="0"/>
              <w:marBottom w:val="0"/>
              <w:divBdr>
                <w:top w:val="none" w:sz="0" w:space="0" w:color="auto"/>
                <w:left w:val="none" w:sz="0" w:space="0" w:color="auto"/>
                <w:bottom w:val="none" w:sz="0" w:space="0" w:color="auto"/>
                <w:right w:val="none" w:sz="0" w:space="0" w:color="auto"/>
              </w:divBdr>
            </w:div>
          </w:divsChild>
        </w:div>
        <w:div w:id="219361706">
          <w:marLeft w:val="0"/>
          <w:marRight w:val="0"/>
          <w:marTop w:val="0"/>
          <w:marBottom w:val="0"/>
          <w:divBdr>
            <w:top w:val="none" w:sz="0" w:space="0" w:color="auto"/>
            <w:left w:val="none" w:sz="0" w:space="0" w:color="auto"/>
            <w:bottom w:val="none" w:sz="0" w:space="0" w:color="auto"/>
            <w:right w:val="none" w:sz="0" w:space="0" w:color="auto"/>
          </w:divBdr>
          <w:divsChild>
            <w:div w:id="362219467">
              <w:marLeft w:val="0"/>
              <w:marRight w:val="0"/>
              <w:marTop w:val="0"/>
              <w:marBottom w:val="0"/>
              <w:divBdr>
                <w:top w:val="none" w:sz="0" w:space="0" w:color="auto"/>
                <w:left w:val="none" w:sz="0" w:space="0" w:color="auto"/>
                <w:bottom w:val="none" w:sz="0" w:space="0" w:color="auto"/>
                <w:right w:val="none" w:sz="0" w:space="0" w:color="auto"/>
              </w:divBdr>
              <w:divsChild>
                <w:div w:id="394666329">
                  <w:marLeft w:val="0"/>
                  <w:marRight w:val="0"/>
                  <w:marTop w:val="0"/>
                  <w:marBottom w:val="0"/>
                  <w:divBdr>
                    <w:top w:val="none" w:sz="0" w:space="0" w:color="auto"/>
                    <w:left w:val="none" w:sz="0" w:space="0" w:color="auto"/>
                    <w:bottom w:val="none" w:sz="0" w:space="0" w:color="auto"/>
                    <w:right w:val="none" w:sz="0" w:space="0" w:color="auto"/>
                  </w:divBdr>
                  <w:divsChild>
                    <w:div w:id="689531554">
                      <w:marLeft w:val="0"/>
                      <w:marRight w:val="0"/>
                      <w:marTop w:val="120"/>
                      <w:marBottom w:val="0"/>
                      <w:divBdr>
                        <w:top w:val="none" w:sz="0" w:space="0" w:color="auto"/>
                        <w:left w:val="none" w:sz="0" w:space="0" w:color="auto"/>
                        <w:bottom w:val="none" w:sz="0" w:space="0" w:color="auto"/>
                        <w:right w:val="none" w:sz="0" w:space="0" w:color="auto"/>
                      </w:divBdr>
                    </w:div>
                    <w:div w:id="1653604990">
                      <w:marLeft w:val="0"/>
                      <w:marRight w:val="0"/>
                      <w:marTop w:val="0"/>
                      <w:marBottom w:val="0"/>
                      <w:divBdr>
                        <w:top w:val="none" w:sz="0" w:space="0" w:color="auto"/>
                        <w:left w:val="none" w:sz="0" w:space="0" w:color="auto"/>
                        <w:bottom w:val="none" w:sz="0" w:space="0" w:color="auto"/>
                        <w:right w:val="none" w:sz="0" w:space="0" w:color="auto"/>
                      </w:divBdr>
                    </w:div>
                  </w:divsChild>
                </w:div>
                <w:div w:id="773861828">
                  <w:marLeft w:val="0"/>
                  <w:marRight w:val="0"/>
                  <w:marTop w:val="0"/>
                  <w:marBottom w:val="0"/>
                  <w:divBdr>
                    <w:top w:val="none" w:sz="0" w:space="0" w:color="auto"/>
                    <w:left w:val="none" w:sz="0" w:space="0" w:color="auto"/>
                    <w:bottom w:val="none" w:sz="0" w:space="0" w:color="auto"/>
                    <w:right w:val="none" w:sz="0" w:space="0" w:color="auto"/>
                  </w:divBdr>
                  <w:divsChild>
                    <w:div w:id="837422596">
                      <w:marLeft w:val="0"/>
                      <w:marRight w:val="0"/>
                      <w:marTop w:val="0"/>
                      <w:marBottom w:val="0"/>
                      <w:divBdr>
                        <w:top w:val="none" w:sz="0" w:space="0" w:color="auto"/>
                        <w:left w:val="none" w:sz="0" w:space="0" w:color="auto"/>
                        <w:bottom w:val="none" w:sz="0" w:space="0" w:color="auto"/>
                        <w:right w:val="none" w:sz="0" w:space="0" w:color="auto"/>
                      </w:divBdr>
                    </w:div>
                    <w:div w:id="1768695165">
                      <w:marLeft w:val="0"/>
                      <w:marRight w:val="0"/>
                      <w:marTop w:val="120"/>
                      <w:marBottom w:val="0"/>
                      <w:divBdr>
                        <w:top w:val="none" w:sz="0" w:space="0" w:color="auto"/>
                        <w:left w:val="none" w:sz="0" w:space="0" w:color="auto"/>
                        <w:bottom w:val="none" w:sz="0" w:space="0" w:color="auto"/>
                        <w:right w:val="none" w:sz="0" w:space="0" w:color="auto"/>
                      </w:divBdr>
                    </w:div>
                  </w:divsChild>
                </w:div>
                <w:div w:id="1845002113">
                  <w:marLeft w:val="0"/>
                  <w:marRight w:val="0"/>
                  <w:marTop w:val="0"/>
                  <w:marBottom w:val="0"/>
                  <w:divBdr>
                    <w:top w:val="none" w:sz="0" w:space="0" w:color="auto"/>
                    <w:left w:val="none" w:sz="0" w:space="0" w:color="auto"/>
                    <w:bottom w:val="none" w:sz="0" w:space="0" w:color="auto"/>
                    <w:right w:val="none" w:sz="0" w:space="0" w:color="auto"/>
                  </w:divBdr>
                  <w:divsChild>
                    <w:div w:id="1047411008">
                      <w:marLeft w:val="0"/>
                      <w:marRight w:val="0"/>
                      <w:marTop w:val="120"/>
                      <w:marBottom w:val="0"/>
                      <w:divBdr>
                        <w:top w:val="none" w:sz="0" w:space="0" w:color="auto"/>
                        <w:left w:val="none" w:sz="0" w:space="0" w:color="auto"/>
                        <w:bottom w:val="none" w:sz="0" w:space="0" w:color="auto"/>
                        <w:right w:val="none" w:sz="0" w:space="0" w:color="auto"/>
                      </w:divBdr>
                    </w:div>
                    <w:div w:id="16466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74218">
          <w:marLeft w:val="0"/>
          <w:marRight w:val="0"/>
          <w:marTop w:val="0"/>
          <w:marBottom w:val="0"/>
          <w:divBdr>
            <w:top w:val="none" w:sz="0" w:space="0" w:color="auto"/>
            <w:left w:val="none" w:sz="0" w:space="0" w:color="auto"/>
            <w:bottom w:val="none" w:sz="0" w:space="0" w:color="auto"/>
            <w:right w:val="none" w:sz="0" w:space="0" w:color="auto"/>
          </w:divBdr>
          <w:divsChild>
            <w:div w:id="804199130">
              <w:marLeft w:val="0"/>
              <w:marRight w:val="0"/>
              <w:marTop w:val="0"/>
              <w:marBottom w:val="0"/>
              <w:divBdr>
                <w:top w:val="none" w:sz="0" w:space="0" w:color="auto"/>
                <w:left w:val="none" w:sz="0" w:space="0" w:color="auto"/>
                <w:bottom w:val="none" w:sz="0" w:space="0" w:color="auto"/>
                <w:right w:val="none" w:sz="0" w:space="0" w:color="auto"/>
              </w:divBdr>
            </w:div>
          </w:divsChild>
        </w:div>
        <w:div w:id="1030842403">
          <w:marLeft w:val="0"/>
          <w:marRight w:val="0"/>
          <w:marTop w:val="0"/>
          <w:marBottom w:val="0"/>
          <w:divBdr>
            <w:top w:val="none" w:sz="0" w:space="0" w:color="auto"/>
            <w:left w:val="none" w:sz="0" w:space="0" w:color="auto"/>
            <w:bottom w:val="none" w:sz="0" w:space="0" w:color="auto"/>
            <w:right w:val="none" w:sz="0" w:space="0" w:color="auto"/>
          </w:divBdr>
          <w:divsChild>
            <w:div w:id="1926379942">
              <w:marLeft w:val="0"/>
              <w:marRight w:val="0"/>
              <w:marTop w:val="0"/>
              <w:marBottom w:val="0"/>
              <w:divBdr>
                <w:top w:val="none" w:sz="0" w:space="0" w:color="auto"/>
                <w:left w:val="none" w:sz="0" w:space="0" w:color="auto"/>
                <w:bottom w:val="none" w:sz="0" w:space="0" w:color="auto"/>
                <w:right w:val="none" w:sz="0" w:space="0" w:color="auto"/>
              </w:divBdr>
            </w:div>
          </w:divsChild>
        </w:div>
        <w:div w:id="1102650713">
          <w:marLeft w:val="0"/>
          <w:marRight w:val="0"/>
          <w:marTop w:val="0"/>
          <w:marBottom w:val="0"/>
          <w:divBdr>
            <w:top w:val="none" w:sz="0" w:space="0" w:color="auto"/>
            <w:left w:val="none" w:sz="0" w:space="0" w:color="auto"/>
            <w:bottom w:val="none" w:sz="0" w:space="0" w:color="auto"/>
            <w:right w:val="none" w:sz="0" w:space="0" w:color="auto"/>
          </w:divBdr>
          <w:divsChild>
            <w:div w:id="936447205">
              <w:marLeft w:val="0"/>
              <w:marRight w:val="0"/>
              <w:marTop w:val="0"/>
              <w:marBottom w:val="0"/>
              <w:divBdr>
                <w:top w:val="none" w:sz="0" w:space="0" w:color="auto"/>
                <w:left w:val="none" w:sz="0" w:space="0" w:color="auto"/>
                <w:bottom w:val="none" w:sz="0" w:space="0" w:color="auto"/>
                <w:right w:val="none" w:sz="0" w:space="0" w:color="auto"/>
              </w:divBdr>
            </w:div>
          </w:divsChild>
        </w:div>
        <w:div w:id="1228148330">
          <w:marLeft w:val="0"/>
          <w:marRight w:val="0"/>
          <w:marTop w:val="0"/>
          <w:marBottom w:val="0"/>
          <w:divBdr>
            <w:top w:val="none" w:sz="0" w:space="0" w:color="auto"/>
            <w:left w:val="none" w:sz="0" w:space="0" w:color="auto"/>
            <w:bottom w:val="none" w:sz="0" w:space="0" w:color="auto"/>
            <w:right w:val="none" w:sz="0" w:space="0" w:color="auto"/>
          </w:divBdr>
          <w:divsChild>
            <w:div w:id="1482771386">
              <w:marLeft w:val="0"/>
              <w:marRight w:val="0"/>
              <w:marTop w:val="0"/>
              <w:marBottom w:val="0"/>
              <w:divBdr>
                <w:top w:val="none" w:sz="0" w:space="0" w:color="auto"/>
                <w:left w:val="none" w:sz="0" w:space="0" w:color="auto"/>
                <w:bottom w:val="none" w:sz="0" w:space="0" w:color="auto"/>
                <w:right w:val="none" w:sz="0" w:space="0" w:color="auto"/>
              </w:divBdr>
            </w:div>
          </w:divsChild>
        </w:div>
        <w:div w:id="1599175773">
          <w:marLeft w:val="0"/>
          <w:marRight w:val="0"/>
          <w:marTop w:val="0"/>
          <w:marBottom w:val="0"/>
          <w:divBdr>
            <w:top w:val="none" w:sz="0" w:space="0" w:color="auto"/>
            <w:left w:val="none" w:sz="0" w:space="0" w:color="auto"/>
            <w:bottom w:val="none" w:sz="0" w:space="0" w:color="auto"/>
            <w:right w:val="none" w:sz="0" w:space="0" w:color="auto"/>
          </w:divBdr>
          <w:divsChild>
            <w:div w:id="1691372028">
              <w:marLeft w:val="0"/>
              <w:marRight w:val="0"/>
              <w:marTop w:val="0"/>
              <w:marBottom w:val="0"/>
              <w:divBdr>
                <w:top w:val="none" w:sz="0" w:space="0" w:color="auto"/>
                <w:left w:val="none" w:sz="0" w:space="0" w:color="auto"/>
                <w:bottom w:val="none" w:sz="0" w:space="0" w:color="auto"/>
                <w:right w:val="none" w:sz="0" w:space="0" w:color="auto"/>
              </w:divBdr>
              <w:divsChild>
                <w:div w:id="368382764">
                  <w:marLeft w:val="0"/>
                  <w:marRight w:val="0"/>
                  <w:marTop w:val="0"/>
                  <w:marBottom w:val="0"/>
                  <w:divBdr>
                    <w:top w:val="none" w:sz="0" w:space="0" w:color="auto"/>
                    <w:left w:val="none" w:sz="0" w:space="0" w:color="auto"/>
                    <w:bottom w:val="none" w:sz="0" w:space="0" w:color="auto"/>
                    <w:right w:val="none" w:sz="0" w:space="0" w:color="auto"/>
                  </w:divBdr>
                  <w:divsChild>
                    <w:div w:id="979919147">
                      <w:marLeft w:val="0"/>
                      <w:marRight w:val="0"/>
                      <w:marTop w:val="120"/>
                      <w:marBottom w:val="0"/>
                      <w:divBdr>
                        <w:top w:val="none" w:sz="0" w:space="0" w:color="auto"/>
                        <w:left w:val="none" w:sz="0" w:space="0" w:color="auto"/>
                        <w:bottom w:val="none" w:sz="0" w:space="0" w:color="auto"/>
                        <w:right w:val="none" w:sz="0" w:space="0" w:color="auto"/>
                      </w:divBdr>
                    </w:div>
                    <w:div w:id="1184176264">
                      <w:marLeft w:val="0"/>
                      <w:marRight w:val="0"/>
                      <w:marTop w:val="0"/>
                      <w:marBottom w:val="0"/>
                      <w:divBdr>
                        <w:top w:val="none" w:sz="0" w:space="0" w:color="auto"/>
                        <w:left w:val="none" w:sz="0" w:space="0" w:color="auto"/>
                        <w:bottom w:val="none" w:sz="0" w:space="0" w:color="auto"/>
                        <w:right w:val="none" w:sz="0" w:space="0" w:color="auto"/>
                      </w:divBdr>
                    </w:div>
                  </w:divsChild>
                </w:div>
                <w:div w:id="1322736729">
                  <w:marLeft w:val="0"/>
                  <w:marRight w:val="0"/>
                  <w:marTop w:val="0"/>
                  <w:marBottom w:val="0"/>
                  <w:divBdr>
                    <w:top w:val="none" w:sz="0" w:space="0" w:color="auto"/>
                    <w:left w:val="none" w:sz="0" w:space="0" w:color="auto"/>
                    <w:bottom w:val="none" w:sz="0" w:space="0" w:color="auto"/>
                    <w:right w:val="none" w:sz="0" w:space="0" w:color="auto"/>
                  </w:divBdr>
                  <w:divsChild>
                    <w:div w:id="367878379">
                      <w:marLeft w:val="0"/>
                      <w:marRight w:val="0"/>
                      <w:marTop w:val="0"/>
                      <w:marBottom w:val="0"/>
                      <w:divBdr>
                        <w:top w:val="none" w:sz="0" w:space="0" w:color="auto"/>
                        <w:left w:val="none" w:sz="0" w:space="0" w:color="auto"/>
                        <w:bottom w:val="none" w:sz="0" w:space="0" w:color="auto"/>
                        <w:right w:val="none" w:sz="0" w:space="0" w:color="auto"/>
                      </w:divBdr>
                    </w:div>
                    <w:div w:id="2029521848">
                      <w:marLeft w:val="0"/>
                      <w:marRight w:val="0"/>
                      <w:marTop w:val="120"/>
                      <w:marBottom w:val="0"/>
                      <w:divBdr>
                        <w:top w:val="none" w:sz="0" w:space="0" w:color="auto"/>
                        <w:left w:val="none" w:sz="0" w:space="0" w:color="auto"/>
                        <w:bottom w:val="none" w:sz="0" w:space="0" w:color="auto"/>
                        <w:right w:val="none" w:sz="0" w:space="0" w:color="auto"/>
                      </w:divBdr>
                    </w:div>
                  </w:divsChild>
                </w:div>
                <w:div w:id="1681809361">
                  <w:marLeft w:val="0"/>
                  <w:marRight w:val="0"/>
                  <w:marTop w:val="0"/>
                  <w:marBottom w:val="0"/>
                  <w:divBdr>
                    <w:top w:val="none" w:sz="0" w:space="0" w:color="auto"/>
                    <w:left w:val="none" w:sz="0" w:space="0" w:color="auto"/>
                    <w:bottom w:val="none" w:sz="0" w:space="0" w:color="auto"/>
                    <w:right w:val="none" w:sz="0" w:space="0" w:color="auto"/>
                  </w:divBdr>
                  <w:divsChild>
                    <w:div w:id="108165807">
                      <w:marLeft w:val="0"/>
                      <w:marRight w:val="0"/>
                      <w:marTop w:val="120"/>
                      <w:marBottom w:val="0"/>
                      <w:divBdr>
                        <w:top w:val="none" w:sz="0" w:space="0" w:color="auto"/>
                        <w:left w:val="none" w:sz="0" w:space="0" w:color="auto"/>
                        <w:bottom w:val="none" w:sz="0" w:space="0" w:color="auto"/>
                        <w:right w:val="none" w:sz="0" w:space="0" w:color="auto"/>
                      </w:divBdr>
                    </w:div>
                    <w:div w:id="110476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2117">
          <w:marLeft w:val="0"/>
          <w:marRight w:val="0"/>
          <w:marTop w:val="0"/>
          <w:marBottom w:val="0"/>
          <w:divBdr>
            <w:top w:val="none" w:sz="0" w:space="0" w:color="auto"/>
            <w:left w:val="none" w:sz="0" w:space="0" w:color="auto"/>
            <w:bottom w:val="none" w:sz="0" w:space="0" w:color="auto"/>
            <w:right w:val="none" w:sz="0" w:space="0" w:color="auto"/>
          </w:divBdr>
          <w:divsChild>
            <w:div w:id="111170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node/8224" TargetMode="External"/><Relationship Id="rId18" Type="http://schemas.openxmlformats.org/officeDocument/2006/relationships/hyperlink" Target="https://eur-lex.europa.eu/homepage.html?locale=bg" TargetMode="External"/><Relationship Id="rId26" Type="http://schemas.openxmlformats.org/officeDocument/2006/relationships/hyperlink" Target="https://commission.europa.eu/funding-tenders/managing-your-project/communicating-and-raising-eu-visibility_en" TargetMode="External"/><Relationship Id="rId39" Type="http://schemas.openxmlformats.org/officeDocument/2006/relationships/hyperlink" Target="file:///\\MTITC-FP03\OPTransport\public\DGIvanova\2021-2027\&#1053;&#1072;&#1089;&#1086;&#1082;&#1080;%20&#1055;&#1058;&#1057;\Preparation%20v1\&#1055;&#1088;&#1080;&#1083;&#1086;&#1078;&#1077;&#1085;&#1080;&#1103;\&#1055;&#1088;&#1080;&#1083;&#1086;&#1078;&#1077;&#1085;&#1080;&#1077;%206%20Metodology_Criteria%20for%20selection%20of%20operations_under%20PTC_adopt15032023.docx" TargetMode="External"/><Relationship Id="rId3" Type="http://schemas.openxmlformats.org/officeDocument/2006/relationships/styles" Target="styles.xml"/><Relationship Id="rId21" Type="http://schemas.openxmlformats.org/officeDocument/2006/relationships/hyperlink" Target="https://ec.europa.eu/regional_policy/information-sources/logo-download-center_en" TargetMode="External"/><Relationship Id="rId34" Type="http://schemas.openxmlformats.org/officeDocument/2006/relationships/hyperlink" Target="&#1055;&#1088;&#1080;&#1083;&#1086;&#1078;&#1077;&#1085;&#1080;&#1103;/&#1055;&#1088;&#1080;&#1083;&#1086;&#1078;&#1077;&#1085;&#1080;&#1077;%201-3%20&#1059;&#1050;.docx" TargetMode="External"/><Relationship Id="rId42" Type="http://schemas.openxmlformats.org/officeDocument/2006/relationships/hyperlink" Target="file:///\\MTITC-FP03\OPTransport\public\DGIvanova\2021-2027\&#1053;&#1072;&#1089;&#1086;&#1082;&#1080;%20&#1055;&#1058;&#1057;\Preparation%20v1\&#1055;&#1088;&#1080;&#1083;&#1086;&#1078;&#1077;&#1085;&#1080;&#1103;\&#1055;&#1088;&#1080;&#1083;&#1086;&#1078;&#1077;&#1085;&#1080;&#1103;%209.7z" TargetMode="External"/><Relationship Id="rId7" Type="http://schemas.openxmlformats.org/officeDocument/2006/relationships/endnotes" Target="endnotes.xml"/><Relationship Id="rId12" Type="http://schemas.openxmlformats.org/officeDocument/2006/relationships/hyperlink" Target="https://www.eufunds.bg/bg/node/8223" TargetMode="External"/><Relationship Id="rId17" Type="http://schemas.openxmlformats.org/officeDocument/2006/relationships/hyperlink" Target="https://egov.government.bg/wps/portal/ministry-meu/home/budget-project-control/verification-compliance-technical-specifications" TargetMode="External"/><Relationship Id="rId25" Type="http://schemas.openxmlformats.org/officeDocument/2006/relationships/hyperlink" Target="https://commission.europa.eu/resources-partners/european-commission-visual-identity_en" TargetMode="External"/><Relationship Id="rId33"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38"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c.europa.eu/regional_policy/policy/communication/online-generator_en" TargetMode="External"/><Relationship Id="rId20" Type="http://schemas.openxmlformats.org/officeDocument/2006/relationships/hyperlink" Target="http://eur-lex.europa.eu/legal-content/BG/TXT/HTML/?uri=CELEX:32015R0207&amp;qid=1429787363353&amp;from=EN" TargetMode="External"/><Relationship Id="rId29" Type="http://schemas.openxmlformats.org/officeDocument/2006/relationships/hyperlink" Target="https://www.minfin.bg/bg/1579" TargetMode="External"/><Relationship Id="rId41" Type="http://schemas.openxmlformats.org/officeDocument/2006/relationships/hyperlink" Target="file:///\\MTITC-FP03\OPTransport\public\DGIvanova\2021-2027\&#1053;&#1072;&#1089;&#1086;&#1082;&#1080;%20&#1055;&#1058;&#1057;\Preparation%20v1\&#1055;&#1088;&#1080;&#1083;&#1086;&#1078;&#1077;&#1085;&#1080;&#1103;\&#1055;&#1088;&#1080;&#1083;&#1086;&#1078;&#1077;&#1085;&#1080;&#1077;%208%20comm%20planl%202021_2027_F.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AUTO/?uri=celex:32021R1058" TargetMode="External"/><Relationship Id="rId24" Type="http://schemas.openxmlformats.org/officeDocument/2006/relationships/hyperlink" Target="https://ec.europa.eu/regional_policy/sources/policy/communication/support_kit_visibility_2127_en.pdf" TargetMode="External"/><Relationship Id="rId32"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37"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0" Type="http://schemas.openxmlformats.org/officeDocument/2006/relationships/hyperlink" Target="file:///\\MTITC-FP03\OPTransport\public\DGIvanova\2021-2027\&#1053;&#1072;&#1089;&#1086;&#1082;&#1080;%20&#1055;&#1058;&#1057;\Preparation%20v1\&#1055;&#1088;&#1080;&#1083;&#1086;&#1078;&#1077;&#1085;&#1080;&#1103;\&#1055;&#1088;&#1080;&#1083;&#1086;&#1078;&#1077;&#1085;&#1080;&#1077;%207%20comm%20planl%202021_2027_OSI_F.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yperlink" Target="https://ec.europa.eu/regional_policy/policy/communication/online-generator_en" TargetMode="External"/><Relationship Id="rId28" Type="http://schemas.openxmlformats.org/officeDocument/2006/relationships/hyperlink" Target="https://eumis2020.government.bg/bg/s/Help/Index" TargetMode="External"/><Relationship Id="rId36" Type="http://schemas.openxmlformats.org/officeDocument/2006/relationships/hyperlink" Target="file:///\\MTITC-FP03\OPTransport\public\DGIvanova\2021-2027\&#1053;&#1072;&#1089;&#1086;&#1082;&#1080;%20&#1055;&#1058;&#1057;\Preparation%20v1\&#1055;&#1088;&#1080;&#1083;&#1086;&#1078;&#1077;&#1085;&#1080;&#1103;\&#1055;&#1088;&#1080;&#1083;&#1086;&#1078;&#1077;&#1085;&#1080;&#1077;%201%20&#1044;&#1077;&#1082;&#1083;&#1072;&#1088;&#1072;&#1094;&#1080;&#1103;%20&#1059;&#1050;.docx" TargetMode="External"/><Relationship Id="rId10" Type="http://schemas.openxmlformats.org/officeDocument/2006/relationships/hyperlink" Target="https://eur-lex.europa.eu/legal-content/BG/AUTO/?uri=celex:32021R1058" TargetMode="External"/><Relationship Id="rId19" Type="http://schemas.openxmlformats.org/officeDocument/2006/relationships/hyperlink" Target="http://eur-lex.europa.eu/legal-content/BG/TXT/HTML/?uri=CELEX:32015R0207&amp;qid=1429787363353&amp;from=EN" TargetMode="External"/><Relationship Id="rId31"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hyperlink" Target="https://eumis2020.government.bg/" TargetMode="External"/><Relationship Id="rId22" Type="http://schemas.openxmlformats.org/officeDocument/2006/relationships/hyperlink" Target="https://ec.europa.eu/regional_policy/policy/communication/how-to-communicate_en" TargetMode="External"/><Relationship Id="rId27" Type="http://schemas.openxmlformats.org/officeDocument/2006/relationships/hyperlink" Target="https://ec.europa.eu/regional_policy/policy/communication/how-to-communicate_en" TargetMode="External"/><Relationship Id="rId30"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35" Type="http://schemas.openxmlformats.org/officeDocument/2006/relationships/hyperlink" Target="https://eumis2020.government.bg" TargetMode="External"/><Relationship Id="rId43"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minfin.bg/upload/19193/DNF%E2%84%963_23.12.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752DB-7210-43DE-BC44-06B91D469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51</Pages>
  <Words>19450</Words>
  <Characters>110867</Characters>
  <Application>Microsoft Office Word</Application>
  <DocSecurity>0</DocSecurity>
  <Lines>923</Lines>
  <Paragraphs>260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130057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Daniela Kalaydzhiyska-Ivanova</cp:lastModifiedBy>
  <cp:revision>39</cp:revision>
  <cp:lastPrinted>2023-04-12T11:04:00Z</cp:lastPrinted>
  <dcterms:created xsi:type="dcterms:W3CDTF">2023-05-26T11:22:00Z</dcterms:created>
  <dcterms:modified xsi:type="dcterms:W3CDTF">2023-05-30T11:13:00Z</dcterms:modified>
</cp:coreProperties>
</file>