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7BB13" w14:textId="77777777" w:rsidR="00C03357" w:rsidRPr="00DF295F" w:rsidRDefault="00C03357" w:rsidP="00C03357">
      <w:pPr>
        <w:shd w:val="clear" w:color="auto" w:fill="FFFFFF"/>
        <w:spacing w:before="60" w:after="120" w:line="312" w:lineRule="atLeast"/>
        <w:jc w:val="center"/>
        <w:rPr>
          <w:rFonts w:ascii="Palatino Linotype" w:hAnsi="Palatino Linotype"/>
          <w:b/>
          <w:bCs/>
          <w:color w:val="333333"/>
          <w:sz w:val="20"/>
          <w:szCs w:val="20"/>
        </w:rPr>
      </w:pPr>
    </w:p>
    <w:p w14:paraId="40960305" w14:textId="39D6D6F9" w:rsidR="00C03357" w:rsidRPr="00336EC4" w:rsidRDefault="00C03357" w:rsidP="00554D31">
      <w:pPr>
        <w:shd w:val="clear" w:color="auto" w:fill="FFFFFF"/>
        <w:spacing w:before="60" w:after="120" w:line="312" w:lineRule="atLeast"/>
        <w:jc w:val="center"/>
        <w:rPr>
          <w:rFonts w:ascii="Palatino Linotype" w:hAnsi="Palatino Linotype"/>
          <w:b/>
        </w:rPr>
      </w:pPr>
      <w:r w:rsidRPr="00336EC4">
        <w:rPr>
          <w:rFonts w:ascii="Palatino Linotype" w:hAnsi="Palatino Linotype"/>
          <w:b/>
          <w:bCs/>
          <w:color w:val="333333"/>
          <w:sz w:val="28"/>
          <w:szCs w:val="28"/>
        </w:rPr>
        <w:t>Методика и критерии за подбор на операции от Управляващия орган на Програма „Транспортна свърза</w:t>
      </w:r>
      <w:r w:rsidR="00554D31">
        <w:rPr>
          <w:rFonts w:ascii="Palatino Linotype" w:hAnsi="Palatino Linotype"/>
          <w:b/>
          <w:bCs/>
          <w:color w:val="333333"/>
          <w:sz w:val="28"/>
          <w:szCs w:val="28"/>
        </w:rPr>
        <w:t>ност“ 2021-2027 г. по процедури</w:t>
      </w:r>
      <w:bookmarkStart w:id="0" w:name="_GoBack"/>
      <w:bookmarkEnd w:id="0"/>
    </w:p>
    <w:p w14:paraId="55FE9FB8" w14:textId="77777777" w:rsidR="00C03357" w:rsidRPr="00336EC4" w:rsidRDefault="00C03357" w:rsidP="00C03357">
      <w:pPr>
        <w:pStyle w:val="ListParagraph"/>
        <w:spacing w:after="160" w:line="259" w:lineRule="auto"/>
        <w:jc w:val="center"/>
        <w:rPr>
          <w:rFonts w:ascii="Palatino Linotype" w:hAnsi="Palatino Linotype"/>
        </w:rPr>
      </w:pPr>
      <w:r w:rsidRPr="00336EC4">
        <w:rPr>
          <w:rFonts w:ascii="Palatino Linotype" w:hAnsi="Palatino Linotype"/>
          <w:b/>
        </w:rPr>
        <w:t>2021BG16FFPR001-1.001</w:t>
      </w:r>
      <w:r w:rsidRPr="00336EC4">
        <w:rPr>
          <w:rFonts w:ascii="Palatino Linotype" w:hAnsi="Palatino Linotype"/>
        </w:rPr>
        <w:t xml:space="preserve"> „Развитие на железопътната инфраструктура по „основната“ и „</w:t>
      </w:r>
      <w:proofErr w:type="spellStart"/>
      <w:r w:rsidRPr="00336EC4">
        <w:rPr>
          <w:rFonts w:ascii="Palatino Linotype" w:hAnsi="Palatino Linotype"/>
        </w:rPr>
        <w:t>широкообхватната</w:t>
      </w:r>
      <w:proofErr w:type="spellEnd"/>
      <w:r w:rsidRPr="00336EC4">
        <w:rPr>
          <w:rFonts w:ascii="Palatino Linotype" w:hAnsi="Palatino Linotype"/>
        </w:rPr>
        <w:t xml:space="preserve">“ </w:t>
      </w:r>
      <w:proofErr w:type="spellStart"/>
      <w:r w:rsidRPr="00336EC4">
        <w:rPr>
          <w:rFonts w:ascii="Palatino Linotype" w:hAnsi="Palatino Linotype"/>
        </w:rPr>
        <w:t>Трансевропейска</w:t>
      </w:r>
      <w:proofErr w:type="spellEnd"/>
      <w:r w:rsidRPr="00336EC4">
        <w:rPr>
          <w:rFonts w:ascii="Palatino Linotype" w:hAnsi="Palatino Linotype"/>
        </w:rPr>
        <w:t xml:space="preserve"> транспортна мрежа – Инвестиционни проекти“</w:t>
      </w:r>
    </w:p>
    <w:p w14:paraId="24424BEF" w14:textId="77777777" w:rsidR="00C03357" w:rsidRPr="00336EC4" w:rsidRDefault="00C03357" w:rsidP="00C03357">
      <w:pPr>
        <w:pStyle w:val="ListParagraph"/>
        <w:spacing w:after="160" w:line="259" w:lineRule="auto"/>
        <w:jc w:val="center"/>
        <w:rPr>
          <w:rFonts w:ascii="Palatino Linotype" w:hAnsi="Palatino Linotype"/>
        </w:rPr>
      </w:pPr>
      <w:r w:rsidRPr="00336EC4">
        <w:rPr>
          <w:rFonts w:ascii="Palatino Linotype" w:hAnsi="Palatino Linotype"/>
          <w:b/>
        </w:rPr>
        <w:t>2021BG16FFPR001-1.002</w:t>
      </w:r>
      <w:r w:rsidRPr="00336EC4">
        <w:rPr>
          <w:rFonts w:ascii="Palatino Linotype" w:hAnsi="Palatino Linotype"/>
        </w:rPr>
        <w:t xml:space="preserve">  „Развитие на железопътната инфраструктура по „основната“ и „</w:t>
      </w:r>
      <w:proofErr w:type="spellStart"/>
      <w:r w:rsidRPr="00336EC4">
        <w:rPr>
          <w:rFonts w:ascii="Palatino Linotype" w:hAnsi="Palatino Linotype"/>
        </w:rPr>
        <w:t>широкообхватната</w:t>
      </w:r>
      <w:proofErr w:type="spellEnd"/>
      <w:r w:rsidRPr="00336EC4">
        <w:rPr>
          <w:rFonts w:ascii="Palatino Linotype" w:hAnsi="Palatino Linotype"/>
        </w:rPr>
        <w:t xml:space="preserve">“ </w:t>
      </w:r>
      <w:proofErr w:type="spellStart"/>
      <w:r w:rsidRPr="00336EC4">
        <w:rPr>
          <w:rFonts w:ascii="Palatino Linotype" w:hAnsi="Palatino Linotype"/>
        </w:rPr>
        <w:t>Трансевропейска</w:t>
      </w:r>
      <w:proofErr w:type="spellEnd"/>
      <w:r w:rsidRPr="00336EC4">
        <w:rPr>
          <w:rFonts w:ascii="Palatino Linotype" w:hAnsi="Palatino Linotype"/>
        </w:rPr>
        <w:t xml:space="preserve"> транспортна мрежа – Техническа помощ“</w:t>
      </w:r>
    </w:p>
    <w:p w14:paraId="1E67CD7E" w14:textId="77777777" w:rsidR="00C03357" w:rsidRPr="00336EC4" w:rsidRDefault="00C03357" w:rsidP="00C03357">
      <w:pPr>
        <w:pStyle w:val="ListParagraph"/>
        <w:spacing w:after="160" w:line="259" w:lineRule="auto"/>
        <w:jc w:val="center"/>
        <w:rPr>
          <w:rFonts w:ascii="Palatino Linotype" w:hAnsi="Palatino Linotype"/>
        </w:rPr>
      </w:pPr>
      <w:r w:rsidRPr="00336EC4">
        <w:rPr>
          <w:rFonts w:ascii="Palatino Linotype" w:hAnsi="Palatino Linotype"/>
          <w:b/>
        </w:rPr>
        <w:t>2021BG16FFPR001-2.001</w:t>
      </w:r>
      <w:r w:rsidRPr="00336EC4">
        <w:rPr>
          <w:rFonts w:ascii="Palatino Linotype" w:hAnsi="Palatino Linotype"/>
        </w:rPr>
        <w:t xml:space="preserve"> „Развитие на пътната инфраструктура по „основната“  </w:t>
      </w:r>
      <w:proofErr w:type="spellStart"/>
      <w:r w:rsidRPr="00336EC4">
        <w:rPr>
          <w:rFonts w:ascii="Palatino Linotype" w:hAnsi="Palatino Linotype"/>
        </w:rPr>
        <w:t>Трансевропейска</w:t>
      </w:r>
      <w:proofErr w:type="spellEnd"/>
      <w:r w:rsidRPr="00336EC4">
        <w:rPr>
          <w:rFonts w:ascii="Palatino Linotype" w:hAnsi="Palatino Linotype"/>
        </w:rPr>
        <w:t xml:space="preserve"> транспортна мрежа и пътни връзки – Инвестиционни проекти”</w:t>
      </w:r>
    </w:p>
    <w:p w14:paraId="0F43210F" w14:textId="77777777" w:rsidR="00C03357" w:rsidRPr="00336EC4" w:rsidRDefault="00C03357" w:rsidP="00C03357">
      <w:pPr>
        <w:pStyle w:val="ListParagraph"/>
        <w:spacing w:after="160" w:line="259" w:lineRule="auto"/>
        <w:jc w:val="center"/>
        <w:rPr>
          <w:rFonts w:ascii="Palatino Linotype" w:hAnsi="Palatino Linotype"/>
        </w:rPr>
      </w:pPr>
      <w:r w:rsidRPr="00336EC4">
        <w:rPr>
          <w:rFonts w:ascii="Palatino Linotype" w:hAnsi="Palatino Linotype"/>
          <w:b/>
        </w:rPr>
        <w:t>2021BG16FFPR001-2.002</w:t>
      </w:r>
      <w:r w:rsidRPr="00336EC4">
        <w:rPr>
          <w:rFonts w:ascii="Palatino Linotype" w:hAnsi="Palatino Linotype"/>
        </w:rPr>
        <w:t xml:space="preserve"> „Развитие на пътната инфраструктура по „основната“  </w:t>
      </w:r>
      <w:proofErr w:type="spellStart"/>
      <w:r w:rsidRPr="00336EC4">
        <w:rPr>
          <w:rFonts w:ascii="Palatino Linotype" w:hAnsi="Palatino Linotype"/>
        </w:rPr>
        <w:t>Трансевропейска</w:t>
      </w:r>
      <w:proofErr w:type="spellEnd"/>
      <w:r w:rsidRPr="00336EC4">
        <w:rPr>
          <w:rFonts w:ascii="Palatino Linotype" w:hAnsi="Palatino Linotype"/>
        </w:rPr>
        <w:t xml:space="preserve"> транспортна мрежа и пътни връзки – Техническа помощ”</w:t>
      </w:r>
    </w:p>
    <w:p w14:paraId="1D57FE77" w14:textId="77777777" w:rsidR="00C03357" w:rsidRPr="00336EC4" w:rsidRDefault="00C03357" w:rsidP="00C03357">
      <w:pPr>
        <w:spacing w:after="160" w:line="259" w:lineRule="auto"/>
        <w:jc w:val="center"/>
        <w:rPr>
          <w:rFonts w:ascii="Palatino Linotype" w:hAnsi="Palatino Linotype"/>
        </w:rPr>
      </w:pPr>
      <w:r w:rsidRPr="00336EC4">
        <w:rPr>
          <w:rFonts w:ascii="Palatino Linotype" w:hAnsi="Palatino Linotype"/>
          <w:b/>
        </w:rPr>
        <w:t>2021BG16FFPR001-3.001</w:t>
      </w:r>
      <w:r w:rsidRPr="00336EC4">
        <w:rPr>
          <w:rFonts w:ascii="Palatino Linotype" w:hAnsi="Palatino Linotype"/>
        </w:rPr>
        <w:t xml:space="preserve">  „Подобряване на </w:t>
      </w:r>
      <w:proofErr w:type="spellStart"/>
      <w:r w:rsidRPr="00336EC4">
        <w:rPr>
          <w:rFonts w:ascii="Palatino Linotype" w:hAnsi="Palatino Linotype"/>
        </w:rPr>
        <w:t>интермодалността</w:t>
      </w:r>
      <w:proofErr w:type="spellEnd"/>
      <w:r w:rsidRPr="00336EC4">
        <w:rPr>
          <w:rFonts w:ascii="Palatino Linotype" w:hAnsi="Palatino Linotype"/>
        </w:rPr>
        <w:t>, иновации, модернизирани системи за управление на трафика, подобряване на сигурността и безопасността на транспорта“</w:t>
      </w:r>
    </w:p>
    <w:p w14:paraId="53C9CFAE" w14:textId="77777777" w:rsidR="00C03357" w:rsidRPr="00336EC4" w:rsidRDefault="00C03357" w:rsidP="00C03357">
      <w:pPr>
        <w:spacing w:after="160" w:line="259" w:lineRule="auto"/>
        <w:jc w:val="center"/>
        <w:rPr>
          <w:rFonts w:ascii="Palatino Linotype" w:hAnsi="Palatino Linotype"/>
        </w:rPr>
      </w:pPr>
      <w:r w:rsidRPr="00336EC4">
        <w:rPr>
          <w:rFonts w:ascii="Palatino Linotype" w:hAnsi="Palatino Linotype"/>
          <w:b/>
        </w:rPr>
        <w:t xml:space="preserve">2021BG16FFPR001-4.001 </w:t>
      </w:r>
      <w:r w:rsidRPr="00336EC4">
        <w:rPr>
          <w:rFonts w:ascii="Palatino Linotype" w:hAnsi="Palatino Linotype"/>
        </w:rPr>
        <w:t>„</w:t>
      </w:r>
      <w:proofErr w:type="spellStart"/>
      <w:r w:rsidRPr="00336EC4">
        <w:rPr>
          <w:rFonts w:ascii="Palatino Linotype" w:hAnsi="Palatino Linotype"/>
        </w:rPr>
        <w:t>Интермодалност</w:t>
      </w:r>
      <w:proofErr w:type="spellEnd"/>
      <w:r w:rsidRPr="00336EC4">
        <w:rPr>
          <w:rFonts w:ascii="Palatino Linotype" w:hAnsi="Palatino Linotype"/>
        </w:rPr>
        <w:t xml:space="preserve"> в градски условия”</w:t>
      </w:r>
    </w:p>
    <w:p w14:paraId="003125C0" w14:textId="77777777" w:rsidR="00C03357" w:rsidRPr="00336EC4" w:rsidRDefault="00C03357" w:rsidP="00C03357">
      <w:pPr>
        <w:spacing w:after="160" w:line="259" w:lineRule="auto"/>
        <w:jc w:val="center"/>
        <w:rPr>
          <w:rFonts w:ascii="Palatino Linotype" w:hAnsi="Palatino Linotype"/>
        </w:rPr>
      </w:pPr>
      <w:r w:rsidRPr="00336EC4">
        <w:rPr>
          <w:rFonts w:ascii="Palatino Linotype" w:hAnsi="Palatino Linotype"/>
          <w:b/>
        </w:rPr>
        <w:t>2021BG16FFPR001-5.001</w:t>
      </w:r>
      <w:r w:rsidRPr="00336EC4">
        <w:rPr>
          <w:rFonts w:ascii="Palatino Linotype" w:hAnsi="Palatino Linotype"/>
        </w:rPr>
        <w:t xml:space="preserve"> „Техническа помощ“</w:t>
      </w:r>
    </w:p>
    <w:p w14:paraId="7881DA90" w14:textId="77777777" w:rsidR="00C03357" w:rsidRPr="00336EC4" w:rsidRDefault="00C03357" w:rsidP="00C03357">
      <w:pPr>
        <w:spacing w:after="160" w:line="259" w:lineRule="auto"/>
        <w:jc w:val="center"/>
        <w:rPr>
          <w:rFonts w:ascii="Palatino Linotype" w:hAnsi="Palatino Linotype"/>
        </w:rPr>
      </w:pPr>
      <w:r w:rsidRPr="00336EC4">
        <w:rPr>
          <w:rFonts w:ascii="Palatino Linotype" w:hAnsi="Palatino Linotype"/>
          <w:b/>
        </w:rPr>
        <w:t>2021BG16FFPR001-5.001</w:t>
      </w:r>
      <w:r w:rsidRPr="00336EC4">
        <w:rPr>
          <w:rFonts w:ascii="Palatino Linotype" w:hAnsi="Palatino Linotype"/>
        </w:rPr>
        <w:t xml:space="preserve"> „Бюджетни линии“</w:t>
      </w:r>
    </w:p>
    <w:p w14:paraId="28AABFC6" w14:textId="77777777" w:rsidR="00C03357" w:rsidRPr="00336EC4" w:rsidRDefault="00C03357" w:rsidP="00C03357">
      <w:pPr>
        <w:jc w:val="both"/>
        <w:rPr>
          <w:rFonts w:ascii="Palatino Linotype" w:hAnsi="Palatino Linotype"/>
        </w:rPr>
      </w:pPr>
    </w:p>
    <w:p w14:paraId="398BE1BA" w14:textId="77777777" w:rsidR="00C03357" w:rsidRPr="00336EC4" w:rsidRDefault="00C03357" w:rsidP="00C03357">
      <w:pPr>
        <w:rPr>
          <w:rFonts w:ascii="Palatino Linotype" w:hAnsi="Palatino Linotype"/>
        </w:rPr>
      </w:pPr>
      <w:r w:rsidRPr="00336EC4">
        <w:rPr>
          <w:rFonts w:ascii="Palatino Linotype" w:hAnsi="Palatino Linotype"/>
        </w:rPr>
        <w:br w:type="page"/>
      </w:r>
    </w:p>
    <w:p w14:paraId="465F6B65" w14:textId="77777777" w:rsidR="00C03357" w:rsidRPr="00336EC4" w:rsidRDefault="00C03357" w:rsidP="00C03357">
      <w:pPr>
        <w:pStyle w:val="Heading1"/>
        <w:numPr>
          <w:ilvl w:val="0"/>
          <w:numId w:val="2"/>
        </w:numPr>
        <w:tabs>
          <w:tab w:val="left" w:pos="851"/>
        </w:tabs>
        <w:spacing w:before="0"/>
        <w:ind w:left="0" w:firstLine="567"/>
        <w:rPr>
          <w:rFonts w:ascii="Palatino Linotype" w:hAnsi="Palatino Linotype"/>
          <w:color w:val="auto"/>
          <w:sz w:val="24"/>
          <w:szCs w:val="24"/>
        </w:rPr>
      </w:pPr>
      <w:r w:rsidRPr="00336EC4">
        <w:rPr>
          <w:rFonts w:ascii="Palatino Linotype" w:hAnsi="Palatino Linotype"/>
          <w:color w:val="auto"/>
          <w:sz w:val="24"/>
          <w:szCs w:val="24"/>
        </w:rPr>
        <w:lastRenderedPageBreak/>
        <w:t>Подбор на операциите</w:t>
      </w:r>
      <w:r w:rsidRPr="002F4D8C">
        <w:rPr>
          <w:rFonts w:ascii="Palatino Linotype" w:hAnsi="Palatino Linotype"/>
          <w:color w:val="auto"/>
          <w:sz w:val="24"/>
          <w:szCs w:val="24"/>
        </w:rPr>
        <w:t xml:space="preserve"> </w:t>
      </w:r>
      <w:r w:rsidRPr="00336EC4">
        <w:rPr>
          <w:rFonts w:ascii="Palatino Linotype" w:hAnsi="Palatino Linotype"/>
          <w:i/>
          <w:color w:val="auto"/>
          <w:sz w:val="24"/>
          <w:szCs w:val="24"/>
        </w:rPr>
        <w:t>(обхват на финансираните дейности )</w:t>
      </w:r>
    </w:p>
    <w:p w14:paraId="55A7DED4" w14:textId="77777777" w:rsidR="00C03357" w:rsidRPr="00CF5F04" w:rsidRDefault="00C03357" w:rsidP="00C03357">
      <w:pPr>
        <w:tabs>
          <w:tab w:val="left" w:pos="851"/>
        </w:tabs>
        <w:ind w:firstLine="567"/>
        <w:jc w:val="both"/>
        <w:rPr>
          <w:rFonts w:ascii="Palatino Linotype" w:hAnsi="Palatino Linotype"/>
        </w:rPr>
      </w:pPr>
      <w:r w:rsidRPr="00CF5F04">
        <w:rPr>
          <w:rFonts w:ascii="Palatino Linotype" w:hAnsi="Palatino Linotype"/>
        </w:rPr>
        <w:t xml:space="preserve">В процеса на подготовка на </w:t>
      </w:r>
      <w:r w:rsidRPr="00CF5F04">
        <w:rPr>
          <w:rFonts w:ascii="Palatino Linotype" w:hAnsi="Palatino Linotype"/>
          <w:b/>
        </w:rPr>
        <w:t>Програма „Транспортна свързаност“</w:t>
      </w:r>
      <w:r w:rsidRPr="00CF5F04">
        <w:rPr>
          <w:rFonts w:ascii="Palatino Linotype" w:hAnsi="Palatino Linotype"/>
        </w:rPr>
        <w:t xml:space="preserve">  </w:t>
      </w:r>
      <w:r w:rsidRPr="00CF5F04">
        <w:rPr>
          <w:rFonts w:ascii="Palatino Linotype" w:hAnsi="Palatino Linotype"/>
          <w:b/>
        </w:rPr>
        <w:t>2021-2027 г.</w:t>
      </w:r>
      <w:r w:rsidRPr="00CF5F04">
        <w:rPr>
          <w:rFonts w:ascii="Palatino Linotype" w:hAnsi="Palatino Linotype"/>
        </w:rPr>
        <w:t xml:space="preserve"> (ПТС) е извършен подбор на операциите, с което е опреден индикативен списък на инвестиционните проекти за финансиране по съответния приоритет на ПТС.</w:t>
      </w:r>
    </w:p>
    <w:p w14:paraId="241C3C64" w14:textId="77777777" w:rsidR="00C03357" w:rsidRPr="006D7111" w:rsidRDefault="00C03357" w:rsidP="00C03357">
      <w:pPr>
        <w:tabs>
          <w:tab w:val="left" w:pos="851"/>
        </w:tabs>
        <w:ind w:firstLine="567"/>
        <w:jc w:val="both"/>
        <w:rPr>
          <w:rFonts w:ascii="Palatino Linotype" w:hAnsi="Palatino Linotype"/>
          <w:sz w:val="20"/>
          <w:szCs w:val="20"/>
        </w:rPr>
      </w:pPr>
    </w:p>
    <w:p w14:paraId="6A4585D8" w14:textId="77777777" w:rsidR="00C03357" w:rsidRPr="00336EC4" w:rsidRDefault="00C03357" w:rsidP="00C03357">
      <w:pPr>
        <w:pStyle w:val="Heading1"/>
        <w:numPr>
          <w:ilvl w:val="0"/>
          <w:numId w:val="2"/>
        </w:numPr>
        <w:tabs>
          <w:tab w:val="left" w:pos="851"/>
        </w:tabs>
        <w:spacing w:before="0"/>
        <w:ind w:left="0" w:firstLine="567"/>
        <w:rPr>
          <w:rFonts w:ascii="Palatino Linotype" w:hAnsi="Palatino Linotype"/>
          <w:color w:val="auto"/>
          <w:sz w:val="24"/>
          <w:szCs w:val="24"/>
        </w:rPr>
      </w:pPr>
      <w:r w:rsidRPr="00336EC4">
        <w:rPr>
          <w:rFonts w:ascii="Palatino Linotype" w:hAnsi="Palatino Linotype"/>
          <w:color w:val="auto"/>
          <w:sz w:val="24"/>
          <w:szCs w:val="24"/>
        </w:rPr>
        <w:t>Процедура и етапи на оценка</w:t>
      </w:r>
    </w:p>
    <w:p w14:paraId="082C8E2F" w14:textId="77777777" w:rsidR="00C03357" w:rsidRPr="00336EC4" w:rsidRDefault="00C03357" w:rsidP="00C03357">
      <w:pPr>
        <w:tabs>
          <w:tab w:val="left" w:pos="851"/>
        </w:tabs>
        <w:ind w:firstLine="567"/>
        <w:jc w:val="both"/>
        <w:rPr>
          <w:rFonts w:ascii="Palatino Linotype" w:hAnsi="Palatino Linotype"/>
        </w:rPr>
      </w:pPr>
      <w:r w:rsidRPr="00336EC4">
        <w:rPr>
          <w:rFonts w:ascii="Palatino Linotype" w:hAnsi="Palatino Linotype"/>
        </w:rPr>
        <w:t>Предвидено е безвъзмездна</w:t>
      </w:r>
      <w:r w:rsidR="002334AA">
        <w:rPr>
          <w:rFonts w:ascii="Palatino Linotype" w:hAnsi="Palatino Linotype"/>
        </w:rPr>
        <w:t>та</w:t>
      </w:r>
      <w:r w:rsidRPr="00336EC4">
        <w:rPr>
          <w:rFonts w:ascii="Palatino Linotype" w:hAnsi="Palatino Linotype"/>
        </w:rPr>
        <w:t xml:space="preserve"> финансова помощ (БФП) по </w:t>
      </w:r>
      <w:r w:rsidR="002334AA">
        <w:rPr>
          <w:rFonts w:ascii="Palatino Linotype" w:hAnsi="Palatino Linotype"/>
        </w:rPr>
        <w:t>ПТС</w:t>
      </w:r>
      <w:r w:rsidRPr="00336EC4">
        <w:rPr>
          <w:rFonts w:ascii="Palatino Linotype" w:hAnsi="Palatino Linotype"/>
        </w:rPr>
        <w:t xml:space="preserve"> да се предоставя чрез процедура на директно предоставяне. Процедурите, правилата и указанията за подготовката и оценката на проектните предложения за предоставяне на безвъзмездна финансова помощ по ПТС са разписани в Насоките за кандидатстване по ПТС.</w:t>
      </w:r>
    </w:p>
    <w:p w14:paraId="305744F7" w14:textId="0043CE57" w:rsidR="00C03357" w:rsidRPr="00336EC4" w:rsidRDefault="00C03357" w:rsidP="00C03357">
      <w:pPr>
        <w:tabs>
          <w:tab w:val="left" w:pos="851"/>
        </w:tabs>
        <w:ind w:firstLine="567"/>
        <w:jc w:val="both"/>
        <w:rPr>
          <w:rFonts w:ascii="Palatino Linotype" w:hAnsi="Palatino Linotype"/>
        </w:rPr>
      </w:pPr>
      <w:r w:rsidRPr="00336EC4">
        <w:rPr>
          <w:rFonts w:ascii="Palatino Linotype" w:hAnsi="Palatino Linotype"/>
        </w:rPr>
        <w:t>Процесът на  оценка на проектните предложения протича на следните етапи – „проверка за административно съответствие и допустимост“ и „техническа и финансова оценка“. Всеки оценител извършва последователно административна проверка, проверка на допустимост, техническа и финансова оценка, като резултатите отразява в оценител</w:t>
      </w:r>
      <w:r>
        <w:rPr>
          <w:rFonts w:ascii="Palatino Linotype" w:hAnsi="Palatino Linotype"/>
        </w:rPr>
        <w:t>е</w:t>
      </w:r>
      <w:r w:rsidRPr="00336EC4">
        <w:rPr>
          <w:rFonts w:ascii="Palatino Linotype" w:hAnsi="Palatino Linotype"/>
        </w:rPr>
        <w:t xml:space="preserve">н </w:t>
      </w:r>
      <w:r>
        <w:rPr>
          <w:rFonts w:ascii="Palatino Linotype" w:hAnsi="Palatino Linotype"/>
        </w:rPr>
        <w:t>лист</w:t>
      </w:r>
      <w:r w:rsidRPr="00336EC4">
        <w:rPr>
          <w:rFonts w:ascii="Palatino Linotype" w:hAnsi="Palatino Linotype"/>
        </w:rPr>
        <w:t>. Преминаването от един в друг етап на оценка се осъществява след решение на оценителната комисия, взето с мнозинство. Изключение прави оценката на бюджетните линии, която включва единствено проверка за административно съответствие и оценка за допустимост.</w:t>
      </w:r>
    </w:p>
    <w:p w14:paraId="1EFD91CC" w14:textId="77777777" w:rsidR="00C03357" w:rsidRPr="00336EC4" w:rsidRDefault="00C03357" w:rsidP="00C03357">
      <w:pPr>
        <w:tabs>
          <w:tab w:val="left" w:pos="851"/>
        </w:tabs>
        <w:ind w:firstLine="567"/>
        <w:jc w:val="both"/>
        <w:rPr>
          <w:rFonts w:ascii="Palatino Linotype" w:hAnsi="Palatino Linotype"/>
        </w:rPr>
      </w:pPr>
    </w:p>
    <w:p w14:paraId="00CEFF54" w14:textId="77777777" w:rsidR="00C03357" w:rsidRPr="00336EC4" w:rsidRDefault="00C03357" w:rsidP="00C03357">
      <w:pPr>
        <w:pStyle w:val="Heading1"/>
        <w:numPr>
          <w:ilvl w:val="0"/>
          <w:numId w:val="2"/>
        </w:numPr>
        <w:tabs>
          <w:tab w:val="left" w:pos="851"/>
        </w:tabs>
        <w:spacing w:before="0"/>
        <w:ind w:left="0" w:firstLine="567"/>
        <w:rPr>
          <w:rFonts w:ascii="Palatino Linotype" w:hAnsi="Palatino Linotype"/>
          <w:color w:val="auto"/>
          <w:sz w:val="24"/>
          <w:szCs w:val="24"/>
        </w:rPr>
      </w:pPr>
      <w:bookmarkStart w:id="1" w:name="_Toc417898298"/>
      <w:r w:rsidRPr="00336EC4">
        <w:rPr>
          <w:rFonts w:ascii="Palatino Linotype" w:hAnsi="Palatino Linotype"/>
          <w:color w:val="auto"/>
          <w:sz w:val="24"/>
          <w:szCs w:val="24"/>
        </w:rPr>
        <w:t>Метод за оценка на проектните предложения</w:t>
      </w:r>
      <w:bookmarkEnd w:id="1"/>
    </w:p>
    <w:p w14:paraId="2025E02E" w14:textId="77777777" w:rsidR="00C03357" w:rsidRDefault="00C03357" w:rsidP="00C03357">
      <w:pPr>
        <w:tabs>
          <w:tab w:val="left" w:pos="851"/>
        </w:tabs>
        <w:ind w:firstLine="567"/>
        <w:jc w:val="both"/>
        <w:rPr>
          <w:rFonts w:ascii="Palatino Linotype" w:hAnsi="Palatino Linotype"/>
        </w:rPr>
      </w:pPr>
      <w:r w:rsidRPr="00336EC4">
        <w:rPr>
          <w:rFonts w:ascii="Palatino Linotype" w:hAnsi="Palatino Linotype"/>
        </w:rPr>
        <w:t>Методът, който ще бъде използван е проектите да бъдат оценявани един по един след получаването и регистрирането им в системата ИСУН 2020, и те да бъдат сравнявани единствено с одобрените критерии за оценка на проекти от Комитета за наблюдение на ПТС.</w:t>
      </w:r>
      <w:bookmarkStart w:id="2" w:name="_Toc417898299"/>
      <w:bookmarkStart w:id="3" w:name="_Toc414036218"/>
    </w:p>
    <w:p w14:paraId="6816140F" w14:textId="77777777" w:rsidR="002334AA" w:rsidRPr="00336EC4" w:rsidRDefault="002334AA" w:rsidP="00C03357">
      <w:pPr>
        <w:tabs>
          <w:tab w:val="left" w:pos="851"/>
        </w:tabs>
        <w:ind w:firstLine="567"/>
        <w:jc w:val="both"/>
        <w:rPr>
          <w:rFonts w:ascii="Palatino Linotype" w:hAnsi="Palatino Linotype"/>
        </w:rPr>
      </w:pPr>
    </w:p>
    <w:p w14:paraId="320C7681" w14:textId="77777777" w:rsidR="00C03357" w:rsidRPr="00336EC4" w:rsidRDefault="00C03357" w:rsidP="00C03357">
      <w:pPr>
        <w:pStyle w:val="Heading1"/>
        <w:numPr>
          <w:ilvl w:val="1"/>
          <w:numId w:val="2"/>
        </w:numPr>
        <w:tabs>
          <w:tab w:val="left" w:pos="851"/>
        </w:tabs>
        <w:spacing w:before="0"/>
        <w:rPr>
          <w:rFonts w:ascii="Palatino Linotype" w:hAnsi="Palatino Linotype"/>
          <w:color w:val="000000" w:themeColor="text1"/>
          <w:sz w:val="24"/>
          <w:szCs w:val="24"/>
        </w:rPr>
      </w:pPr>
      <w:r w:rsidRPr="00336EC4">
        <w:rPr>
          <w:rFonts w:ascii="Palatino Linotype" w:hAnsi="Palatino Linotype"/>
          <w:color w:val="000000" w:themeColor="text1"/>
          <w:sz w:val="24"/>
          <w:szCs w:val="24"/>
        </w:rPr>
        <w:t>Проверка за административно съответствие и допустимост</w:t>
      </w:r>
      <w:bookmarkEnd w:id="2"/>
    </w:p>
    <w:p w14:paraId="422C2E40" w14:textId="77777777" w:rsidR="00C03357" w:rsidRPr="00336EC4" w:rsidRDefault="00C03357" w:rsidP="00C03357">
      <w:pPr>
        <w:spacing w:after="120"/>
        <w:ind w:right="141" w:firstLine="851"/>
        <w:jc w:val="both"/>
        <w:rPr>
          <w:rFonts w:ascii="Palatino Linotype" w:hAnsi="Palatino Linotype"/>
          <w:b/>
          <w:i/>
          <w:u w:val="single"/>
        </w:rPr>
      </w:pPr>
      <w:r w:rsidRPr="00336EC4">
        <w:rPr>
          <w:rFonts w:ascii="Palatino Linotype" w:hAnsi="Palatino Linotype"/>
          <w:b/>
          <w:i/>
          <w:u w:val="single"/>
        </w:rPr>
        <w:t>Проверка за административно съответствие</w:t>
      </w:r>
    </w:p>
    <w:bookmarkEnd w:id="3"/>
    <w:p w14:paraId="33F71555" w14:textId="0E4EF99D" w:rsidR="00C03357" w:rsidRPr="00336EC4" w:rsidRDefault="00C03357" w:rsidP="00C03357">
      <w:pPr>
        <w:spacing w:after="120"/>
        <w:ind w:right="141" w:firstLine="851"/>
        <w:jc w:val="both"/>
        <w:rPr>
          <w:rFonts w:ascii="Palatino Linotype" w:hAnsi="Palatino Linotype"/>
        </w:rPr>
      </w:pPr>
      <w:r w:rsidRPr="00336EC4">
        <w:rPr>
          <w:rFonts w:ascii="Palatino Linotype" w:hAnsi="Palatino Linotype"/>
        </w:rPr>
        <w:t>Проверка за административно съответствие на проектното предложение се прилага при оценката на всички подадени проектни предложения. Членовете на Оценителната комисия проверяват за административното съответствие на проектното предложение/бюджетната линия (финансовия план) за съответствие с административните критерии. Проверките за административно съответствие по критериите, посочени в т. ІІ включват основно коректното попълване  на формуляра за кандидатстване (ФК) и представянето на изисканите документи към него.</w:t>
      </w:r>
    </w:p>
    <w:p w14:paraId="28FA2DAE" w14:textId="77777777" w:rsidR="00C03357" w:rsidRPr="00336EC4" w:rsidRDefault="00C03357" w:rsidP="00C03357">
      <w:pPr>
        <w:ind w:right="141" w:firstLine="851"/>
        <w:contextualSpacing/>
        <w:jc w:val="both"/>
        <w:rPr>
          <w:rFonts w:ascii="Palatino Linotype" w:hAnsi="Palatino Linotype"/>
        </w:rPr>
      </w:pPr>
      <w:r w:rsidRPr="00336EC4">
        <w:rPr>
          <w:rFonts w:ascii="Palatino Linotype" w:hAnsi="Palatino Linotype"/>
        </w:rPr>
        <w:t>Всички критерии за оценка на административното съответствие  се оценяват с отговор „ДА“ или „НЕ“, което се отразява в зависимост от вида на проектното предложение в оценителни таблици.</w:t>
      </w:r>
    </w:p>
    <w:p w14:paraId="20B730D9" w14:textId="77777777" w:rsidR="00C03357" w:rsidRPr="00336EC4" w:rsidRDefault="00C03357" w:rsidP="00C03357">
      <w:pPr>
        <w:spacing w:after="120"/>
        <w:ind w:right="141" w:firstLine="851"/>
        <w:jc w:val="both"/>
        <w:rPr>
          <w:rFonts w:ascii="Palatino Linotype" w:hAnsi="Palatino Linotype"/>
        </w:rPr>
      </w:pPr>
      <w:bookmarkStart w:id="4" w:name="_Toc414036219"/>
      <w:r w:rsidRPr="00336EC4">
        <w:rPr>
          <w:rFonts w:ascii="Palatino Linotype" w:hAnsi="Palatino Linotype"/>
        </w:rPr>
        <w:lastRenderedPageBreak/>
        <w:t>За да се премине на следващия етап  на оценка по всички критерии трябва да е получена положителна оценка „ДА“.  В случай, че по някой от критериите  е получен</w:t>
      </w:r>
      <w:r w:rsidR="002334AA">
        <w:rPr>
          <w:rFonts w:ascii="Palatino Linotype" w:hAnsi="Palatino Linotype"/>
        </w:rPr>
        <w:t>а</w:t>
      </w:r>
      <w:r w:rsidRPr="00336EC4">
        <w:rPr>
          <w:rFonts w:ascii="Palatino Linotype" w:hAnsi="Palatino Linotype"/>
        </w:rPr>
        <w:t xml:space="preserve"> отрицателна оценка „НЕ“</w:t>
      </w:r>
      <w:r w:rsidR="002334AA">
        <w:rPr>
          <w:rFonts w:ascii="Palatino Linotype" w:hAnsi="Palatino Linotype"/>
        </w:rPr>
        <w:t>,</w:t>
      </w:r>
      <w:r w:rsidRPr="00336EC4">
        <w:rPr>
          <w:rFonts w:ascii="Palatino Linotype" w:hAnsi="Palatino Linotype"/>
        </w:rPr>
        <w:t xml:space="preserve"> ФК може да бъде върнат за ревизиране или отхвърлен.</w:t>
      </w:r>
    </w:p>
    <w:p w14:paraId="2ED9B6FF" w14:textId="77777777" w:rsidR="00C03357" w:rsidRPr="00336EC4" w:rsidRDefault="00C03357" w:rsidP="00C03357">
      <w:pPr>
        <w:spacing w:after="120"/>
        <w:ind w:right="141" w:firstLine="851"/>
        <w:jc w:val="both"/>
        <w:rPr>
          <w:rFonts w:ascii="Palatino Linotype" w:hAnsi="Palatino Linotype"/>
          <w:b/>
          <w:i/>
          <w:u w:val="single"/>
        </w:rPr>
      </w:pPr>
      <w:r w:rsidRPr="00336EC4">
        <w:rPr>
          <w:rFonts w:ascii="Palatino Linotype" w:hAnsi="Palatino Linotype"/>
          <w:b/>
          <w:i/>
          <w:u w:val="single"/>
        </w:rPr>
        <w:t>Проверка за допустимост</w:t>
      </w:r>
      <w:bookmarkEnd w:id="4"/>
    </w:p>
    <w:p w14:paraId="714E1705" w14:textId="77777777" w:rsidR="00C03357" w:rsidRPr="00336EC4" w:rsidRDefault="00C03357" w:rsidP="00C03357">
      <w:pPr>
        <w:spacing w:after="120"/>
        <w:ind w:right="141" w:firstLine="851"/>
        <w:jc w:val="both"/>
        <w:rPr>
          <w:rFonts w:ascii="Palatino Linotype" w:hAnsi="Palatino Linotype"/>
        </w:rPr>
      </w:pPr>
      <w:r w:rsidRPr="00336EC4">
        <w:rPr>
          <w:rFonts w:ascii="Palatino Linotype" w:hAnsi="Palatino Linotype"/>
        </w:rPr>
        <w:t xml:space="preserve">След проверката за административното съответствие на проектното предложение, оценителната комисия извършва проверка за допустимост. </w:t>
      </w:r>
    </w:p>
    <w:p w14:paraId="5BD61878" w14:textId="77777777" w:rsidR="00C03357" w:rsidRPr="00336EC4" w:rsidRDefault="00C03357" w:rsidP="00C03357">
      <w:pPr>
        <w:spacing w:after="120"/>
        <w:ind w:right="141" w:firstLine="851"/>
        <w:jc w:val="both"/>
        <w:rPr>
          <w:rFonts w:ascii="Palatino Linotype" w:hAnsi="Palatino Linotype"/>
        </w:rPr>
      </w:pPr>
      <w:r w:rsidRPr="00336EC4">
        <w:rPr>
          <w:rFonts w:ascii="Palatino Linotype" w:hAnsi="Palatino Linotype"/>
        </w:rPr>
        <w:t>Проверка за допустимост на проектното предложение се прилага при оценката на всички подадени проектни предложения</w:t>
      </w:r>
      <w:r w:rsidR="002334AA">
        <w:rPr>
          <w:rFonts w:ascii="Palatino Linotype" w:hAnsi="Palatino Linotype"/>
        </w:rPr>
        <w:t>.</w:t>
      </w:r>
      <w:r w:rsidRPr="00336EC4">
        <w:rPr>
          <w:rFonts w:ascii="Palatino Linotype" w:hAnsi="Palatino Linotype"/>
        </w:rPr>
        <w:t xml:space="preserve"> Проверката за допустимост е важен етап от оценката на проекта. Отговорите на въпросите за допустимост са или „ДА” или „НЕ”. Проверката протича в съответствие с Глава пета „Финансово управление и контрол“, Раздел I. „Общи условия и допустимост на разходите“ от ЗУСЕФСУ.</w:t>
      </w:r>
    </w:p>
    <w:p w14:paraId="3F75A4F6" w14:textId="454C3CF3" w:rsidR="00C03357" w:rsidRPr="00336EC4" w:rsidRDefault="00C03357" w:rsidP="00C03357">
      <w:pPr>
        <w:ind w:right="141" w:firstLine="851"/>
        <w:contextualSpacing/>
        <w:jc w:val="both"/>
        <w:rPr>
          <w:rFonts w:ascii="Palatino Linotype" w:hAnsi="Palatino Linotype"/>
          <w:b/>
        </w:rPr>
      </w:pPr>
      <w:r w:rsidRPr="00336EC4">
        <w:rPr>
          <w:rFonts w:ascii="Palatino Linotype" w:hAnsi="Palatino Linotype"/>
        </w:rPr>
        <w:t xml:space="preserve"> В случай, че всички изисквания са изцяло удовлетворени, се преминава към следващия втори етап – техническа и финансова оценка на предложението.</w:t>
      </w:r>
      <w:r w:rsidRPr="00336EC4">
        <w:rPr>
          <w:rFonts w:ascii="Palatino Linotype" w:hAnsi="Palatino Linotype"/>
          <w:b/>
        </w:rPr>
        <w:t xml:space="preserve"> </w:t>
      </w:r>
      <w:r w:rsidRPr="00336EC4">
        <w:rPr>
          <w:rFonts w:ascii="Palatino Linotype" w:hAnsi="Palatino Linotype"/>
        </w:rPr>
        <w:t>За да се премине на следващия етап на оценка</w:t>
      </w:r>
      <w:r w:rsidR="002334AA">
        <w:rPr>
          <w:rFonts w:ascii="Palatino Linotype" w:hAnsi="Palatino Linotype"/>
        </w:rPr>
        <w:t>,</w:t>
      </w:r>
      <w:r w:rsidRPr="00336EC4">
        <w:rPr>
          <w:rFonts w:ascii="Palatino Linotype" w:hAnsi="Palatino Linotype"/>
        </w:rPr>
        <w:t xml:space="preserve"> по всички критерии трябва да е получена положителна оценка „ДА“.  </w:t>
      </w:r>
    </w:p>
    <w:p w14:paraId="1F464464" w14:textId="431ECA96" w:rsidR="00C03357" w:rsidRDefault="00C03357" w:rsidP="00C03357">
      <w:pPr>
        <w:ind w:right="141" w:firstLine="851"/>
        <w:contextualSpacing/>
        <w:jc w:val="both"/>
        <w:rPr>
          <w:rFonts w:ascii="Palatino Linotype" w:hAnsi="Palatino Linotype"/>
        </w:rPr>
      </w:pPr>
      <w:r w:rsidRPr="00336EC4">
        <w:rPr>
          <w:rFonts w:ascii="Palatino Linotype" w:hAnsi="Palatino Linotype"/>
        </w:rPr>
        <w:t>В случай, че по някой от критериите  е получен</w:t>
      </w:r>
      <w:r w:rsidR="002334AA">
        <w:rPr>
          <w:rFonts w:ascii="Palatino Linotype" w:hAnsi="Palatino Linotype"/>
        </w:rPr>
        <w:t>а</w:t>
      </w:r>
      <w:r w:rsidRPr="00336EC4">
        <w:rPr>
          <w:rFonts w:ascii="Palatino Linotype" w:hAnsi="Palatino Linotype"/>
        </w:rPr>
        <w:t xml:space="preserve"> отрицателна оценка „НЕ“ ФК може да бъде върнат за ревизиране или отхвърлен.  Ако проектното предложение (всички дейности, включени в него</w:t>
      </w:r>
      <w:r w:rsidR="002334AA" w:rsidRPr="002F4D8C">
        <w:rPr>
          <w:rFonts w:ascii="Palatino Linotype" w:hAnsi="Palatino Linotype"/>
        </w:rPr>
        <w:t>)</w:t>
      </w:r>
      <w:r w:rsidRPr="00336EC4">
        <w:rPr>
          <w:rFonts w:ascii="Palatino Linotype" w:hAnsi="Palatino Linotype"/>
        </w:rPr>
        <w:t xml:space="preserve"> е/са недопустимо/и, то проектното предложение не се процедира за по-нататъшна оценка (не преминава).</w:t>
      </w:r>
    </w:p>
    <w:p w14:paraId="65BA6DB1" w14:textId="77777777" w:rsidR="002334AA" w:rsidRPr="00336EC4" w:rsidRDefault="002334AA" w:rsidP="00C03357">
      <w:pPr>
        <w:ind w:right="141" w:firstLine="851"/>
        <w:contextualSpacing/>
        <w:jc w:val="both"/>
        <w:rPr>
          <w:rFonts w:ascii="Palatino Linotype" w:hAnsi="Palatino Linotype"/>
        </w:rPr>
      </w:pPr>
    </w:p>
    <w:p w14:paraId="3C0F1670" w14:textId="77777777" w:rsidR="00C03357" w:rsidRPr="00336EC4" w:rsidRDefault="00C03357" w:rsidP="00C03357">
      <w:pPr>
        <w:pStyle w:val="Heading1"/>
        <w:numPr>
          <w:ilvl w:val="1"/>
          <w:numId w:val="2"/>
        </w:numPr>
        <w:tabs>
          <w:tab w:val="left" w:pos="851"/>
        </w:tabs>
        <w:spacing w:before="0"/>
        <w:rPr>
          <w:rFonts w:ascii="Palatino Linotype" w:hAnsi="Palatino Linotype"/>
          <w:color w:val="000000" w:themeColor="text1"/>
          <w:sz w:val="24"/>
          <w:szCs w:val="24"/>
        </w:rPr>
      </w:pPr>
      <w:bookmarkStart w:id="5" w:name="_Toc414036220"/>
      <w:bookmarkStart w:id="6" w:name="_Toc417898300"/>
      <w:r w:rsidRPr="00336EC4">
        <w:rPr>
          <w:rFonts w:ascii="Palatino Linotype" w:hAnsi="Palatino Linotype"/>
          <w:color w:val="000000" w:themeColor="text1"/>
          <w:sz w:val="24"/>
          <w:szCs w:val="24"/>
        </w:rPr>
        <w:t>Техническа и финансова оценка</w:t>
      </w:r>
      <w:bookmarkEnd w:id="5"/>
      <w:bookmarkEnd w:id="6"/>
    </w:p>
    <w:p w14:paraId="29DC992F" w14:textId="0BA889DB" w:rsidR="00C03357" w:rsidRDefault="00C03357" w:rsidP="00C03357">
      <w:pPr>
        <w:ind w:right="141" w:firstLine="851"/>
        <w:contextualSpacing/>
        <w:jc w:val="both"/>
        <w:rPr>
          <w:rFonts w:ascii="Palatino Linotype" w:hAnsi="Palatino Linotype"/>
        </w:rPr>
      </w:pPr>
      <w:r w:rsidRPr="00336EC4">
        <w:rPr>
          <w:rFonts w:ascii="Palatino Linotype" w:hAnsi="Palatino Linotype"/>
        </w:rPr>
        <w:t>Този етап включва детайлна техническа и финансова оценка на проектното предложение. Всички критерии за техническа и финансова оценка се оценяват с отговор „ДА“, „НЕ“, а където са предвидени ограничения на приложимостта на даден критерий с „НЕПРИЛОЖИМО“, като резултатите се отразяват в оценител</w:t>
      </w:r>
      <w:r>
        <w:rPr>
          <w:rFonts w:ascii="Palatino Linotype" w:hAnsi="Palatino Linotype"/>
        </w:rPr>
        <w:t>е</w:t>
      </w:r>
      <w:r w:rsidRPr="00336EC4">
        <w:rPr>
          <w:rFonts w:ascii="Palatino Linotype" w:hAnsi="Palatino Linotype"/>
        </w:rPr>
        <w:t xml:space="preserve">н </w:t>
      </w:r>
      <w:r>
        <w:rPr>
          <w:rFonts w:ascii="Palatino Linotype" w:hAnsi="Palatino Linotype"/>
        </w:rPr>
        <w:t>лист</w:t>
      </w:r>
      <w:r w:rsidRPr="00336EC4">
        <w:rPr>
          <w:rFonts w:ascii="Palatino Linotype" w:hAnsi="Palatino Linotype"/>
        </w:rPr>
        <w:t>.</w:t>
      </w:r>
    </w:p>
    <w:p w14:paraId="5BBD5E57" w14:textId="3777DF73" w:rsidR="002F4D8C" w:rsidRDefault="00FE0E65" w:rsidP="00C03357">
      <w:pPr>
        <w:ind w:right="141" w:firstLine="851"/>
        <w:contextualSpacing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За н</w:t>
      </w:r>
      <w:r w:rsidR="002F4D8C">
        <w:rPr>
          <w:rFonts w:ascii="Palatino Linotype" w:hAnsi="Palatino Linotype"/>
        </w:rPr>
        <w:t xml:space="preserve">якои от критериите, </w:t>
      </w:r>
      <w:r>
        <w:rPr>
          <w:rFonts w:ascii="Palatino Linotype" w:hAnsi="Palatino Linotype"/>
        </w:rPr>
        <w:t>относно</w:t>
      </w:r>
      <w:r w:rsidR="002F4D8C">
        <w:rPr>
          <w:rFonts w:ascii="Palatino Linotype" w:hAnsi="Palatino Linotype"/>
        </w:rPr>
        <w:t xml:space="preserve"> анализ на търсенето, </w:t>
      </w:r>
      <w:r w:rsidR="00A51B8C">
        <w:rPr>
          <w:rFonts w:ascii="Palatino Linotype" w:hAnsi="Palatino Linotype"/>
        </w:rPr>
        <w:t>процедури по ОВОС/ОС</w:t>
      </w:r>
      <w:r w:rsidR="002F4D8C">
        <w:rPr>
          <w:rFonts w:ascii="Palatino Linotype" w:hAnsi="Palatino Linotype"/>
        </w:rPr>
        <w:t xml:space="preserve">, </w:t>
      </w:r>
      <w:proofErr w:type="spellStart"/>
      <w:r w:rsidR="00D80D8C">
        <w:rPr>
          <w:rFonts w:ascii="Palatino Linotype" w:hAnsi="Palatino Linotype"/>
        </w:rPr>
        <w:t>п</w:t>
      </w:r>
      <w:r w:rsidR="00A51B8C">
        <w:rPr>
          <w:rFonts w:ascii="Palatino Linotype" w:hAnsi="Palatino Linotype"/>
        </w:rPr>
        <w:t>редпроектни</w:t>
      </w:r>
      <w:proofErr w:type="spellEnd"/>
      <w:r w:rsidR="00A51B8C">
        <w:rPr>
          <w:rFonts w:ascii="Palatino Linotype" w:hAnsi="Palatino Linotype"/>
        </w:rPr>
        <w:t xml:space="preserve"> проучвания, финансов анализ, икономически анализ,  безопасност, оценка на риска</w:t>
      </w:r>
      <w:r>
        <w:rPr>
          <w:rFonts w:ascii="Palatino Linotype" w:hAnsi="Palatino Linotype"/>
        </w:rPr>
        <w:t xml:space="preserve">, </w:t>
      </w:r>
      <w:r w:rsidR="00A51B8C">
        <w:rPr>
          <w:rFonts w:ascii="Palatino Linotype" w:hAnsi="Palatino Linotype"/>
        </w:rPr>
        <w:t xml:space="preserve">климатична устойчивост </w:t>
      </w:r>
      <w:r>
        <w:rPr>
          <w:rFonts w:ascii="Palatino Linotype" w:hAnsi="Palatino Linotype"/>
        </w:rPr>
        <w:t xml:space="preserve">ще </w:t>
      </w:r>
      <w:r w:rsidR="00A51B8C">
        <w:rPr>
          <w:rFonts w:ascii="Palatino Linotype" w:hAnsi="Palatino Linotype"/>
        </w:rPr>
        <w:t xml:space="preserve">се </w:t>
      </w:r>
      <w:r>
        <w:rPr>
          <w:rFonts w:ascii="Palatino Linotype" w:hAnsi="Palatino Linotype"/>
        </w:rPr>
        <w:t>изисква от бенефициента осигуряване на подробна информация</w:t>
      </w:r>
      <w:r w:rsidR="00A51B8C">
        <w:rPr>
          <w:rFonts w:ascii="Palatino Linotype" w:hAnsi="Palatino Linotype"/>
        </w:rPr>
        <w:t xml:space="preserve">, </w:t>
      </w:r>
      <w:r>
        <w:rPr>
          <w:rFonts w:ascii="Palatino Linotype" w:hAnsi="Palatino Linotype"/>
        </w:rPr>
        <w:t>като изискванията</w:t>
      </w:r>
      <w:r w:rsidR="00A51B8C">
        <w:rPr>
          <w:rFonts w:ascii="Palatino Linotype" w:hAnsi="Palatino Linotype"/>
        </w:rPr>
        <w:t xml:space="preserve"> ще бъдат приложени към </w:t>
      </w:r>
      <w:r w:rsidR="00A51B8C" w:rsidRPr="00336EC4">
        <w:rPr>
          <w:rFonts w:ascii="Palatino Linotype" w:hAnsi="Palatino Linotype"/>
        </w:rPr>
        <w:t>Насоките по ПТС.</w:t>
      </w:r>
    </w:p>
    <w:p w14:paraId="7BD9ADE7" w14:textId="77777777" w:rsidR="00A7281E" w:rsidRPr="00336EC4" w:rsidRDefault="00C03357" w:rsidP="00A7281E">
      <w:pPr>
        <w:spacing w:after="120"/>
        <w:ind w:right="141" w:firstLine="567"/>
        <w:jc w:val="both"/>
        <w:rPr>
          <w:rFonts w:ascii="Palatino Linotype" w:hAnsi="Palatino Linotype"/>
        </w:rPr>
      </w:pPr>
      <w:r w:rsidRPr="00336EC4">
        <w:rPr>
          <w:rFonts w:ascii="Palatino Linotype" w:hAnsi="Palatino Linotype"/>
        </w:rPr>
        <w:t>Най-значимият елемент на оценката на проекта е техническата оценка. Основен аналитичен инструмент, който ще бъде използван при оценката за вземане на решение за финансиране на инвестиционните проекти е Анализа „разходи-ползи“</w:t>
      </w:r>
      <w:r w:rsidRPr="00555BE6">
        <w:rPr>
          <w:rFonts w:ascii="Palatino Linotype" w:hAnsi="Palatino Linotype"/>
        </w:rPr>
        <w:t xml:space="preserve"> </w:t>
      </w:r>
      <w:r w:rsidRPr="00336EC4">
        <w:rPr>
          <w:rFonts w:ascii="Palatino Linotype" w:hAnsi="Palatino Linotype"/>
        </w:rPr>
        <w:t xml:space="preserve">(„АРП“). Целта на </w:t>
      </w:r>
      <w:r>
        <w:rPr>
          <w:rFonts w:ascii="Palatino Linotype" w:hAnsi="Palatino Linotype"/>
        </w:rPr>
        <w:t>АРП</w:t>
      </w:r>
      <w:r w:rsidRPr="00336EC4">
        <w:rPr>
          <w:rFonts w:ascii="Palatino Linotype" w:hAnsi="Palatino Linotype"/>
        </w:rPr>
        <w:t xml:space="preserve">  е да допринесе за оценяването на инвестиционните проекти, </w:t>
      </w:r>
      <w:r w:rsidR="00A7281E" w:rsidRPr="00336EC4">
        <w:rPr>
          <w:rFonts w:ascii="Palatino Linotype" w:hAnsi="Palatino Linotype"/>
        </w:rPr>
        <w:lastRenderedPageBreak/>
        <w:t>за да се</w:t>
      </w:r>
      <w:r w:rsidR="00A7281E">
        <w:rPr>
          <w:rFonts w:ascii="Palatino Linotype" w:hAnsi="Palatino Linotype"/>
        </w:rPr>
        <w:t xml:space="preserve"> </w:t>
      </w:r>
      <w:r w:rsidR="00A7281E" w:rsidRPr="00336EC4">
        <w:rPr>
          <w:rFonts w:ascii="Palatino Linotype" w:hAnsi="Palatino Linotype"/>
        </w:rPr>
        <w:t xml:space="preserve">определи дали инвестиционният проект </w:t>
      </w:r>
      <w:r w:rsidR="00A7281E">
        <w:rPr>
          <w:rFonts w:ascii="Palatino Linotype" w:hAnsi="Palatino Linotype"/>
        </w:rPr>
        <w:t xml:space="preserve">заслужава да бъде съфинансиран </w:t>
      </w:r>
      <w:r w:rsidR="00A7281E" w:rsidRPr="00336EC4">
        <w:rPr>
          <w:rFonts w:ascii="Palatino Linotype" w:hAnsi="Palatino Linotype"/>
        </w:rPr>
        <w:t xml:space="preserve">от финансова </w:t>
      </w:r>
      <w:r w:rsidR="00A7281E">
        <w:rPr>
          <w:rFonts w:ascii="Palatino Linotype" w:hAnsi="Palatino Linotype"/>
        </w:rPr>
        <w:t>и от икономическа гледна точка.</w:t>
      </w:r>
    </w:p>
    <w:p w14:paraId="68F1837B" w14:textId="77777777" w:rsidR="00A7281E" w:rsidRPr="00336EC4" w:rsidRDefault="00A7281E" w:rsidP="00A7281E">
      <w:pPr>
        <w:spacing w:after="120"/>
        <w:ind w:right="141" w:firstLine="567"/>
        <w:jc w:val="both"/>
        <w:rPr>
          <w:rFonts w:ascii="Palatino Linotype" w:hAnsi="Palatino Linotype"/>
        </w:rPr>
      </w:pPr>
      <w:r w:rsidRPr="00336EC4">
        <w:rPr>
          <w:rFonts w:ascii="Palatino Linotype" w:hAnsi="Palatino Linotype"/>
        </w:rPr>
        <w:t>АРП</w:t>
      </w:r>
      <w:r w:rsidRPr="002F4D8C">
        <w:rPr>
          <w:rFonts w:ascii="Palatino Linotype" w:hAnsi="Palatino Linotype"/>
          <w:b/>
        </w:rPr>
        <w:t xml:space="preserve"> </w:t>
      </w:r>
      <w:r w:rsidRPr="00336EC4">
        <w:rPr>
          <w:rFonts w:ascii="Palatino Linotype" w:hAnsi="Palatino Linotype"/>
        </w:rPr>
        <w:t xml:space="preserve">се счита за елемент от </w:t>
      </w:r>
      <w:r>
        <w:rPr>
          <w:rFonts w:ascii="Palatino Linotype" w:hAnsi="Palatino Linotype"/>
        </w:rPr>
        <w:t>ФК</w:t>
      </w:r>
      <w:r w:rsidRPr="00336EC4">
        <w:rPr>
          <w:rFonts w:ascii="Palatino Linotype" w:hAnsi="Palatino Linotype"/>
        </w:rPr>
        <w:t xml:space="preserve"> за инвестиционен проект, който трябва да бъде взет под внимание в съчетание с други документи, изготвяни във връзка с инвестиционните проекти.</w:t>
      </w:r>
    </w:p>
    <w:p w14:paraId="144DFC99" w14:textId="77777777" w:rsidR="00A7281E" w:rsidRDefault="00A7281E" w:rsidP="00A7281E">
      <w:pPr>
        <w:spacing w:after="120"/>
        <w:ind w:right="141" w:firstLine="851"/>
        <w:jc w:val="both"/>
        <w:rPr>
          <w:rFonts w:ascii="Palatino Linotype" w:hAnsi="Palatino Linotype"/>
        </w:rPr>
      </w:pPr>
      <w:r w:rsidRPr="00336EC4">
        <w:rPr>
          <w:rFonts w:ascii="Palatino Linotype" w:hAnsi="Palatino Linotype"/>
        </w:rPr>
        <w:t>При оценката на този етап не е задължително по всички критерии да бъде получена положителна оценка „ДА“, възможно е по един или няколко критерии оценката да  бъде „НЕПРИЛОЖИМО“, като в този случай проектното предложение  може да бъде одобрено. В случай, че поне по един от критериите е получена отрицателна  оценка „НЕ“, ФК може да бъде върнат за ревизиране или отхвърлен.</w:t>
      </w:r>
    </w:p>
    <w:tbl>
      <w:tblPr>
        <w:tblStyle w:val="TableGrid"/>
        <w:tblpPr w:leftFromText="141" w:rightFromText="141" w:vertAnchor="text" w:horzAnchor="margin" w:tblpY="-2285"/>
        <w:tblW w:w="9558" w:type="dxa"/>
        <w:tblLook w:val="04A0" w:firstRow="1" w:lastRow="0" w:firstColumn="1" w:lastColumn="0" w:noHBand="0" w:noVBand="1"/>
      </w:tblPr>
      <w:tblGrid>
        <w:gridCol w:w="544"/>
        <w:gridCol w:w="7253"/>
        <w:gridCol w:w="567"/>
        <w:gridCol w:w="567"/>
        <w:gridCol w:w="627"/>
      </w:tblGrid>
      <w:tr w:rsidR="00030016" w:rsidRPr="006D7111" w14:paraId="2829D0D3" w14:textId="77777777" w:rsidTr="00030016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5F36FBDC" w14:textId="77777777" w:rsidR="00030016" w:rsidRDefault="00030016" w:rsidP="00D80D8C">
            <w:pPr>
              <w:pStyle w:val="ListParagraph"/>
              <w:ind w:left="0"/>
              <w:jc w:val="both"/>
              <w:rPr>
                <w:rFonts w:ascii="Palatino Linotype" w:hAnsi="Palatino Linotype" w:cs="Courier New"/>
                <w:color w:val="333333"/>
                <w:sz w:val="20"/>
                <w:szCs w:val="20"/>
              </w:rPr>
            </w:pPr>
          </w:p>
        </w:tc>
        <w:tc>
          <w:tcPr>
            <w:tcW w:w="7253" w:type="dxa"/>
            <w:tcBorders>
              <w:top w:val="nil"/>
              <w:left w:val="nil"/>
              <w:bottom w:val="nil"/>
              <w:right w:val="nil"/>
            </w:tcBorders>
          </w:tcPr>
          <w:p w14:paraId="5B6904CE" w14:textId="77777777" w:rsidR="00030016" w:rsidRDefault="00030016" w:rsidP="00D80D8C">
            <w:pPr>
              <w:pStyle w:val="ListParagraph"/>
              <w:ind w:left="0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EA4387" w14:textId="77777777" w:rsidR="00030016" w:rsidRPr="006D7111" w:rsidRDefault="00030016" w:rsidP="00D80D8C">
            <w:pPr>
              <w:pStyle w:val="ListParagraph"/>
              <w:ind w:left="0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2D7313" w14:textId="77777777" w:rsidR="00030016" w:rsidRPr="006D7111" w:rsidRDefault="00030016" w:rsidP="00D80D8C">
            <w:pPr>
              <w:pStyle w:val="ListParagraph"/>
              <w:ind w:left="0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1EA4825C" w14:textId="77777777" w:rsidR="00030016" w:rsidRPr="006D7111" w:rsidRDefault="00030016" w:rsidP="00D80D8C">
            <w:pPr>
              <w:pStyle w:val="ListParagraph"/>
              <w:ind w:left="0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030016" w:rsidRPr="006D7111" w14:paraId="63262E29" w14:textId="77777777" w:rsidTr="00030016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3BC525AE" w14:textId="77777777" w:rsidR="00030016" w:rsidRDefault="00030016" w:rsidP="00D80D8C">
            <w:pPr>
              <w:pStyle w:val="ListParagraph"/>
              <w:ind w:left="0"/>
              <w:jc w:val="both"/>
              <w:rPr>
                <w:rFonts w:ascii="Palatino Linotype" w:hAnsi="Palatino Linotype" w:cs="Courier New"/>
                <w:color w:val="333333"/>
                <w:sz w:val="20"/>
                <w:szCs w:val="20"/>
              </w:rPr>
            </w:pPr>
          </w:p>
        </w:tc>
        <w:tc>
          <w:tcPr>
            <w:tcW w:w="7253" w:type="dxa"/>
            <w:tcBorders>
              <w:top w:val="nil"/>
              <w:left w:val="nil"/>
              <w:bottom w:val="nil"/>
              <w:right w:val="nil"/>
            </w:tcBorders>
          </w:tcPr>
          <w:p w14:paraId="15436625" w14:textId="77777777" w:rsidR="00030016" w:rsidRDefault="00030016" w:rsidP="00D80D8C">
            <w:pPr>
              <w:pStyle w:val="ListParagraph"/>
              <w:ind w:left="0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B25C6D" w14:textId="77777777" w:rsidR="00030016" w:rsidRPr="006D7111" w:rsidRDefault="00030016" w:rsidP="00D80D8C">
            <w:pPr>
              <w:pStyle w:val="ListParagraph"/>
              <w:ind w:left="0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90AA46" w14:textId="77777777" w:rsidR="00030016" w:rsidRPr="006D7111" w:rsidRDefault="00030016" w:rsidP="00D80D8C">
            <w:pPr>
              <w:pStyle w:val="ListParagraph"/>
              <w:ind w:left="0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66E10FC0" w14:textId="77777777" w:rsidR="00030016" w:rsidRPr="006D7111" w:rsidRDefault="00030016" w:rsidP="00D80D8C">
            <w:pPr>
              <w:pStyle w:val="ListParagraph"/>
              <w:ind w:left="0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030016" w:rsidRPr="006D7111" w14:paraId="6167B32F" w14:textId="77777777" w:rsidTr="00030016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715C7346" w14:textId="77777777" w:rsidR="00030016" w:rsidRDefault="00030016" w:rsidP="00D80D8C">
            <w:pPr>
              <w:pStyle w:val="ListParagraph"/>
              <w:ind w:left="0"/>
              <w:jc w:val="both"/>
              <w:rPr>
                <w:rFonts w:ascii="Palatino Linotype" w:hAnsi="Palatino Linotype" w:cs="Courier New"/>
                <w:color w:val="333333"/>
                <w:sz w:val="20"/>
                <w:szCs w:val="20"/>
              </w:rPr>
            </w:pPr>
          </w:p>
        </w:tc>
        <w:tc>
          <w:tcPr>
            <w:tcW w:w="7253" w:type="dxa"/>
            <w:tcBorders>
              <w:top w:val="nil"/>
              <w:left w:val="nil"/>
              <w:bottom w:val="nil"/>
              <w:right w:val="nil"/>
            </w:tcBorders>
          </w:tcPr>
          <w:p w14:paraId="02BF4024" w14:textId="77777777" w:rsidR="00030016" w:rsidRDefault="00030016" w:rsidP="00D80D8C">
            <w:pPr>
              <w:pStyle w:val="ListParagraph"/>
              <w:ind w:left="0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0C545B" w14:textId="77777777" w:rsidR="00030016" w:rsidRPr="006D7111" w:rsidRDefault="00030016" w:rsidP="00D80D8C">
            <w:pPr>
              <w:pStyle w:val="ListParagraph"/>
              <w:ind w:left="0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0D1881" w14:textId="77777777" w:rsidR="00030016" w:rsidRPr="006D7111" w:rsidRDefault="00030016" w:rsidP="00D80D8C">
            <w:pPr>
              <w:pStyle w:val="ListParagraph"/>
              <w:ind w:left="0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2371D792" w14:textId="77777777" w:rsidR="00030016" w:rsidRPr="006D7111" w:rsidRDefault="00030016" w:rsidP="00D80D8C">
            <w:pPr>
              <w:pStyle w:val="ListParagraph"/>
              <w:ind w:left="0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030016" w:rsidRPr="006D7111" w14:paraId="6EB3CAE1" w14:textId="77777777" w:rsidTr="00030016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4FC2D977" w14:textId="77777777" w:rsidR="00030016" w:rsidRDefault="00030016" w:rsidP="00D80D8C">
            <w:pPr>
              <w:pStyle w:val="ListParagraph"/>
              <w:ind w:left="0"/>
              <w:jc w:val="both"/>
              <w:rPr>
                <w:rFonts w:ascii="Palatino Linotype" w:hAnsi="Palatino Linotype" w:cs="Courier New"/>
                <w:color w:val="333333"/>
                <w:sz w:val="20"/>
                <w:szCs w:val="20"/>
              </w:rPr>
            </w:pPr>
          </w:p>
        </w:tc>
        <w:tc>
          <w:tcPr>
            <w:tcW w:w="7253" w:type="dxa"/>
            <w:tcBorders>
              <w:top w:val="nil"/>
              <w:left w:val="nil"/>
              <w:bottom w:val="nil"/>
              <w:right w:val="nil"/>
            </w:tcBorders>
          </w:tcPr>
          <w:p w14:paraId="011D935C" w14:textId="77777777" w:rsidR="00030016" w:rsidRDefault="00030016" w:rsidP="00D80D8C">
            <w:pPr>
              <w:pStyle w:val="ListParagraph"/>
              <w:ind w:left="0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AADDD4" w14:textId="77777777" w:rsidR="00030016" w:rsidRPr="006D7111" w:rsidRDefault="00030016" w:rsidP="00D80D8C">
            <w:pPr>
              <w:pStyle w:val="ListParagraph"/>
              <w:ind w:left="0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0CEAB4" w14:textId="77777777" w:rsidR="00030016" w:rsidRPr="006D7111" w:rsidRDefault="00030016" w:rsidP="00D80D8C">
            <w:pPr>
              <w:pStyle w:val="ListParagraph"/>
              <w:ind w:left="0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3E94D4C8" w14:textId="77777777" w:rsidR="00030016" w:rsidRPr="006D7111" w:rsidRDefault="00030016" w:rsidP="00D80D8C">
            <w:pPr>
              <w:pStyle w:val="ListParagraph"/>
              <w:ind w:left="0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030016" w:rsidRPr="006D7111" w14:paraId="28F01020" w14:textId="77777777" w:rsidTr="00030016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7BB1ACD4" w14:textId="77777777" w:rsidR="00030016" w:rsidRDefault="00030016" w:rsidP="00D80D8C">
            <w:pPr>
              <w:pStyle w:val="ListParagraph"/>
              <w:ind w:left="0"/>
              <w:jc w:val="both"/>
              <w:rPr>
                <w:rFonts w:ascii="Palatino Linotype" w:hAnsi="Palatino Linotype" w:cs="Courier New"/>
                <w:color w:val="333333"/>
                <w:sz w:val="20"/>
                <w:szCs w:val="20"/>
              </w:rPr>
            </w:pPr>
          </w:p>
        </w:tc>
        <w:tc>
          <w:tcPr>
            <w:tcW w:w="7253" w:type="dxa"/>
            <w:tcBorders>
              <w:top w:val="nil"/>
              <w:left w:val="nil"/>
              <w:bottom w:val="nil"/>
              <w:right w:val="nil"/>
            </w:tcBorders>
          </w:tcPr>
          <w:p w14:paraId="6A403E12" w14:textId="77777777" w:rsidR="00030016" w:rsidRDefault="00030016" w:rsidP="00D80D8C">
            <w:pPr>
              <w:pStyle w:val="ListParagraph"/>
              <w:ind w:left="0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9A1886" w14:textId="77777777" w:rsidR="00030016" w:rsidRPr="006D7111" w:rsidRDefault="00030016" w:rsidP="00D80D8C">
            <w:pPr>
              <w:pStyle w:val="ListParagraph"/>
              <w:ind w:left="0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AB9A4E" w14:textId="77777777" w:rsidR="00030016" w:rsidRPr="006D7111" w:rsidRDefault="00030016" w:rsidP="00D80D8C">
            <w:pPr>
              <w:pStyle w:val="ListParagraph"/>
              <w:ind w:left="0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614B8311" w14:textId="77777777" w:rsidR="00030016" w:rsidRPr="006D7111" w:rsidRDefault="00030016" w:rsidP="00D80D8C">
            <w:pPr>
              <w:pStyle w:val="ListParagraph"/>
              <w:ind w:left="0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030016" w:rsidRPr="006D7111" w14:paraId="59237B17" w14:textId="77777777" w:rsidTr="00030016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0D70955B" w14:textId="77777777" w:rsidR="00030016" w:rsidRDefault="00030016" w:rsidP="00D80D8C">
            <w:pPr>
              <w:pStyle w:val="ListParagraph"/>
              <w:ind w:left="0"/>
              <w:jc w:val="both"/>
              <w:rPr>
                <w:rFonts w:ascii="Palatino Linotype" w:hAnsi="Palatino Linotype" w:cs="Courier New"/>
                <w:color w:val="333333"/>
                <w:sz w:val="20"/>
                <w:szCs w:val="20"/>
              </w:rPr>
            </w:pPr>
          </w:p>
        </w:tc>
        <w:tc>
          <w:tcPr>
            <w:tcW w:w="7253" w:type="dxa"/>
            <w:tcBorders>
              <w:top w:val="nil"/>
              <w:left w:val="nil"/>
              <w:bottom w:val="nil"/>
              <w:right w:val="nil"/>
            </w:tcBorders>
          </w:tcPr>
          <w:p w14:paraId="331E822D" w14:textId="77777777" w:rsidR="00030016" w:rsidRDefault="00030016" w:rsidP="00D80D8C">
            <w:pPr>
              <w:pStyle w:val="ListParagraph"/>
              <w:ind w:left="0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74C214" w14:textId="77777777" w:rsidR="00030016" w:rsidRPr="006D7111" w:rsidRDefault="00030016" w:rsidP="00D80D8C">
            <w:pPr>
              <w:pStyle w:val="ListParagraph"/>
              <w:ind w:left="0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4648E9" w14:textId="77777777" w:rsidR="00030016" w:rsidRPr="006D7111" w:rsidRDefault="00030016" w:rsidP="00D80D8C">
            <w:pPr>
              <w:pStyle w:val="ListParagraph"/>
              <w:ind w:left="0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69681611" w14:textId="77777777" w:rsidR="00030016" w:rsidRPr="006D7111" w:rsidRDefault="00030016" w:rsidP="00D80D8C">
            <w:pPr>
              <w:pStyle w:val="ListParagraph"/>
              <w:ind w:left="0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030016" w:rsidRPr="006D7111" w14:paraId="2FA96CAD" w14:textId="77777777" w:rsidTr="00030016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4FEA708B" w14:textId="77777777" w:rsidR="00030016" w:rsidRDefault="00030016" w:rsidP="00D80D8C">
            <w:pPr>
              <w:pStyle w:val="ListParagraph"/>
              <w:ind w:left="0"/>
              <w:jc w:val="both"/>
              <w:rPr>
                <w:rFonts w:ascii="Palatino Linotype" w:hAnsi="Palatino Linotype" w:cs="Courier New"/>
                <w:color w:val="333333"/>
                <w:sz w:val="20"/>
                <w:szCs w:val="20"/>
              </w:rPr>
            </w:pPr>
          </w:p>
        </w:tc>
        <w:tc>
          <w:tcPr>
            <w:tcW w:w="7253" w:type="dxa"/>
            <w:tcBorders>
              <w:top w:val="nil"/>
              <w:left w:val="nil"/>
              <w:bottom w:val="nil"/>
              <w:right w:val="nil"/>
            </w:tcBorders>
          </w:tcPr>
          <w:p w14:paraId="6FEC7782" w14:textId="77777777" w:rsidR="00030016" w:rsidRDefault="00030016" w:rsidP="00D80D8C">
            <w:pPr>
              <w:pStyle w:val="ListParagraph"/>
              <w:ind w:left="0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B1AF76" w14:textId="77777777" w:rsidR="00030016" w:rsidRPr="006D7111" w:rsidRDefault="00030016" w:rsidP="00D80D8C">
            <w:pPr>
              <w:pStyle w:val="ListParagraph"/>
              <w:ind w:left="0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A517D0" w14:textId="77777777" w:rsidR="00030016" w:rsidRPr="006D7111" w:rsidRDefault="00030016" w:rsidP="00D80D8C">
            <w:pPr>
              <w:pStyle w:val="ListParagraph"/>
              <w:ind w:left="0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4C8F4726" w14:textId="77777777" w:rsidR="00030016" w:rsidRPr="006D7111" w:rsidRDefault="00030016" w:rsidP="00D80D8C">
            <w:pPr>
              <w:pStyle w:val="ListParagraph"/>
              <w:ind w:left="0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030016" w:rsidRPr="006D7111" w14:paraId="44D3904D" w14:textId="77777777" w:rsidTr="00030016"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</w:tcPr>
          <w:p w14:paraId="6E81A866" w14:textId="77777777" w:rsidR="00030016" w:rsidRDefault="00030016" w:rsidP="00D80D8C">
            <w:pPr>
              <w:pStyle w:val="ListParagraph"/>
              <w:ind w:left="0"/>
              <w:jc w:val="both"/>
              <w:rPr>
                <w:rFonts w:ascii="Palatino Linotype" w:hAnsi="Palatino Linotype" w:cs="Courier New"/>
                <w:color w:val="333333"/>
                <w:sz w:val="20"/>
                <w:szCs w:val="20"/>
              </w:rPr>
            </w:pPr>
          </w:p>
        </w:tc>
        <w:tc>
          <w:tcPr>
            <w:tcW w:w="7253" w:type="dxa"/>
            <w:tcBorders>
              <w:top w:val="nil"/>
              <w:left w:val="nil"/>
              <w:bottom w:val="nil"/>
              <w:right w:val="nil"/>
            </w:tcBorders>
          </w:tcPr>
          <w:p w14:paraId="7F263741" w14:textId="77777777" w:rsidR="00030016" w:rsidRDefault="00030016" w:rsidP="00D80D8C">
            <w:pPr>
              <w:pStyle w:val="ListParagraph"/>
              <w:ind w:left="0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22AF85" w14:textId="77777777" w:rsidR="00030016" w:rsidRPr="006D7111" w:rsidRDefault="00030016" w:rsidP="00D80D8C">
            <w:pPr>
              <w:pStyle w:val="ListParagraph"/>
              <w:ind w:left="0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B48BB5" w14:textId="77777777" w:rsidR="00030016" w:rsidRPr="006D7111" w:rsidRDefault="00030016" w:rsidP="00D80D8C">
            <w:pPr>
              <w:pStyle w:val="ListParagraph"/>
              <w:ind w:left="0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</w:tcPr>
          <w:p w14:paraId="5A608B79" w14:textId="77777777" w:rsidR="00030016" w:rsidRPr="006D7111" w:rsidRDefault="00030016" w:rsidP="00D80D8C">
            <w:pPr>
              <w:pStyle w:val="ListParagraph"/>
              <w:ind w:left="0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030016" w:rsidRPr="006D7111" w14:paraId="06225A52" w14:textId="77777777" w:rsidTr="00030016"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495885" w14:textId="77777777" w:rsidR="00030016" w:rsidRDefault="00030016" w:rsidP="00D80D8C">
            <w:pPr>
              <w:pStyle w:val="ListParagraph"/>
              <w:ind w:left="0"/>
              <w:jc w:val="both"/>
              <w:rPr>
                <w:rFonts w:ascii="Palatino Linotype" w:hAnsi="Palatino Linotype" w:cs="Courier New"/>
                <w:color w:val="333333"/>
                <w:sz w:val="20"/>
                <w:szCs w:val="20"/>
              </w:rPr>
            </w:pPr>
          </w:p>
        </w:tc>
        <w:tc>
          <w:tcPr>
            <w:tcW w:w="7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D5A628" w14:textId="77777777" w:rsidR="00030016" w:rsidRDefault="00030016" w:rsidP="00D80D8C">
            <w:pPr>
              <w:pStyle w:val="ListParagraph"/>
              <w:ind w:left="0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541D15" w14:textId="77777777" w:rsidR="00030016" w:rsidRPr="006D7111" w:rsidRDefault="00030016" w:rsidP="00D80D8C">
            <w:pPr>
              <w:pStyle w:val="ListParagraph"/>
              <w:ind w:left="0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EC6C39" w14:textId="77777777" w:rsidR="00030016" w:rsidRPr="006D7111" w:rsidRDefault="00030016" w:rsidP="00D80D8C">
            <w:pPr>
              <w:pStyle w:val="ListParagraph"/>
              <w:ind w:left="0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008606" w14:textId="77777777" w:rsidR="00030016" w:rsidRPr="006D7111" w:rsidRDefault="00030016" w:rsidP="00D80D8C">
            <w:pPr>
              <w:pStyle w:val="ListParagraph"/>
              <w:ind w:left="0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D80D8C" w:rsidRPr="006D7111" w14:paraId="4C209E9D" w14:textId="77777777" w:rsidTr="00030016">
        <w:tc>
          <w:tcPr>
            <w:tcW w:w="544" w:type="dxa"/>
            <w:tcBorders>
              <w:top w:val="single" w:sz="4" w:space="0" w:color="auto"/>
            </w:tcBorders>
          </w:tcPr>
          <w:p w14:paraId="5B7596BA" w14:textId="77777777" w:rsidR="00D80D8C" w:rsidRPr="006D7111" w:rsidRDefault="00D80D8C" w:rsidP="00D80D8C">
            <w:pPr>
              <w:pStyle w:val="ListParagraph"/>
              <w:ind w:left="0"/>
              <w:jc w:val="both"/>
              <w:rPr>
                <w:rFonts w:ascii="Palatino Linotype" w:hAnsi="Palatino Linotype" w:cs="Courier New"/>
                <w:color w:val="333333"/>
                <w:sz w:val="20"/>
                <w:szCs w:val="20"/>
              </w:rPr>
            </w:pPr>
            <w:r>
              <w:rPr>
                <w:rFonts w:ascii="Palatino Linotype" w:hAnsi="Palatino Linotype" w:cs="Courier New"/>
                <w:color w:val="333333"/>
                <w:sz w:val="20"/>
                <w:szCs w:val="20"/>
              </w:rPr>
              <w:t>№</w:t>
            </w:r>
          </w:p>
        </w:tc>
        <w:tc>
          <w:tcPr>
            <w:tcW w:w="7253" w:type="dxa"/>
            <w:tcBorders>
              <w:top w:val="single" w:sz="4" w:space="0" w:color="auto"/>
            </w:tcBorders>
          </w:tcPr>
          <w:p w14:paraId="49244712" w14:textId="77777777" w:rsidR="00D80D8C" w:rsidRPr="006D7111" w:rsidRDefault="00D80D8C" w:rsidP="00D80D8C">
            <w:pPr>
              <w:pStyle w:val="ListParagraph"/>
              <w:ind w:left="0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Критерий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0FC74DCA" w14:textId="77777777" w:rsidR="00D80D8C" w:rsidRPr="006D7111" w:rsidRDefault="00D80D8C" w:rsidP="00D80D8C">
            <w:pPr>
              <w:pStyle w:val="ListParagraph"/>
              <w:ind w:left="0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6C000676" w14:textId="77777777" w:rsidR="00D80D8C" w:rsidRPr="006D7111" w:rsidRDefault="00D80D8C" w:rsidP="00D80D8C">
            <w:pPr>
              <w:pStyle w:val="ListParagraph"/>
              <w:ind w:left="0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627" w:type="dxa"/>
            <w:tcBorders>
              <w:top w:val="single" w:sz="4" w:space="0" w:color="auto"/>
            </w:tcBorders>
          </w:tcPr>
          <w:p w14:paraId="5804D307" w14:textId="77777777" w:rsidR="00D80D8C" w:rsidRPr="006D7111" w:rsidRDefault="00D80D8C" w:rsidP="00D80D8C">
            <w:pPr>
              <w:pStyle w:val="ListParagraph"/>
              <w:ind w:left="0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D80D8C" w:rsidRPr="006D7111" w14:paraId="45CEED36" w14:textId="77777777" w:rsidTr="00D80D8C">
        <w:tc>
          <w:tcPr>
            <w:tcW w:w="7797" w:type="dxa"/>
            <w:gridSpan w:val="2"/>
          </w:tcPr>
          <w:p w14:paraId="1A71DC88" w14:textId="77777777" w:rsidR="00D80D8C" w:rsidRPr="006D7111" w:rsidRDefault="00D80D8C" w:rsidP="00D80D8C">
            <w:pPr>
              <w:pStyle w:val="ListParagraph"/>
              <w:ind w:left="0"/>
              <w:rPr>
                <w:rFonts w:ascii="Palatino Linotype" w:hAnsi="Palatino Linotype"/>
                <w:b/>
                <w:sz w:val="20"/>
                <w:szCs w:val="20"/>
              </w:rPr>
            </w:pPr>
            <w:r w:rsidRPr="006D7111">
              <w:rPr>
                <w:rFonts w:ascii="Palatino Linotype" w:hAnsi="Palatino Linotype" w:cs="Courier New"/>
                <w:color w:val="333333"/>
                <w:sz w:val="20"/>
                <w:szCs w:val="20"/>
              </w:rPr>
              <w:t>ПРОВЕРКА ЗА АДМИНИСТРАТИВНО СЪОТВЕТСТВИЕ</w:t>
            </w:r>
          </w:p>
        </w:tc>
        <w:tc>
          <w:tcPr>
            <w:tcW w:w="567" w:type="dxa"/>
          </w:tcPr>
          <w:p w14:paraId="1D260BAD" w14:textId="77777777" w:rsidR="00D80D8C" w:rsidRPr="006D7111" w:rsidRDefault="00D80D8C" w:rsidP="00D80D8C">
            <w:pPr>
              <w:pStyle w:val="ListParagraph"/>
              <w:ind w:left="0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да</w:t>
            </w:r>
          </w:p>
        </w:tc>
        <w:tc>
          <w:tcPr>
            <w:tcW w:w="567" w:type="dxa"/>
          </w:tcPr>
          <w:p w14:paraId="579A9D26" w14:textId="77777777" w:rsidR="00D80D8C" w:rsidRPr="006D7111" w:rsidRDefault="00D80D8C" w:rsidP="00D80D8C">
            <w:pPr>
              <w:pStyle w:val="ListParagraph"/>
              <w:ind w:left="0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не</w:t>
            </w:r>
          </w:p>
        </w:tc>
        <w:tc>
          <w:tcPr>
            <w:tcW w:w="627" w:type="dxa"/>
          </w:tcPr>
          <w:p w14:paraId="618BA893" w14:textId="77777777" w:rsidR="00D80D8C" w:rsidRPr="006D7111" w:rsidRDefault="00D80D8C" w:rsidP="00D80D8C">
            <w:pPr>
              <w:pStyle w:val="ListParagraph"/>
              <w:ind w:left="0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НП</w:t>
            </w:r>
          </w:p>
        </w:tc>
      </w:tr>
      <w:tr w:rsidR="00D80D8C" w:rsidRPr="006D7111" w14:paraId="19526161" w14:textId="77777777" w:rsidTr="00D80D8C">
        <w:tc>
          <w:tcPr>
            <w:tcW w:w="544" w:type="dxa"/>
          </w:tcPr>
          <w:p w14:paraId="2E6F1A58" w14:textId="77777777" w:rsidR="00D80D8C" w:rsidRPr="00CD2E16" w:rsidRDefault="00D80D8C" w:rsidP="00D80D8C">
            <w:pPr>
              <w:pStyle w:val="ListParagraph"/>
              <w:numPr>
                <w:ilvl w:val="0"/>
                <w:numId w:val="3"/>
              </w:numPr>
              <w:ind w:left="437" w:hanging="284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253" w:type="dxa"/>
          </w:tcPr>
          <w:p w14:paraId="775260C1" w14:textId="77777777" w:rsidR="00D80D8C" w:rsidRPr="006D7111" w:rsidRDefault="00D80D8C" w:rsidP="00D80D8C">
            <w:pPr>
              <w:pStyle w:val="ListParagraph"/>
              <w:ind w:left="0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  <w:r w:rsidRPr="00C359B8">
              <w:rPr>
                <w:rFonts w:ascii="Palatino Linotype" w:hAnsi="Palatino Linotype" w:cs="Courier New"/>
                <w:sz w:val="20"/>
                <w:szCs w:val="20"/>
              </w:rPr>
              <w:t>Формулярът за кандидатстване (ФК) е подаден чрез ИСУН 2020 и е подписан с квалифициран електронен подпис (КЕП) от законния представител на кандидата или оправомощено за целите на подаването на проектното предложение лице.</w:t>
            </w:r>
          </w:p>
        </w:tc>
        <w:tc>
          <w:tcPr>
            <w:tcW w:w="567" w:type="dxa"/>
            <w:vAlign w:val="center"/>
          </w:tcPr>
          <w:p w14:paraId="2E56D48F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542542F2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627" w:type="dxa"/>
            <w:vAlign w:val="center"/>
          </w:tcPr>
          <w:p w14:paraId="34862551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D80D8C" w:rsidRPr="006D7111" w14:paraId="65D9F251" w14:textId="77777777" w:rsidTr="00D80D8C">
        <w:tc>
          <w:tcPr>
            <w:tcW w:w="544" w:type="dxa"/>
          </w:tcPr>
          <w:p w14:paraId="086E8E9F" w14:textId="77777777" w:rsidR="00D80D8C" w:rsidRPr="006D7111" w:rsidRDefault="00D80D8C" w:rsidP="00D80D8C">
            <w:pPr>
              <w:pStyle w:val="ListParagraph"/>
              <w:numPr>
                <w:ilvl w:val="0"/>
                <w:numId w:val="3"/>
              </w:numPr>
              <w:ind w:left="437" w:hanging="284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2F13" w14:textId="77777777" w:rsidR="00D80D8C" w:rsidRPr="002F4D8C" w:rsidRDefault="00D80D8C" w:rsidP="00D80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alatino Linotype" w:hAnsi="Palatino Linotype" w:cs="Courier New"/>
                <w:sz w:val="20"/>
                <w:szCs w:val="20"/>
              </w:rPr>
            </w:pP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>Формулярът за кандидатстване е попълнен коректно с цялата изискуема информация в съответствие с указанията в Насоките по процедурата</w:t>
            </w:r>
            <w:r w:rsidRPr="002F4D8C">
              <w:rPr>
                <w:rFonts w:ascii="Palatino Linotype" w:hAnsi="Palatino Linotype" w:cs="Courier New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14:paraId="15B4A00E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4D6CFCBF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627" w:type="dxa"/>
            <w:vAlign w:val="center"/>
          </w:tcPr>
          <w:p w14:paraId="6929060C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D80D8C" w:rsidRPr="006D7111" w14:paraId="46E8FF43" w14:textId="77777777" w:rsidTr="00D80D8C">
        <w:tc>
          <w:tcPr>
            <w:tcW w:w="544" w:type="dxa"/>
          </w:tcPr>
          <w:p w14:paraId="75320635" w14:textId="77777777" w:rsidR="00D80D8C" w:rsidRPr="006D7111" w:rsidRDefault="00D80D8C" w:rsidP="00D80D8C">
            <w:pPr>
              <w:pStyle w:val="ListParagraph"/>
              <w:numPr>
                <w:ilvl w:val="0"/>
                <w:numId w:val="3"/>
              </w:numPr>
              <w:ind w:left="437" w:hanging="284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517F7" w14:textId="77777777" w:rsidR="00D80D8C" w:rsidRPr="006D7111" w:rsidRDefault="00D80D8C" w:rsidP="00D80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alatino Linotype" w:hAnsi="Palatino Linotype" w:cs="Courier New"/>
                <w:sz w:val="20"/>
                <w:szCs w:val="20"/>
              </w:rPr>
            </w:pP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>Всички приложими приложения са прикачени към ФК в ИСУН 2020, включително ФК за инвестиционен проект (</w:t>
            </w:r>
            <w:r w:rsidRPr="00946082">
              <w:rPr>
                <w:rFonts w:ascii="Palatino Linotype" w:hAnsi="Palatino Linotype" w:cs="Courier New"/>
                <w:i/>
                <w:sz w:val="20"/>
                <w:szCs w:val="20"/>
              </w:rPr>
              <w:t>когато е приложимо</w:t>
            </w: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>)</w:t>
            </w:r>
            <w:r>
              <w:rPr>
                <w:rFonts w:ascii="Palatino Linotype" w:hAnsi="Palatino Linotype" w:cs="Courier New"/>
                <w:sz w:val="20"/>
                <w:szCs w:val="20"/>
              </w:rPr>
              <w:t>, попълнен образец на финансов план</w:t>
            </w: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 xml:space="preserve"> (</w:t>
            </w:r>
            <w:r w:rsidRPr="00946082">
              <w:rPr>
                <w:rFonts w:ascii="Palatino Linotype" w:hAnsi="Palatino Linotype" w:cs="Courier New"/>
                <w:i/>
                <w:sz w:val="20"/>
                <w:szCs w:val="20"/>
              </w:rPr>
              <w:t>когато е приложимо</w:t>
            </w: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>)</w:t>
            </w:r>
            <w:r>
              <w:rPr>
                <w:rFonts w:ascii="Palatino Linotype" w:hAnsi="Palatino Linotype" w:cs="Courier New"/>
                <w:sz w:val="20"/>
                <w:szCs w:val="20"/>
              </w:rPr>
              <w:t xml:space="preserve"> </w:t>
            </w: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>и са представени в съответствие с указанията в Насоките по процедурата</w:t>
            </w:r>
            <w:r>
              <w:rPr>
                <w:rFonts w:ascii="Palatino Linotype" w:hAnsi="Palatino Linotype" w:cs="Courier New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14:paraId="79152A2E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3C00238B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627" w:type="dxa"/>
            <w:vAlign w:val="center"/>
          </w:tcPr>
          <w:p w14:paraId="6C6056A6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D80D8C" w:rsidRPr="00792B2A" w14:paraId="6F2C31E3" w14:textId="77777777" w:rsidTr="00D80D8C">
        <w:tc>
          <w:tcPr>
            <w:tcW w:w="7797" w:type="dxa"/>
            <w:gridSpan w:val="2"/>
          </w:tcPr>
          <w:p w14:paraId="739588F9" w14:textId="77777777" w:rsidR="00D80D8C" w:rsidRPr="00792B2A" w:rsidRDefault="00D80D8C" w:rsidP="00D80D8C">
            <w:pPr>
              <w:pStyle w:val="ListParagraph"/>
              <w:ind w:left="0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  <w:r w:rsidRPr="00792B2A">
              <w:rPr>
                <w:rFonts w:ascii="Palatino Linotype" w:hAnsi="Palatino Linotype" w:cs="Courier New"/>
                <w:b/>
                <w:color w:val="333333"/>
                <w:sz w:val="20"/>
                <w:szCs w:val="20"/>
              </w:rPr>
              <w:t>ПРОВЕРКА ЗА ДОПУСТИМОСТ</w:t>
            </w:r>
          </w:p>
        </w:tc>
        <w:tc>
          <w:tcPr>
            <w:tcW w:w="567" w:type="dxa"/>
          </w:tcPr>
          <w:p w14:paraId="4AB4BE47" w14:textId="77777777" w:rsidR="00D80D8C" w:rsidRPr="00792B2A" w:rsidRDefault="00D80D8C" w:rsidP="00D80D8C">
            <w:pPr>
              <w:pStyle w:val="ListParagraph"/>
              <w:ind w:left="0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2F49385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7" w:type="dxa"/>
            <w:vAlign w:val="center"/>
          </w:tcPr>
          <w:p w14:paraId="4BCC141B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D80D8C" w:rsidRPr="006D7111" w14:paraId="13AF5E3B" w14:textId="77777777" w:rsidTr="00D80D8C">
        <w:tc>
          <w:tcPr>
            <w:tcW w:w="544" w:type="dxa"/>
          </w:tcPr>
          <w:p w14:paraId="0D82C8C1" w14:textId="77777777" w:rsidR="00D80D8C" w:rsidRPr="006D7111" w:rsidRDefault="00D80D8C" w:rsidP="00D80D8C">
            <w:pPr>
              <w:pStyle w:val="ListParagraph"/>
              <w:numPr>
                <w:ilvl w:val="0"/>
                <w:numId w:val="3"/>
              </w:numPr>
              <w:ind w:left="437" w:hanging="284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253" w:type="dxa"/>
            <w:tcBorders>
              <w:left w:val="single" w:sz="6" w:space="0" w:color="8F8F8F"/>
              <w:bottom w:val="single" w:sz="6" w:space="0" w:color="8F8F8F"/>
            </w:tcBorders>
          </w:tcPr>
          <w:p w14:paraId="6D5C4E2E" w14:textId="77777777" w:rsidR="00D80D8C" w:rsidRPr="006D7111" w:rsidRDefault="00D80D8C" w:rsidP="00D80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>Формулярът за кандидатстване е подаден от бенефициент, посочен в ПТС като конкретен бенефициент по съответния приоритет</w:t>
            </w:r>
            <w:r>
              <w:rPr>
                <w:rFonts w:ascii="Palatino Linotype" w:hAnsi="Palatino Linotype" w:cs="Courier New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14:paraId="09303226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900A3F7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627" w:type="dxa"/>
            <w:vAlign w:val="center"/>
          </w:tcPr>
          <w:p w14:paraId="489EEB22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D80D8C" w:rsidRPr="006D7111" w14:paraId="6C7960E7" w14:textId="77777777" w:rsidTr="00D80D8C">
        <w:tc>
          <w:tcPr>
            <w:tcW w:w="544" w:type="dxa"/>
          </w:tcPr>
          <w:p w14:paraId="49BEBFF8" w14:textId="77777777" w:rsidR="00D80D8C" w:rsidRPr="006D7111" w:rsidRDefault="00D80D8C" w:rsidP="00D80D8C">
            <w:pPr>
              <w:pStyle w:val="ListParagraph"/>
              <w:numPr>
                <w:ilvl w:val="0"/>
                <w:numId w:val="3"/>
              </w:numPr>
              <w:ind w:left="437" w:hanging="284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253" w:type="dxa"/>
            <w:tcBorders>
              <w:left w:val="single" w:sz="6" w:space="0" w:color="8F8F8F"/>
              <w:bottom w:val="single" w:sz="6" w:space="0" w:color="8F8F8F"/>
            </w:tcBorders>
          </w:tcPr>
          <w:p w14:paraId="35D77253" w14:textId="77777777" w:rsidR="00D80D8C" w:rsidRPr="006D7111" w:rsidRDefault="00D80D8C" w:rsidP="00D80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alatino Linotype" w:hAnsi="Palatino Linotype" w:cs="Courier New"/>
                <w:sz w:val="20"/>
                <w:szCs w:val="20"/>
              </w:rPr>
            </w:pP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 xml:space="preserve">Проектът попада в обхвата на финансиране на КФ/ ЕФРР </w:t>
            </w:r>
            <w:r w:rsidRPr="006D7111">
              <w:rPr>
                <w:rFonts w:ascii="Palatino Linotype" w:hAnsi="Palatino Linotype"/>
                <w:sz w:val="20"/>
                <w:szCs w:val="20"/>
              </w:rPr>
              <w:t>и се отнася към съответния вид интервенция по процедурата</w:t>
            </w:r>
            <w:r>
              <w:rPr>
                <w:rFonts w:ascii="Palatino Linotype" w:hAnsi="Palatino Linotype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14:paraId="25499CD7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412B0E9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627" w:type="dxa"/>
            <w:vAlign w:val="center"/>
          </w:tcPr>
          <w:p w14:paraId="2C199517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D80D8C" w:rsidRPr="006D7111" w14:paraId="0FE4BB52" w14:textId="77777777" w:rsidTr="00D80D8C">
        <w:tc>
          <w:tcPr>
            <w:tcW w:w="544" w:type="dxa"/>
          </w:tcPr>
          <w:p w14:paraId="07877E0D" w14:textId="77777777" w:rsidR="00D80D8C" w:rsidRPr="006D7111" w:rsidRDefault="00D80D8C" w:rsidP="00D80D8C">
            <w:pPr>
              <w:pStyle w:val="ListParagraph"/>
              <w:numPr>
                <w:ilvl w:val="0"/>
                <w:numId w:val="3"/>
              </w:numPr>
              <w:ind w:left="437" w:hanging="284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253" w:type="dxa"/>
            <w:tcBorders>
              <w:left w:val="single" w:sz="6" w:space="0" w:color="8F8F8F"/>
              <w:bottom w:val="single" w:sz="6" w:space="0" w:color="8F8F8F"/>
            </w:tcBorders>
          </w:tcPr>
          <w:p w14:paraId="73FB5D36" w14:textId="77777777" w:rsidR="00D80D8C" w:rsidRPr="006D7111" w:rsidRDefault="00D80D8C" w:rsidP="00D80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>Проектът допринася за постигане на съответната цел на политиката, специфична цел на поне един от избраните приоритети в ПТС</w:t>
            </w:r>
            <w:r>
              <w:rPr>
                <w:rFonts w:ascii="Palatino Linotype" w:hAnsi="Palatino Linotype" w:cs="Courier New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14:paraId="0D33CC11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7286DF0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627" w:type="dxa"/>
            <w:vAlign w:val="center"/>
          </w:tcPr>
          <w:p w14:paraId="050E47CA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D80D8C" w:rsidRPr="006D7111" w14:paraId="5A5B571F" w14:textId="77777777" w:rsidTr="00D80D8C">
        <w:tc>
          <w:tcPr>
            <w:tcW w:w="544" w:type="dxa"/>
          </w:tcPr>
          <w:p w14:paraId="54F2EF56" w14:textId="77777777" w:rsidR="00D80D8C" w:rsidRPr="006D7111" w:rsidRDefault="00D80D8C" w:rsidP="00D80D8C">
            <w:pPr>
              <w:pStyle w:val="ListParagraph"/>
              <w:numPr>
                <w:ilvl w:val="0"/>
                <w:numId w:val="3"/>
              </w:numPr>
              <w:ind w:left="437" w:hanging="284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253" w:type="dxa"/>
            <w:tcBorders>
              <w:left w:val="single" w:sz="6" w:space="0" w:color="8F8F8F"/>
              <w:bottom w:val="single" w:sz="6" w:space="0" w:color="8F8F8F"/>
            </w:tcBorders>
          </w:tcPr>
          <w:p w14:paraId="06D49914" w14:textId="77777777" w:rsidR="00D80D8C" w:rsidRPr="006D7111" w:rsidRDefault="00D80D8C" w:rsidP="00D80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 xml:space="preserve">Проектното предложение съответства на видовете транспорт и на допустимите дейности по </w:t>
            </w:r>
            <w:r>
              <w:rPr>
                <w:rFonts w:ascii="Palatino Linotype" w:hAnsi="Palatino Linotype" w:cs="Courier New"/>
                <w:sz w:val="20"/>
                <w:szCs w:val="20"/>
              </w:rPr>
              <w:t>съответния приоритет на</w:t>
            </w: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 xml:space="preserve"> ПТС 2021-2027 г.</w:t>
            </w:r>
          </w:p>
        </w:tc>
        <w:tc>
          <w:tcPr>
            <w:tcW w:w="567" w:type="dxa"/>
            <w:vAlign w:val="center"/>
          </w:tcPr>
          <w:p w14:paraId="250137C9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3AC5D13E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627" w:type="dxa"/>
            <w:vAlign w:val="center"/>
          </w:tcPr>
          <w:p w14:paraId="51F90C57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D80D8C" w:rsidRPr="006D7111" w14:paraId="616C5B63" w14:textId="77777777" w:rsidTr="00D80D8C">
        <w:tc>
          <w:tcPr>
            <w:tcW w:w="544" w:type="dxa"/>
          </w:tcPr>
          <w:p w14:paraId="7D2A2137" w14:textId="77777777" w:rsidR="00D80D8C" w:rsidRPr="006D7111" w:rsidRDefault="00D80D8C" w:rsidP="00D80D8C">
            <w:pPr>
              <w:pStyle w:val="ListParagraph"/>
              <w:numPr>
                <w:ilvl w:val="0"/>
                <w:numId w:val="3"/>
              </w:numPr>
              <w:ind w:left="437" w:hanging="284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253" w:type="dxa"/>
            <w:tcBorders>
              <w:left w:val="single" w:sz="6" w:space="0" w:color="8F8F8F"/>
              <w:bottom w:val="single" w:sz="6" w:space="0" w:color="8F8F8F"/>
            </w:tcBorders>
          </w:tcPr>
          <w:p w14:paraId="54493CD5" w14:textId="77777777" w:rsidR="00D80D8C" w:rsidRPr="006D7111" w:rsidRDefault="00D80D8C" w:rsidP="00D80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alatino Linotype" w:hAnsi="Palatino Linotype" w:cs="Courier New"/>
                <w:sz w:val="20"/>
                <w:szCs w:val="20"/>
              </w:rPr>
            </w:pP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>Информацията във ФК показва, че всички дейности по проекта не са физически приключили и не са изцяло</w:t>
            </w:r>
            <w:r>
              <w:rPr>
                <w:rFonts w:ascii="Palatino Linotype" w:hAnsi="Palatino Linotype" w:cs="Courier New"/>
                <w:sz w:val="20"/>
                <w:szCs w:val="20"/>
              </w:rPr>
              <w:t xml:space="preserve"> изпълнени преди подаване на ФК. </w:t>
            </w: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>Когато дейностите са започнали преди подаването на ФК до управляващия орган, приложимото право е било спазено.</w:t>
            </w:r>
          </w:p>
        </w:tc>
        <w:tc>
          <w:tcPr>
            <w:tcW w:w="567" w:type="dxa"/>
            <w:vAlign w:val="center"/>
          </w:tcPr>
          <w:p w14:paraId="18AF88FB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2126B13E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627" w:type="dxa"/>
            <w:vAlign w:val="center"/>
          </w:tcPr>
          <w:p w14:paraId="646A69DE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D80D8C" w:rsidRPr="006D7111" w14:paraId="1F4E0A9E" w14:textId="77777777" w:rsidTr="00D80D8C">
        <w:tc>
          <w:tcPr>
            <w:tcW w:w="544" w:type="dxa"/>
          </w:tcPr>
          <w:p w14:paraId="14FADAD4" w14:textId="77777777" w:rsidR="00D80D8C" w:rsidRPr="006D7111" w:rsidRDefault="00D80D8C" w:rsidP="00D80D8C">
            <w:pPr>
              <w:pStyle w:val="ListParagraph"/>
              <w:numPr>
                <w:ilvl w:val="0"/>
                <w:numId w:val="3"/>
              </w:numPr>
              <w:ind w:left="437" w:hanging="284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253" w:type="dxa"/>
            <w:tcBorders>
              <w:left w:val="single" w:sz="6" w:space="0" w:color="8F8F8F"/>
              <w:bottom w:val="single" w:sz="6" w:space="0" w:color="8F8F8F"/>
            </w:tcBorders>
          </w:tcPr>
          <w:p w14:paraId="76A9C623" w14:textId="77777777" w:rsidR="00D80D8C" w:rsidRPr="006D7111" w:rsidRDefault="00D80D8C" w:rsidP="00D80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>Информацията, свързана с описанието на местоположението на инвестицията доказва, че проектът отговаря на изискванията за допустимост за финансиране във връзка с мястото на изпълнение или района на проекта за съответния фонд</w:t>
            </w:r>
            <w:r>
              <w:rPr>
                <w:rFonts w:ascii="Palatino Linotype" w:hAnsi="Palatino Linotype" w:cs="Courier New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14:paraId="6A2325B9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616B1188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627" w:type="dxa"/>
            <w:vAlign w:val="center"/>
          </w:tcPr>
          <w:p w14:paraId="638C7AC0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D80D8C" w:rsidRPr="006D7111" w14:paraId="7B400394" w14:textId="77777777" w:rsidTr="00D80D8C">
        <w:tc>
          <w:tcPr>
            <w:tcW w:w="544" w:type="dxa"/>
          </w:tcPr>
          <w:p w14:paraId="0FFA1456" w14:textId="77777777" w:rsidR="00D80D8C" w:rsidRPr="006D7111" w:rsidRDefault="00D80D8C" w:rsidP="00D80D8C">
            <w:pPr>
              <w:pStyle w:val="ListParagraph"/>
              <w:numPr>
                <w:ilvl w:val="0"/>
                <w:numId w:val="3"/>
              </w:numPr>
              <w:ind w:left="437" w:hanging="284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253" w:type="dxa"/>
            <w:tcBorders>
              <w:left w:val="single" w:sz="6" w:space="0" w:color="8F8F8F"/>
              <w:bottom w:val="single" w:sz="6" w:space="0" w:color="8F8F8F"/>
            </w:tcBorders>
          </w:tcPr>
          <w:p w14:paraId="07EADEEB" w14:textId="77777777" w:rsidR="00D80D8C" w:rsidRPr="006D7111" w:rsidRDefault="00D80D8C" w:rsidP="00D80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>Планираният времеви график за изпълнение на проекта попада в периода на допустимост на разходите за финансиране от КФ/ ЕФРР между 1 януари 2021 г. и 31 декември 2029 г.</w:t>
            </w:r>
          </w:p>
        </w:tc>
        <w:tc>
          <w:tcPr>
            <w:tcW w:w="567" w:type="dxa"/>
            <w:vAlign w:val="center"/>
          </w:tcPr>
          <w:p w14:paraId="58768F46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57634938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627" w:type="dxa"/>
            <w:vAlign w:val="center"/>
          </w:tcPr>
          <w:p w14:paraId="16FCCC8D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D80D8C" w:rsidRPr="006D7111" w14:paraId="6BDDA32B" w14:textId="77777777" w:rsidTr="00D80D8C">
        <w:tc>
          <w:tcPr>
            <w:tcW w:w="544" w:type="dxa"/>
          </w:tcPr>
          <w:p w14:paraId="61D6341B" w14:textId="77777777" w:rsidR="00D80D8C" w:rsidRPr="006D7111" w:rsidRDefault="00D80D8C" w:rsidP="00D80D8C">
            <w:pPr>
              <w:pStyle w:val="ListParagraph"/>
              <w:numPr>
                <w:ilvl w:val="0"/>
                <w:numId w:val="3"/>
              </w:numPr>
              <w:ind w:left="437" w:hanging="284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253" w:type="dxa"/>
            <w:tcBorders>
              <w:left w:val="single" w:sz="6" w:space="0" w:color="8F8F8F"/>
              <w:bottom w:val="single" w:sz="6" w:space="0" w:color="8F8F8F"/>
            </w:tcBorders>
          </w:tcPr>
          <w:p w14:paraId="7199ED03" w14:textId="77777777" w:rsidR="00D80D8C" w:rsidRPr="006D7111" w:rsidRDefault="00D80D8C" w:rsidP="00D80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alatino Linotype" w:hAnsi="Palatino Linotype" w:cs="Courier New"/>
                <w:sz w:val="20"/>
                <w:szCs w:val="20"/>
              </w:rPr>
            </w:pP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>Дейностите за подпомагане на управлението и изпълнението на проекта са в съответствие с действащата нормативна уредба (</w:t>
            </w:r>
            <w:r>
              <w:rPr>
                <w:rFonts w:ascii="Palatino Linotype" w:hAnsi="Palatino Linotype" w:cs="Courier New"/>
                <w:sz w:val="20"/>
                <w:szCs w:val="20"/>
              </w:rPr>
              <w:t>когато е приложимо).</w:t>
            </w:r>
          </w:p>
        </w:tc>
        <w:tc>
          <w:tcPr>
            <w:tcW w:w="567" w:type="dxa"/>
            <w:vAlign w:val="center"/>
          </w:tcPr>
          <w:p w14:paraId="392679EF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420AAC1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627" w:type="dxa"/>
            <w:vAlign w:val="center"/>
          </w:tcPr>
          <w:p w14:paraId="44437B4A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D80D8C" w:rsidRPr="006D7111" w14:paraId="4B18584A" w14:textId="77777777" w:rsidTr="00D80D8C">
        <w:tc>
          <w:tcPr>
            <w:tcW w:w="544" w:type="dxa"/>
          </w:tcPr>
          <w:p w14:paraId="30C987EE" w14:textId="77777777" w:rsidR="00D80D8C" w:rsidRPr="006D7111" w:rsidRDefault="00D80D8C" w:rsidP="00D80D8C">
            <w:pPr>
              <w:pStyle w:val="ListParagraph"/>
              <w:numPr>
                <w:ilvl w:val="0"/>
                <w:numId w:val="3"/>
              </w:numPr>
              <w:ind w:left="437" w:hanging="284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253" w:type="dxa"/>
            <w:tcBorders>
              <w:left w:val="single" w:sz="6" w:space="0" w:color="8F8F8F"/>
              <w:bottom w:val="single" w:sz="6" w:space="0" w:color="8F8F8F"/>
            </w:tcBorders>
          </w:tcPr>
          <w:p w14:paraId="3E709119" w14:textId="77777777" w:rsidR="00D80D8C" w:rsidRPr="006D7111" w:rsidRDefault="00D80D8C" w:rsidP="00D80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alatino Linotype" w:hAnsi="Palatino Linotype" w:cs="Courier New"/>
                <w:sz w:val="20"/>
                <w:szCs w:val="20"/>
              </w:rPr>
            </w:pPr>
            <w:r w:rsidRPr="00555BE6">
              <w:rPr>
                <w:rFonts w:ascii="Palatino Linotype" w:hAnsi="Palatino Linotype" w:cs="Courier New"/>
                <w:sz w:val="20"/>
                <w:szCs w:val="20"/>
              </w:rPr>
              <w:t>Проектното предложение предвижда мерки за информация и комуникация съгласно Насоките по процедурата.</w:t>
            </w:r>
          </w:p>
        </w:tc>
        <w:tc>
          <w:tcPr>
            <w:tcW w:w="567" w:type="dxa"/>
            <w:vAlign w:val="center"/>
          </w:tcPr>
          <w:p w14:paraId="7F7B4B8A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380DD6B5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627" w:type="dxa"/>
            <w:vAlign w:val="center"/>
          </w:tcPr>
          <w:p w14:paraId="05F2B50D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D80D8C" w:rsidRPr="006D7111" w14:paraId="7004CDE4" w14:textId="77777777" w:rsidTr="00D80D8C">
        <w:tc>
          <w:tcPr>
            <w:tcW w:w="544" w:type="dxa"/>
          </w:tcPr>
          <w:p w14:paraId="7FFFDAEE" w14:textId="77777777" w:rsidR="00D80D8C" w:rsidRPr="006D7111" w:rsidRDefault="00D80D8C" w:rsidP="00D80D8C">
            <w:pPr>
              <w:pStyle w:val="ListParagraph"/>
              <w:numPr>
                <w:ilvl w:val="0"/>
                <w:numId w:val="3"/>
              </w:numPr>
              <w:ind w:left="437" w:hanging="284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253" w:type="dxa"/>
            <w:tcBorders>
              <w:left w:val="single" w:sz="6" w:space="0" w:color="8F8F8F"/>
              <w:bottom w:val="single" w:sz="6" w:space="0" w:color="8F8F8F"/>
            </w:tcBorders>
          </w:tcPr>
          <w:p w14:paraId="157EEAAE" w14:textId="77777777" w:rsidR="00D80D8C" w:rsidRPr="006D7111" w:rsidRDefault="00D80D8C" w:rsidP="00D80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alatino Linotype" w:hAnsi="Palatino Linotype" w:cs="Courier New"/>
                <w:sz w:val="20"/>
                <w:szCs w:val="20"/>
              </w:rPr>
            </w:pP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>Бенефициент</w:t>
            </w:r>
            <w:r>
              <w:rPr>
                <w:rFonts w:ascii="Palatino Linotype" w:hAnsi="Palatino Linotype" w:cs="Courier New"/>
                <w:sz w:val="20"/>
                <w:szCs w:val="20"/>
              </w:rPr>
              <w:t>ът</w:t>
            </w: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 xml:space="preserve"> е декларирал, че дейностите, финансирани по проекта, не се финансират/не са финансирани от друг проект/програма или друга финансова схема с източник националния бюджет, бюджета на ЕС или друга донорска програма и е извършена проверка за липса на двойно финансиране</w:t>
            </w:r>
            <w:r>
              <w:rPr>
                <w:rFonts w:ascii="Palatino Linotype" w:hAnsi="Palatino Linotype" w:cs="Courier New"/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14:paraId="40FDBF65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61A469A5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627" w:type="dxa"/>
            <w:vAlign w:val="center"/>
          </w:tcPr>
          <w:p w14:paraId="7B75C49E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D80D8C" w:rsidRPr="006D7111" w14:paraId="717872CF" w14:textId="77777777" w:rsidTr="00D80D8C">
        <w:tc>
          <w:tcPr>
            <w:tcW w:w="544" w:type="dxa"/>
          </w:tcPr>
          <w:p w14:paraId="035BA4A2" w14:textId="77777777" w:rsidR="00D80D8C" w:rsidRPr="006D7111" w:rsidRDefault="00D80D8C" w:rsidP="00D80D8C">
            <w:pPr>
              <w:pStyle w:val="ListParagraph"/>
              <w:numPr>
                <w:ilvl w:val="0"/>
                <w:numId w:val="3"/>
              </w:numPr>
              <w:ind w:left="437" w:hanging="284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253" w:type="dxa"/>
            <w:tcBorders>
              <w:left w:val="single" w:sz="6" w:space="0" w:color="8F8F8F"/>
              <w:bottom w:val="single" w:sz="6" w:space="0" w:color="8F8F8F"/>
            </w:tcBorders>
          </w:tcPr>
          <w:p w14:paraId="6DC7979E" w14:textId="77777777" w:rsidR="00D80D8C" w:rsidRPr="00D77271" w:rsidRDefault="00D80D8C" w:rsidP="00D80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alatino Linotype" w:hAnsi="Palatino Linotype" w:cs="Courier New"/>
                <w:sz w:val="20"/>
                <w:szCs w:val="20"/>
              </w:rPr>
            </w:pPr>
            <w:r>
              <w:rPr>
                <w:rFonts w:ascii="Palatino Linotype" w:hAnsi="Palatino Linotype" w:cs="Courier New"/>
                <w:sz w:val="20"/>
                <w:szCs w:val="20"/>
              </w:rPr>
              <w:t xml:space="preserve">Когато проектът е подготвян с подкрепа от страна на </w:t>
            </w:r>
            <w:r>
              <w:rPr>
                <w:rFonts w:ascii="Palatino Linotype" w:hAnsi="Palatino Linotype" w:cs="Courier New"/>
                <w:sz w:val="20"/>
                <w:szCs w:val="20"/>
                <w:lang w:val="ro-RO"/>
              </w:rPr>
              <w:t xml:space="preserve">JASPERS/ </w:t>
            </w:r>
            <w:r>
              <w:rPr>
                <w:rFonts w:ascii="Palatino Linotype" w:hAnsi="Palatino Linotype" w:cs="Courier New"/>
                <w:sz w:val="20"/>
                <w:szCs w:val="20"/>
              </w:rPr>
              <w:t xml:space="preserve">УО получава подкрепа от страна на </w:t>
            </w:r>
            <w:r>
              <w:rPr>
                <w:rFonts w:ascii="Palatino Linotype" w:hAnsi="Palatino Linotype" w:cs="Courier New"/>
                <w:sz w:val="20"/>
                <w:szCs w:val="20"/>
                <w:lang w:val="ro-RO"/>
              </w:rPr>
              <w:t>JASPERS</w:t>
            </w:r>
            <w:r>
              <w:rPr>
                <w:rFonts w:ascii="Palatino Linotype" w:hAnsi="Palatino Linotype" w:cs="Courier New"/>
                <w:sz w:val="20"/>
                <w:szCs w:val="20"/>
              </w:rPr>
              <w:t xml:space="preserve"> за оценката му е наличен  </w:t>
            </w:r>
            <w:r>
              <w:rPr>
                <w:rFonts w:ascii="Palatino Linotype" w:hAnsi="Palatino Linotype" w:cs="Courier New"/>
                <w:sz w:val="20"/>
                <w:szCs w:val="20"/>
                <w:lang w:val="ro-RO"/>
              </w:rPr>
              <w:t>completion note</w:t>
            </w:r>
            <w:r>
              <w:rPr>
                <w:rFonts w:ascii="Palatino Linotype" w:hAnsi="Palatino Linotype" w:cs="Courier New"/>
                <w:sz w:val="20"/>
                <w:szCs w:val="20"/>
              </w:rPr>
              <w:t xml:space="preserve"> от </w:t>
            </w:r>
            <w:r>
              <w:rPr>
                <w:rFonts w:ascii="Palatino Linotype" w:hAnsi="Palatino Linotype" w:cs="Courier New"/>
                <w:sz w:val="20"/>
                <w:szCs w:val="20"/>
                <w:lang w:val="ro-RO"/>
              </w:rPr>
              <w:t xml:space="preserve">JASPERS, </w:t>
            </w:r>
            <w:r>
              <w:rPr>
                <w:rFonts w:ascii="Palatino Linotype" w:hAnsi="Palatino Linotype" w:cs="Courier New"/>
                <w:sz w:val="20"/>
                <w:szCs w:val="20"/>
              </w:rPr>
              <w:t>който съдържа положителна оценка на качеството на проекта.</w:t>
            </w:r>
          </w:p>
        </w:tc>
        <w:tc>
          <w:tcPr>
            <w:tcW w:w="567" w:type="dxa"/>
            <w:vAlign w:val="center"/>
          </w:tcPr>
          <w:p w14:paraId="1D106E27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A5E9B6C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627" w:type="dxa"/>
            <w:vAlign w:val="center"/>
          </w:tcPr>
          <w:p w14:paraId="3A7D3C20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D80D8C" w:rsidRPr="00336EC4" w14:paraId="4A431890" w14:textId="77777777" w:rsidTr="00D80D8C">
        <w:tc>
          <w:tcPr>
            <w:tcW w:w="7797" w:type="dxa"/>
            <w:gridSpan w:val="2"/>
          </w:tcPr>
          <w:p w14:paraId="34D97193" w14:textId="77777777" w:rsidR="00D80D8C" w:rsidRPr="00336EC4" w:rsidRDefault="00D80D8C" w:rsidP="00D80D8C">
            <w:pPr>
              <w:pStyle w:val="ListParagraph"/>
              <w:ind w:left="0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36EC4">
              <w:rPr>
                <w:rFonts w:ascii="Palatino Linotype" w:hAnsi="Palatino Linotype" w:cs="Courier New"/>
                <w:b/>
                <w:color w:val="333333"/>
                <w:sz w:val="20"/>
                <w:szCs w:val="20"/>
              </w:rPr>
              <w:t>ТЕХНИЧЕСКА И ФИНАНСОВА ОЦЕНКА</w:t>
            </w:r>
          </w:p>
        </w:tc>
        <w:tc>
          <w:tcPr>
            <w:tcW w:w="567" w:type="dxa"/>
          </w:tcPr>
          <w:p w14:paraId="14E6F058" w14:textId="77777777" w:rsidR="00D80D8C" w:rsidRPr="00336EC4" w:rsidRDefault="00D80D8C" w:rsidP="00D80D8C">
            <w:pPr>
              <w:pStyle w:val="ListParagraph"/>
              <w:ind w:left="0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A9F0E92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627" w:type="dxa"/>
            <w:vAlign w:val="center"/>
          </w:tcPr>
          <w:p w14:paraId="42FEF67E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D80D8C" w:rsidRPr="006D7111" w14:paraId="20A1764A" w14:textId="77777777" w:rsidTr="00D80D8C">
        <w:tc>
          <w:tcPr>
            <w:tcW w:w="544" w:type="dxa"/>
          </w:tcPr>
          <w:p w14:paraId="0B122F85" w14:textId="77777777" w:rsidR="00D80D8C" w:rsidRPr="00CD2E16" w:rsidRDefault="00D80D8C" w:rsidP="00D80D8C">
            <w:pPr>
              <w:pStyle w:val="ListParagraph"/>
              <w:numPr>
                <w:ilvl w:val="0"/>
                <w:numId w:val="3"/>
              </w:numPr>
              <w:ind w:left="437" w:hanging="284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253" w:type="dxa"/>
            <w:tcBorders>
              <w:left w:val="single" w:sz="6" w:space="0" w:color="8F8F8F"/>
              <w:bottom w:val="single" w:sz="6" w:space="0" w:color="8F8F8F"/>
            </w:tcBorders>
          </w:tcPr>
          <w:p w14:paraId="53B5C7AC" w14:textId="43A957C0" w:rsidR="00D80D8C" w:rsidRPr="006D7111" w:rsidRDefault="00D80D8C" w:rsidP="009C3C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 xml:space="preserve">Описанието на проекта показва свързаност и съгласуваност на проекта с </w:t>
            </w:r>
            <w:r w:rsidRPr="006D7111">
              <w:rPr>
                <w:rFonts w:ascii="Palatino Linotype" w:hAnsi="Palatino Linotype" w:cs="Courier New"/>
                <w:b/>
                <w:sz w:val="20"/>
                <w:szCs w:val="20"/>
              </w:rPr>
              <w:t>приложими</w:t>
            </w:r>
            <w:r w:rsidR="00030016">
              <w:rPr>
                <w:rFonts w:ascii="Palatino Linotype" w:hAnsi="Palatino Linotype" w:cs="Courier New"/>
                <w:b/>
                <w:sz w:val="20"/>
                <w:szCs w:val="20"/>
              </w:rPr>
              <w:t>те</w:t>
            </w:r>
            <w:r w:rsidRPr="006D7111">
              <w:rPr>
                <w:rFonts w:ascii="Palatino Linotype" w:hAnsi="Palatino Linotype" w:cs="Courier New"/>
                <w:b/>
                <w:sz w:val="20"/>
                <w:szCs w:val="20"/>
              </w:rPr>
              <w:t xml:space="preserve"> хоризонтални принципи</w:t>
            </w: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 xml:space="preserve"> за равенство между половете, </w:t>
            </w:r>
            <w:proofErr w:type="spellStart"/>
            <w:r w:rsidRPr="006D7111">
              <w:rPr>
                <w:rFonts w:ascii="Palatino Linotype" w:hAnsi="Palatino Linotype" w:cs="Courier New"/>
                <w:sz w:val="20"/>
                <w:szCs w:val="20"/>
              </w:rPr>
              <w:t>недискриминация</w:t>
            </w:r>
            <w:proofErr w:type="spellEnd"/>
            <w:r w:rsidRPr="006D7111">
              <w:rPr>
                <w:rFonts w:ascii="Palatino Linotype" w:hAnsi="Palatino Linotype" w:cs="Courier New"/>
                <w:sz w:val="20"/>
                <w:szCs w:val="20"/>
              </w:rPr>
              <w:t xml:space="preserve"> (</w:t>
            </w:r>
            <w:r w:rsidRPr="006D7111">
              <w:rPr>
                <w:rFonts w:ascii="Palatino Linotype" w:hAnsi="Palatino Linotype"/>
                <w:sz w:val="20"/>
                <w:szCs w:val="20"/>
              </w:rPr>
              <w:t>основана на пол, расов или етнически произход, религия или вероизповедание, увреждане, възраст или сексуална ориентация</w:t>
            </w: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>) и достъпност на всички етапи на програмиране и изпълнение устойчиво развитие (включващо: опазване на околната среда, ефективно използване на ресурсите, смекчаване измененията на климата и адаптация към него, устойчивост при бедствия, превенция и управление на риска от бедствия); партньорство и многостепенно управление; държавни помощи</w:t>
            </w:r>
            <w:r w:rsidR="00490E27">
              <w:rPr>
                <w:rFonts w:ascii="Palatino Linotype" w:hAnsi="Palatino Linotype" w:cs="Courier New"/>
                <w:sz w:val="20"/>
                <w:szCs w:val="20"/>
              </w:rPr>
              <w:t xml:space="preserve"> - </w:t>
            </w:r>
            <w:r w:rsidR="00490E27" w:rsidRPr="00490E27">
              <w:rPr>
                <w:rFonts w:ascii="Palatino Linotype" w:hAnsi="Palatino Linotype" w:cs="Courier New"/>
                <w:sz w:val="20"/>
                <w:szCs w:val="20"/>
              </w:rPr>
              <w:t>съответният проект отговаря на условията за приложим режим на държавна помощ/</w:t>
            </w:r>
            <w:proofErr w:type="spellStart"/>
            <w:r w:rsidR="00490E27" w:rsidRPr="00490E27">
              <w:rPr>
                <w:rFonts w:ascii="Palatino Linotype" w:hAnsi="Palatino Linotype" w:cs="Courier New"/>
                <w:sz w:val="20"/>
                <w:szCs w:val="20"/>
              </w:rPr>
              <w:t>непомощ</w:t>
            </w:r>
            <w:proofErr w:type="spellEnd"/>
            <w:r w:rsidR="00490E27" w:rsidRPr="00490E27">
              <w:rPr>
                <w:rFonts w:ascii="Palatino Linotype" w:hAnsi="Palatino Linotype" w:cs="Courier New"/>
                <w:sz w:val="20"/>
                <w:szCs w:val="20"/>
              </w:rPr>
              <w:t>, разписан в Насоките за кандидатстване, съгласувани по реда на чл. 26, ал.3 от ЗУСЕФСУ</w:t>
            </w: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>; обществени поръчки; конкурентоспособност и други приложими.</w:t>
            </w:r>
            <w:r w:rsidRPr="006D7111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 xml:space="preserve">Инвестициите по проекта гарантират зачитане на основните права и съответствие с Хартата на основните права на Европейския съюз. </w:t>
            </w:r>
          </w:p>
        </w:tc>
        <w:tc>
          <w:tcPr>
            <w:tcW w:w="567" w:type="dxa"/>
            <w:tcBorders>
              <w:left w:val="single" w:sz="6" w:space="0" w:color="8F8F8F"/>
              <w:bottom w:val="single" w:sz="6" w:space="0" w:color="8F8F8F"/>
            </w:tcBorders>
            <w:vAlign w:val="center"/>
          </w:tcPr>
          <w:p w14:paraId="7FBA00D3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DBE9BB6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627" w:type="dxa"/>
            <w:vAlign w:val="center"/>
          </w:tcPr>
          <w:p w14:paraId="34684EBD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D80D8C" w:rsidRPr="006D7111" w14:paraId="0A830DFA" w14:textId="77777777" w:rsidTr="00D80D8C">
        <w:tc>
          <w:tcPr>
            <w:tcW w:w="544" w:type="dxa"/>
          </w:tcPr>
          <w:p w14:paraId="6D43AF40" w14:textId="77777777" w:rsidR="00D80D8C" w:rsidRPr="00CD2E16" w:rsidRDefault="00D80D8C" w:rsidP="00D80D8C">
            <w:pPr>
              <w:pStyle w:val="ListParagraph"/>
              <w:numPr>
                <w:ilvl w:val="0"/>
                <w:numId w:val="3"/>
              </w:numPr>
              <w:ind w:left="437" w:hanging="284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253" w:type="dxa"/>
            <w:tcBorders>
              <w:left w:val="single" w:sz="6" w:space="0" w:color="8F8F8F"/>
              <w:bottom w:val="single" w:sz="6" w:space="0" w:color="8F8F8F"/>
            </w:tcBorders>
          </w:tcPr>
          <w:p w14:paraId="58A71732" w14:textId="6C02F70D" w:rsidR="00D80D8C" w:rsidRPr="006D7111" w:rsidRDefault="00D80D8C" w:rsidP="00A7281E">
            <w:pPr>
              <w:spacing w:before="100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 xml:space="preserve">Описанието на проекта показва свързаност и съгласуваност на проекта </w:t>
            </w:r>
            <w:r w:rsidRPr="006D7111">
              <w:rPr>
                <w:rFonts w:ascii="Palatino Linotype" w:hAnsi="Palatino Linotype" w:cs="Courier New"/>
                <w:b/>
                <w:sz w:val="20"/>
                <w:szCs w:val="20"/>
              </w:rPr>
              <w:t>с целите и приоритетите на националната и общоевропейска политика за програмния период 2021-2027 г</w:t>
            </w: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 xml:space="preserve">.: </w:t>
            </w:r>
            <w:r w:rsidRPr="006D7111">
              <w:rPr>
                <w:rFonts w:ascii="Palatino Linotype" w:hAnsi="Palatino Linotype" w:cs="Courier New"/>
                <w:i/>
                <w:sz w:val="20"/>
                <w:szCs w:val="20"/>
              </w:rPr>
              <w:t xml:space="preserve">Споразумение за партньорство на Република България, очертаващо помощта на Европейските фондове при споделено управление, (ЕФСУ) за периода 2021-2027 г.; Регламент (ЕС) № 1315/2013 на Европейския парламент и на Съвета от 11 декември 2013 година относно насоките на Съюза за развитието на </w:t>
            </w:r>
            <w:proofErr w:type="spellStart"/>
            <w:r w:rsidRPr="006D7111">
              <w:rPr>
                <w:rFonts w:ascii="Palatino Linotype" w:hAnsi="Palatino Linotype" w:cs="Courier New"/>
                <w:i/>
                <w:sz w:val="20"/>
                <w:szCs w:val="20"/>
              </w:rPr>
              <w:t>трансевропейската</w:t>
            </w:r>
            <w:proofErr w:type="spellEnd"/>
            <w:r w:rsidRPr="006D7111">
              <w:rPr>
                <w:rFonts w:ascii="Palatino Linotype" w:hAnsi="Palatino Linotype" w:cs="Courier New"/>
                <w:i/>
                <w:sz w:val="20"/>
                <w:szCs w:val="20"/>
              </w:rPr>
              <w:t xml:space="preserve"> транспортна мрежа; </w:t>
            </w:r>
            <w:r w:rsidR="00D12A14">
              <w:rPr>
                <w:rFonts w:ascii="Palatino Linotype" w:hAnsi="Palatino Linotype" w:cs="Courier New"/>
                <w:i/>
                <w:sz w:val="20"/>
                <w:szCs w:val="20"/>
              </w:rPr>
              <w:t xml:space="preserve"> Дунавска стратегия; </w:t>
            </w:r>
            <w:r w:rsidRPr="006D7111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 xml:space="preserve">Интегрирана транспортна стратегия в периода до 2030 г., Актуализиран </w:t>
            </w:r>
            <w:proofErr w:type="spellStart"/>
            <w:r w:rsidRPr="006D7111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мултимодален</w:t>
            </w:r>
            <w:proofErr w:type="spellEnd"/>
            <w:r w:rsidRPr="006D7111"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 xml:space="preserve"> национален транспортен модел, Инвестиционна програма за изпълнение на условията за усвояване на средствата от европейските фондове за периода 2021 – 2027 г.; Интегриран план в областта на енергетиката и климата на Република България 2021-2030 г. Национален план за внедряване на техническата спецификация за оперативна съвместимост относно подсистема „Контрол, управление и сигнализация“ на железопътната система в Европейския съюз; Национален план за развитие на комбинирания транспорт в РБ, Национална рамка за политика за развитието на пазара на алтернативни горива в транспортния сектор и за разгръщането на съответната инфраструктура, Национална стратегия за безопасност на движението по пътищата в Република Бъ</w:t>
            </w:r>
            <w:r>
              <w:rPr>
                <w:rFonts w:ascii="Palatino Linotype" w:hAnsi="Palatino Linotype"/>
                <w:i/>
                <w:color w:val="000000"/>
                <w:sz w:val="20"/>
                <w:szCs w:val="20"/>
              </w:rPr>
              <w:t>лгария за периода 2021-2030 г.</w:t>
            </w:r>
            <w:r w:rsidRPr="006D7111">
              <w:rPr>
                <w:rFonts w:ascii="Palatino Linotype" w:hAnsi="Palatino Linotype" w:cs="Courier New"/>
                <w:i/>
                <w:sz w:val="20"/>
                <w:szCs w:val="20"/>
              </w:rPr>
              <w:t xml:space="preserve">; </w:t>
            </w:r>
            <w:proofErr w:type="spellStart"/>
            <w:r w:rsidR="00A7281E">
              <w:rPr>
                <w:rFonts w:ascii="Palatino Linotype" w:hAnsi="Palatino Linotype" w:cs="Courier New"/>
                <w:i/>
                <w:sz w:val="20"/>
                <w:szCs w:val="20"/>
              </w:rPr>
              <w:t>допълняемост</w:t>
            </w:r>
            <w:proofErr w:type="spellEnd"/>
            <w:r w:rsidR="00A7281E">
              <w:rPr>
                <w:rFonts w:ascii="Palatino Linotype" w:hAnsi="Palatino Linotype" w:cs="Courier New"/>
                <w:i/>
                <w:sz w:val="20"/>
                <w:szCs w:val="20"/>
              </w:rPr>
              <w:t xml:space="preserve"> на инвестициите по </w:t>
            </w:r>
            <w:r w:rsidRPr="006D7111">
              <w:rPr>
                <w:rFonts w:ascii="Palatino Linotype" w:hAnsi="Palatino Linotype" w:cs="Courier New"/>
                <w:i/>
                <w:sz w:val="20"/>
                <w:szCs w:val="20"/>
              </w:rPr>
              <w:t>ОПТТИ 2014-2020</w:t>
            </w:r>
            <w:r w:rsidR="00A7281E">
              <w:rPr>
                <w:rFonts w:ascii="Palatino Linotype" w:hAnsi="Palatino Linotype" w:cs="Courier New"/>
                <w:i/>
                <w:sz w:val="20"/>
                <w:szCs w:val="20"/>
              </w:rPr>
              <w:t xml:space="preserve"> (включително </w:t>
            </w:r>
            <w:proofErr w:type="spellStart"/>
            <w:r w:rsidR="00A7281E">
              <w:rPr>
                <w:rFonts w:ascii="Palatino Linotype" w:hAnsi="Palatino Linotype" w:cs="Courier New"/>
                <w:i/>
                <w:sz w:val="20"/>
                <w:szCs w:val="20"/>
              </w:rPr>
              <w:t>фазирани</w:t>
            </w:r>
            <w:proofErr w:type="spellEnd"/>
            <w:r w:rsidR="00A7281E">
              <w:rPr>
                <w:rFonts w:ascii="Palatino Linotype" w:hAnsi="Palatino Linotype" w:cs="Courier New"/>
                <w:i/>
                <w:sz w:val="20"/>
                <w:szCs w:val="20"/>
              </w:rPr>
              <w:t xml:space="preserve"> проекти)</w:t>
            </w:r>
            <w:r>
              <w:rPr>
                <w:rFonts w:ascii="Palatino Linotype" w:hAnsi="Palatino Linotype" w:cs="Courier New"/>
                <w:i/>
                <w:sz w:val="20"/>
                <w:szCs w:val="20"/>
              </w:rPr>
              <w:t>,</w:t>
            </w:r>
            <w:r w:rsidRPr="006D7111">
              <w:rPr>
                <w:rFonts w:ascii="Palatino Linotype" w:hAnsi="Palatino Linotype" w:cs="Courier New"/>
                <w:i/>
                <w:sz w:val="20"/>
                <w:szCs w:val="20"/>
              </w:rPr>
              <w:t xml:space="preserve"> </w:t>
            </w:r>
            <w:r w:rsidR="00D12A14">
              <w:rPr>
                <w:rFonts w:ascii="Palatino Linotype" w:hAnsi="Palatino Linotype" w:cs="Courier New"/>
                <w:i/>
                <w:sz w:val="20"/>
                <w:szCs w:val="20"/>
              </w:rPr>
              <w:t>МСЕ, НПВУ</w:t>
            </w:r>
            <w:r w:rsidR="002E1CE5">
              <w:rPr>
                <w:rFonts w:ascii="Palatino Linotype" w:hAnsi="Palatino Linotype" w:cs="Courier New"/>
                <w:i/>
                <w:sz w:val="20"/>
                <w:szCs w:val="20"/>
              </w:rPr>
              <w:t xml:space="preserve"> и </w:t>
            </w:r>
            <w:r w:rsidRPr="006D7111">
              <w:rPr>
                <w:rFonts w:ascii="Palatino Linotype" w:hAnsi="Palatino Linotype" w:cs="Courier New"/>
                <w:i/>
                <w:sz w:val="20"/>
                <w:szCs w:val="20"/>
              </w:rPr>
              <w:t>други програми и/или проекти/инициативи в ход и финансирани от други източници.</w:t>
            </w:r>
            <w:r>
              <w:rPr>
                <w:rFonts w:ascii="Palatino Linotype" w:hAnsi="Palatino Linotype" w:cs="Courier New"/>
                <w:i/>
                <w:sz w:val="20"/>
                <w:szCs w:val="20"/>
              </w:rPr>
              <w:t xml:space="preserve"> </w:t>
            </w: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>За проекти, за които е приложимо отключващо условие, то те са съгласувани със съответните стратегии и документи за планиране, приети за спазването на това отключващо условие.</w:t>
            </w:r>
          </w:p>
        </w:tc>
        <w:tc>
          <w:tcPr>
            <w:tcW w:w="567" w:type="dxa"/>
            <w:tcBorders>
              <w:left w:val="single" w:sz="6" w:space="0" w:color="8F8F8F"/>
              <w:bottom w:val="single" w:sz="6" w:space="0" w:color="8F8F8F"/>
            </w:tcBorders>
            <w:vAlign w:val="center"/>
          </w:tcPr>
          <w:p w14:paraId="1D31B734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74DF7CC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627" w:type="dxa"/>
            <w:vAlign w:val="center"/>
          </w:tcPr>
          <w:p w14:paraId="2527FF8A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D80D8C" w:rsidRPr="006D7111" w14:paraId="15C32198" w14:textId="77777777" w:rsidTr="00D80D8C">
        <w:tc>
          <w:tcPr>
            <w:tcW w:w="544" w:type="dxa"/>
          </w:tcPr>
          <w:p w14:paraId="60BBF62D" w14:textId="77777777" w:rsidR="00D80D8C" w:rsidRPr="00CD2E16" w:rsidRDefault="00D80D8C" w:rsidP="00D80D8C">
            <w:pPr>
              <w:pStyle w:val="ListParagraph"/>
              <w:numPr>
                <w:ilvl w:val="0"/>
                <w:numId w:val="3"/>
              </w:numPr>
              <w:ind w:left="437" w:hanging="284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253" w:type="dxa"/>
            <w:tcBorders>
              <w:left w:val="single" w:sz="6" w:space="0" w:color="8F8F8F"/>
              <w:bottom w:val="single" w:sz="6" w:space="0" w:color="8F8F8F"/>
            </w:tcBorders>
          </w:tcPr>
          <w:p w14:paraId="25E00BB1" w14:textId="77777777" w:rsidR="00D80D8C" w:rsidRPr="006D7111" w:rsidRDefault="00D80D8C" w:rsidP="00D80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alatino Linotype" w:hAnsi="Palatino Linotype" w:cs="Courier New"/>
                <w:sz w:val="20"/>
                <w:szCs w:val="20"/>
              </w:rPr>
            </w:pP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 xml:space="preserve">Информацията за структурата, отговаряща за изпълнението на инвестиционния проект, и за нейния капацитет, показва </w:t>
            </w:r>
            <w:r w:rsidRPr="006D7111">
              <w:rPr>
                <w:rFonts w:ascii="Palatino Linotype" w:hAnsi="Palatino Linotype" w:cs="Courier New"/>
                <w:b/>
                <w:sz w:val="20"/>
                <w:szCs w:val="20"/>
              </w:rPr>
              <w:t>достатъчен технически, юридически и финансов капацитет</w:t>
            </w: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 xml:space="preserve"> на бенефициента.</w:t>
            </w:r>
          </w:p>
          <w:p w14:paraId="1F2D5BFF" w14:textId="77777777" w:rsidR="00D80D8C" w:rsidRPr="006D7111" w:rsidRDefault="00D80D8C" w:rsidP="00D80D8C">
            <w:pPr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t xml:space="preserve">Бенефициентът </w:t>
            </w:r>
            <w:r w:rsidRPr="003F5999">
              <w:rPr>
                <w:rFonts w:ascii="Palatino Linotype" w:hAnsi="Palatino Linotype"/>
                <w:sz w:val="20"/>
                <w:szCs w:val="20"/>
              </w:rPr>
              <w:t xml:space="preserve">разполага с необходимите финансови ресурси и механизми за покриване на оперативните разходи и разходите за поддръжка по </w:t>
            </w:r>
            <w:r w:rsidRPr="006D7111">
              <w:rPr>
                <w:rFonts w:ascii="Palatino Linotype" w:hAnsi="Palatino Linotype"/>
                <w:sz w:val="20"/>
                <w:szCs w:val="20"/>
              </w:rPr>
              <w:t>проекта</w:t>
            </w:r>
            <w:r w:rsidRPr="003F5999">
              <w:rPr>
                <w:rFonts w:ascii="Palatino Linotype" w:hAnsi="Palatino Linotype"/>
                <w:sz w:val="20"/>
                <w:szCs w:val="20"/>
              </w:rPr>
              <w:t>, за да гарантира тяхната финансова устойчивост</w:t>
            </w:r>
            <w:r>
              <w:rPr>
                <w:rFonts w:ascii="Palatino Linotype" w:hAnsi="Palatino Linotype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left w:val="single" w:sz="6" w:space="0" w:color="8F8F8F"/>
              <w:bottom w:val="single" w:sz="6" w:space="0" w:color="8F8F8F"/>
            </w:tcBorders>
            <w:vAlign w:val="center"/>
          </w:tcPr>
          <w:p w14:paraId="2A2EFF2F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680074BB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627" w:type="dxa"/>
            <w:vAlign w:val="center"/>
          </w:tcPr>
          <w:p w14:paraId="748B0EC9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D80D8C" w:rsidRPr="006D7111" w14:paraId="4C9FF177" w14:textId="77777777" w:rsidTr="00D80D8C">
        <w:tc>
          <w:tcPr>
            <w:tcW w:w="544" w:type="dxa"/>
          </w:tcPr>
          <w:p w14:paraId="79EC7F55" w14:textId="77777777" w:rsidR="00D80D8C" w:rsidRPr="00CD2E16" w:rsidRDefault="00D80D8C" w:rsidP="00D80D8C">
            <w:pPr>
              <w:pStyle w:val="ListParagraph"/>
              <w:numPr>
                <w:ilvl w:val="0"/>
                <w:numId w:val="3"/>
              </w:numPr>
              <w:ind w:left="437" w:hanging="284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253" w:type="dxa"/>
            <w:tcBorders>
              <w:left w:val="single" w:sz="6" w:space="0" w:color="8F8F8F"/>
              <w:bottom w:val="single" w:sz="6" w:space="0" w:color="8F8F8F"/>
            </w:tcBorders>
          </w:tcPr>
          <w:p w14:paraId="00DDEC26" w14:textId="77777777" w:rsidR="00D80D8C" w:rsidRPr="006D7111" w:rsidRDefault="00D80D8C" w:rsidP="00D80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 xml:space="preserve">Информацията за </w:t>
            </w:r>
            <w:r w:rsidRPr="00CD2E16">
              <w:rPr>
                <w:rFonts w:ascii="Palatino Linotype" w:hAnsi="Palatino Linotype" w:cs="Courier New"/>
                <w:b/>
                <w:sz w:val="20"/>
                <w:szCs w:val="20"/>
              </w:rPr>
              <w:t>структурата, отговаряща за изпълнението на инвестиционния проект, и за нейния капацитет</w:t>
            </w: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>, показва достатъчен административен капацитет за изпълнение на дейностите по проектното предложение; Установена е ясна структура за управление/изпълнение на проекта; Създадени и действащи системи за добро управление и контрол.</w:t>
            </w:r>
          </w:p>
        </w:tc>
        <w:tc>
          <w:tcPr>
            <w:tcW w:w="567" w:type="dxa"/>
            <w:tcBorders>
              <w:left w:val="single" w:sz="6" w:space="0" w:color="8F8F8F"/>
              <w:bottom w:val="single" w:sz="6" w:space="0" w:color="8F8F8F"/>
            </w:tcBorders>
            <w:vAlign w:val="center"/>
          </w:tcPr>
          <w:p w14:paraId="5CB9227A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456C96C3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627" w:type="dxa"/>
            <w:vAlign w:val="center"/>
          </w:tcPr>
          <w:p w14:paraId="71E0801E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D80D8C" w:rsidRPr="006D7111" w14:paraId="2EDFB895" w14:textId="77777777" w:rsidTr="00D80D8C">
        <w:tc>
          <w:tcPr>
            <w:tcW w:w="544" w:type="dxa"/>
          </w:tcPr>
          <w:p w14:paraId="2EFF31BB" w14:textId="77777777" w:rsidR="00D80D8C" w:rsidRPr="00CD2E16" w:rsidRDefault="00D80D8C" w:rsidP="00D80D8C">
            <w:pPr>
              <w:pStyle w:val="ListParagraph"/>
              <w:numPr>
                <w:ilvl w:val="0"/>
                <w:numId w:val="3"/>
              </w:numPr>
              <w:ind w:left="437" w:hanging="284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253" w:type="dxa"/>
            <w:tcBorders>
              <w:left w:val="single" w:sz="6" w:space="0" w:color="8F8F8F"/>
              <w:bottom w:val="single" w:sz="6" w:space="0" w:color="8F8F8F"/>
            </w:tcBorders>
          </w:tcPr>
          <w:p w14:paraId="0F23A210" w14:textId="77777777" w:rsidR="00D80D8C" w:rsidRPr="006D7111" w:rsidRDefault="00D80D8C" w:rsidP="00D80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 xml:space="preserve">Описанието на инвестицията и нейното </w:t>
            </w:r>
            <w:r w:rsidRPr="00CD2E16">
              <w:rPr>
                <w:rFonts w:ascii="Palatino Linotype" w:hAnsi="Palatino Linotype" w:cs="Courier New"/>
                <w:b/>
                <w:sz w:val="20"/>
                <w:szCs w:val="20"/>
              </w:rPr>
              <w:t>местоположение</w:t>
            </w: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 xml:space="preserve"> ясно и точно описва обхвата на проекта във връзка с мястото на изпълнение или района на проекта.</w:t>
            </w:r>
          </w:p>
        </w:tc>
        <w:tc>
          <w:tcPr>
            <w:tcW w:w="567" w:type="dxa"/>
            <w:tcBorders>
              <w:left w:val="single" w:sz="6" w:space="0" w:color="8F8F8F"/>
              <w:bottom w:val="single" w:sz="6" w:space="0" w:color="8F8F8F"/>
            </w:tcBorders>
            <w:vAlign w:val="center"/>
          </w:tcPr>
          <w:p w14:paraId="650CEC18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3BCA3BF8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627" w:type="dxa"/>
            <w:vAlign w:val="center"/>
          </w:tcPr>
          <w:p w14:paraId="586B7E78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D80D8C" w:rsidRPr="006D7111" w14:paraId="176CCC10" w14:textId="77777777" w:rsidTr="00D80D8C">
        <w:tc>
          <w:tcPr>
            <w:tcW w:w="544" w:type="dxa"/>
          </w:tcPr>
          <w:p w14:paraId="57B8F0B0" w14:textId="77777777" w:rsidR="00D80D8C" w:rsidRPr="00CD2E16" w:rsidRDefault="00D80D8C" w:rsidP="00D80D8C">
            <w:pPr>
              <w:pStyle w:val="ListParagraph"/>
              <w:numPr>
                <w:ilvl w:val="0"/>
                <w:numId w:val="3"/>
              </w:numPr>
              <w:ind w:left="437" w:hanging="284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253" w:type="dxa"/>
            <w:tcBorders>
              <w:left w:val="single" w:sz="6" w:space="0" w:color="8F8F8F"/>
              <w:bottom w:val="single" w:sz="6" w:space="0" w:color="8F8F8F"/>
            </w:tcBorders>
          </w:tcPr>
          <w:p w14:paraId="6CF6717E" w14:textId="52982BE7" w:rsidR="00D80D8C" w:rsidRPr="00F46342" w:rsidRDefault="00D80D8C" w:rsidP="00E1421C">
            <w:pPr>
              <w:pStyle w:val="HTMLPreformatted"/>
              <w:shd w:val="clear" w:color="auto" w:fill="FFFFFF"/>
              <w:rPr>
                <w:rFonts w:ascii="Palatino Linotype" w:hAnsi="Palatino Linotype"/>
              </w:rPr>
            </w:pPr>
            <w:r w:rsidRPr="00F46342">
              <w:rPr>
                <w:rFonts w:ascii="Palatino Linotype" w:hAnsi="Palatino Linotype"/>
              </w:rPr>
              <w:t xml:space="preserve">Правилност на изчислението на </w:t>
            </w:r>
            <w:r w:rsidRPr="00CD2E16">
              <w:rPr>
                <w:rFonts w:ascii="Palatino Linotype" w:hAnsi="Palatino Linotype"/>
                <w:b/>
              </w:rPr>
              <w:t xml:space="preserve">общия размер на разходите и общия размер на допустимите </w:t>
            </w:r>
            <w:proofErr w:type="spellStart"/>
            <w:r w:rsidRPr="00CD2E16">
              <w:rPr>
                <w:rFonts w:ascii="Palatino Linotype" w:hAnsi="Palatino Linotype"/>
                <w:b/>
                <w:shd w:val="clear" w:color="auto" w:fill="FFFFFF" w:themeFill="background1"/>
              </w:rPr>
              <w:t>разходи</w:t>
            </w:r>
            <w:r w:rsidRPr="00F46342">
              <w:rPr>
                <w:rFonts w:ascii="Palatino Linotype" w:hAnsi="Palatino Linotype"/>
                <w:shd w:val="clear" w:color="auto" w:fill="FFFFFF" w:themeFill="background1"/>
              </w:rPr>
              <w:t>и</w:t>
            </w:r>
            <w:proofErr w:type="spellEnd"/>
            <w:r w:rsidRPr="00F46342">
              <w:rPr>
                <w:rFonts w:ascii="Palatino Linotype" w:hAnsi="Palatino Linotype"/>
                <w:shd w:val="clear" w:color="auto" w:fill="FFFFFF" w:themeFill="background1"/>
              </w:rPr>
              <w:t>.</w:t>
            </w:r>
            <w:r>
              <w:rPr>
                <w:rFonts w:ascii="Palatino Linotype" w:hAnsi="Palatino Linotype"/>
                <w:shd w:val="clear" w:color="auto" w:fill="FFFFFF" w:themeFill="background1"/>
              </w:rPr>
              <w:t xml:space="preserve"> </w:t>
            </w:r>
          </w:p>
        </w:tc>
        <w:tc>
          <w:tcPr>
            <w:tcW w:w="567" w:type="dxa"/>
            <w:tcBorders>
              <w:left w:val="single" w:sz="6" w:space="0" w:color="8F8F8F"/>
              <w:bottom w:val="single" w:sz="6" w:space="0" w:color="8F8F8F"/>
            </w:tcBorders>
            <w:vAlign w:val="center"/>
          </w:tcPr>
          <w:p w14:paraId="456CDBA5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7C331FEE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627" w:type="dxa"/>
            <w:vAlign w:val="center"/>
          </w:tcPr>
          <w:p w14:paraId="505CE93E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D80D8C" w:rsidRPr="006D7111" w14:paraId="614A47E3" w14:textId="77777777" w:rsidTr="00D80D8C">
        <w:tc>
          <w:tcPr>
            <w:tcW w:w="544" w:type="dxa"/>
          </w:tcPr>
          <w:p w14:paraId="43DD41CD" w14:textId="77777777" w:rsidR="00D80D8C" w:rsidRPr="00CD2E16" w:rsidRDefault="00D80D8C" w:rsidP="00D80D8C">
            <w:pPr>
              <w:pStyle w:val="ListParagraph"/>
              <w:numPr>
                <w:ilvl w:val="0"/>
                <w:numId w:val="3"/>
              </w:numPr>
              <w:ind w:left="437" w:hanging="284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253" w:type="dxa"/>
            <w:tcBorders>
              <w:left w:val="single" w:sz="6" w:space="0" w:color="8F8F8F"/>
              <w:bottom w:val="single" w:sz="6" w:space="0" w:color="8F8F8F"/>
            </w:tcBorders>
          </w:tcPr>
          <w:p w14:paraId="1A3233F6" w14:textId="77777777" w:rsidR="00D80D8C" w:rsidRPr="006D7111" w:rsidRDefault="00D80D8C" w:rsidP="00D80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 xml:space="preserve">Наличие на достатъчно подробна и подходяща </w:t>
            </w:r>
            <w:r w:rsidRPr="00CD2E16">
              <w:rPr>
                <w:rFonts w:ascii="Palatino Linotype" w:hAnsi="Palatino Linotype" w:cs="Courier New"/>
                <w:b/>
                <w:sz w:val="20"/>
                <w:szCs w:val="20"/>
              </w:rPr>
              <w:t xml:space="preserve">обосновка на изчислението на разходите </w:t>
            </w: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>от гледна точка на общия размер на разходите за постигане на преследваните цели и от гледна точка на разходите по дейности</w:t>
            </w:r>
            <w:r>
              <w:rPr>
                <w:rFonts w:ascii="Palatino Linotype" w:hAnsi="Palatino Linotype" w:cs="Courier New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Palatino Linotype" w:hAnsi="Palatino Linotype" w:cs="Courier New"/>
                <w:sz w:val="20"/>
                <w:szCs w:val="20"/>
              </w:rPr>
              <w:t>поддейности</w:t>
            </w:r>
            <w:proofErr w:type="spellEnd"/>
            <w:r w:rsidRPr="006D7111">
              <w:rPr>
                <w:rFonts w:ascii="Palatino Linotype" w:hAnsi="Palatino Linotype" w:cs="Courier New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left w:val="single" w:sz="6" w:space="0" w:color="8F8F8F"/>
              <w:bottom w:val="single" w:sz="6" w:space="0" w:color="8F8F8F"/>
            </w:tcBorders>
            <w:vAlign w:val="center"/>
          </w:tcPr>
          <w:p w14:paraId="130019B8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05E767E9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627" w:type="dxa"/>
            <w:vAlign w:val="center"/>
          </w:tcPr>
          <w:p w14:paraId="198A14BD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D80D8C" w:rsidRPr="006D7111" w14:paraId="2933A2F4" w14:textId="77777777" w:rsidTr="00D80D8C">
        <w:tc>
          <w:tcPr>
            <w:tcW w:w="544" w:type="dxa"/>
          </w:tcPr>
          <w:p w14:paraId="79B4B643" w14:textId="77777777" w:rsidR="00D80D8C" w:rsidRPr="00CD2E16" w:rsidRDefault="00D80D8C" w:rsidP="00D80D8C">
            <w:pPr>
              <w:pStyle w:val="ListParagraph"/>
              <w:numPr>
                <w:ilvl w:val="0"/>
                <w:numId w:val="3"/>
              </w:numPr>
              <w:ind w:left="437" w:hanging="284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253" w:type="dxa"/>
            <w:tcBorders>
              <w:left w:val="single" w:sz="6" w:space="0" w:color="8F8F8F"/>
              <w:bottom w:val="single" w:sz="6" w:space="0" w:color="8F8F8F"/>
            </w:tcBorders>
          </w:tcPr>
          <w:p w14:paraId="2273A047" w14:textId="74DB52B7" w:rsidR="00D80D8C" w:rsidRPr="006D7111" w:rsidRDefault="009C3C8C" w:rsidP="00D80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alatino Linotype" w:hAnsi="Palatino Linotype" w:cs="Courier New"/>
                <w:sz w:val="20"/>
                <w:szCs w:val="20"/>
              </w:rPr>
            </w:pPr>
            <w:r w:rsidRPr="009C3C8C">
              <w:rPr>
                <w:rFonts w:ascii="Palatino Linotype" w:hAnsi="Palatino Linotype" w:cs="Courier New"/>
                <w:sz w:val="20"/>
                <w:szCs w:val="20"/>
              </w:rPr>
              <w:t xml:space="preserve">Проектът отговаря на условията за приложим режим на </w:t>
            </w:r>
            <w:r w:rsidRPr="009C3C8C">
              <w:rPr>
                <w:rFonts w:ascii="Palatino Linotype" w:hAnsi="Palatino Linotype" w:cs="Courier New"/>
                <w:b/>
                <w:sz w:val="20"/>
                <w:szCs w:val="20"/>
              </w:rPr>
              <w:t>държавна помощ/</w:t>
            </w:r>
            <w:proofErr w:type="spellStart"/>
            <w:r w:rsidRPr="009C3C8C">
              <w:rPr>
                <w:rFonts w:ascii="Palatino Linotype" w:hAnsi="Palatino Linotype" w:cs="Courier New"/>
                <w:b/>
                <w:sz w:val="20"/>
                <w:szCs w:val="20"/>
              </w:rPr>
              <w:t>непомощ</w:t>
            </w:r>
            <w:proofErr w:type="spellEnd"/>
            <w:r w:rsidRPr="009C3C8C">
              <w:rPr>
                <w:rFonts w:ascii="Palatino Linotype" w:hAnsi="Palatino Linotype" w:cs="Courier New"/>
                <w:sz w:val="20"/>
                <w:szCs w:val="20"/>
              </w:rPr>
              <w:t>, разписан в Насоките за кандидатстване, съгласувани по реда на чл. 26, ал.3 от ЗУСЕФСУ.</w:t>
            </w:r>
          </w:p>
        </w:tc>
        <w:tc>
          <w:tcPr>
            <w:tcW w:w="567" w:type="dxa"/>
            <w:tcBorders>
              <w:left w:val="single" w:sz="6" w:space="0" w:color="8F8F8F"/>
              <w:bottom w:val="single" w:sz="6" w:space="0" w:color="8F8F8F"/>
            </w:tcBorders>
            <w:vAlign w:val="center"/>
          </w:tcPr>
          <w:p w14:paraId="48D88D13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36A8DE1B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627" w:type="dxa"/>
            <w:vAlign w:val="center"/>
          </w:tcPr>
          <w:p w14:paraId="075D813D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D80D8C" w:rsidRPr="006D7111" w14:paraId="7A31F7B5" w14:textId="77777777" w:rsidTr="00D80D8C">
        <w:tc>
          <w:tcPr>
            <w:tcW w:w="544" w:type="dxa"/>
          </w:tcPr>
          <w:p w14:paraId="3CFF4168" w14:textId="77777777" w:rsidR="00D80D8C" w:rsidRPr="00CD2E16" w:rsidRDefault="00D80D8C" w:rsidP="00D80D8C">
            <w:pPr>
              <w:pStyle w:val="ListParagraph"/>
              <w:numPr>
                <w:ilvl w:val="0"/>
                <w:numId w:val="3"/>
              </w:numPr>
              <w:ind w:left="437" w:hanging="284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253" w:type="dxa"/>
            <w:tcBorders>
              <w:left w:val="single" w:sz="6" w:space="0" w:color="8F8F8F"/>
              <w:bottom w:val="single" w:sz="6" w:space="0" w:color="8F8F8F"/>
            </w:tcBorders>
          </w:tcPr>
          <w:p w14:paraId="277D19A9" w14:textId="1E11C0FC" w:rsidR="00D80D8C" w:rsidRPr="006D7111" w:rsidRDefault="00D80D8C" w:rsidP="00975D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alatino Linotype" w:hAnsi="Palatino Linotype"/>
                <w:sz w:val="20"/>
                <w:szCs w:val="20"/>
              </w:rPr>
            </w:pPr>
            <w:r w:rsidRPr="00CD2E16">
              <w:rPr>
                <w:rFonts w:ascii="Palatino Linotype" w:hAnsi="Palatino Linotype" w:cs="Courier New"/>
                <w:b/>
                <w:sz w:val="20"/>
                <w:szCs w:val="20"/>
              </w:rPr>
              <w:t>Анализа на търсенето</w:t>
            </w: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 xml:space="preserve"> </w:t>
            </w:r>
            <w:r w:rsidR="00930D94">
              <w:rPr>
                <w:rFonts w:ascii="Palatino Linotype" w:hAnsi="Palatino Linotype" w:cs="Courier New"/>
                <w:sz w:val="20"/>
                <w:szCs w:val="20"/>
              </w:rPr>
              <w:t>(</w:t>
            </w:r>
            <w:proofErr w:type="spellStart"/>
            <w:r w:rsidR="00930D94">
              <w:rPr>
                <w:rFonts w:ascii="Palatino Linotype" w:hAnsi="Palatino Linotype" w:cs="Courier New"/>
                <w:sz w:val="20"/>
                <w:szCs w:val="20"/>
              </w:rPr>
              <w:t>demand</w:t>
            </w:r>
            <w:proofErr w:type="spellEnd"/>
            <w:r w:rsidR="00930D94">
              <w:rPr>
                <w:rFonts w:ascii="Palatino Linotype" w:hAnsi="Palatino Linotype" w:cs="Courier New"/>
                <w:sz w:val="20"/>
                <w:szCs w:val="20"/>
              </w:rPr>
              <w:t xml:space="preserve"> </w:t>
            </w:r>
            <w:proofErr w:type="spellStart"/>
            <w:r w:rsidR="00930D94">
              <w:rPr>
                <w:rFonts w:ascii="Palatino Linotype" w:hAnsi="Palatino Linotype" w:cs="Courier New"/>
                <w:sz w:val="20"/>
                <w:szCs w:val="20"/>
              </w:rPr>
              <w:t>analysis</w:t>
            </w:r>
            <w:proofErr w:type="spellEnd"/>
            <w:r w:rsidR="00930D94">
              <w:rPr>
                <w:rFonts w:ascii="Palatino Linotype" w:hAnsi="Palatino Linotype" w:cs="Courier New"/>
                <w:sz w:val="20"/>
                <w:szCs w:val="20"/>
              </w:rPr>
              <w:t xml:space="preserve"> - </w:t>
            </w:r>
            <w:r w:rsidR="00930D94" w:rsidRPr="00930D94">
              <w:rPr>
                <w:rFonts w:ascii="Palatino Linotype" w:hAnsi="Palatino Linotype" w:cs="Courier New"/>
                <w:sz w:val="20"/>
                <w:szCs w:val="20"/>
              </w:rPr>
              <w:t xml:space="preserve">е термин от ръководството за анализ разходи-ползи и означава модела и прогнозите на търсенето на транспортни </w:t>
            </w:r>
            <w:r w:rsidR="00930D94">
              <w:rPr>
                <w:rFonts w:ascii="Palatino Linotype" w:hAnsi="Palatino Linotype" w:cs="Courier New"/>
                <w:sz w:val="20"/>
                <w:szCs w:val="20"/>
              </w:rPr>
              <w:t>услуги (т.е. транспортен модел)</w:t>
            </w:r>
            <w:r w:rsidR="00C46E49">
              <w:rPr>
                <w:rFonts w:ascii="Palatino Linotype" w:hAnsi="Palatino Linotype" w:cs="Courier New"/>
                <w:sz w:val="20"/>
                <w:szCs w:val="20"/>
                <w:lang w:val="en-US"/>
              </w:rPr>
              <w:t>)</w:t>
            </w:r>
            <w:r w:rsidR="00930D94" w:rsidRPr="00930D94">
              <w:rPr>
                <w:rFonts w:ascii="Palatino Linotype" w:hAnsi="Palatino Linotype" w:cs="Courier New"/>
                <w:sz w:val="20"/>
                <w:szCs w:val="20"/>
              </w:rPr>
              <w:t xml:space="preserve"> </w:t>
            </w: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>отговаря на съответните критерии за осигуряване на информация за инвестиционни проекти.</w:t>
            </w:r>
            <w:r w:rsidR="00975D6E">
              <w:rPr>
                <w:rFonts w:ascii="Palatino Linotype" w:hAnsi="Palatino Linotype" w:cs="Courier New"/>
                <w:sz w:val="20"/>
                <w:szCs w:val="20"/>
              </w:rPr>
              <w:t xml:space="preserve"> Доказана н</w:t>
            </w:r>
            <w:r w:rsidR="00975D6E" w:rsidRPr="00975D6E">
              <w:rPr>
                <w:rFonts w:ascii="Palatino Linotype" w:hAnsi="Palatino Linotype" w:cs="Courier New"/>
                <w:sz w:val="20"/>
                <w:szCs w:val="20"/>
              </w:rPr>
              <w:t>адеждност на анализа на търсенето въз основа на реалистични оценки и в съответствие с основните демографски тенденции и промени в съответния сектор, с който се обосновават необходимостта от проекта и цялостният капацитет на съоръженията по проекта</w:t>
            </w:r>
            <w:r w:rsidR="00975D6E">
              <w:rPr>
                <w:rFonts w:ascii="Palatino Linotype" w:hAnsi="Palatino Linotype" w:cs="Courier New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left w:val="single" w:sz="6" w:space="0" w:color="8F8F8F"/>
              <w:bottom w:val="single" w:sz="6" w:space="0" w:color="8F8F8F"/>
            </w:tcBorders>
            <w:vAlign w:val="center"/>
          </w:tcPr>
          <w:p w14:paraId="054E2AEF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22D1D1B1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627" w:type="dxa"/>
            <w:vAlign w:val="center"/>
          </w:tcPr>
          <w:p w14:paraId="666635FC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D80D8C" w:rsidRPr="006D7111" w14:paraId="286B3D2B" w14:textId="77777777" w:rsidTr="00D80D8C">
        <w:tc>
          <w:tcPr>
            <w:tcW w:w="544" w:type="dxa"/>
          </w:tcPr>
          <w:p w14:paraId="69F8E1EC" w14:textId="77777777" w:rsidR="00D80D8C" w:rsidRPr="00CD2E16" w:rsidRDefault="00D80D8C" w:rsidP="00D80D8C">
            <w:pPr>
              <w:pStyle w:val="ListParagraph"/>
              <w:numPr>
                <w:ilvl w:val="0"/>
                <w:numId w:val="3"/>
              </w:numPr>
              <w:ind w:left="437" w:hanging="284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253" w:type="dxa"/>
            <w:tcBorders>
              <w:left w:val="single" w:sz="6" w:space="0" w:color="8F8F8F"/>
              <w:bottom w:val="single" w:sz="6" w:space="0" w:color="8F8F8F"/>
            </w:tcBorders>
          </w:tcPr>
          <w:p w14:paraId="0C000EA7" w14:textId="1D013B55" w:rsidR="00D80D8C" w:rsidRPr="006D7111" w:rsidRDefault="00D80D8C" w:rsidP="00D80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alatino Linotype" w:hAnsi="Palatino Linotype" w:cs="Courier New"/>
                <w:sz w:val="20"/>
                <w:szCs w:val="20"/>
              </w:rPr>
            </w:pP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 xml:space="preserve">Проектното предложение съдържа данни за извършени </w:t>
            </w:r>
            <w:r w:rsidR="00ED0217">
              <w:rPr>
                <w:rFonts w:ascii="Palatino Linotype" w:hAnsi="Palatino Linotype" w:cs="Courier New"/>
                <w:sz w:val="20"/>
                <w:szCs w:val="20"/>
              </w:rPr>
              <w:t xml:space="preserve">оценка на съответствието, </w:t>
            </w:r>
            <w:r w:rsidRPr="00D80D8C">
              <w:rPr>
                <w:rFonts w:ascii="Palatino Linotype" w:hAnsi="Palatino Linotype" w:cs="Courier New"/>
                <w:b/>
                <w:bCs/>
                <w:sz w:val="20"/>
                <w:szCs w:val="20"/>
              </w:rPr>
              <w:t>доклад по ОВОС или извършена преценка за необходимостта от ОВОС</w:t>
            </w:r>
            <w:r w:rsidR="00ED0217">
              <w:rPr>
                <w:rFonts w:ascii="Palatino Linotype" w:hAnsi="Palatino Linotype" w:cs="Courier New"/>
                <w:b/>
                <w:bCs/>
                <w:sz w:val="20"/>
                <w:szCs w:val="20"/>
              </w:rPr>
              <w:t xml:space="preserve">, включително </w:t>
            </w:r>
            <w:r w:rsidR="00ED0217">
              <w:t xml:space="preserve"> </w:t>
            </w:r>
            <w:r w:rsidR="00ED0217" w:rsidRPr="00ED0217">
              <w:rPr>
                <w:rFonts w:ascii="Palatino Linotype" w:hAnsi="Palatino Linotype" w:cs="Courier New"/>
                <w:b/>
                <w:bCs/>
                <w:sz w:val="20"/>
                <w:szCs w:val="20"/>
              </w:rPr>
              <w:t>съответствие на ОВОС и ОС с</w:t>
            </w:r>
            <w:r w:rsidR="00ED0217">
              <w:rPr>
                <w:rFonts w:ascii="Palatino Linotype" w:hAnsi="Palatino Linotype" w:cs="Courier New"/>
                <w:b/>
                <w:bCs/>
                <w:sz w:val="20"/>
                <w:szCs w:val="20"/>
              </w:rPr>
              <w:t xml:space="preserve">ъс специфичните </w:t>
            </w:r>
            <w:proofErr w:type="spellStart"/>
            <w:r w:rsidR="00ED0217">
              <w:rPr>
                <w:rFonts w:ascii="Palatino Linotype" w:hAnsi="Palatino Linotype" w:cs="Courier New"/>
                <w:b/>
                <w:bCs/>
                <w:sz w:val="20"/>
                <w:szCs w:val="20"/>
              </w:rPr>
              <w:t>консервационни</w:t>
            </w:r>
            <w:proofErr w:type="spellEnd"/>
            <w:r w:rsidR="00ED0217">
              <w:rPr>
                <w:rFonts w:ascii="Palatino Linotype" w:hAnsi="Palatino Linotype" w:cs="Courier New"/>
                <w:b/>
                <w:bCs/>
                <w:sz w:val="20"/>
                <w:szCs w:val="20"/>
              </w:rPr>
              <w:t xml:space="preserve"> цели</w:t>
            </w: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 xml:space="preserve"> и за </w:t>
            </w:r>
            <w:r w:rsidRPr="00C359B8">
              <w:rPr>
                <w:rFonts w:ascii="Palatino Linotype" w:hAnsi="Palatino Linotype" w:cs="Courier New"/>
                <w:sz w:val="20"/>
                <w:szCs w:val="20"/>
              </w:rPr>
              <w:t>инвестиционни проекти е приложена Декларация по Натура 2000 (</w:t>
            </w:r>
            <w:r w:rsidRPr="00C359B8">
              <w:rPr>
                <w:rFonts w:ascii="Palatino Linotype" w:hAnsi="Palatino Linotype" w:cs="Courier New"/>
                <w:i/>
                <w:sz w:val="20"/>
                <w:szCs w:val="20"/>
              </w:rPr>
              <w:t>когато е приложимо</w:t>
            </w:r>
            <w:r w:rsidRPr="00C359B8">
              <w:rPr>
                <w:rFonts w:ascii="Palatino Linotype" w:hAnsi="Palatino Linotype" w:cs="Courier New"/>
                <w:sz w:val="20"/>
                <w:szCs w:val="20"/>
              </w:rPr>
              <w:t>).</w:t>
            </w:r>
          </w:p>
          <w:p w14:paraId="793ED011" w14:textId="0D5CC983" w:rsidR="00D80D8C" w:rsidRDefault="00D80D8C" w:rsidP="00D80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alatino Linotype" w:hAnsi="Palatino Linotype" w:cs="Courier New"/>
                <w:sz w:val="20"/>
                <w:szCs w:val="20"/>
              </w:rPr>
            </w:pP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>В случай, че проекта попада в обхвата на Директива 2011/92/ЕС на Европейския парламент и на Съвета е приложена оценка на въздействието върху околната среда или процедура по проучване и оценката на алтернативните решения е взета надлежно предвид въз основа на изискванията на посочената директива;</w:t>
            </w:r>
          </w:p>
          <w:p w14:paraId="79C10D3D" w14:textId="534DE14D" w:rsidR="00D80D8C" w:rsidRPr="00F7737B" w:rsidRDefault="00D80D8C" w:rsidP="00D80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alatino Linotype" w:hAnsi="Palatino Linotype" w:cs="Courier New"/>
                <w:sz w:val="20"/>
                <w:szCs w:val="20"/>
              </w:rPr>
            </w:pP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>Анализа на въздействието върху околната среда отговаря на съответните критерии за осигуряване на информация за инвестиционни проекти. Информацията, която е от значение и се отнася до въздействие върху околната среда е в съответствие с приложимите мерки и условия за предотвратяване, намаляване или възможно най-пълно отстраняване на предполагаемите неблагоприятни последствия, посочени в Становището по екологична оценка на ПТС на министъра на околната среда и водите</w:t>
            </w:r>
            <w:r w:rsidR="00F7737B">
              <w:rPr>
                <w:rFonts w:ascii="Palatino Linotype" w:hAnsi="Palatino Linotype" w:cs="Courier New"/>
                <w:sz w:val="20"/>
                <w:szCs w:val="20"/>
              </w:rPr>
              <w:t>; Решението по ОВОС</w:t>
            </w:r>
            <w:r w:rsidR="00F7737B">
              <w:rPr>
                <w:rFonts w:ascii="Palatino Linotype" w:hAnsi="Palatino Linotype" w:cs="Courier New"/>
                <w:sz w:val="20"/>
                <w:szCs w:val="20"/>
                <w:lang w:val="en-US"/>
              </w:rPr>
              <w:t>/</w:t>
            </w:r>
            <w:r w:rsidR="00F7737B">
              <w:rPr>
                <w:rFonts w:ascii="Palatino Linotype" w:hAnsi="Palatino Linotype" w:cs="Courier New"/>
                <w:sz w:val="20"/>
                <w:szCs w:val="20"/>
              </w:rPr>
              <w:t>ОС е валидно;</w:t>
            </w:r>
          </w:p>
          <w:p w14:paraId="7E25E11B" w14:textId="3BD48CAE" w:rsidR="00D80D8C" w:rsidRPr="00C0748D" w:rsidRDefault="00D80D8C" w:rsidP="00ED02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alatino Linotype" w:hAnsi="Palatino Linotype" w:cs="Courier New"/>
                <w:sz w:val="20"/>
                <w:szCs w:val="20"/>
              </w:rPr>
            </w:pPr>
            <w:r>
              <w:rPr>
                <w:rFonts w:ascii="Palatino Linotype" w:hAnsi="Palatino Linotype" w:cs="Courier New"/>
                <w:sz w:val="20"/>
                <w:szCs w:val="20"/>
              </w:rPr>
              <w:t xml:space="preserve">Дейности </w:t>
            </w:r>
            <w:r w:rsidRPr="00866E72">
              <w:rPr>
                <w:rFonts w:ascii="Palatino Linotype" w:hAnsi="Palatino Linotype" w:cs="Courier New"/>
                <w:sz w:val="20"/>
                <w:szCs w:val="20"/>
              </w:rPr>
              <w:t>се осъществяват при зачитане на стандартите</w:t>
            </w:r>
            <w:r>
              <w:rPr>
                <w:rFonts w:ascii="Palatino Linotype" w:hAnsi="Palatino Linotype" w:cs="Courier New"/>
                <w:sz w:val="20"/>
                <w:szCs w:val="20"/>
              </w:rPr>
              <w:t xml:space="preserve"> </w:t>
            </w:r>
            <w:r w:rsidRPr="00866E72">
              <w:rPr>
                <w:rFonts w:ascii="Palatino Linotype" w:hAnsi="Palatino Linotype" w:cs="Courier New"/>
                <w:sz w:val="20"/>
                <w:szCs w:val="20"/>
              </w:rPr>
              <w:t>и приоритетите на Съюза в областта на климата и околната среда и не биха нанесли значителни вреди на</w:t>
            </w:r>
            <w:r>
              <w:rPr>
                <w:rFonts w:ascii="Palatino Linotype" w:hAnsi="Palatino Linotype" w:cs="Courier New"/>
                <w:sz w:val="20"/>
                <w:szCs w:val="20"/>
              </w:rPr>
              <w:t xml:space="preserve"> </w:t>
            </w:r>
            <w:r w:rsidRPr="00866E72">
              <w:rPr>
                <w:rFonts w:ascii="Palatino Linotype" w:hAnsi="Palatino Linotype" w:cs="Courier New"/>
                <w:sz w:val="20"/>
                <w:szCs w:val="20"/>
              </w:rPr>
              <w:t>екологичните цели по смисъла на член 17 от Регламент (ЕС) 2020/852 на Европейския парламент и на Съвета</w:t>
            </w:r>
            <w:r>
              <w:rPr>
                <w:rFonts w:ascii="Palatino Linotype" w:hAnsi="Palatino Linotype" w:cs="Courier New"/>
                <w:sz w:val="20"/>
                <w:szCs w:val="20"/>
              </w:rPr>
              <w:t xml:space="preserve"> </w:t>
            </w:r>
            <w:r w:rsidRPr="00C0748D">
              <w:rPr>
                <w:rFonts w:ascii="Palatino Linotype" w:hAnsi="Palatino Linotype" w:cs="Courier New"/>
                <w:sz w:val="20"/>
                <w:szCs w:val="20"/>
              </w:rPr>
              <w:t>(</w:t>
            </w:r>
            <w:r>
              <w:rPr>
                <w:rFonts w:ascii="Palatino Linotype" w:hAnsi="Palatino Linotype" w:cs="Courier New"/>
                <w:sz w:val="20"/>
                <w:szCs w:val="20"/>
                <w:lang w:val="en-US"/>
              </w:rPr>
              <w:t>DNSH</w:t>
            </w:r>
            <w:r w:rsidRPr="00C0748D">
              <w:rPr>
                <w:rFonts w:ascii="Palatino Linotype" w:hAnsi="Palatino Linotype" w:cs="Courier New"/>
                <w:sz w:val="20"/>
                <w:szCs w:val="20"/>
              </w:rPr>
              <w:t xml:space="preserve"> </w:t>
            </w:r>
            <w:r>
              <w:rPr>
                <w:rFonts w:ascii="Palatino Linotype" w:hAnsi="Palatino Linotype" w:cs="Courier New"/>
                <w:sz w:val="20"/>
                <w:szCs w:val="20"/>
                <w:lang w:val="en-US"/>
              </w:rPr>
              <w:lastRenderedPageBreak/>
              <w:t>principle</w:t>
            </w:r>
            <w:r w:rsidRPr="00C0748D">
              <w:rPr>
                <w:rFonts w:ascii="Palatino Linotype" w:hAnsi="Palatino Linotype" w:cs="Courier New"/>
                <w:sz w:val="20"/>
                <w:szCs w:val="20"/>
              </w:rPr>
              <w:t>)</w:t>
            </w:r>
            <w:r w:rsidR="00ED0217">
              <w:rPr>
                <w:rFonts w:ascii="Palatino Linotype" w:hAnsi="Palatino Linotype" w:cs="Courier New"/>
                <w:sz w:val="20"/>
                <w:szCs w:val="20"/>
              </w:rPr>
              <w:t>, както и с</w:t>
            </w:r>
            <w:r w:rsidR="00975D6E" w:rsidRPr="00975D6E">
              <w:rPr>
                <w:rFonts w:ascii="Palatino Linotype" w:hAnsi="Palatino Linotype" w:cs="Courier New"/>
                <w:sz w:val="20"/>
                <w:szCs w:val="20"/>
              </w:rPr>
              <w:t>ъответствие на проекта с приложимите секторни директиви в областта на околната среда</w:t>
            </w:r>
            <w:r w:rsidR="00ED0217">
              <w:rPr>
                <w:rFonts w:ascii="Palatino Linotype" w:hAnsi="Palatino Linotype" w:cs="Courier New"/>
                <w:sz w:val="20"/>
                <w:szCs w:val="20"/>
              </w:rPr>
              <w:t>:</w:t>
            </w:r>
            <w:r w:rsidR="00975D6E" w:rsidRPr="00975D6E">
              <w:rPr>
                <w:rFonts w:ascii="Palatino Linotype" w:hAnsi="Palatino Linotype" w:cs="Courier New"/>
                <w:sz w:val="20"/>
                <w:szCs w:val="20"/>
              </w:rPr>
              <w:t xml:space="preserve"> Директива 2000/60/ЕО на Европейския парламент и на Съвета от 23 октомври 2000 година за установяване на рамка за действията на Общността в областта на политиката за водите</w:t>
            </w:r>
            <w:r w:rsidR="005E3C7F">
              <w:rPr>
                <w:rFonts w:ascii="Palatino Linotype" w:hAnsi="Palatino Linotype" w:cs="Courier New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left w:val="single" w:sz="6" w:space="0" w:color="8F8F8F"/>
              <w:bottom w:val="single" w:sz="6" w:space="0" w:color="8F8F8F"/>
            </w:tcBorders>
            <w:vAlign w:val="center"/>
          </w:tcPr>
          <w:p w14:paraId="0E39C412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5923925F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627" w:type="dxa"/>
            <w:vAlign w:val="center"/>
          </w:tcPr>
          <w:p w14:paraId="44B32A51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D80D8C" w:rsidRPr="006D7111" w14:paraId="59C271B6" w14:textId="77777777" w:rsidTr="00D80D8C">
        <w:tc>
          <w:tcPr>
            <w:tcW w:w="544" w:type="dxa"/>
          </w:tcPr>
          <w:p w14:paraId="351668FF" w14:textId="77777777" w:rsidR="00D80D8C" w:rsidRPr="00CD2E16" w:rsidRDefault="00D80D8C" w:rsidP="00D80D8C">
            <w:pPr>
              <w:pStyle w:val="ListParagraph"/>
              <w:numPr>
                <w:ilvl w:val="0"/>
                <w:numId w:val="3"/>
              </w:numPr>
              <w:ind w:left="437" w:hanging="284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253" w:type="dxa"/>
            <w:tcBorders>
              <w:left w:val="single" w:sz="6" w:space="0" w:color="8F8F8F"/>
              <w:bottom w:val="single" w:sz="6" w:space="0" w:color="8F8F8F"/>
            </w:tcBorders>
          </w:tcPr>
          <w:p w14:paraId="37C6D854" w14:textId="610A1880" w:rsidR="00D80D8C" w:rsidRPr="006D7111" w:rsidRDefault="00D80D8C" w:rsidP="00D80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alatino Linotype" w:hAnsi="Palatino Linotype"/>
                <w:sz w:val="20"/>
                <w:szCs w:val="20"/>
              </w:rPr>
            </w:pPr>
            <w:r w:rsidRPr="00CD2E16">
              <w:rPr>
                <w:rFonts w:ascii="Palatino Linotype" w:hAnsi="Palatino Linotype" w:cs="Courier New"/>
                <w:b/>
                <w:sz w:val="20"/>
                <w:szCs w:val="20"/>
              </w:rPr>
              <w:t>Анализа на възможните варианти</w:t>
            </w: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 xml:space="preserve"> показва, че са разгледани различни осъществими варианти и има достатъчно доказателства от техническа гледна точка за избрания вариант. Проектното предложение съдържа данни за извършени</w:t>
            </w:r>
            <w:r>
              <w:rPr>
                <w:rFonts w:ascii="Palatino Linotype" w:hAnsi="Palatino Linotype" w:cs="Courier New"/>
                <w:sz w:val="20"/>
                <w:szCs w:val="20"/>
              </w:rPr>
              <w:t xml:space="preserve"> </w:t>
            </w:r>
            <w:r w:rsidRPr="00CD2E16">
              <w:rPr>
                <w:rFonts w:ascii="Palatino Linotype" w:hAnsi="Palatino Linotype" w:cs="Courier New"/>
                <w:b/>
                <w:sz w:val="20"/>
                <w:szCs w:val="20"/>
              </w:rPr>
              <w:t>пред-проектни проучвания</w:t>
            </w: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>, данни за изготвено проектиране</w:t>
            </w:r>
            <w:r>
              <w:rPr>
                <w:rFonts w:ascii="Palatino Linotype" w:hAnsi="Palatino Linotype" w:cs="Courier New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left w:val="single" w:sz="6" w:space="0" w:color="8F8F8F"/>
              <w:bottom w:val="single" w:sz="6" w:space="0" w:color="8F8F8F"/>
            </w:tcBorders>
            <w:vAlign w:val="center"/>
          </w:tcPr>
          <w:p w14:paraId="6265D240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773FC2E1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627" w:type="dxa"/>
            <w:vAlign w:val="center"/>
          </w:tcPr>
          <w:p w14:paraId="64242593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D80D8C" w:rsidRPr="006D7111" w14:paraId="62E0BCAC" w14:textId="77777777" w:rsidTr="00D80D8C">
        <w:tc>
          <w:tcPr>
            <w:tcW w:w="544" w:type="dxa"/>
          </w:tcPr>
          <w:p w14:paraId="13912FE2" w14:textId="77777777" w:rsidR="00D80D8C" w:rsidRPr="00CD2E16" w:rsidRDefault="00D80D8C" w:rsidP="00D80D8C">
            <w:pPr>
              <w:pStyle w:val="ListParagraph"/>
              <w:numPr>
                <w:ilvl w:val="0"/>
                <w:numId w:val="3"/>
              </w:numPr>
              <w:ind w:left="437" w:hanging="284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253" w:type="dxa"/>
            <w:tcBorders>
              <w:left w:val="single" w:sz="6" w:space="0" w:color="8F8F8F"/>
              <w:bottom w:val="single" w:sz="6" w:space="0" w:color="8F8F8F"/>
            </w:tcBorders>
          </w:tcPr>
          <w:p w14:paraId="43E69FA2" w14:textId="77777777" w:rsidR="00D80D8C" w:rsidRPr="006D7111" w:rsidRDefault="00D80D8C" w:rsidP="00D80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alatino Linotype" w:hAnsi="Palatino Linotype" w:cs="Courier New"/>
                <w:sz w:val="20"/>
                <w:szCs w:val="20"/>
              </w:rPr>
            </w:pPr>
            <w:r w:rsidRPr="0063018A">
              <w:rPr>
                <w:rFonts w:ascii="Palatino Linotype" w:hAnsi="Palatino Linotype" w:cs="Courier New"/>
                <w:b/>
                <w:sz w:val="20"/>
                <w:szCs w:val="20"/>
              </w:rPr>
              <w:t>Капацитета на крайния бенефициент доказва възможност за изпълнение на предложената технология на проекта</w:t>
            </w: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 xml:space="preserve"> и за осигуряване на неговата устойчивост. В случай на недостатъчен капацитет на крайния бенефициент е показано наличие на достатъчно разпоредби, предвидени за повишаване на капацитета до нужните равнища.</w:t>
            </w:r>
          </w:p>
        </w:tc>
        <w:tc>
          <w:tcPr>
            <w:tcW w:w="567" w:type="dxa"/>
            <w:tcBorders>
              <w:left w:val="single" w:sz="6" w:space="0" w:color="8F8F8F"/>
              <w:bottom w:val="single" w:sz="6" w:space="0" w:color="8F8F8F"/>
            </w:tcBorders>
            <w:vAlign w:val="center"/>
          </w:tcPr>
          <w:p w14:paraId="0186DBFA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2DB1BC4B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627" w:type="dxa"/>
            <w:vAlign w:val="center"/>
          </w:tcPr>
          <w:p w14:paraId="1691651D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D80D8C" w:rsidRPr="006D7111" w14:paraId="56BEE0E6" w14:textId="77777777" w:rsidTr="00D80D8C">
        <w:tc>
          <w:tcPr>
            <w:tcW w:w="544" w:type="dxa"/>
          </w:tcPr>
          <w:p w14:paraId="62B2FE58" w14:textId="77777777" w:rsidR="00D80D8C" w:rsidRPr="00CD2E16" w:rsidRDefault="00D80D8C" w:rsidP="00D80D8C">
            <w:pPr>
              <w:pStyle w:val="ListParagraph"/>
              <w:numPr>
                <w:ilvl w:val="0"/>
                <w:numId w:val="3"/>
              </w:numPr>
              <w:ind w:left="437" w:hanging="284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253" w:type="dxa"/>
            <w:tcBorders>
              <w:left w:val="single" w:sz="6" w:space="0" w:color="8F8F8F"/>
              <w:bottom w:val="single" w:sz="6" w:space="0" w:color="8F8F8F"/>
            </w:tcBorders>
          </w:tcPr>
          <w:p w14:paraId="07D44EB0" w14:textId="77777777" w:rsidR="00D80D8C" w:rsidRPr="006D7111" w:rsidRDefault="00D80D8C" w:rsidP="00D80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 xml:space="preserve">Проектът е осъществим и може да бъде изпълнен в планирания срок или най-късно до края на </w:t>
            </w:r>
            <w:r w:rsidRPr="0063018A">
              <w:rPr>
                <w:rFonts w:ascii="Palatino Linotype" w:hAnsi="Palatino Linotype" w:cs="Courier New"/>
                <w:b/>
                <w:sz w:val="20"/>
                <w:szCs w:val="20"/>
              </w:rPr>
              <w:t>периода на допустимост</w:t>
            </w: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 xml:space="preserve"> по смисъла на член 63, параграф 2 от Регламент (ЕС) № 2021/1060.</w:t>
            </w:r>
          </w:p>
        </w:tc>
        <w:tc>
          <w:tcPr>
            <w:tcW w:w="567" w:type="dxa"/>
            <w:tcBorders>
              <w:left w:val="single" w:sz="6" w:space="0" w:color="8F8F8F"/>
              <w:bottom w:val="single" w:sz="6" w:space="0" w:color="8F8F8F"/>
            </w:tcBorders>
            <w:vAlign w:val="center"/>
          </w:tcPr>
          <w:p w14:paraId="76DB6BCF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5AC3D50A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627" w:type="dxa"/>
            <w:vAlign w:val="center"/>
          </w:tcPr>
          <w:p w14:paraId="25D0CFC1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D80D8C" w:rsidRPr="006D7111" w14:paraId="407EA691" w14:textId="77777777" w:rsidTr="00D80D8C">
        <w:tc>
          <w:tcPr>
            <w:tcW w:w="544" w:type="dxa"/>
          </w:tcPr>
          <w:p w14:paraId="73C6C3D3" w14:textId="77777777" w:rsidR="00D80D8C" w:rsidRPr="00CD2E16" w:rsidRDefault="00D80D8C" w:rsidP="00D80D8C">
            <w:pPr>
              <w:pStyle w:val="ListParagraph"/>
              <w:numPr>
                <w:ilvl w:val="0"/>
                <w:numId w:val="3"/>
              </w:numPr>
              <w:ind w:left="437" w:hanging="284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253" w:type="dxa"/>
            <w:tcBorders>
              <w:left w:val="single" w:sz="6" w:space="0" w:color="8F8F8F"/>
              <w:bottom w:val="single" w:sz="6" w:space="0" w:color="8F8F8F"/>
            </w:tcBorders>
          </w:tcPr>
          <w:p w14:paraId="2B53618D" w14:textId="77777777" w:rsidR="00D80D8C" w:rsidRPr="006D7111" w:rsidRDefault="00D80D8C" w:rsidP="00D80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alatino Linotype" w:hAnsi="Palatino Linotype" w:cs="Courier New"/>
                <w:sz w:val="20"/>
                <w:szCs w:val="20"/>
              </w:rPr>
            </w:pPr>
            <w:r w:rsidRPr="00CD2E16">
              <w:rPr>
                <w:rFonts w:ascii="Palatino Linotype" w:hAnsi="Palatino Linotype" w:cs="Courier New"/>
                <w:b/>
                <w:sz w:val="20"/>
                <w:szCs w:val="20"/>
              </w:rPr>
              <w:t>Финансовия анализ</w:t>
            </w: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>, включително основните показатели от финансовия анализ: финансовата норма на възвръщаемост (ФНВ) на инвестицията и финансовата нетна настояща стойност (ФННС), изчислението на нетните приходи и резултата от него, тарифната стратегия и достъпността (ако е приложимо), и финансовата жизнеспособност (устойчивост) отговаря на съответните критерии за осигуряване на информация за инвестиционни проекти. В проекта е заложено най-доброто съотношение между размера на подкрепата, изпълняваните дейности и постигането на поставените цели.</w:t>
            </w:r>
          </w:p>
        </w:tc>
        <w:tc>
          <w:tcPr>
            <w:tcW w:w="567" w:type="dxa"/>
            <w:tcBorders>
              <w:left w:val="single" w:sz="6" w:space="0" w:color="8F8F8F"/>
              <w:bottom w:val="single" w:sz="6" w:space="0" w:color="8F8F8F"/>
            </w:tcBorders>
            <w:vAlign w:val="center"/>
          </w:tcPr>
          <w:p w14:paraId="38D22747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7139AC73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627" w:type="dxa"/>
            <w:vAlign w:val="center"/>
          </w:tcPr>
          <w:p w14:paraId="4C99B9ED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D80D8C" w:rsidRPr="006D7111" w14:paraId="5D7F0A26" w14:textId="77777777" w:rsidTr="00D80D8C">
        <w:tc>
          <w:tcPr>
            <w:tcW w:w="544" w:type="dxa"/>
          </w:tcPr>
          <w:p w14:paraId="55C8F0FA" w14:textId="77777777" w:rsidR="00D80D8C" w:rsidRPr="00CD2E16" w:rsidRDefault="00D80D8C" w:rsidP="00D80D8C">
            <w:pPr>
              <w:pStyle w:val="ListParagraph"/>
              <w:numPr>
                <w:ilvl w:val="0"/>
                <w:numId w:val="3"/>
              </w:numPr>
              <w:ind w:left="437" w:hanging="284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253" w:type="dxa"/>
            <w:tcBorders>
              <w:left w:val="single" w:sz="6" w:space="0" w:color="8F8F8F"/>
              <w:bottom w:val="single" w:sz="6" w:space="0" w:color="8F8F8F"/>
            </w:tcBorders>
          </w:tcPr>
          <w:p w14:paraId="18D17AAB" w14:textId="77777777" w:rsidR="00D80D8C" w:rsidRPr="006D7111" w:rsidRDefault="00D80D8C" w:rsidP="00D80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alatino Linotype" w:hAnsi="Palatino Linotype" w:cs="Courier New"/>
                <w:sz w:val="20"/>
                <w:szCs w:val="20"/>
              </w:rPr>
            </w:pPr>
            <w:r w:rsidRPr="00CD2E16">
              <w:rPr>
                <w:rFonts w:ascii="Palatino Linotype" w:hAnsi="Palatino Linotype" w:cs="Courier New"/>
                <w:b/>
                <w:sz w:val="20"/>
                <w:szCs w:val="20"/>
              </w:rPr>
              <w:t>Икономическия анализ</w:t>
            </w: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>, включително основните показатели от икономическия анализ, т.е. икономическата вътрешна норма на възвръщаемост (ИВНВ) на инвестицията и икономическата нетна настояща стойност (ИННС), и основните икономически ползи и разходи отговаря на съответните критерии за осигуряване на информация за инвестиционни проекти</w:t>
            </w:r>
            <w:r>
              <w:rPr>
                <w:rFonts w:ascii="Palatino Linotype" w:hAnsi="Palatino Linotype" w:cs="Courier New"/>
                <w:sz w:val="20"/>
                <w:szCs w:val="20"/>
              </w:rPr>
              <w:t xml:space="preserve"> (</w:t>
            </w:r>
            <w:r w:rsidRPr="00CD2E16">
              <w:rPr>
                <w:rFonts w:ascii="Palatino Linotype" w:hAnsi="Palatino Linotype" w:cs="Courier New"/>
                <w:i/>
                <w:sz w:val="20"/>
                <w:szCs w:val="20"/>
              </w:rPr>
              <w:t>когато е приложимо</w:t>
            </w:r>
            <w:r>
              <w:rPr>
                <w:rFonts w:ascii="Palatino Linotype" w:hAnsi="Palatino Linotype" w:cs="Courier New"/>
                <w:sz w:val="20"/>
                <w:szCs w:val="20"/>
              </w:rPr>
              <w:t>)</w:t>
            </w: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>.</w:t>
            </w:r>
            <w:r>
              <w:rPr>
                <w:rFonts w:ascii="Palatino Linotype" w:hAnsi="Palatino Linotype" w:cs="Courier New"/>
                <w:sz w:val="20"/>
                <w:szCs w:val="20"/>
              </w:rPr>
              <w:t xml:space="preserve"> </w:t>
            </w:r>
            <w:r w:rsidRPr="00FD7832">
              <w:rPr>
                <w:rFonts w:ascii="Palatino Linotype" w:hAnsi="Palatino Linotype" w:cs="Courier New"/>
                <w:sz w:val="20"/>
                <w:szCs w:val="20"/>
              </w:rPr>
              <w:t xml:space="preserve">Създадени </w:t>
            </w:r>
            <w:r>
              <w:rPr>
                <w:rFonts w:ascii="Palatino Linotype" w:hAnsi="Palatino Linotype" w:cs="Courier New"/>
                <w:sz w:val="20"/>
                <w:szCs w:val="20"/>
              </w:rPr>
              <w:t xml:space="preserve">са </w:t>
            </w:r>
            <w:r w:rsidRPr="00FD7832">
              <w:rPr>
                <w:rFonts w:ascii="Palatino Linotype" w:hAnsi="Palatino Linotype" w:cs="Courier New"/>
                <w:sz w:val="20"/>
                <w:szCs w:val="20"/>
              </w:rPr>
              <w:t>работни места по време на строителството и по време на експлоатацията на обекта.</w:t>
            </w:r>
          </w:p>
        </w:tc>
        <w:tc>
          <w:tcPr>
            <w:tcW w:w="567" w:type="dxa"/>
            <w:tcBorders>
              <w:left w:val="single" w:sz="6" w:space="0" w:color="8F8F8F"/>
              <w:bottom w:val="single" w:sz="6" w:space="0" w:color="8F8F8F"/>
            </w:tcBorders>
            <w:vAlign w:val="center"/>
          </w:tcPr>
          <w:p w14:paraId="375BAF6A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53653F50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627" w:type="dxa"/>
            <w:vAlign w:val="center"/>
          </w:tcPr>
          <w:p w14:paraId="6E3AB6AD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D80D8C" w:rsidRPr="006D7111" w14:paraId="29FC8DFA" w14:textId="77777777" w:rsidTr="00D80D8C">
        <w:tc>
          <w:tcPr>
            <w:tcW w:w="544" w:type="dxa"/>
          </w:tcPr>
          <w:p w14:paraId="6DB54505" w14:textId="77777777" w:rsidR="00D80D8C" w:rsidRPr="00CD2E16" w:rsidRDefault="00D80D8C" w:rsidP="00D80D8C">
            <w:pPr>
              <w:pStyle w:val="ListParagraph"/>
              <w:numPr>
                <w:ilvl w:val="0"/>
                <w:numId w:val="3"/>
              </w:numPr>
              <w:ind w:left="437" w:hanging="284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253" w:type="dxa"/>
            <w:tcBorders>
              <w:left w:val="single" w:sz="6" w:space="0" w:color="8F8F8F"/>
              <w:bottom w:val="single" w:sz="6" w:space="0" w:color="8F8F8F"/>
            </w:tcBorders>
          </w:tcPr>
          <w:p w14:paraId="5E25BC43" w14:textId="77777777" w:rsidR="00D80D8C" w:rsidRPr="006D7111" w:rsidRDefault="00D80D8C" w:rsidP="00D80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 xml:space="preserve">С изпълнението на проекта са създадени предпоставки за подобряване на </w:t>
            </w:r>
            <w:r w:rsidRPr="00CD2E16">
              <w:rPr>
                <w:rFonts w:ascii="Palatino Linotype" w:hAnsi="Palatino Linotype" w:cs="Courier New"/>
                <w:b/>
                <w:sz w:val="20"/>
                <w:szCs w:val="20"/>
              </w:rPr>
              <w:t>безопасността на транспорта</w:t>
            </w: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left w:val="single" w:sz="6" w:space="0" w:color="8F8F8F"/>
              <w:bottom w:val="single" w:sz="6" w:space="0" w:color="8F8F8F"/>
            </w:tcBorders>
            <w:vAlign w:val="center"/>
          </w:tcPr>
          <w:p w14:paraId="68B44276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666686D3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627" w:type="dxa"/>
            <w:vAlign w:val="center"/>
          </w:tcPr>
          <w:p w14:paraId="064F4451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D80D8C" w:rsidRPr="006D7111" w14:paraId="6AAE0F22" w14:textId="77777777" w:rsidTr="00D80D8C">
        <w:tc>
          <w:tcPr>
            <w:tcW w:w="544" w:type="dxa"/>
          </w:tcPr>
          <w:p w14:paraId="58DF6C49" w14:textId="77777777" w:rsidR="00D80D8C" w:rsidRPr="00CD2E16" w:rsidRDefault="00D80D8C" w:rsidP="00D80D8C">
            <w:pPr>
              <w:pStyle w:val="ListParagraph"/>
              <w:numPr>
                <w:ilvl w:val="0"/>
                <w:numId w:val="3"/>
              </w:numPr>
              <w:ind w:left="437" w:hanging="284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253" w:type="dxa"/>
            <w:tcBorders>
              <w:left w:val="single" w:sz="6" w:space="0" w:color="8F8F8F"/>
              <w:bottom w:val="single" w:sz="6" w:space="0" w:color="8F8F8F"/>
            </w:tcBorders>
          </w:tcPr>
          <w:p w14:paraId="0E4A1CC4" w14:textId="77777777" w:rsidR="00D80D8C" w:rsidRPr="006D7111" w:rsidRDefault="00D80D8C" w:rsidP="00D80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alatino Linotype" w:hAnsi="Palatino Linotype" w:cs="Courier New"/>
                <w:sz w:val="20"/>
                <w:szCs w:val="20"/>
              </w:rPr>
            </w:pPr>
            <w:r w:rsidRPr="00CD2E16">
              <w:rPr>
                <w:rFonts w:ascii="Palatino Linotype" w:hAnsi="Palatino Linotype" w:cs="Courier New"/>
                <w:b/>
                <w:sz w:val="20"/>
                <w:szCs w:val="20"/>
              </w:rPr>
              <w:t>Оценката на риска</w:t>
            </w: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>, включително идентифицираните основни рискове и мерките за смекчаването им отговаря на съответните критерии за осигуряване на информация за инвестиционни проекти.</w:t>
            </w:r>
          </w:p>
        </w:tc>
        <w:tc>
          <w:tcPr>
            <w:tcW w:w="567" w:type="dxa"/>
            <w:tcBorders>
              <w:left w:val="single" w:sz="6" w:space="0" w:color="8F8F8F"/>
              <w:bottom w:val="single" w:sz="6" w:space="0" w:color="8F8F8F"/>
            </w:tcBorders>
            <w:vAlign w:val="center"/>
          </w:tcPr>
          <w:p w14:paraId="4C3E426D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0B87246C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627" w:type="dxa"/>
            <w:vAlign w:val="center"/>
          </w:tcPr>
          <w:p w14:paraId="5A8CE806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D80D8C" w:rsidRPr="006D7111" w14:paraId="558E604B" w14:textId="77777777" w:rsidTr="00D80D8C">
        <w:tc>
          <w:tcPr>
            <w:tcW w:w="544" w:type="dxa"/>
          </w:tcPr>
          <w:p w14:paraId="32878D34" w14:textId="77777777" w:rsidR="00D80D8C" w:rsidRPr="00CD2E16" w:rsidRDefault="00D80D8C" w:rsidP="00D80D8C">
            <w:pPr>
              <w:pStyle w:val="ListParagraph"/>
              <w:numPr>
                <w:ilvl w:val="0"/>
                <w:numId w:val="3"/>
              </w:numPr>
              <w:ind w:left="437" w:hanging="284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253" w:type="dxa"/>
            <w:tcBorders>
              <w:left w:val="single" w:sz="6" w:space="0" w:color="8F8F8F"/>
              <w:bottom w:val="single" w:sz="6" w:space="0" w:color="8F8F8F"/>
            </w:tcBorders>
          </w:tcPr>
          <w:p w14:paraId="1540D56A" w14:textId="77777777" w:rsidR="00D80D8C" w:rsidRPr="006D7111" w:rsidRDefault="00D80D8C" w:rsidP="00D80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alatino Linotype" w:hAnsi="Palatino Linotype" w:cs="Courier New"/>
                <w:sz w:val="20"/>
                <w:szCs w:val="20"/>
              </w:rPr>
            </w:pP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>Информацията, която е от значение и се отнася до приспособяването към изменението на климата и смекчаването на последиците от него, както и до устойчивостта на бедствия отговаря на съответните критерии за осигуряване на информация за инвестиционни проекти</w:t>
            </w:r>
            <w:r>
              <w:rPr>
                <w:rFonts w:ascii="Palatino Linotype" w:hAnsi="Palatino Linotype" w:cs="Courier New"/>
                <w:sz w:val="20"/>
                <w:szCs w:val="20"/>
              </w:rPr>
              <w:t>.</w:t>
            </w:r>
          </w:p>
          <w:p w14:paraId="73480EF5" w14:textId="77777777" w:rsidR="00D80D8C" w:rsidRPr="006D7111" w:rsidRDefault="00D80D8C" w:rsidP="00D80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alatino Linotype" w:hAnsi="Palatino Linotype" w:cs="Courier New"/>
                <w:sz w:val="20"/>
                <w:szCs w:val="20"/>
              </w:rPr>
            </w:pP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>Проект</w:t>
            </w:r>
            <w:r>
              <w:rPr>
                <w:rFonts w:ascii="Palatino Linotype" w:hAnsi="Palatino Linotype" w:cs="Courier New"/>
                <w:sz w:val="20"/>
                <w:szCs w:val="20"/>
              </w:rPr>
              <w:t>ът</w:t>
            </w: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 xml:space="preserve"> гарантира постигането на </w:t>
            </w:r>
            <w:r w:rsidRPr="0063018A">
              <w:rPr>
                <w:rFonts w:ascii="Palatino Linotype" w:hAnsi="Palatino Linotype" w:cs="Courier New"/>
                <w:b/>
                <w:sz w:val="20"/>
                <w:szCs w:val="20"/>
              </w:rPr>
              <w:t>климатичната устойчивост</w:t>
            </w: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 xml:space="preserve"> на инфраструктурните инвестиции, чиято очаквана продължителност е най-малко 5 години.</w:t>
            </w:r>
          </w:p>
        </w:tc>
        <w:tc>
          <w:tcPr>
            <w:tcW w:w="567" w:type="dxa"/>
            <w:tcBorders>
              <w:left w:val="single" w:sz="6" w:space="0" w:color="8F8F8F"/>
              <w:bottom w:val="single" w:sz="6" w:space="0" w:color="8F8F8F"/>
            </w:tcBorders>
            <w:vAlign w:val="center"/>
          </w:tcPr>
          <w:p w14:paraId="2E72C9D6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04B5E1E6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627" w:type="dxa"/>
            <w:vAlign w:val="center"/>
          </w:tcPr>
          <w:p w14:paraId="50A7EF26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D80D8C" w:rsidRPr="006D7111" w14:paraId="4BAEADB0" w14:textId="77777777" w:rsidTr="00D80D8C">
        <w:tc>
          <w:tcPr>
            <w:tcW w:w="544" w:type="dxa"/>
          </w:tcPr>
          <w:p w14:paraId="5210EEC4" w14:textId="77777777" w:rsidR="00D80D8C" w:rsidRPr="00CD2E16" w:rsidRDefault="00D80D8C" w:rsidP="00D80D8C">
            <w:pPr>
              <w:pStyle w:val="ListParagraph"/>
              <w:numPr>
                <w:ilvl w:val="0"/>
                <w:numId w:val="3"/>
              </w:numPr>
              <w:ind w:left="437" w:hanging="284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253" w:type="dxa"/>
            <w:tcBorders>
              <w:left w:val="single" w:sz="6" w:space="0" w:color="8F8F8F"/>
              <w:bottom w:val="single" w:sz="6" w:space="0" w:color="8F8F8F"/>
            </w:tcBorders>
          </w:tcPr>
          <w:p w14:paraId="6EA4C704" w14:textId="77777777" w:rsidR="00D80D8C" w:rsidRPr="006D7111" w:rsidRDefault="00D80D8C" w:rsidP="00D80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alatino Linotype" w:hAnsi="Palatino Linotype" w:cs="Courier New"/>
                <w:sz w:val="20"/>
                <w:szCs w:val="20"/>
              </w:rPr>
            </w:pP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 xml:space="preserve">Информацията, която е от значение и се отнася до финансовия план, заедно с </w:t>
            </w:r>
            <w:r w:rsidRPr="0063018A">
              <w:rPr>
                <w:rFonts w:ascii="Palatino Linotype" w:hAnsi="Palatino Linotype" w:cs="Courier New"/>
                <w:b/>
                <w:sz w:val="20"/>
                <w:szCs w:val="20"/>
              </w:rPr>
              <w:t>физическите и финансовите показатели за мониторинг на напредъка,</w:t>
            </w: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 xml:space="preserve"> при едновременно отчитане на идентифицираните рискове, както и до изчисляването на приноса на Съюза, включително информацията относно метода на изчисление отговаря на съответните критерии за осигуряване на информация за инвестиционни проекти.</w:t>
            </w:r>
          </w:p>
        </w:tc>
        <w:tc>
          <w:tcPr>
            <w:tcW w:w="567" w:type="dxa"/>
            <w:tcBorders>
              <w:left w:val="single" w:sz="6" w:space="0" w:color="8F8F8F"/>
              <w:bottom w:val="single" w:sz="6" w:space="0" w:color="8F8F8F"/>
            </w:tcBorders>
            <w:vAlign w:val="center"/>
          </w:tcPr>
          <w:p w14:paraId="4273E149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729678AB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627" w:type="dxa"/>
            <w:vAlign w:val="center"/>
          </w:tcPr>
          <w:p w14:paraId="11A03F72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D80D8C" w:rsidRPr="006D7111" w14:paraId="02F3F518" w14:textId="77777777" w:rsidTr="00D80D8C">
        <w:tc>
          <w:tcPr>
            <w:tcW w:w="544" w:type="dxa"/>
          </w:tcPr>
          <w:p w14:paraId="074A1866" w14:textId="77777777" w:rsidR="00D80D8C" w:rsidRPr="00CD2E16" w:rsidRDefault="00D80D8C" w:rsidP="00D80D8C">
            <w:pPr>
              <w:pStyle w:val="ListParagraph"/>
              <w:numPr>
                <w:ilvl w:val="0"/>
                <w:numId w:val="3"/>
              </w:numPr>
              <w:ind w:left="437" w:hanging="284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253" w:type="dxa"/>
            <w:tcBorders>
              <w:left w:val="single" w:sz="6" w:space="0" w:color="8F8F8F"/>
              <w:bottom w:val="single" w:sz="6" w:space="0" w:color="8F8F8F"/>
            </w:tcBorders>
          </w:tcPr>
          <w:p w14:paraId="4096C444" w14:textId="77777777" w:rsidR="00D80D8C" w:rsidRPr="006D7111" w:rsidRDefault="00D80D8C" w:rsidP="00D80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>Финансовия план е основан на реалистична програма за физическо изпълнение, разработен е в детайли, бенефициент</w:t>
            </w:r>
            <w:r>
              <w:rPr>
                <w:rFonts w:ascii="Palatino Linotype" w:hAnsi="Palatino Linotype" w:cs="Courier New"/>
                <w:sz w:val="20"/>
                <w:szCs w:val="20"/>
              </w:rPr>
              <w:t>ът</w:t>
            </w: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 xml:space="preserve"> е предвидил приемливи </w:t>
            </w:r>
            <w:r w:rsidRPr="0063018A">
              <w:rPr>
                <w:rFonts w:ascii="Palatino Linotype" w:hAnsi="Palatino Linotype" w:cs="Courier New"/>
                <w:b/>
                <w:sz w:val="20"/>
                <w:szCs w:val="20"/>
              </w:rPr>
              <w:t>източници за финансиране</w:t>
            </w: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 xml:space="preserve"> на недопустими разходи, собствено </w:t>
            </w:r>
            <w:proofErr w:type="spellStart"/>
            <w:r w:rsidRPr="006D7111">
              <w:rPr>
                <w:rFonts w:ascii="Palatino Linotype" w:hAnsi="Palatino Linotype" w:cs="Courier New"/>
                <w:sz w:val="20"/>
                <w:szCs w:val="20"/>
              </w:rPr>
              <w:t>съ-финани</w:t>
            </w:r>
            <w:r>
              <w:rPr>
                <w:rFonts w:ascii="Palatino Linotype" w:hAnsi="Palatino Linotype" w:cs="Courier New"/>
                <w:sz w:val="20"/>
                <w:szCs w:val="20"/>
              </w:rPr>
              <w:t>ране</w:t>
            </w:r>
            <w:proofErr w:type="spellEnd"/>
            <w:r>
              <w:rPr>
                <w:rFonts w:ascii="Palatino Linotype" w:hAnsi="Palatino Linotype" w:cs="Courier New"/>
                <w:sz w:val="20"/>
                <w:szCs w:val="20"/>
              </w:rPr>
              <w:t xml:space="preserve"> и за управление на проекта.</w:t>
            </w:r>
          </w:p>
        </w:tc>
        <w:tc>
          <w:tcPr>
            <w:tcW w:w="567" w:type="dxa"/>
            <w:tcBorders>
              <w:left w:val="single" w:sz="6" w:space="0" w:color="8F8F8F"/>
              <w:bottom w:val="single" w:sz="6" w:space="0" w:color="8F8F8F"/>
            </w:tcBorders>
            <w:vAlign w:val="center"/>
          </w:tcPr>
          <w:p w14:paraId="72F43BEB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EAB90B2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627" w:type="dxa"/>
            <w:vAlign w:val="center"/>
          </w:tcPr>
          <w:p w14:paraId="36DACCEA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D80D8C" w:rsidRPr="006D7111" w14:paraId="38434D15" w14:textId="77777777" w:rsidTr="00D80D8C">
        <w:trPr>
          <w:trHeight w:val="1373"/>
        </w:trPr>
        <w:tc>
          <w:tcPr>
            <w:tcW w:w="544" w:type="dxa"/>
          </w:tcPr>
          <w:p w14:paraId="640E4327" w14:textId="77777777" w:rsidR="00D80D8C" w:rsidRPr="00CD2E16" w:rsidRDefault="00D80D8C" w:rsidP="00D80D8C">
            <w:pPr>
              <w:pStyle w:val="ListParagraph"/>
              <w:numPr>
                <w:ilvl w:val="0"/>
                <w:numId w:val="3"/>
              </w:numPr>
              <w:ind w:left="437" w:hanging="284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253" w:type="dxa"/>
            <w:tcBorders>
              <w:left w:val="single" w:sz="6" w:space="0" w:color="8F8F8F"/>
              <w:bottom w:val="single" w:sz="6" w:space="0" w:color="8F8F8F"/>
            </w:tcBorders>
          </w:tcPr>
          <w:p w14:paraId="12331A2C" w14:textId="77777777" w:rsidR="00D80D8C" w:rsidRPr="006D7111" w:rsidRDefault="00D80D8C" w:rsidP="00D80D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Palatino Linotype" w:hAnsi="Palatino Linotype" w:cs="Courier New"/>
                <w:sz w:val="20"/>
                <w:szCs w:val="20"/>
              </w:rPr>
            </w:pPr>
            <w:r w:rsidRPr="0063018A">
              <w:rPr>
                <w:rFonts w:ascii="Palatino Linotype" w:hAnsi="Palatino Linotype" w:cs="Courier New"/>
                <w:b/>
                <w:sz w:val="20"/>
                <w:szCs w:val="20"/>
              </w:rPr>
              <w:t>Графика за изпълнението на проекта</w:t>
            </w: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 xml:space="preserve"> (</w:t>
            </w:r>
            <w:r w:rsidRPr="0063018A">
              <w:rPr>
                <w:rFonts w:ascii="Palatino Linotype" w:hAnsi="Palatino Linotype" w:cs="Courier New"/>
                <w:i/>
                <w:sz w:val="20"/>
                <w:szCs w:val="20"/>
              </w:rPr>
              <w:t>или на съответния етап от проекта, в случай че изпълнението е по-дълго от програмния период</w:t>
            </w:r>
            <w:r w:rsidRPr="006D7111">
              <w:rPr>
                <w:rFonts w:ascii="Palatino Linotype" w:hAnsi="Palatino Linotype" w:cs="Courier New"/>
                <w:sz w:val="20"/>
                <w:szCs w:val="20"/>
              </w:rPr>
              <w:t>), включително обществените поръчки е надежден и осъществим при отчитане на съответните рискове и отговаря на съответните критерии за осигуряване на информация за инвестиционни проекти.</w:t>
            </w:r>
          </w:p>
        </w:tc>
        <w:tc>
          <w:tcPr>
            <w:tcW w:w="567" w:type="dxa"/>
            <w:tcBorders>
              <w:left w:val="single" w:sz="6" w:space="0" w:color="8F8F8F"/>
              <w:bottom w:val="single" w:sz="6" w:space="0" w:color="8F8F8F"/>
            </w:tcBorders>
            <w:vAlign w:val="center"/>
          </w:tcPr>
          <w:p w14:paraId="4D7FBCC9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387A4AB4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627" w:type="dxa"/>
            <w:vAlign w:val="center"/>
          </w:tcPr>
          <w:p w14:paraId="4690B382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  <w:tr w:rsidR="00D80D8C" w:rsidRPr="006D7111" w14:paraId="1DD3B704" w14:textId="77777777" w:rsidTr="00D80D8C">
        <w:tc>
          <w:tcPr>
            <w:tcW w:w="544" w:type="dxa"/>
          </w:tcPr>
          <w:p w14:paraId="08F0E3B7" w14:textId="77777777" w:rsidR="00D80D8C" w:rsidRPr="00CD2E16" w:rsidRDefault="00D80D8C" w:rsidP="00D80D8C">
            <w:pPr>
              <w:pStyle w:val="ListParagraph"/>
              <w:numPr>
                <w:ilvl w:val="0"/>
                <w:numId w:val="3"/>
              </w:numPr>
              <w:ind w:left="437" w:hanging="284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253" w:type="dxa"/>
          </w:tcPr>
          <w:p w14:paraId="1C5CA917" w14:textId="77777777" w:rsidR="00D80D8C" w:rsidRPr="006D7111" w:rsidRDefault="00D80D8C" w:rsidP="00D80D8C">
            <w:pPr>
              <w:pStyle w:val="ListParagraph"/>
              <w:ind w:left="0"/>
              <w:jc w:val="both"/>
              <w:rPr>
                <w:rFonts w:ascii="Palatino Linotype" w:hAnsi="Palatino Linotype"/>
                <w:b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t xml:space="preserve">Дейностите по проекта </w:t>
            </w:r>
            <w:r w:rsidRPr="003F5999">
              <w:rPr>
                <w:rFonts w:ascii="Palatino Linotype" w:hAnsi="Palatino Linotype"/>
                <w:sz w:val="20"/>
                <w:szCs w:val="20"/>
              </w:rPr>
              <w:t xml:space="preserve">не са пряко засегнати от мотивирано становище на Комисията по отношение на </w:t>
            </w:r>
            <w:r w:rsidRPr="003F5999">
              <w:rPr>
                <w:rFonts w:ascii="Palatino Linotype" w:hAnsi="Palatino Linotype"/>
                <w:b/>
                <w:sz w:val="20"/>
                <w:szCs w:val="20"/>
              </w:rPr>
              <w:t>нарушение по член 258 от ДФЕС</w:t>
            </w:r>
            <w:r w:rsidRPr="003F5999">
              <w:rPr>
                <w:rFonts w:ascii="Palatino Linotype" w:hAnsi="Palatino Linotype"/>
                <w:sz w:val="20"/>
                <w:szCs w:val="20"/>
              </w:rPr>
              <w:t xml:space="preserve">, което излага на риск законосъобразността и правилността на разходите или качеството на изпълнение на </w:t>
            </w:r>
            <w:r w:rsidRPr="006D7111">
              <w:rPr>
                <w:rFonts w:ascii="Palatino Linotype" w:hAnsi="Palatino Linotype"/>
                <w:sz w:val="20"/>
                <w:szCs w:val="20"/>
              </w:rPr>
              <w:t>проекта.</w:t>
            </w:r>
          </w:p>
        </w:tc>
        <w:tc>
          <w:tcPr>
            <w:tcW w:w="567" w:type="dxa"/>
            <w:vAlign w:val="center"/>
          </w:tcPr>
          <w:p w14:paraId="29CFA761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E550DC8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  <w:tc>
          <w:tcPr>
            <w:tcW w:w="627" w:type="dxa"/>
            <w:vAlign w:val="center"/>
          </w:tcPr>
          <w:p w14:paraId="3FFE6775" w14:textId="77777777" w:rsidR="00D80D8C" w:rsidRPr="006D7111" w:rsidRDefault="00D80D8C" w:rsidP="00D80D8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6D7111">
              <w:rPr>
                <w:rFonts w:ascii="Palatino Linotype" w:hAnsi="Palatino Linotype"/>
                <w:sz w:val="20"/>
                <w:szCs w:val="20"/>
              </w:rPr>
              <w:instrText xml:space="preserve"> FORMCHECKBOX </w:instrText>
            </w:r>
            <w:r w:rsidR="00357349">
              <w:rPr>
                <w:rFonts w:ascii="Palatino Linotype" w:hAnsi="Palatino Linotype"/>
                <w:sz w:val="20"/>
                <w:szCs w:val="20"/>
              </w:rPr>
            </w:r>
            <w:r w:rsidR="00357349">
              <w:rPr>
                <w:rFonts w:ascii="Palatino Linotype" w:hAnsi="Palatino Linotype"/>
                <w:sz w:val="20"/>
                <w:szCs w:val="20"/>
              </w:rPr>
              <w:fldChar w:fldCharType="separate"/>
            </w:r>
            <w:r w:rsidRPr="006D7111">
              <w:rPr>
                <w:rFonts w:ascii="Palatino Linotype" w:hAnsi="Palatino Linotype"/>
                <w:sz w:val="20"/>
                <w:szCs w:val="20"/>
              </w:rPr>
              <w:fldChar w:fldCharType="end"/>
            </w:r>
          </w:p>
        </w:tc>
      </w:tr>
    </w:tbl>
    <w:p w14:paraId="64F4225D" w14:textId="5F75D5C5" w:rsidR="00C03357" w:rsidRDefault="00D80D8C" w:rsidP="00A7281E">
      <w:pPr>
        <w:spacing w:after="120"/>
        <w:ind w:right="141" w:firstLine="567"/>
        <w:jc w:val="both"/>
        <w:rPr>
          <w:rFonts w:ascii="Palatino Linotype" w:hAnsi="Palatino Linotype"/>
        </w:rPr>
      </w:pPr>
      <w:r w:rsidRPr="00336EC4">
        <w:rPr>
          <w:rFonts w:ascii="Palatino Linotype" w:hAnsi="Palatino Linotype"/>
        </w:rPr>
        <w:t xml:space="preserve"> </w:t>
      </w:r>
    </w:p>
    <w:p w14:paraId="2F4608CB" w14:textId="77777777" w:rsidR="00AB4DB3" w:rsidRDefault="00AB4DB3"/>
    <w:sectPr w:rsidR="00AB4DB3" w:rsidSect="002334AA">
      <w:headerReference w:type="default" r:id="rId8"/>
      <w:footerReference w:type="default" r:id="rId9"/>
      <w:pgSz w:w="11906" w:h="16838"/>
      <w:pgMar w:top="1213" w:right="991" w:bottom="1417" w:left="1276" w:header="708" w:footer="102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861AEA" w16cex:dateUtc="2023-02-02T09:20:00Z"/>
  <w16cex:commentExtensible w16cex:durableId="27861871" w16cex:dateUtc="2023-02-02T09:09:00Z"/>
  <w16cex:commentExtensible w16cex:durableId="27861940" w16cex:dateUtc="2023-02-02T09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437058B" w16cid:durableId="27861AEA"/>
  <w16cid:commentId w16cid:paraId="75A67127" w16cid:durableId="27861871"/>
  <w16cid:commentId w16cid:paraId="1567BF51" w16cid:durableId="2786194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C49AF" w14:textId="77777777" w:rsidR="00357349" w:rsidRDefault="00357349">
      <w:r>
        <w:separator/>
      </w:r>
    </w:p>
  </w:endnote>
  <w:endnote w:type="continuationSeparator" w:id="0">
    <w:p w14:paraId="2C82ADFE" w14:textId="77777777" w:rsidR="00357349" w:rsidRDefault="00357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CC18" w14:textId="05393511" w:rsidR="00FC2E3E" w:rsidRPr="00336EC4" w:rsidRDefault="00FC2E3E">
    <w:pPr>
      <w:pStyle w:val="Footer"/>
      <w:jc w:val="right"/>
      <w:rPr>
        <w:sz w:val="20"/>
        <w:szCs w:val="20"/>
      </w:rPr>
    </w:pPr>
    <w:r w:rsidRPr="00336EC4">
      <w:rPr>
        <w:sz w:val="20"/>
        <w:szCs w:val="20"/>
      </w:rPr>
      <w:t xml:space="preserve">стр. </w:t>
    </w:r>
    <w:sdt>
      <w:sdtPr>
        <w:rPr>
          <w:sz w:val="20"/>
          <w:szCs w:val="20"/>
        </w:rPr>
        <w:id w:val="41838270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336EC4">
          <w:rPr>
            <w:sz w:val="20"/>
            <w:szCs w:val="20"/>
          </w:rPr>
          <w:fldChar w:fldCharType="begin"/>
        </w:r>
        <w:r w:rsidRPr="00336EC4">
          <w:rPr>
            <w:sz w:val="20"/>
            <w:szCs w:val="20"/>
          </w:rPr>
          <w:instrText xml:space="preserve"> PAGE   \* MERGEFORMAT </w:instrText>
        </w:r>
        <w:r w:rsidRPr="00336EC4">
          <w:rPr>
            <w:sz w:val="20"/>
            <w:szCs w:val="20"/>
          </w:rPr>
          <w:fldChar w:fldCharType="separate"/>
        </w:r>
        <w:r w:rsidR="00554D31">
          <w:rPr>
            <w:noProof/>
            <w:sz w:val="20"/>
            <w:szCs w:val="20"/>
          </w:rPr>
          <w:t>1</w:t>
        </w:r>
        <w:r w:rsidRPr="00336EC4">
          <w:rPr>
            <w:noProof/>
            <w:sz w:val="20"/>
            <w:szCs w:val="20"/>
          </w:rPr>
          <w:fldChar w:fldCharType="end"/>
        </w:r>
      </w:sdtContent>
    </w:sdt>
  </w:p>
  <w:p w14:paraId="7E1D7F92" w14:textId="77777777" w:rsidR="00FC2E3E" w:rsidRDefault="00FC2E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C0EF41" w14:textId="77777777" w:rsidR="00357349" w:rsidRDefault="00357349">
      <w:r>
        <w:separator/>
      </w:r>
    </w:p>
  </w:footnote>
  <w:footnote w:type="continuationSeparator" w:id="0">
    <w:p w14:paraId="07DE6E81" w14:textId="77777777" w:rsidR="00357349" w:rsidRDefault="003573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0B159" w14:textId="77777777" w:rsidR="00FC2E3E" w:rsidRPr="007446FA" w:rsidRDefault="00FC2E3E" w:rsidP="002334AA">
    <w:r w:rsidRPr="007A003C">
      <w:t xml:space="preserve">  </w:t>
    </w:r>
    <w:r>
      <w:rPr>
        <w:noProof/>
      </w:rPr>
      <w:drawing>
        <wp:inline distT="0" distB="0" distL="0" distR="0" wp14:anchorId="0464D396" wp14:editId="2B15CC6D">
          <wp:extent cx="680314" cy="827867"/>
          <wp:effectExtent l="0" t="0" r="5715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_New LOGO 2014-202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0803" cy="8284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en-US"/>
      </w:rPr>
      <w:t xml:space="preserve">                                                                                                </w:t>
    </w:r>
  </w:p>
  <w:p w14:paraId="65E0A3AF" w14:textId="77777777" w:rsidR="00FC2E3E" w:rsidRDefault="00FC2E3E">
    <w:pPr>
      <w:pStyle w:val="Header"/>
    </w:pPr>
    <w:r w:rsidRPr="007A003C">
      <w:t xml:space="preserve">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3B4DF2"/>
    <w:multiLevelType w:val="multilevel"/>
    <w:tmpl w:val="0402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50B321E3"/>
    <w:multiLevelType w:val="hybridMultilevel"/>
    <w:tmpl w:val="FD1264BA"/>
    <w:lvl w:ilvl="0" w:tplc="53BCC1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736611"/>
    <w:multiLevelType w:val="multilevel"/>
    <w:tmpl w:val="0402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3" w15:restartNumberingAfterBreak="0">
    <w:nsid w:val="5C1F5A12"/>
    <w:multiLevelType w:val="hybridMultilevel"/>
    <w:tmpl w:val="5F4A005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C03357"/>
    <w:rsid w:val="00014104"/>
    <w:rsid w:val="00030016"/>
    <w:rsid w:val="00104AC2"/>
    <w:rsid w:val="0014094E"/>
    <w:rsid w:val="00160A0E"/>
    <w:rsid w:val="001B7475"/>
    <w:rsid w:val="001C64D6"/>
    <w:rsid w:val="001F67BD"/>
    <w:rsid w:val="002174EB"/>
    <w:rsid w:val="002334AA"/>
    <w:rsid w:val="002E1CE5"/>
    <w:rsid w:val="002F4D8C"/>
    <w:rsid w:val="00336D4A"/>
    <w:rsid w:val="00357349"/>
    <w:rsid w:val="003B7DA6"/>
    <w:rsid w:val="003C38A3"/>
    <w:rsid w:val="003D7F34"/>
    <w:rsid w:val="00432720"/>
    <w:rsid w:val="00475975"/>
    <w:rsid w:val="00490E27"/>
    <w:rsid w:val="0055300A"/>
    <w:rsid w:val="00554D31"/>
    <w:rsid w:val="005E3C7F"/>
    <w:rsid w:val="00671045"/>
    <w:rsid w:val="006750E1"/>
    <w:rsid w:val="00687A43"/>
    <w:rsid w:val="006A571A"/>
    <w:rsid w:val="006B389E"/>
    <w:rsid w:val="006B4E20"/>
    <w:rsid w:val="00783C94"/>
    <w:rsid w:val="007A5AB1"/>
    <w:rsid w:val="007E45B9"/>
    <w:rsid w:val="00866E72"/>
    <w:rsid w:val="00872A35"/>
    <w:rsid w:val="008755B3"/>
    <w:rsid w:val="008D0502"/>
    <w:rsid w:val="00930D94"/>
    <w:rsid w:val="009723ED"/>
    <w:rsid w:val="00975D6E"/>
    <w:rsid w:val="009940B1"/>
    <w:rsid w:val="009C3C8C"/>
    <w:rsid w:val="00A51B8C"/>
    <w:rsid w:val="00A7281E"/>
    <w:rsid w:val="00AB4DB3"/>
    <w:rsid w:val="00B60400"/>
    <w:rsid w:val="00BC4E30"/>
    <w:rsid w:val="00C03357"/>
    <w:rsid w:val="00C0748D"/>
    <w:rsid w:val="00C359B8"/>
    <w:rsid w:val="00C46E49"/>
    <w:rsid w:val="00C83410"/>
    <w:rsid w:val="00CB3B75"/>
    <w:rsid w:val="00CC3351"/>
    <w:rsid w:val="00CF5F04"/>
    <w:rsid w:val="00D12A14"/>
    <w:rsid w:val="00D15EA6"/>
    <w:rsid w:val="00D77271"/>
    <w:rsid w:val="00D80D8C"/>
    <w:rsid w:val="00D86822"/>
    <w:rsid w:val="00DA10C1"/>
    <w:rsid w:val="00DB1F03"/>
    <w:rsid w:val="00DF295F"/>
    <w:rsid w:val="00E1421C"/>
    <w:rsid w:val="00E16B4C"/>
    <w:rsid w:val="00ED0217"/>
    <w:rsid w:val="00EE13BA"/>
    <w:rsid w:val="00EF4AAB"/>
    <w:rsid w:val="00EF4C2C"/>
    <w:rsid w:val="00F072C8"/>
    <w:rsid w:val="00F7737B"/>
    <w:rsid w:val="00FC2E3E"/>
    <w:rsid w:val="00FD3F05"/>
    <w:rsid w:val="00FE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39ECF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33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C03357"/>
    <w:pPr>
      <w:keepNext/>
      <w:keepLines/>
      <w:numPr>
        <w:numId w:val="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03357"/>
    <w:pPr>
      <w:keepNext/>
      <w:keepLines/>
      <w:numPr>
        <w:ilvl w:val="1"/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03357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C0335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C0335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C0335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C0335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C0335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C0335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033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bg-BG"/>
    </w:rPr>
  </w:style>
  <w:style w:type="character" w:customStyle="1" w:styleId="Heading2Char">
    <w:name w:val="Heading 2 Char"/>
    <w:basedOn w:val="DefaultParagraphFont"/>
    <w:link w:val="Heading2"/>
    <w:rsid w:val="00C0335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bg-BG"/>
    </w:rPr>
  </w:style>
  <w:style w:type="character" w:customStyle="1" w:styleId="Heading3Char">
    <w:name w:val="Heading 3 Char"/>
    <w:basedOn w:val="DefaultParagraphFont"/>
    <w:link w:val="Heading3"/>
    <w:semiHidden/>
    <w:rsid w:val="00C03357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bg-BG"/>
    </w:rPr>
  </w:style>
  <w:style w:type="character" w:customStyle="1" w:styleId="Heading4Char">
    <w:name w:val="Heading 4 Char"/>
    <w:basedOn w:val="DefaultParagraphFont"/>
    <w:link w:val="Heading4"/>
    <w:semiHidden/>
    <w:rsid w:val="00C03357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bg-BG"/>
    </w:rPr>
  </w:style>
  <w:style w:type="character" w:customStyle="1" w:styleId="Heading5Char">
    <w:name w:val="Heading 5 Char"/>
    <w:basedOn w:val="DefaultParagraphFont"/>
    <w:link w:val="Heading5"/>
    <w:semiHidden/>
    <w:rsid w:val="00C0335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bg-BG"/>
    </w:rPr>
  </w:style>
  <w:style w:type="character" w:customStyle="1" w:styleId="Heading6Char">
    <w:name w:val="Heading 6 Char"/>
    <w:basedOn w:val="DefaultParagraphFont"/>
    <w:link w:val="Heading6"/>
    <w:semiHidden/>
    <w:rsid w:val="00C03357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bg-BG"/>
    </w:rPr>
  </w:style>
  <w:style w:type="character" w:customStyle="1" w:styleId="Heading7Char">
    <w:name w:val="Heading 7 Char"/>
    <w:basedOn w:val="DefaultParagraphFont"/>
    <w:link w:val="Heading7"/>
    <w:semiHidden/>
    <w:rsid w:val="00C03357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bg-BG"/>
    </w:rPr>
  </w:style>
  <w:style w:type="character" w:customStyle="1" w:styleId="Heading8Char">
    <w:name w:val="Heading 8 Char"/>
    <w:basedOn w:val="DefaultParagraphFont"/>
    <w:link w:val="Heading8"/>
    <w:semiHidden/>
    <w:rsid w:val="00C0335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bg-BG"/>
    </w:rPr>
  </w:style>
  <w:style w:type="character" w:customStyle="1" w:styleId="Heading9Char">
    <w:name w:val="Heading 9 Char"/>
    <w:basedOn w:val="DefaultParagraphFont"/>
    <w:link w:val="Heading9"/>
    <w:semiHidden/>
    <w:rsid w:val="00C0335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34"/>
    <w:qFormat/>
    <w:rsid w:val="00C03357"/>
    <w:pPr>
      <w:ind w:left="720"/>
      <w:contextualSpacing/>
    </w:pPr>
  </w:style>
  <w:style w:type="paragraph" w:styleId="Header">
    <w:name w:val="header"/>
    <w:basedOn w:val="Normal"/>
    <w:link w:val="HeaderChar"/>
    <w:rsid w:val="00C033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03357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rsid w:val="00C033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357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istParagraphChar">
    <w:name w:val="List Paragraph Char"/>
    <w:link w:val="ListParagraph"/>
    <w:uiPriority w:val="34"/>
    <w:locked/>
    <w:rsid w:val="00C03357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rsid w:val="00C033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C033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03357"/>
    <w:rPr>
      <w:rFonts w:ascii="Courier New" w:eastAsia="Times New Roman" w:hAnsi="Courier New" w:cs="Courier New"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72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2C8"/>
    <w:rPr>
      <w:rFonts w:ascii="Segoe UI" w:eastAsia="Times New Roman" w:hAnsi="Segoe UI" w:cs="Segoe UI"/>
      <w:sz w:val="18"/>
      <w:szCs w:val="18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CB3B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3B7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3B75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3B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3B75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Revision">
    <w:name w:val="Revision"/>
    <w:hidden/>
    <w:uiPriority w:val="99"/>
    <w:semiHidden/>
    <w:rsid w:val="000300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Hyperlink">
    <w:name w:val="Hyperlink"/>
    <w:basedOn w:val="DefaultParagraphFont"/>
    <w:uiPriority w:val="99"/>
    <w:unhideWhenUsed/>
    <w:rsid w:val="005E3C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A2D70-380E-407A-A5BD-43B4D1D01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3112</Words>
  <Characters>17739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2023-05-26T10:25:00Z</dcterms:created>
  <dcterms:modified xsi:type="dcterms:W3CDTF">2023-05-26T10:26:00Z</dcterms:modified>
</cp:coreProperties>
</file>