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030" w:rsidRPr="00360A2B" w:rsidRDefault="00323030" w:rsidP="00453C2A">
      <w:pPr>
        <w:spacing w:after="240"/>
        <w:rPr>
          <w:rFonts w:cs="Calibri"/>
          <w:b/>
          <w:sz w:val="24"/>
          <w:szCs w:val="24"/>
          <w:lang w:val="en-US"/>
        </w:rPr>
      </w:pPr>
    </w:p>
    <w:p w:rsidR="00F9214E" w:rsidRPr="00360A2B" w:rsidRDefault="00F9214E" w:rsidP="00C60C75">
      <w:pPr>
        <w:pStyle w:val="ListParagraph"/>
        <w:ind w:left="360"/>
        <w:jc w:val="center"/>
        <w:rPr>
          <w:rFonts w:cs="Calibri"/>
          <w:b/>
          <w:sz w:val="24"/>
          <w:szCs w:val="24"/>
        </w:rPr>
      </w:pPr>
      <w:r w:rsidRPr="00360A2B">
        <w:rPr>
          <w:rFonts w:cs="Calibri"/>
          <w:b/>
          <w:sz w:val="24"/>
          <w:szCs w:val="24"/>
        </w:rPr>
        <w:t>Методология и критерии</w:t>
      </w:r>
      <w:r w:rsidRPr="00360A2B">
        <w:rPr>
          <w:rFonts w:cs="Calibri"/>
          <w:b/>
          <w:sz w:val="24"/>
          <w:szCs w:val="24"/>
          <w:lang w:val="en-US"/>
        </w:rPr>
        <w:t xml:space="preserve"> </w:t>
      </w:r>
      <w:r w:rsidRPr="00360A2B">
        <w:rPr>
          <w:rFonts w:cs="Calibri"/>
          <w:b/>
          <w:sz w:val="24"/>
          <w:szCs w:val="24"/>
        </w:rPr>
        <w:t>за подбор на операции по процедура BG16M1OP001-6.00</w:t>
      </w:r>
      <w:r w:rsidRPr="00360A2B">
        <w:rPr>
          <w:rFonts w:cs="Calibri"/>
          <w:b/>
          <w:sz w:val="24"/>
          <w:szCs w:val="24"/>
          <w:lang w:val="en-US"/>
        </w:rPr>
        <w:t>1</w:t>
      </w:r>
      <w:r w:rsidRPr="00360A2B">
        <w:rPr>
          <w:rFonts w:cs="Calibri"/>
          <w:b/>
          <w:sz w:val="24"/>
          <w:szCs w:val="24"/>
        </w:rPr>
        <w:t xml:space="preserve"> „</w:t>
      </w:r>
      <w:r w:rsidR="00C60C75" w:rsidRPr="00C60C75">
        <w:rPr>
          <w:rFonts w:cs="Calibri"/>
          <w:b/>
          <w:sz w:val="24"/>
          <w:szCs w:val="24"/>
        </w:rPr>
        <w:t xml:space="preserve">Подкрепа на особено засегнати от увеличението на цените на енергията МСП чрез мярка прилагана от Фонд "Сигурност на електроенергийната система" (SAFE) </w:t>
      </w:r>
    </w:p>
    <w:p w:rsidR="00F43194" w:rsidRPr="00360A2B" w:rsidRDefault="00F43194" w:rsidP="000D69EE">
      <w:pPr>
        <w:spacing w:after="240"/>
        <w:jc w:val="center"/>
        <w:rPr>
          <w:rFonts w:cs="Calibri"/>
          <w:b/>
          <w:sz w:val="24"/>
          <w:szCs w:val="24"/>
          <w:lang w:val="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959"/>
      </w:tblGrid>
      <w:tr w:rsidR="004846C7" w:rsidRPr="00360A2B" w:rsidTr="009760FF">
        <w:tc>
          <w:tcPr>
            <w:tcW w:w="9924" w:type="dxa"/>
            <w:gridSpan w:val="2"/>
            <w:shd w:val="clear" w:color="auto" w:fill="BFBFBF"/>
          </w:tcPr>
          <w:p w:rsidR="004846C7" w:rsidRPr="00360A2B" w:rsidRDefault="00D7775B" w:rsidP="00DC2329">
            <w:pPr>
              <w:spacing w:before="120" w:after="120" w:line="240" w:lineRule="auto"/>
              <w:rPr>
                <w:rFonts w:cs="Calibri"/>
                <w:b/>
                <w:sz w:val="24"/>
                <w:szCs w:val="24"/>
              </w:rPr>
            </w:pPr>
            <w:r w:rsidRPr="00360A2B">
              <w:rPr>
                <w:rFonts w:cs="Calibri"/>
                <w:b/>
                <w:sz w:val="24"/>
                <w:szCs w:val="24"/>
              </w:rPr>
              <w:t>1. Основни параметри</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Управляващ орган</w:t>
            </w:r>
          </w:p>
        </w:tc>
        <w:tc>
          <w:tcPr>
            <w:tcW w:w="6959" w:type="dxa"/>
            <w:shd w:val="clear" w:color="auto" w:fill="auto"/>
          </w:tcPr>
          <w:p w:rsidR="00183EAC" w:rsidRPr="00360A2B" w:rsidRDefault="00183EAC" w:rsidP="00F9214E">
            <w:pPr>
              <w:spacing w:before="120" w:after="120" w:line="240" w:lineRule="auto"/>
              <w:jc w:val="both"/>
              <w:rPr>
                <w:rFonts w:cs="Calibri"/>
                <w:sz w:val="24"/>
                <w:szCs w:val="24"/>
              </w:rPr>
            </w:pPr>
            <w:r w:rsidRPr="00360A2B">
              <w:rPr>
                <w:rFonts w:cs="Calibri"/>
                <w:sz w:val="24"/>
                <w:szCs w:val="24"/>
              </w:rPr>
              <w:t>дирекция „</w:t>
            </w:r>
            <w:r w:rsidR="00F9214E" w:rsidRPr="00360A2B">
              <w:rPr>
                <w:rFonts w:cs="Calibri"/>
                <w:sz w:val="24"/>
                <w:szCs w:val="24"/>
              </w:rPr>
              <w:t>Координация на програми и проекти</w:t>
            </w:r>
            <w:r w:rsidRPr="00360A2B">
              <w:rPr>
                <w:rFonts w:cs="Calibri"/>
                <w:sz w:val="24"/>
                <w:szCs w:val="24"/>
              </w:rPr>
              <w:t xml:space="preserve">”, Министерство на </w:t>
            </w:r>
            <w:r w:rsidR="00F9214E" w:rsidRPr="00360A2B">
              <w:rPr>
                <w:rFonts w:cs="Calibri"/>
                <w:sz w:val="24"/>
                <w:szCs w:val="24"/>
              </w:rPr>
              <w:t>транспорта и съобщенията</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Оперативна програма</w:t>
            </w:r>
          </w:p>
        </w:tc>
        <w:tc>
          <w:tcPr>
            <w:tcW w:w="6959" w:type="dxa"/>
            <w:shd w:val="clear" w:color="auto" w:fill="auto"/>
          </w:tcPr>
          <w:p w:rsidR="00183EAC" w:rsidRPr="00360A2B" w:rsidRDefault="00183EAC" w:rsidP="00F9214E">
            <w:pPr>
              <w:spacing w:before="120" w:after="120" w:line="240" w:lineRule="auto"/>
              <w:jc w:val="both"/>
              <w:rPr>
                <w:rFonts w:cs="Calibri"/>
                <w:sz w:val="24"/>
                <w:szCs w:val="24"/>
              </w:rPr>
            </w:pPr>
            <w:r w:rsidRPr="00360A2B">
              <w:rPr>
                <w:rFonts w:cs="Calibri"/>
                <w:sz w:val="24"/>
                <w:szCs w:val="24"/>
              </w:rPr>
              <w:t>Оперативна програма „</w:t>
            </w:r>
            <w:r w:rsidR="00F9214E" w:rsidRPr="00360A2B">
              <w:rPr>
                <w:rFonts w:cs="Calibri"/>
                <w:sz w:val="24"/>
                <w:szCs w:val="24"/>
              </w:rPr>
              <w:t>Транспорт и транспортна инфраструктура</w:t>
            </w:r>
            <w:r w:rsidRPr="00360A2B">
              <w:rPr>
                <w:rFonts w:cs="Calibri"/>
                <w:sz w:val="24"/>
                <w:szCs w:val="24"/>
              </w:rPr>
              <w:t xml:space="preserve">“ 2014-2020 </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Приоритетна ос</w:t>
            </w:r>
          </w:p>
        </w:tc>
        <w:tc>
          <w:tcPr>
            <w:tcW w:w="6959" w:type="dxa"/>
            <w:shd w:val="clear" w:color="auto" w:fill="auto"/>
          </w:tcPr>
          <w:p w:rsidR="00183EAC" w:rsidRPr="00360A2B" w:rsidRDefault="003A7311" w:rsidP="001C29C4">
            <w:pPr>
              <w:spacing w:before="120" w:after="120" w:line="240" w:lineRule="auto"/>
              <w:jc w:val="both"/>
              <w:rPr>
                <w:rFonts w:cs="Calibri"/>
                <w:sz w:val="24"/>
                <w:szCs w:val="24"/>
              </w:rPr>
            </w:pPr>
            <w:r w:rsidRPr="003A7311">
              <w:rPr>
                <w:rFonts w:cs="Calibri"/>
                <w:sz w:val="24"/>
                <w:szCs w:val="24"/>
              </w:rPr>
              <w:t>Подкрепа за МСП чрез инструмента SAFE</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 xml:space="preserve">Инвестиционен приоритет </w:t>
            </w:r>
          </w:p>
        </w:tc>
        <w:tc>
          <w:tcPr>
            <w:tcW w:w="6959" w:type="dxa"/>
            <w:shd w:val="clear" w:color="auto" w:fill="auto"/>
          </w:tcPr>
          <w:p w:rsidR="00606031" w:rsidRPr="00360A2B" w:rsidRDefault="00647B6C" w:rsidP="007C6223">
            <w:pPr>
              <w:spacing w:before="120" w:after="120" w:line="240" w:lineRule="auto"/>
              <w:jc w:val="both"/>
              <w:rPr>
                <w:rFonts w:cs="Calibri"/>
                <w:sz w:val="24"/>
                <w:szCs w:val="24"/>
              </w:rPr>
            </w:pPr>
            <w:r w:rsidRPr="00647B6C">
              <w:rPr>
                <w:rFonts w:cs="Calibri"/>
                <w:sz w:val="24"/>
                <w:szCs w:val="24"/>
              </w:rPr>
              <w:t>Инвестиционен приоритет 3 (d) към ТЦ 3: 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Наименование на процедурата/процедурите</w:t>
            </w:r>
          </w:p>
        </w:tc>
        <w:tc>
          <w:tcPr>
            <w:tcW w:w="6959" w:type="dxa"/>
            <w:shd w:val="clear" w:color="auto" w:fill="auto"/>
          </w:tcPr>
          <w:p w:rsidR="00183EAC" w:rsidRPr="00360A2B" w:rsidRDefault="00C60C75" w:rsidP="00140776">
            <w:pPr>
              <w:spacing w:before="120" w:after="120" w:line="240" w:lineRule="auto"/>
              <w:jc w:val="both"/>
              <w:rPr>
                <w:rFonts w:cs="Calibri"/>
                <w:sz w:val="24"/>
                <w:szCs w:val="24"/>
              </w:rPr>
            </w:pPr>
            <w:r w:rsidRPr="00C60C75">
              <w:rPr>
                <w:rFonts w:cs="Calibri"/>
                <w:sz w:val="24"/>
                <w:szCs w:val="24"/>
              </w:rPr>
              <w:t>Подкрепа на особено засегнати от увеличението на цените на енергията МСП чрез мярка прилагана от Фонд "Сигурност на електроенергийната система" (SAFE)</w:t>
            </w:r>
          </w:p>
        </w:tc>
      </w:tr>
      <w:tr w:rsidR="004846C7" w:rsidRPr="00360A2B" w:rsidTr="006D0E96">
        <w:tc>
          <w:tcPr>
            <w:tcW w:w="2965" w:type="dxa"/>
            <w:shd w:val="clear" w:color="auto" w:fill="BFBFBF"/>
          </w:tcPr>
          <w:p w:rsidR="004846C7" w:rsidRPr="00360A2B" w:rsidRDefault="00A878B0" w:rsidP="00DC2329">
            <w:pPr>
              <w:spacing w:before="120" w:after="120" w:line="240" w:lineRule="auto"/>
              <w:rPr>
                <w:rFonts w:cs="Calibri"/>
                <w:sz w:val="24"/>
                <w:szCs w:val="24"/>
              </w:rPr>
            </w:pPr>
            <w:r w:rsidRPr="00360A2B">
              <w:rPr>
                <w:rFonts w:cs="Calibri"/>
                <w:sz w:val="24"/>
                <w:szCs w:val="24"/>
              </w:rPr>
              <w:t>Цел</w:t>
            </w:r>
          </w:p>
        </w:tc>
        <w:tc>
          <w:tcPr>
            <w:tcW w:w="6959" w:type="dxa"/>
            <w:shd w:val="clear" w:color="auto" w:fill="auto"/>
          </w:tcPr>
          <w:p w:rsidR="009E779F" w:rsidRPr="00360A2B" w:rsidRDefault="003F5371" w:rsidP="00DC2329">
            <w:pPr>
              <w:spacing w:before="120" w:after="120" w:line="240" w:lineRule="auto"/>
              <w:jc w:val="both"/>
              <w:rPr>
                <w:rFonts w:cs="Calibri"/>
                <w:sz w:val="24"/>
                <w:szCs w:val="24"/>
              </w:rPr>
            </w:pPr>
            <w:r w:rsidRPr="00360A2B">
              <w:rPr>
                <w:rFonts w:cs="Calibri"/>
                <w:sz w:val="24"/>
                <w:szCs w:val="24"/>
              </w:rPr>
              <w:t>Осигуряване на оперативен капитал за смекчаване на последиците върху българските МСП, особено засегнати от увеличения на цените на енергията, причинено от военната агресия на Русия срещу Украйна</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Обосновка</w:t>
            </w:r>
          </w:p>
        </w:tc>
        <w:tc>
          <w:tcPr>
            <w:tcW w:w="6959" w:type="dxa"/>
            <w:shd w:val="clear" w:color="auto" w:fill="auto"/>
          </w:tcPr>
          <w:p w:rsidR="00165488" w:rsidRPr="00165488" w:rsidRDefault="00165488" w:rsidP="00165488">
            <w:pPr>
              <w:spacing w:before="120" w:after="120" w:line="240" w:lineRule="auto"/>
              <w:jc w:val="both"/>
              <w:rPr>
                <w:rFonts w:cs="Calibri"/>
                <w:sz w:val="24"/>
                <w:szCs w:val="24"/>
              </w:rPr>
            </w:pPr>
            <w:r w:rsidRPr="00165488">
              <w:rPr>
                <w:rFonts w:cs="Calibri"/>
                <w:sz w:val="24"/>
                <w:szCs w:val="24"/>
              </w:rPr>
              <w:t>Руската военна агресия срещу Украйна, наложените санкции и предприетите ответни мерки доведоха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политика в подкрепа на МСП, които са особено засегнати от увеличения на цените на енергията, считано от 1 февруари 2022 г., включително, съгласно рамката на политиката на сближаване за периода 2014—2020 г., посочени в Регламент (ЕС) № 1303/2013.</w:t>
            </w:r>
          </w:p>
          <w:p w:rsidR="00165488" w:rsidRPr="00165488" w:rsidRDefault="00165488" w:rsidP="00165488">
            <w:pPr>
              <w:spacing w:before="120" w:after="120" w:line="240" w:lineRule="auto"/>
              <w:jc w:val="both"/>
              <w:rPr>
                <w:rFonts w:cs="Calibri"/>
                <w:sz w:val="24"/>
                <w:szCs w:val="24"/>
              </w:rPr>
            </w:pPr>
            <w:r w:rsidRPr="00165488">
              <w:rPr>
                <w:rFonts w:cs="Calibri"/>
                <w:sz w:val="24"/>
                <w:szCs w:val="24"/>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природния газ и електроенергията съгласно Временната кризисна рамка за мерки за държавна помощ.</w:t>
            </w:r>
          </w:p>
          <w:p w:rsidR="00165488" w:rsidRPr="00165488" w:rsidRDefault="00165488" w:rsidP="00165488">
            <w:pPr>
              <w:spacing w:before="120" w:after="120" w:line="240" w:lineRule="auto"/>
              <w:jc w:val="both"/>
              <w:rPr>
                <w:rFonts w:cs="Calibri"/>
                <w:sz w:val="24"/>
                <w:szCs w:val="24"/>
              </w:rPr>
            </w:pPr>
            <w:r w:rsidRPr="00165488">
              <w:rPr>
                <w:rFonts w:cs="Calibri"/>
                <w:sz w:val="24"/>
                <w:szCs w:val="24"/>
              </w:rPr>
              <w:t>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w:t>
            </w:r>
            <w:r w:rsidR="00E87DCF">
              <w:rPr>
                <w:rFonts w:cs="Calibri"/>
                <w:sz w:val="24"/>
                <w:szCs w:val="24"/>
              </w:rPr>
              <w:t xml:space="preserve"> </w:t>
            </w:r>
            <w:r w:rsidR="00E87DCF" w:rsidRPr="00E87DCF">
              <w:rPr>
                <w:rFonts w:cs="Calibri"/>
                <w:sz w:val="24"/>
                <w:szCs w:val="24"/>
              </w:rPr>
              <w:t>Поради тази причина в рамките на националните програми са предоставени компенсации на всички небитови крайни клиенти на електрическа енергия, в т.ч. всички МСП.</w:t>
            </w:r>
          </w:p>
          <w:p w:rsidR="00183EAC" w:rsidRPr="00360A2B" w:rsidRDefault="00165488" w:rsidP="008917EB">
            <w:pPr>
              <w:spacing w:after="120" w:line="240" w:lineRule="auto"/>
              <w:jc w:val="both"/>
              <w:rPr>
                <w:rFonts w:cs="Calibri"/>
                <w:sz w:val="24"/>
                <w:szCs w:val="24"/>
              </w:rPr>
            </w:pPr>
            <w:r w:rsidRPr="00165488">
              <w:rPr>
                <w:rFonts w:cs="Calibri"/>
                <w:sz w:val="24"/>
                <w:szCs w:val="24"/>
              </w:rPr>
              <w:t>В рамките на създадената за целта приоритетна ос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 на МСП за увеличените им разходи за електрическа енергия</w:t>
            </w:r>
            <w:r w:rsidR="00E87DCF">
              <w:t xml:space="preserve"> </w:t>
            </w:r>
            <w:r w:rsidR="00E87DCF" w:rsidRPr="00E87DCF">
              <w:rPr>
                <w:rFonts w:cs="Calibri"/>
                <w:sz w:val="24"/>
                <w:szCs w:val="24"/>
              </w:rPr>
              <w:t>за периода 01 февруари 2022 г. – 30 септември 2022 г.</w:t>
            </w:r>
            <w:r w:rsidRPr="00165488">
              <w:rPr>
                <w:rFonts w:cs="Calibri"/>
                <w:sz w:val="24"/>
                <w:szCs w:val="24"/>
              </w:rPr>
              <w:t>. 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Очаквани резултати</w:t>
            </w:r>
          </w:p>
        </w:tc>
        <w:tc>
          <w:tcPr>
            <w:tcW w:w="6959" w:type="dxa"/>
            <w:shd w:val="clear" w:color="auto" w:fill="auto"/>
          </w:tcPr>
          <w:p w:rsidR="00183EAC" w:rsidRDefault="00165488" w:rsidP="00642DFC">
            <w:pPr>
              <w:spacing w:before="120" w:after="120" w:line="240" w:lineRule="auto"/>
              <w:jc w:val="both"/>
              <w:rPr>
                <w:rFonts w:cs="Calibri"/>
                <w:sz w:val="24"/>
                <w:szCs w:val="24"/>
              </w:rPr>
            </w:pPr>
            <w:r w:rsidRPr="00165488">
              <w:rPr>
                <w:rFonts w:cs="Calibri"/>
                <w:sz w:val="24"/>
                <w:szCs w:val="24"/>
              </w:rPr>
              <w:t>Изпълнението на предложените мерки ще допринесе за смекчаване на последствията върху МСП от значителното увеличение на цените на енергията, причинено от военната агресия на Русия срещу Украйна</w:t>
            </w:r>
            <w:r w:rsidR="00183EAC" w:rsidRPr="00360A2B">
              <w:rPr>
                <w:rFonts w:cs="Calibri"/>
                <w:sz w:val="24"/>
                <w:szCs w:val="24"/>
              </w:rPr>
              <w:t>.</w:t>
            </w:r>
          </w:p>
          <w:p w:rsidR="00E87DCF" w:rsidRPr="00360A2B" w:rsidRDefault="00E87DCF" w:rsidP="00642DFC">
            <w:pPr>
              <w:spacing w:before="120" w:after="120" w:line="240" w:lineRule="auto"/>
              <w:jc w:val="both"/>
              <w:rPr>
                <w:rFonts w:cs="Calibri"/>
                <w:sz w:val="24"/>
                <w:szCs w:val="24"/>
              </w:rPr>
            </w:pPr>
            <w:r w:rsidRPr="000D2539">
              <w:rPr>
                <w:rFonts w:ascii="Verdana" w:hAnsi="Verdana"/>
                <w:sz w:val="20"/>
                <w:szCs w:val="20"/>
              </w:rPr>
              <w:t xml:space="preserve">В резултат от подкрепата по процедурата безвъзмездни средства в размер на </w:t>
            </w:r>
            <w:r w:rsidRPr="00360A2B">
              <w:rPr>
                <w:rFonts w:cs="Calibri"/>
                <w:sz w:val="24"/>
                <w:szCs w:val="24"/>
              </w:rPr>
              <w:t>234 699 600 лева (120 000 000 евро)</w:t>
            </w:r>
            <w:r>
              <w:rPr>
                <w:rFonts w:cs="Calibri"/>
                <w:sz w:val="24"/>
                <w:szCs w:val="24"/>
              </w:rPr>
              <w:t xml:space="preserve"> </w:t>
            </w:r>
            <w:r w:rsidRPr="000D2539">
              <w:rPr>
                <w:rFonts w:ascii="Verdana" w:hAnsi="Verdana"/>
                <w:sz w:val="20"/>
                <w:szCs w:val="20"/>
              </w:rPr>
              <w:t>ще бъдат предоставени за възстановяване на компенсации за завишените цени на енергията на МСП.</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Демаркация</w:t>
            </w:r>
          </w:p>
        </w:tc>
        <w:tc>
          <w:tcPr>
            <w:tcW w:w="6959" w:type="dxa"/>
            <w:shd w:val="clear" w:color="auto" w:fill="auto"/>
          </w:tcPr>
          <w:p w:rsidR="00165488" w:rsidRPr="00165488" w:rsidRDefault="00165488" w:rsidP="00165488">
            <w:pPr>
              <w:spacing w:before="120" w:after="120" w:line="240" w:lineRule="auto"/>
              <w:jc w:val="both"/>
              <w:rPr>
                <w:rFonts w:cs="Calibri"/>
                <w:sz w:val="24"/>
                <w:szCs w:val="24"/>
              </w:rPr>
            </w:pPr>
            <w:r w:rsidRPr="00165488">
              <w:rPr>
                <w:rFonts w:cs="Calibri"/>
                <w:sz w:val="24"/>
                <w:szCs w:val="24"/>
              </w:rPr>
              <w:t>Допустимите разходи за компенсации, извършени от  Фонд „Сигурност на електроенергийната система“ ще могат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Pr="00165488">
              <w:rPr>
                <w:rFonts w:cs="Calibri"/>
                <w:sz w:val="24"/>
                <w:szCs w:val="24"/>
              </w:rPr>
              <w:tab/>
              <w:t>Оперативна програма „Наука и образование за интелигентен растеж“</w:t>
            </w:r>
            <w:r w:rsidR="00E87DCF">
              <w:rPr>
                <w:rFonts w:cs="Calibri"/>
                <w:sz w:val="24"/>
                <w:szCs w:val="24"/>
              </w:rPr>
              <w:t>,</w:t>
            </w:r>
            <w:r w:rsidRPr="00165488">
              <w:rPr>
                <w:rFonts w:cs="Calibri"/>
                <w:sz w:val="24"/>
                <w:szCs w:val="24"/>
              </w:rPr>
              <w:t xml:space="preserve"> Оперативна програма „Добро управление“ и Оперативна програма „Околна среда“. </w:t>
            </w:r>
          </w:p>
          <w:p w:rsidR="00165488" w:rsidRDefault="00165488" w:rsidP="00165488">
            <w:pPr>
              <w:spacing w:before="120" w:after="120" w:line="240" w:lineRule="auto"/>
              <w:jc w:val="both"/>
              <w:rPr>
                <w:rFonts w:cs="Calibri"/>
                <w:sz w:val="24"/>
                <w:szCs w:val="24"/>
                <w:lang w:val="en-US"/>
              </w:rPr>
            </w:pPr>
            <w:r w:rsidRPr="00165488">
              <w:rPr>
                <w:rFonts w:cs="Calibri"/>
                <w:sz w:val="24"/>
                <w:szCs w:val="24"/>
              </w:rPr>
              <w:t xml:space="preserve">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 За тази цел ще бъде извършено разпределение на допустимите крайни получатели на компенсации (МСП) между </w:t>
            </w:r>
            <w:r w:rsidR="00E87DCF" w:rsidRPr="00E87DCF">
              <w:rPr>
                <w:rFonts w:cs="Calibri"/>
                <w:sz w:val="24"/>
                <w:szCs w:val="24"/>
              </w:rPr>
              <w:t xml:space="preserve">съответните </w:t>
            </w:r>
            <w:r w:rsidRPr="00165488">
              <w:rPr>
                <w:rFonts w:cs="Calibri"/>
                <w:sz w:val="24"/>
                <w:szCs w:val="24"/>
              </w:rPr>
              <w:t xml:space="preserve">програми. УО ще извършва проверка за </w:t>
            </w:r>
            <w:r w:rsidR="00E87DCF" w:rsidRPr="00E87DCF">
              <w:rPr>
                <w:rFonts w:cs="Calibri"/>
                <w:sz w:val="24"/>
                <w:szCs w:val="24"/>
              </w:rPr>
              <w:t xml:space="preserve">потвърждаване </w:t>
            </w:r>
            <w:r w:rsidRPr="00165488">
              <w:rPr>
                <w:rFonts w:cs="Calibri"/>
                <w:sz w:val="24"/>
                <w:szCs w:val="24"/>
              </w:rPr>
              <w:t>на обстоятелството, че не се предоставя подкрепа за едно и също МСП и за един и същи период от време по друга от посочените програми</w:t>
            </w:r>
            <w:r>
              <w:rPr>
                <w:rFonts w:cs="Calibri"/>
                <w:sz w:val="24"/>
                <w:szCs w:val="24"/>
                <w:lang w:val="en-US"/>
              </w:rPr>
              <w:t>.</w:t>
            </w:r>
          </w:p>
          <w:p w:rsidR="00E87DCF" w:rsidRDefault="00E87DCF" w:rsidP="00165488">
            <w:pPr>
              <w:spacing w:before="120" w:after="120" w:line="240" w:lineRule="auto"/>
              <w:jc w:val="both"/>
              <w:rPr>
                <w:rFonts w:cs="Calibri"/>
                <w:sz w:val="24"/>
                <w:szCs w:val="24"/>
                <w:lang w:val="en-US"/>
              </w:rPr>
            </w:pPr>
          </w:p>
          <w:p w:rsidR="00E87DCF" w:rsidRPr="00165488" w:rsidRDefault="00E87DCF" w:rsidP="00165488">
            <w:pPr>
              <w:spacing w:before="120" w:after="120" w:line="240" w:lineRule="auto"/>
              <w:jc w:val="both"/>
              <w:rPr>
                <w:rFonts w:cs="Calibri"/>
                <w:sz w:val="24"/>
                <w:szCs w:val="24"/>
                <w:lang w:val="en-US"/>
              </w:rPr>
            </w:pPr>
            <w:r w:rsidRPr="00E87DCF">
              <w:rPr>
                <w:rFonts w:cs="Calibri"/>
                <w:sz w:val="24"/>
                <w:szCs w:val="24"/>
                <w:lang w:val="en-US"/>
              </w:rPr>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w:t>
            </w:r>
            <w:r>
              <w:rPr>
                <w:rFonts w:cs="Calibri"/>
                <w:sz w:val="24"/>
                <w:szCs w:val="24"/>
                <w:lang w:val="en-US"/>
              </w:rPr>
              <w:t xml:space="preserve"> и няма да се финансират по ОПТТИ</w:t>
            </w:r>
            <w:r w:rsidRPr="00E87DCF">
              <w:rPr>
                <w:rFonts w:cs="Calibri"/>
                <w:sz w:val="24"/>
                <w:szCs w:val="24"/>
                <w:lang w:val="en-US"/>
              </w:rPr>
              <w:t>.</w:t>
            </w:r>
          </w:p>
          <w:p w:rsidR="00183EAC" w:rsidRPr="00360A2B" w:rsidRDefault="00183EAC" w:rsidP="00EC1DDC">
            <w:pPr>
              <w:spacing w:before="120" w:after="120" w:line="240" w:lineRule="auto"/>
              <w:jc w:val="both"/>
              <w:rPr>
                <w:rFonts w:cs="Calibri"/>
                <w:sz w:val="24"/>
                <w:szCs w:val="24"/>
              </w:rPr>
            </w:pPr>
          </w:p>
        </w:tc>
      </w:tr>
      <w:tr w:rsidR="00E87DCF" w:rsidRPr="00360A2B" w:rsidTr="006D0E96">
        <w:tc>
          <w:tcPr>
            <w:tcW w:w="2965" w:type="dxa"/>
            <w:shd w:val="clear" w:color="auto" w:fill="BFBFBF"/>
          </w:tcPr>
          <w:p w:rsidR="00E87DCF" w:rsidRPr="00360A2B" w:rsidRDefault="00E87DCF" w:rsidP="00E87DCF">
            <w:pPr>
              <w:spacing w:before="120" w:after="120" w:line="240" w:lineRule="auto"/>
              <w:rPr>
                <w:rFonts w:cs="Calibri"/>
                <w:sz w:val="24"/>
                <w:szCs w:val="24"/>
              </w:rPr>
            </w:pPr>
            <w:r w:rsidRPr="00360A2B">
              <w:rPr>
                <w:rFonts w:cs="Calibri"/>
                <w:sz w:val="24"/>
                <w:szCs w:val="24"/>
              </w:rPr>
              <w:t xml:space="preserve">Продължителност  </w:t>
            </w:r>
          </w:p>
        </w:tc>
        <w:tc>
          <w:tcPr>
            <w:tcW w:w="6959" w:type="dxa"/>
            <w:shd w:val="clear" w:color="auto" w:fill="auto"/>
          </w:tcPr>
          <w:p w:rsidR="00E87DCF" w:rsidRPr="00360A2B" w:rsidRDefault="00E87DCF" w:rsidP="00E87DCF">
            <w:pPr>
              <w:spacing w:before="120" w:after="120" w:line="240" w:lineRule="auto"/>
              <w:jc w:val="both"/>
              <w:rPr>
                <w:rFonts w:cs="Calibri"/>
                <w:sz w:val="24"/>
                <w:szCs w:val="24"/>
              </w:rPr>
            </w:pPr>
            <w:r w:rsidRPr="007A24A9">
              <w:rPr>
                <w:rFonts w:ascii="Verdana" w:hAnsi="Verdana"/>
                <w:sz w:val="20"/>
                <w:szCs w:val="20"/>
              </w:rPr>
              <w:t>01.02.</w:t>
            </w:r>
            <w:r w:rsidRPr="007A24A9">
              <w:rPr>
                <w:rFonts w:ascii="Verdana" w:hAnsi="Verdana"/>
                <w:sz w:val="20"/>
              </w:rPr>
              <w:t>2022</w:t>
            </w:r>
            <w:r w:rsidRPr="007A24A9">
              <w:rPr>
                <w:rFonts w:ascii="Verdana" w:hAnsi="Verdana"/>
                <w:sz w:val="20"/>
                <w:szCs w:val="20"/>
              </w:rPr>
              <w:t xml:space="preserve"> – 31.12.</w:t>
            </w:r>
            <w:r w:rsidRPr="007A24A9">
              <w:rPr>
                <w:rFonts w:ascii="Verdana" w:hAnsi="Verdana"/>
                <w:sz w:val="20"/>
              </w:rPr>
              <w:t>2023 г.</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 xml:space="preserve">Териториален обхват </w:t>
            </w:r>
          </w:p>
        </w:tc>
        <w:tc>
          <w:tcPr>
            <w:tcW w:w="6959" w:type="dxa"/>
            <w:shd w:val="clear" w:color="auto" w:fill="auto"/>
          </w:tcPr>
          <w:p w:rsidR="00183EAC" w:rsidRPr="00360A2B" w:rsidRDefault="00AD7051" w:rsidP="00183EAC">
            <w:pPr>
              <w:spacing w:before="120" w:after="120" w:line="240" w:lineRule="auto"/>
              <w:jc w:val="both"/>
              <w:rPr>
                <w:rFonts w:cs="Calibri"/>
                <w:i/>
                <w:sz w:val="24"/>
                <w:szCs w:val="24"/>
              </w:rPr>
            </w:pPr>
            <w:r w:rsidRPr="00360A2B">
              <w:rPr>
                <w:rFonts w:cs="Calibri"/>
                <w:sz w:val="24"/>
                <w:szCs w:val="24"/>
              </w:rPr>
              <w:t xml:space="preserve">Дейностите по настоящата процедура </w:t>
            </w:r>
            <w:r w:rsidR="00183EAC" w:rsidRPr="00360A2B">
              <w:rPr>
                <w:rFonts w:cs="Calibri"/>
                <w:sz w:val="24"/>
                <w:szCs w:val="24"/>
              </w:rPr>
              <w:t>следва да бъдат изпълнени на територията на</w:t>
            </w:r>
            <w:r w:rsidR="009E169A" w:rsidRPr="00360A2B">
              <w:rPr>
                <w:rFonts w:cs="Calibri"/>
                <w:sz w:val="24"/>
                <w:szCs w:val="24"/>
              </w:rPr>
              <w:t xml:space="preserve"> </w:t>
            </w:r>
            <w:r w:rsidR="00183EAC" w:rsidRPr="00360A2B">
              <w:rPr>
                <w:rFonts w:cs="Calibri"/>
                <w:sz w:val="24"/>
                <w:szCs w:val="24"/>
              </w:rPr>
              <w:t xml:space="preserve"> Република България.</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Бюджет (</w:t>
            </w:r>
            <w:r w:rsidR="007C6223" w:rsidRPr="00360A2B">
              <w:rPr>
                <w:rFonts w:cs="Calibri"/>
                <w:sz w:val="24"/>
                <w:szCs w:val="24"/>
              </w:rPr>
              <w:t>КФ</w:t>
            </w:r>
            <w:r w:rsidR="008917EB" w:rsidRPr="00360A2B">
              <w:rPr>
                <w:rFonts w:cs="Calibri"/>
                <w:sz w:val="24"/>
                <w:szCs w:val="24"/>
              </w:rPr>
              <w:t>/ЕФРР</w:t>
            </w:r>
            <w:r w:rsidRPr="00360A2B">
              <w:rPr>
                <w:rFonts w:cs="Calibri"/>
                <w:sz w:val="24"/>
                <w:szCs w:val="24"/>
              </w:rPr>
              <w:t xml:space="preserve"> и национален)</w:t>
            </w:r>
          </w:p>
        </w:tc>
        <w:tc>
          <w:tcPr>
            <w:tcW w:w="6959" w:type="dxa"/>
            <w:shd w:val="clear" w:color="auto" w:fill="auto"/>
          </w:tcPr>
          <w:p w:rsidR="00971D40" w:rsidRPr="00360A2B" w:rsidRDefault="00AD7051" w:rsidP="00B86B96">
            <w:pPr>
              <w:spacing w:before="120" w:after="120" w:line="240" w:lineRule="auto"/>
              <w:jc w:val="both"/>
              <w:rPr>
                <w:rFonts w:cs="Calibri"/>
                <w:sz w:val="24"/>
                <w:szCs w:val="24"/>
              </w:rPr>
            </w:pPr>
            <w:r w:rsidRPr="00360A2B">
              <w:rPr>
                <w:rFonts w:cs="Calibri"/>
                <w:sz w:val="24"/>
                <w:szCs w:val="24"/>
              </w:rPr>
              <w:t>Бюджетът е</w:t>
            </w:r>
            <w:r w:rsidR="0057666C" w:rsidRPr="00360A2B">
              <w:rPr>
                <w:rFonts w:cs="Calibri"/>
                <w:sz w:val="24"/>
                <w:szCs w:val="24"/>
              </w:rPr>
              <w:t xml:space="preserve"> </w:t>
            </w:r>
            <w:r w:rsidR="00EC1DDC" w:rsidRPr="00360A2B">
              <w:rPr>
                <w:rFonts w:cs="Calibri"/>
                <w:sz w:val="24"/>
                <w:szCs w:val="24"/>
              </w:rPr>
              <w:t xml:space="preserve"> 234 699 600</w:t>
            </w:r>
            <w:r w:rsidR="007965ED" w:rsidRPr="00360A2B">
              <w:rPr>
                <w:rFonts w:cs="Calibri"/>
                <w:sz w:val="24"/>
                <w:szCs w:val="24"/>
              </w:rPr>
              <w:t xml:space="preserve"> лева (</w:t>
            </w:r>
            <w:r w:rsidR="00EC1DDC" w:rsidRPr="00360A2B">
              <w:rPr>
                <w:rFonts w:cs="Calibri"/>
                <w:sz w:val="24"/>
                <w:szCs w:val="24"/>
              </w:rPr>
              <w:t>120</w:t>
            </w:r>
            <w:r w:rsidR="00183EAC" w:rsidRPr="00360A2B">
              <w:rPr>
                <w:rFonts w:cs="Calibri"/>
                <w:sz w:val="24"/>
                <w:szCs w:val="24"/>
              </w:rPr>
              <w:t> 000 000 евро</w:t>
            </w:r>
            <w:r w:rsidR="00C60C75">
              <w:rPr>
                <w:rFonts w:cs="Calibri"/>
                <w:sz w:val="24"/>
                <w:szCs w:val="24"/>
              </w:rPr>
              <w:t xml:space="preserve">, в т. ч. </w:t>
            </w:r>
            <w:r w:rsidR="00C60C75" w:rsidRPr="00B771C9">
              <w:rPr>
                <w:rFonts w:cs="Calibri"/>
                <w:sz w:val="24"/>
                <w:szCs w:val="24"/>
              </w:rPr>
              <w:t>1 000 000</w:t>
            </w:r>
            <w:r w:rsidR="00C60C75">
              <w:rPr>
                <w:rFonts w:cs="Calibri"/>
                <w:sz w:val="24"/>
                <w:szCs w:val="24"/>
              </w:rPr>
              <w:t xml:space="preserve"> евро от ЕФРР и </w:t>
            </w:r>
            <w:r w:rsidR="00C60C75" w:rsidRPr="00B771C9">
              <w:rPr>
                <w:rFonts w:cs="Calibri"/>
                <w:sz w:val="24"/>
                <w:szCs w:val="24"/>
              </w:rPr>
              <w:t>119 000</w:t>
            </w:r>
            <w:r w:rsidR="00C60C75">
              <w:rPr>
                <w:rFonts w:cs="Calibri"/>
                <w:sz w:val="24"/>
                <w:szCs w:val="24"/>
              </w:rPr>
              <w:t> </w:t>
            </w:r>
            <w:r w:rsidR="00C60C75" w:rsidRPr="00B771C9">
              <w:rPr>
                <w:rFonts w:cs="Calibri"/>
                <w:sz w:val="24"/>
                <w:szCs w:val="24"/>
              </w:rPr>
              <w:t>000</w:t>
            </w:r>
            <w:r w:rsidR="00C60C75">
              <w:rPr>
                <w:rFonts w:cs="Calibri"/>
                <w:sz w:val="24"/>
                <w:szCs w:val="24"/>
              </w:rPr>
              <w:t xml:space="preserve"> евро от КФ</w:t>
            </w:r>
            <w:r w:rsidR="007965ED" w:rsidRPr="00360A2B">
              <w:rPr>
                <w:rFonts w:cs="Calibri"/>
                <w:sz w:val="24"/>
                <w:szCs w:val="24"/>
              </w:rPr>
              <w:t>)</w:t>
            </w:r>
            <w:r w:rsidR="00971D40" w:rsidRPr="00360A2B">
              <w:rPr>
                <w:rFonts w:cs="Calibri"/>
                <w:sz w:val="24"/>
                <w:szCs w:val="24"/>
              </w:rPr>
              <w:t>.</w:t>
            </w:r>
          </w:p>
          <w:p w:rsidR="00183EAC" w:rsidRPr="00360A2B" w:rsidRDefault="00971D40" w:rsidP="008917EB">
            <w:pPr>
              <w:spacing w:before="120" w:after="120" w:line="240" w:lineRule="auto"/>
              <w:rPr>
                <w:rFonts w:cs="Calibri"/>
                <w:i/>
                <w:sz w:val="24"/>
                <w:szCs w:val="24"/>
              </w:rPr>
            </w:pPr>
            <w:r w:rsidRPr="00360A2B">
              <w:rPr>
                <w:rFonts w:cs="Calibri"/>
                <w:sz w:val="24"/>
                <w:szCs w:val="24"/>
              </w:rPr>
              <w:t xml:space="preserve">Средствата могат да бъдат </w:t>
            </w:r>
            <w:r w:rsidR="00EC1DDC" w:rsidRPr="00360A2B">
              <w:rPr>
                <w:rFonts w:cs="Calibri"/>
                <w:sz w:val="24"/>
                <w:szCs w:val="24"/>
              </w:rPr>
              <w:t>променени в зависимост от наличния ресурс по програма</w:t>
            </w:r>
            <w:r w:rsidR="007965ED" w:rsidRPr="00360A2B">
              <w:rPr>
                <w:rFonts w:cs="Calibri"/>
                <w:sz w:val="24"/>
                <w:szCs w:val="24"/>
              </w:rPr>
              <w:t>.</w:t>
            </w:r>
            <w:r w:rsidRPr="00360A2B">
              <w:rPr>
                <w:rFonts w:cs="Calibri"/>
                <w:sz w:val="24"/>
                <w:szCs w:val="24"/>
              </w:rPr>
              <w:t xml:space="preserve"> </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Режим на държавна/минимална помощ</w:t>
            </w:r>
          </w:p>
        </w:tc>
        <w:tc>
          <w:tcPr>
            <w:tcW w:w="6959" w:type="dxa"/>
            <w:shd w:val="clear" w:color="auto" w:fill="auto"/>
          </w:tcPr>
          <w:p w:rsidR="0026477C" w:rsidRPr="00360A2B" w:rsidRDefault="00183EAC" w:rsidP="0026477C">
            <w:pPr>
              <w:numPr>
                <w:ilvl w:val="0"/>
                <w:numId w:val="11"/>
              </w:numPr>
              <w:spacing w:before="120" w:after="120" w:line="240" w:lineRule="auto"/>
              <w:jc w:val="both"/>
              <w:rPr>
                <w:rFonts w:cs="Calibri"/>
                <w:b/>
                <w:sz w:val="24"/>
                <w:szCs w:val="24"/>
              </w:rPr>
            </w:pPr>
            <w:r w:rsidRPr="00360A2B">
              <w:rPr>
                <w:rFonts w:cs="Calibri"/>
                <w:b/>
                <w:sz w:val="24"/>
                <w:szCs w:val="24"/>
              </w:rPr>
              <w:t>Неприложимо по отношение на Фонд "Сигурност на електроенерийната система"</w:t>
            </w:r>
            <w:r w:rsidR="0026477C" w:rsidRPr="00360A2B">
              <w:rPr>
                <w:rFonts w:cs="Calibri"/>
                <w:b/>
                <w:sz w:val="24"/>
                <w:szCs w:val="24"/>
              </w:rPr>
              <w:t xml:space="preserve">, поради следното: </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Конкретният бенефициент по настоящата процедура е Фонд</w:t>
            </w:r>
            <w:r w:rsidRPr="00C25BBF">
              <w:rPr>
                <w:rFonts w:ascii="Verdana" w:hAnsi="Verdana"/>
                <w:b/>
                <w:sz w:val="20"/>
                <w:szCs w:val="20"/>
              </w:rPr>
              <w:t xml:space="preserve"> </w:t>
            </w:r>
            <w:r w:rsidRPr="00C25BBF">
              <w:rPr>
                <w:rFonts w:ascii="Verdana" w:hAnsi="Verdana"/>
                <w:sz w:val="20"/>
                <w:szCs w:val="20"/>
              </w:rPr>
              <w:t xml:space="preserve">"Сигурност на електроенерийната система" (ФСЕС) ), създаден със Закона за енергетиката (ЗЕ) и изпълняващ функции по управление на средствата за покриване на разходите за компенсации за електрическа енергия и/или природен газ по приети от Министерския съвет програми за предоставяне на компенсации, свързани с цените на електрическата енергия и/или природния газ (чл. 35б, ал. 1, т. 4 от ЗЕ). </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 xml:space="preserve">Средствата по настоящата операция ще се използват за възстановяване на допустими разходи, извършени от Фонд „Сигурност на електроенергийната система“ през 2022 г. в изпълнение на Национални програми за компенсиране на небитовите крайни клиенти на електрическа енергия, приети от Министерския съвет </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В допълнение, съгласно § 4, ал. 1 от ПЗР на Закона за държавния бюджет на Република България</w:t>
            </w:r>
            <w:r w:rsidRPr="00C25BBF">
              <w:t xml:space="preserve"> </w:t>
            </w:r>
            <w:r w:rsidRPr="00C25BBF">
              <w:rPr>
                <w:rFonts w:ascii="Verdana" w:hAnsi="Verdana"/>
                <w:sz w:val="20"/>
                <w:szCs w:val="20"/>
              </w:rPr>
              <w:t xml:space="preserve">получените от Фонд „Сигурност на електроенергийната система“ средства от оперативните програми за програмен период 2014 – 2020 г. за възстановяване на допустими разходи, извършени в рамките на национални програми за компенсиране на небитовите крайни клиенти на електрическа енергия, ще бъдат предоставени като трансфер по бюджета на Министерството на енергетиката. </w:t>
            </w:r>
          </w:p>
          <w:p w:rsidR="006D0E96" w:rsidRPr="00C25BBF" w:rsidRDefault="006D0E96" w:rsidP="006D0E96">
            <w:pPr>
              <w:spacing w:before="120" w:after="120" w:line="240" w:lineRule="auto"/>
              <w:jc w:val="both"/>
              <w:rPr>
                <w:rFonts w:ascii="Verdana" w:hAnsi="Verdana"/>
                <w:sz w:val="20"/>
                <w:szCs w:val="20"/>
              </w:rPr>
            </w:pPr>
            <w:r w:rsidRPr="00C25BBF">
              <w:rPr>
                <w:rFonts w:ascii="Verdana" w:hAnsi="Verdana"/>
                <w:sz w:val="20"/>
                <w:szCs w:val="20"/>
              </w:rPr>
              <w:t xml:space="preserve">Поради </w:t>
            </w:r>
            <w:r w:rsidRPr="00B86B96">
              <w:rPr>
                <w:rFonts w:ascii="Verdana" w:hAnsi="Verdana"/>
                <w:sz w:val="20"/>
                <w:szCs w:val="20"/>
              </w:rPr>
              <w:t>т</w:t>
            </w:r>
            <w:r>
              <w:rPr>
                <w:rFonts w:ascii="Verdana" w:hAnsi="Verdana"/>
                <w:sz w:val="20"/>
                <w:szCs w:val="20"/>
              </w:rPr>
              <w:t>е</w:t>
            </w:r>
            <w:r w:rsidRPr="00B86B96">
              <w:rPr>
                <w:rFonts w:ascii="Verdana" w:hAnsi="Verdana"/>
                <w:sz w:val="20"/>
                <w:szCs w:val="20"/>
              </w:rPr>
              <w:t>зи причин</w:t>
            </w:r>
            <w:r>
              <w:rPr>
                <w:rFonts w:ascii="Verdana" w:hAnsi="Verdana"/>
                <w:sz w:val="20"/>
                <w:szCs w:val="20"/>
              </w:rPr>
              <w:t>и</w:t>
            </w:r>
            <w:r w:rsidRPr="00C25BBF">
              <w:rPr>
                <w:rFonts w:ascii="Verdana" w:hAnsi="Verdana"/>
                <w:sz w:val="20"/>
                <w:szCs w:val="20"/>
              </w:rPr>
              <w:t xml:space="preserve">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ФСЕС 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 1 от ДФЕС.</w:t>
            </w:r>
          </w:p>
          <w:p w:rsidR="00183EAC" w:rsidRPr="00360A2B" w:rsidRDefault="00BB4782" w:rsidP="00183EAC">
            <w:pPr>
              <w:spacing w:before="120" w:after="120" w:line="240" w:lineRule="auto"/>
              <w:jc w:val="both"/>
              <w:rPr>
                <w:rFonts w:cs="Calibri"/>
                <w:sz w:val="24"/>
                <w:szCs w:val="24"/>
              </w:rPr>
            </w:pPr>
            <w:r w:rsidRPr="00360A2B">
              <w:rPr>
                <w:rFonts w:cs="Calibri"/>
                <w:b/>
                <w:sz w:val="24"/>
                <w:szCs w:val="24"/>
              </w:rPr>
              <w:t xml:space="preserve">2. </w:t>
            </w:r>
            <w:r w:rsidR="00425A0E" w:rsidRPr="00360A2B">
              <w:rPr>
                <w:rFonts w:cs="Calibri"/>
                <w:b/>
                <w:sz w:val="24"/>
                <w:szCs w:val="24"/>
              </w:rPr>
              <w:t>Неприложимо п</w:t>
            </w:r>
            <w:r w:rsidRPr="00360A2B">
              <w:rPr>
                <w:rFonts w:cs="Calibri"/>
                <w:b/>
                <w:sz w:val="24"/>
                <w:szCs w:val="24"/>
              </w:rPr>
              <w:t>о отношение на предприятията, крайни ползватели на помощта</w:t>
            </w:r>
          </w:p>
          <w:p w:rsidR="00183EAC" w:rsidRPr="00360A2B" w:rsidRDefault="00183EAC" w:rsidP="004B6B10">
            <w:pPr>
              <w:spacing w:before="120" w:after="120" w:line="240" w:lineRule="auto"/>
              <w:jc w:val="both"/>
              <w:rPr>
                <w:rFonts w:cs="Calibri"/>
                <w:sz w:val="24"/>
                <w:szCs w:val="24"/>
              </w:rPr>
            </w:pPr>
            <w:r w:rsidRPr="00360A2B">
              <w:rPr>
                <w:rFonts w:cs="Calibri"/>
                <w:sz w:val="24"/>
                <w:szCs w:val="24"/>
              </w:rPr>
              <w:t xml:space="preserve">Доколкото по настоящата операция ще се възстановяват разходи, направени по </w:t>
            </w:r>
            <w:r w:rsidR="008E0CC7" w:rsidRPr="00360A2B">
              <w:rPr>
                <w:rFonts w:cs="Calibri"/>
                <w:sz w:val="24"/>
                <w:szCs w:val="24"/>
              </w:rPr>
              <w:t>Национални п</w:t>
            </w:r>
            <w:r w:rsidRPr="00360A2B">
              <w:rPr>
                <w:rFonts w:cs="Calibri"/>
                <w:sz w:val="24"/>
                <w:szCs w:val="24"/>
              </w:rPr>
              <w:t>рограм</w:t>
            </w:r>
            <w:r w:rsidR="004B6B10" w:rsidRPr="00360A2B">
              <w:rPr>
                <w:rFonts w:cs="Calibri"/>
                <w:sz w:val="24"/>
                <w:szCs w:val="24"/>
              </w:rPr>
              <w:t>и</w:t>
            </w:r>
            <w:r w:rsidR="00701695" w:rsidRPr="00360A2B">
              <w:rPr>
                <w:rFonts w:cs="Calibri"/>
                <w:sz w:val="24"/>
                <w:szCs w:val="24"/>
              </w:rPr>
              <w:t xml:space="preserve"> за 2022 г.</w:t>
            </w:r>
            <w:r w:rsidRPr="00360A2B">
              <w:rPr>
                <w:rFonts w:cs="Calibri"/>
                <w:sz w:val="24"/>
                <w:szCs w:val="24"/>
              </w:rPr>
              <w:t xml:space="preserve">, по линия на </w:t>
            </w:r>
            <w:r w:rsidR="004B6B10" w:rsidRPr="00360A2B">
              <w:rPr>
                <w:rFonts w:cs="Calibri"/>
                <w:sz w:val="24"/>
                <w:szCs w:val="24"/>
              </w:rPr>
              <w:t xml:space="preserve">които </w:t>
            </w:r>
            <w:r w:rsidRPr="00360A2B">
              <w:rPr>
                <w:rFonts w:cs="Calibri"/>
                <w:sz w:val="24"/>
                <w:szCs w:val="24"/>
              </w:rPr>
              <w:t>са били предоставяни компенсации на всички небитови потребители, вкл. МСП, средствата по настоящата операция също не представляват държавна помощ</w:t>
            </w:r>
            <w:r w:rsidR="00BB4782" w:rsidRPr="00360A2B">
              <w:rPr>
                <w:rFonts w:cs="Calibri"/>
                <w:sz w:val="24"/>
                <w:szCs w:val="24"/>
              </w:rPr>
              <w:t>.</w:t>
            </w:r>
          </w:p>
          <w:p w:rsidR="00DE3AFC" w:rsidRPr="00360A2B" w:rsidRDefault="00DE3AFC" w:rsidP="00EB1254">
            <w:pPr>
              <w:spacing w:before="120" w:after="120" w:line="240" w:lineRule="auto"/>
              <w:jc w:val="both"/>
              <w:rPr>
                <w:rFonts w:cs="Calibri"/>
                <w:sz w:val="24"/>
                <w:szCs w:val="24"/>
              </w:rPr>
            </w:pPr>
            <w:r w:rsidRPr="00360A2B">
              <w:rPr>
                <w:rFonts w:cs="Calibri"/>
                <w:sz w:val="24"/>
                <w:szCs w:val="24"/>
              </w:rPr>
              <w:t>Съгласно национал</w:t>
            </w:r>
            <w:r w:rsidR="00B42849" w:rsidRPr="00360A2B">
              <w:rPr>
                <w:rFonts w:cs="Calibri"/>
                <w:sz w:val="24"/>
                <w:szCs w:val="24"/>
              </w:rPr>
              <w:t>ните</w:t>
            </w:r>
            <w:r w:rsidRPr="00360A2B">
              <w:rPr>
                <w:rFonts w:cs="Calibri"/>
                <w:sz w:val="24"/>
                <w:szCs w:val="24"/>
              </w:rPr>
              <w:t xml:space="preserve"> програм</w:t>
            </w:r>
            <w:r w:rsidR="00B42849" w:rsidRPr="00360A2B">
              <w:rPr>
                <w:rFonts w:cs="Calibri"/>
                <w:sz w:val="24"/>
                <w:szCs w:val="24"/>
              </w:rPr>
              <w:t>и</w:t>
            </w:r>
            <w:r w:rsidRPr="00360A2B">
              <w:rPr>
                <w:rFonts w:cs="Calibri"/>
                <w:sz w:val="24"/>
                <w:szCs w:val="24"/>
              </w:rPr>
              <w:t xml:space="preserve"> са компенсирани всички крайни</w:t>
            </w:r>
            <w:r w:rsidR="00B42849" w:rsidRPr="00360A2B">
              <w:rPr>
                <w:rFonts w:cs="Calibri"/>
                <w:sz w:val="24"/>
                <w:szCs w:val="24"/>
              </w:rPr>
              <w:t xml:space="preserve"> небитови</w:t>
            </w:r>
            <w:r w:rsidRPr="00360A2B">
              <w:rPr>
                <w:rFonts w:cs="Calibri"/>
                <w:sz w:val="24"/>
                <w:szCs w:val="24"/>
              </w:rPr>
              <w:t xml:space="preserve"> потребители, които не се ползват от регулирани цени. Така около 633 000 небитови клиенти са</w:t>
            </w:r>
            <w:r w:rsidR="00701695" w:rsidRPr="00360A2B">
              <w:rPr>
                <w:rFonts w:cs="Calibri"/>
                <w:sz w:val="24"/>
                <w:szCs w:val="24"/>
              </w:rPr>
              <w:t xml:space="preserve"> били</w:t>
            </w:r>
            <w:r w:rsidRPr="00360A2B">
              <w:rPr>
                <w:rFonts w:cs="Calibri"/>
                <w:sz w:val="24"/>
                <w:szCs w:val="24"/>
              </w:rPr>
              <w:t xml:space="preserve"> обект на подкрепа, като</w:t>
            </w:r>
            <w:r w:rsidR="00701695" w:rsidRPr="00360A2B">
              <w:rPr>
                <w:rFonts w:cs="Calibri"/>
                <w:sz w:val="24"/>
                <w:szCs w:val="24"/>
              </w:rPr>
              <w:t xml:space="preserve"> са</w:t>
            </w:r>
            <w:r w:rsidRPr="00360A2B">
              <w:rPr>
                <w:rFonts w:cs="Calibri"/>
                <w:sz w:val="24"/>
                <w:szCs w:val="24"/>
              </w:rPr>
              <w:t xml:space="preserve"> получава</w:t>
            </w:r>
            <w:r w:rsidR="00701695" w:rsidRPr="00360A2B">
              <w:rPr>
                <w:rFonts w:cs="Calibri"/>
                <w:sz w:val="24"/>
                <w:szCs w:val="24"/>
              </w:rPr>
              <w:t>ли</w:t>
            </w:r>
            <w:r w:rsidRPr="00360A2B">
              <w:rPr>
                <w:rFonts w:cs="Calibri"/>
                <w:sz w:val="24"/>
                <w:szCs w:val="24"/>
              </w:rPr>
              <w:t xml:space="preserve"> временна компенсация за рязкото увеличение на цената на електроенергията. Въз основа на изложеното мярката не е селективна и следователно не представлява държавна помощ. Посочен</w:t>
            </w:r>
            <w:r w:rsidR="001E1E7D" w:rsidRPr="00360A2B">
              <w:rPr>
                <w:rFonts w:cs="Calibri"/>
                <w:sz w:val="24"/>
                <w:szCs w:val="24"/>
              </w:rPr>
              <w:t>ото</w:t>
            </w:r>
            <w:r w:rsidRPr="00360A2B">
              <w:rPr>
                <w:rFonts w:cs="Calibri"/>
                <w:sz w:val="24"/>
                <w:szCs w:val="24"/>
              </w:rPr>
              <w:t xml:space="preserve"> </w:t>
            </w:r>
            <w:r w:rsidR="001E1E7D" w:rsidRPr="00360A2B">
              <w:rPr>
                <w:rFonts w:cs="Calibri"/>
                <w:sz w:val="24"/>
                <w:szCs w:val="24"/>
              </w:rPr>
              <w:t xml:space="preserve">становище </w:t>
            </w:r>
            <w:r w:rsidRPr="00360A2B">
              <w:rPr>
                <w:rFonts w:cs="Calibri"/>
                <w:sz w:val="24"/>
                <w:szCs w:val="24"/>
              </w:rPr>
              <w:t>се потвърждава и от писмо Изх.№99-00-216/11.11.2021 г. на Министерство на финансите, според което на основание проведена кореспонденция със службите на Европейската комисия мярката не би следвало да представлява държавна помощ.</w:t>
            </w:r>
          </w:p>
        </w:tc>
      </w:tr>
      <w:tr w:rsidR="00183EAC" w:rsidRPr="00360A2B" w:rsidTr="009760FF">
        <w:tc>
          <w:tcPr>
            <w:tcW w:w="9924" w:type="dxa"/>
            <w:gridSpan w:val="2"/>
            <w:shd w:val="clear" w:color="auto" w:fill="BFBFBF"/>
          </w:tcPr>
          <w:p w:rsidR="00183EAC" w:rsidRPr="00360A2B" w:rsidRDefault="00183EAC" w:rsidP="00183EAC">
            <w:pPr>
              <w:spacing w:before="120" w:after="120" w:line="240" w:lineRule="auto"/>
              <w:rPr>
                <w:rFonts w:cs="Calibri"/>
                <w:b/>
                <w:sz w:val="24"/>
                <w:szCs w:val="24"/>
              </w:rPr>
            </w:pPr>
            <w:r w:rsidRPr="00360A2B">
              <w:rPr>
                <w:rFonts w:cs="Calibri"/>
                <w:b/>
                <w:sz w:val="24"/>
                <w:szCs w:val="24"/>
              </w:rPr>
              <w:t>2. Методология и критерии за  подбор на операции</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Вид процедура за предоставяне на безвъзмездна финансова помощ</w:t>
            </w:r>
          </w:p>
        </w:tc>
        <w:tc>
          <w:tcPr>
            <w:tcW w:w="6959" w:type="dxa"/>
            <w:shd w:val="clear" w:color="auto" w:fill="auto"/>
          </w:tcPr>
          <w:p w:rsidR="00183EAC" w:rsidRPr="00360A2B" w:rsidRDefault="00183EAC" w:rsidP="00183EAC">
            <w:pPr>
              <w:spacing w:before="120" w:after="120" w:line="240" w:lineRule="auto"/>
              <w:jc w:val="both"/>
              <w:rPr>
                <w:rFonts w:cs="Calibri"/>
                <w:sz w:val="24"/>
                <w:szCs w:val="24"/>
              </w:rPr>
            </w:pPr>
            <w:r w:rsidRPr="00360A2B">
              <w:rPr>
                <w:rFonts w:cs="Calibri"/>
                <w:sz w:val="24"/>
                <w:szCs w:val="24"/>
              </w:rPr>
              <w:t>Ще се прилага процедура за безвъзмездна финансова помощ чрез директно предоставяне на конкретен бенефициент съгласно чл. 25, ал. 1, т. 2 от Закона за управление на средствата от Европейските фондове за споделено управление (</w:t>
            </w:r>
            <w:r w:rsidR="00D2552A" w:rsidRPr="00360A2B">
              <w:rPr>
                <w:rFonts w:cs="Calibri"/>
                <w:sz w:val="24"/>
                <w:szCs w:val="24"/>
              </w:rPr>
              <w:t>ЗУСЕФСУ, в редакцията му до ДВ, бр. 51 от 2022 г.</w:t>
            </w:r>
            <w:r w:rsidR="00AD7051" w:rsidRPr="00360A2B">
              <w:rPr>
                <w:rFonts w:cs="Calibri"/>
                <w:sz w:val="24"/>
                <w:szCs w:val="24"/>
              </w:rPr>
              <w:t>)</w:t>
            </w:r>
            <w:r w:rsidRPr="00360A2B">
              <w:rPr>
                <w:rFonts w:cs="Calibri"/>
                <w:sz w:val="24"/>
                <w:szCs w:val="24"/>
              </w:rPr>
              <w:t xml:space="preserve"> и чл. 2, т. 2 от ПМС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162/05.07.2016 г.)</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Процедура чрез директно предоставяне е тази, при която безвъзмездната финансова помощ се предоставя само на кандидат, посочен в съответната програма, или в документ, одобрен от Комитета за наблюдение на програмата като конкретен бенефициент за съответната дейност.</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Процедурата чрез директно предоставяне на конкретен бенефициент се осъществява съгласно разпоредбите на чл. 5, ал. 1 и чл. 23-25 от ПМС № 162/05.07.2016 г. и ЗУСЕФСУ (</w:t>
            </w:r>
            <w:r w:rsidR="00D2552A" w:rsidRPr="00360A2B">
              <w:rPr>
                <w:rFonts w:cs="Calibri"/>
                <w:sz w:val="24"/>
                <w:szCs w:val="24"/>
              </w:rPr>
              <w:t>в редакцията му до ДВ, бр. 51 от 2022 г.</w:t>
            </w:r>
            <w:r w:rsidRPr="00360A2B">
              <w:rPr>
                <w:rFonts w:cs="Calibri"/>
                <w:sz w:val="24"/>
                <w:szCs w:val="24"/>
              </w:rPr>
              <w:t xml:space="preserve">) по следния начин: </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w:t>
            </w:r>
            <w:r w:rsidRPr="00360A2B">
              <w:rPr>
                <w:rFonts w:cs="Calibri"/>
                <w:sz w:val="24"/>
                <w:szCs w:val="24"/>
              </w:rPr>
              <w:tab/>
              <w:t xml:space="preserve">За всяка процедура ръководителят на управляващия орган (УО) на програмата утвърждава при условията и по реда на чл. 26, ал. 1, 3, </w:t>
            </w:r>
            <w:r w:rsidR="0078529D" w:rsidRPr="00360A2B">
              <w:rPr>
                <w:rFonts w:cs="Calibri"/>
                <w:sz w:val="24"/>
                <w:szCs w:val="24"/>
              </w:rPr>
              <w:t xml:space="preserve">5 </w:t>
            </w:r>
            <w:r w:rsidRPr="00360A2B">
              <w:rPr>
                <w:rFonts w:cs="Calibri"/>
                <w:sz w:val="24"/>
                <w:szCs w:val="24"/>
              </w:rPr>
              <w:t xml:space="preserve">и </w:t>
            </w:r>
            <w:r w:rsidR="0078529D" w:rsidRPr="00360A2B">
              <w:rPr>
                <w:rFonts w:cs="Calibri"/>
                <w:sz w:val="24"/>
                <w:szCs w:val="24"/>
              </w:rPr>
              <w:t>6</w:t>
            </w:r>
            <w:r w:rsidRPr="00360A2B">
              <w:rPr>
                <w:rFonts w:cs="Calibri"/>
                <w:sz w:val="24"/>
                <w:szCs w:val="24"/>
              </w:rPr>
              <w:t xml:space="preserve"> от </w:t>
            </w:r>
            <w:r w:rsidR="00A15C47" w:rsidRPr="00360A2B">
              <w:rPr>
                <w:rFonts w:cs="Calibri"/>
                <w:sz w:val="24"/>
                <w:szCs w:val="24"/>
              </w:rPr>
              <w:t xml:space="preserve">ЗУСЕФСУ (в редакцията му до ДВ, бр. 51 от 2022 г.) </w:t>
            </w:r>
            <w:r w:rsidRPr="00360A2B">
              <w:rPr>
                <w:rFonts w:cs="Calibri"/>
                <w:sz w:val="24"/>
                <w:szCs w:val="24"/>
              </w:rPr>
              <w:t>насоки и/или друг документ, определящи условията за кандидатстване и условията за изпълнение на одобрените проекти.</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w:t>
            </w:r>
            <w:r w:rsidRPr="00360A2B">
              <w:rPr>
                <w:rFonts w:cs="Calibri"/>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Информационната система за управление и наблюдение на Структурните инструменти на ЕС в България (ИСУН 2020) и на интернет страницата на съответната програма. </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w:t>
            </w:r>
            <w:r w:rsidRPr="00360A2B">
              <w:rPr>
                <w:rFonts w:cs="Calibri"/>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w:t>
            </w:r>
            <w:r w:rsidRPr="00360A2B">
              <w:rPr>
                <w:rFonts w:cs="Calibri"/>
                <w:sz w:val="24"/>
                <w:szCs w:val="24"/>
              </w:rPr>
              <w:tab/>
              <w:t xml:space="preserve">Оценяването на проектното предложение се извършва в срок до три месеца от датата на подаването му или от крайния срок за подаването му, ако такъв е посочен в документите по чл. 5, ал. 1, т. 1 от ПМС № 162/05.07.2016 г.  </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При наличие на положителен резултат от оценяването ръководителят на Управляващия орган в срок до 1 седмица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Краен срок за кандидатстване</w:t>
            </w:r>
          </w:p>
        </w:tc>
        <w:tc>
          <w:tcPr>
            <w:tcW w:w="6959" w:type="dxa"/>
            <w:shd w:val="clear" w:color="auto" w:fill="auto"/>
          </w:tcPr>
          <w:p w:rsidR="00AD7051" w:rsidRPr="00360A2B" w:rsidRDefault="00AD7051" w:rsidP="00AD7051">
            <w:pPr>
              <w:spacing w:before="120" w:after="120" w:line="240" w:lineRule="auto"/>
              <w:jc w:val="both"/>
              <w:rPr>
                <w:rFonts w:cs="Calibri"/>
                <w:sz w:val="24"/>
                <w:szCs w:val="24"/>
              </w:rPr>
            </w:pPr>
            <w:r w:rsidRPr="00360A2B">
              <w:rPr>
                <w:rFonts w:cs="Calibri"/>
                <w:sz w:val="24"/>
                <w:szCs w:val="24"/>
              </w:rPr>
              <w:t xml:space="preserve">Ще се прилага процедура чрез директно предоставяне с един краен срок за кандидатстване. </w:t>
            </w:r>
          </w:p>
          <w:p w:rsidR="00AD7051" w:rsidRPr="00360A2B" w:rsidRDefault="00AD7051" w:rsidP="00AD7051">
            <w:pPr>
              <w:spacing w:before="120" w:after="120" w:line="240" w:lineRule="auto"/>
              <w:jc w:val="both"/>
              <w:rPr>
                <w:rFonts w:cs="Calibri"/>
                <w:sz w:val="24"/>
                <w:szCs w:val="24"/>
              </w:rPr>
            </w:pPr>
            <w:r w:rsidRPr="00360A2B">
              <w:rPr>
                <w:rFonts w:cs="Calibri"/>
                <w:sz w:val="24"/>
                <w:szCs w:val="24"/>
              </w:rPr>
              <w:t>Минималният срок за подаване на проект</w:t>
            </w:r>
            <w:r w:rsidR="006D0E96">
              <w:rPr>
                <w:rFonts w:cs="Calibri"/>
                <w:sz w:val="24"/>
                <w:szCs w:val="24"/>
              </w:rPr>
              <w:t>ните  предложения е 3</w:t>
            </w:r>
            <w:r w:rsidRPr="00360A2B">
              <w:rPr>
                <w:rFonts w:cs="Calibri"/>
                <w:sz w:val="24"/>
                <w:szCs w:val="24"/>
              </w:rPr>
              <w:t>0 дни от датата на обявяване на процедурата.</w:t>
            </w:r>
          </w:p>
          <w:p w:rsidR="00183EAC" w:rsidRPr="00360A2B" w:rsidRDefault="00AD7051" w:rsidP="00AD7051">
            <w:pPr>
              <w:spacing w:before="120" w:after="120" w:line="240" w:lineRule="auto"/>
              <w:jc w:val="both"/>
              <w:rPr>
                <w:rFonts w:cs="Calibri"/>
                <w:i/>
                <w:sz w:val="24"/>
                <w:szCs w:val="24"/>
              </w:rPr>
            </w:pPr>
            <w:r w:rsidRPr="00360A2B">
              <w:rPr>
                <w:rFonts w:cs="Calibri"/>
                <w:sz w:val="24"/>
                <w:szCs w:val="24"/>
              </w:rPr>
              <w:t>Кандидатът може да подаде повече от едно проектно предложение в рамките на крайния срок за кандидатстване.</w:t>
            </w:r>
          </w:p>
        </w:tc>
      </w:tr>
      <w:tr w:rsidR="00183EAC" w:rsidRPr="00360A2B" w:rsidTr="006D0E96">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Допустими кандидати</w:t>
            </w:r>
          </w:p>
        </w:tc>
        <w:tc>
          <w:tcPr>
            <w:tcW w:w="6959" w:type="dxa"/>
            <w:shd w:val="clear" w:color="auto" w:fill="auto"/>
          </w:tcPr>
          <w:p w:rsidR="00183EAC" w:rsidRPr="00360A2B" w:rsidRDefault="00183EAC" w:rsidP="00183EAC">
            <w:pPr>
              <w:spacing w:before="120" w:after="120" w:line="240" w:lineRule="auto"/>
              <w:jc w:val="both"/>
              <w:rPr>
                <w:rFonts w:cs="Calibri"/>
                <w:b/>
                <w:sz w:val="24"/>
                <w:szCs w:val="24"/>
              </w:rPr>
            </w:pPr>
            <w:r w:rsidRPr="00360A2B">
              <w:rPr>
                <w:rFonts w:cs="Calibri"/>
                <w:b/>
                <w:sz w:val="24"/>
                <w:szCs w:val="24"/>
              </w:rPr>
              <w:t xml:space="preserve">Допустим кандидат по настоящата процедура е: </w:t>
            </w:r>
          </w:p>
          <w:p w:rsidR="00183EAC" w:rsidRPr="00360A2B" w:rsidRDefault="00183EAC" w:rsidP="00183EAC">
            <w:pPr>
              <w:spacing w:before="120" w:after="120" w:line="240" w:lineRule="auto"/>
              <w:jc w:val="both"/>
              <w:rPr>
                <w:rFonts w:cs="Calibri"/>
                <w:sz w:val="24"/>
                <w:szCs w:val="24"/>
              </w:rPr>
            </w:pPr>
            <w:r w:rsidRPr="00360A2B">
              <w:rPr>
                <w:rFonts w:cs="Calibri"/>
                <w:sz w:val="24"/>
                <w:szCs w:val="24"/>
              </w:rPr>
              <w:t xml:space="preserve">Фонд "Сигурност на електроенергийната система", БУЛСТАТ </w:t>
            </w:r>
            <w:hyperlink r:id="rId8" w:history="1">
              <w:r w:rsidRPr="00360A2B">
                <w:rPr>
                  <w:rFonts w:cs="Calibri"/>
                  <w:sz w:val="24"/>
                  <w:szCs w:val="24"/>
                </w:rPr>
                <w:t>176963402</w:t>
              </w:r>
            </w:hyperlink>
            <w:r w:rsidRPr="00360A2B">
              <w:rPr>
                <w:rFonts w:cs="Calibri"/>
                <w:sz w:val="24"/>
                <w:szCs w:val="24"/>
              </w:rPr>
              <w:t>, одобрен с настоящите критерии и методология за подбор на операции от Комитета за наблюдение като конкретен бенефициент, който може да получи безвъзмездна финансова помощ за изпълнение на проектните дейности по настоящата процедура.</w:t>
            </w:r>
          </w:p>
          <w:p w:rsidR="00183EAC" w:rsidRPr="00360A2B" w:rsidRDefault="00183EAC" w:rsidP="00183EAC">
            <w:pPr>
              <w:spacing w:before="120" w:after="120" w:line="240" w:lineRule="auto"/>
              <w:jc w:val="both"/>
              <w:rPr>
                <w:rFonts w:cs="Calibri"/>
                <w:i/>
                <w:sz w:val="24"/>
                <w:szCs w:val="24"/>
              </w:rPr>
            </w:pPr>
            <w:r w:rsidRPr="00360A2B">
              <w:rPr>
                <w:rFonts w:cs="Calibri"/>
                <w:sz w:val="24"/>
                <w:szCs w:val="24"/>
              </w:rPr>
              <w:t>Конкретният бенефициент следва да разполага с необходимия административен, финансов и оперативен капацитет</w:t>
            </w:r>
            <w:r w:rsidRPr="00360A2B">
              <w:rPr>
                <w:rStyle w:val="FootnoteReference"/>
                <w:rFonts w:cs="Calibri"/>
                <w:sz w:val="24"/>
                <w:szCs w:val="24"/>
              </w:rPr>
              <w:footnoteReference w:id="1"/>
            </w:r>
            <w:r w:rsidRPr="00360A2B">
              <w:rPr>
                <w:rFonts w:cs="Calibri"/>
                <w:sz w:val="24"/>
                <w:szCs w:val="24"/>
              </w:rPr>
              <w:t>, който гарантира успешното изпълнение на дейностите по проекта.</w:t>
            </w:r>
          </w:p>
        </w:tc>
      </w:tr>
      <w:tr w:rsidR="00183EAC" w:rsidRPr="00360A2B" w:rsidTr="006D0E96">
        <w:trPr>
          <w:trHeight w:val="853"/>
        </w:trPr>
        <w:tc>
          <w:tcPr>
            <w:tcW w:w="2965" w:type="dxa"/>
            <w:shd w:val="clear" w:color="auto" w:fill="BFBFBF"/>
          </w:tcPr>
          <w:p w:rsidR="00183EAC" w:rsidRPr="00360A2B" w:rsidRDefault="00183EAC" w:rsidP="00183EAC">
            <w:pPr>
              <w:spacing w:before="120" w:after="120" w:line="240" w:lineRule="auto"/>
              <w:rPr>
                <w:rFonts w:cs="Calibri"/>
                <w:sz w:val="24"/>
                <w:szCs w:val="24"/>
              </w:rPr>
            </w:pPr>
            <w:r w:rsidRPr="00360A2B">
              <w:rPr>
                <w:rFonts w:cs="Calibri"/>
                <w:sz w:val="24"/>
                <w:szCs w:val="24"/>
              </w:rPr>
              <w:t xml:space="preserve">Изисквания към партньори </w:t>
            </w:r>
            <w:r w:rsidRPr="00360A2B">
              <w:rPr>
                <w:rFonts w:cs="Calibri"/>
                <w:i/>
                <w:sz w:val="24"/>
                <w:szCs w:val="24"/>
              </w:rPr>
              <w:t>(ако е приложимо)</w:t>
            </w:r>
          </w:p>
        </w:tc>
        <w:tc>
          <w:tcPr>
            <w:tcW w:w="6959" w:type="dxa"/>
            <w:shd w:val="clear" w:color="auto" w:fill="auto"/>
          </w:tcPr>
          <w:p w:rsidR="00183EAC" w:rsidRPr="00360A2B" w:rsidRDefault="00AD7051" w:rsidP="00183EAC">
            <w:pPr>
              <w:spacing w:before="120" w:after="120" w:line="240" w:lineRule="auto"/>
              <w:rPr>
                <w:rFonts w:cs="Calibri"/>
                <w:sz w:val="24"/>
                <w:szCs w:val="24"/>
              </w:rPr>
            </w:pPr>
            <w:r w:rsidRPr="00360A2B">
              <w:rPr>
                <w:rFonts w:cs="Calibri"/>
                <w:sz w:val="24"/>
                <w:szCs w:val="24"/>
              </w:rPr>
              <w:t>По настоящата процедура чрез директно предоставяне не се допуска участието на партньори.</w:t>
            </w: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Допустими проекти/дейности</w:t>
            </w:r>
          </w:p>
        </w:tc>
        <w:tc>
          <w:tcPr>
            <w:tcW w:w="6959" w:type="dxa"/>
            <w:shd w:val="clear" w:color="auto" w:fill="auto"/>
          </w:tcPr>
          <w:p w:rsidR="006D0E96" w:rsidRPr="00C25BBF" w:rsidRDefault="006D0E96" w:rsidP="006D0E96">
            <w:pPr>
              <w:spacing w:before="120" w:after="120" w:line="240" w:lineRule="auto"/>
              <w:jc w:val="both"/>
              <w:rPr>
                <w:rFonts w:ascii="Verdana" w:hAnsi="Verdana"/>
                <w:sz w:val="20"/>
                <w:szCs w:val="20"/>
              </w:rPr>
            </w:pPr>
            <w:bookmarkStart w:id="0" w:name="_Hlk143087084"/>
            <w:r w:rsidRPr="00C25BBF">
              <w:rPr>
                <w:rFonts w:ascii="Verdana" w:hAnsi="Verdana"/>
                <w:sz w:val="20"/>
                <w:szCs w:val="20"/>
              </w:rPr>
              <w:t>Възстановяване на средства, използвани от държавата през 2022 г. за</w:t>
            </w:r>
            <w:bookmarkEnd w:id="0"/>
            <w:r w:rsidRPr="00C25BBF">
              <w:rPr>
                <w:rFonts w:ascii="Verdana" w:hAnsi="Verdana"/>
                <w:sz w:val="20"/>
                <w:szCs w:val="20"/>
              </w:rPr>
              <w:t xml:space="preserve"> осигуряване на компенсации на МСП, които са били особено засегнати от увеличения на цените на електрическа енергия и отговарят на условията по т. 2.4, пар. 72 (д) от </w:t>
            </w:r>
            <w:r w:rsidRPr="00C25BBF">
              <w:rPr>
                <w:rFonts w:ascii="Verdana" w:hAnsi="Verdana"/>
                <w:i/>
                <w:sz w:val="20"/>
                <w:szCs w:val="20"/>
              </w:rPr>
              <w:t>Временната рамка за мерки за държавна помощ при кризи и преход в подкрепа на икономиката след агресията на Русия срещу Украйна</w:t>
            </w:r>
            <w:r w:rsidRPr="00C25BBF">
              <w:rPr>
                <w:rFonts w:ascii="Verdana" w:hAnsi="Verdana"/>
                <w:sz w:val="20"/>
                <w:szCs w:val="20"/>
              </w:rPr>
              <w:t>.</w:t>
            </w: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 xml:space="preserve">Задължителна комбинация от дейности </w:t>
            </w:r>
            <w:r w:rsidRPr="00360A2B">
              <w:rPr>
                <w:rFonts w:cs="Calibri"/>
                <w:i/>
                <w:sz w:val="24"/>
                <w:szCs w:val="24"/>
              </w:rPr>
              <w:t>(ако е приложимо)</w:t>
            </w:r>
          </w:p>
        </w:tc>
        <w:tc>
          <w:tcPr>
            <w:tcW w:w="695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Неприложимо</w:t>
            </w: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Допустими разходи</w:t>
            </w:r>
          </w:p>
        </w:tc>
        <w:tc>
          <w:tcPr>
            <w:tcW w:w="6959" w:type="dxa"/>
            <w:shd w:val="clear" w:color="auto" w:fill="auto"/>
          </w:tcPr>
          <w:p w:rsidR="006D0E96" w:rsidRPr="00C25BBF" w:rsidRDefault="006D0E96" w:rsidP="006D0E96">
            <w:pPr>
              <w:spacing w:before="120" w:after="120" w:line="240" w:lineRule="auto"/>
              <w:jc w:val="both"/>
              <w:rPr>
                <w:b/>
                <w:bCs/>
                <w:color w:val="000000"/>
                <w:shd w:val="clear" w:color="auto" w:fill="FFFFFF"/>
              </w:rPr>
            </w:pPr>
            <w:r w:rsidRPr="00C25BBF">
              <w:rPr>
                <w:rFonts w:ascii="Verdana" w:eastAsia="Times New Roman" w:hAnsi="Verdana"/>
                <w:sz w:val="20"/>
                <w:szCs w:val="20"/>
                <w:lang w:eastAsia="bg-BG"/>
              </w:rPr>
              <w:t>Предвидените разходи са в съответствие с разпоредбите на Регламент (ЕС) № 1301/2013, Регламент (ЕС) № 1303/2013, Регламент (ЕС) 2023/435 на Европейския парламент и на Съвета от 27 февруари 2023 година за изменение на Регламент (ЕС) 2021/241 във връзка с главите за REPowerEU в плановете за възстановяване и устойчивост и за изменение на регламенти (ЕС) № 1303/2013, (ЕС) 2021/1060 и (ЕС) 2021/1755 и Директива 2003/87/ЕО по отношение на извънредните мерки за справяне с енергийната криза, произтичаща от въздействието на военната агресия срещу Украйна чрез използване на фондовете (ЕФРР, КФ, ЕСФ и ресурси по линия на REACT EU) в подкрепа на МСП, които са особено засегнати от увеличения на цените на енергията.</w:t>
            </w:r>
          </w:p>
          <w:p w:rsidR="006D0E96" w:rsidRPr="00C25BBF" w:rsidRDefault="006D0E96" w:rsidP="006D0E96">
            <w:pPr>
              <w:spacing w:before="120" w:after="120" w:line="240" w:lineRule="auto"/>
              <w:jc w:val="both"/>
              <w:rPr>
                <w:rFonts w:ascii="Verdana" w:hAnsi="Verdana"/>
                <w:sz w:val="20"/>
                <w:szCs w:val="20"/>
              </w:rPr>
            </w:pPr>
            <w:r w:rsidRPr="00C25BBF">
              <w:rPr>
                <w:rFonts w:ascii="Verdana" w:eastAsia="Times New Roman" w:hAnsi="Verdana"/>
                <w:sz w:val="20"/>
                <w:szCs w:val="20"/>
                <w:lang w:eastAsia="bg-BG"/>
              </w:rPr>
              <w:t>Допустими са разходите</w:t>
            </w:r>
            <w:r>
              <w:rPr>
                <w:rFonts w:ascii="Verdana" w:eastAsia="Times New Roman" w:hAnsi="Verdana"/>
                <w:sz w:val="20"/>
                <w:szCs w:val="20"/>
                <w:lang w:eastAsia="bg-BG"/>
              </w:rPr>
              <w:t>,</w:t>
            </w:r>
            <w:r w:rsidRPr="00C25BBF">
              <w:rPr>
                <w:rFonts w:ascii="Verdana" w:eastAsia="Times New Roman" w:hAnsi="Verdana"/>
                <w:sz w:val="20"/>
                <w:szCs w:val="20"/>
                <w:lang w:eastAsia="bg-BG"/>
              </w:rPr>
              <w:t xml:space="preserve"> </w:t>
            </w:r>
            <w:r w:rsidRPr="00C25BBF">
              <w:rPr>
                <w:rFonts w:ascii="Verdana" w:hAnsi="Verdana"/>
                <w:sz w:val="20"/>
                <w:szCs w:val="20"/>
              </w:rPr>
              <w:t xml:space="preserve">предоставени </w:t>
            </w:r>
            <w:r>
              <w:rPr>
                <w:rFonts w:ascii="Verdana" w:hAnsi="Verdana"/>
                <w:sz w:val="20"/>
                <w:szCs w:val="20"/>
              </w:rPr>
              <w:t xml:space="preserve">на МСП, допустими съгласно изискванията </w:t>
            </w:r>
            <w:r w:rsidRPr="00C25BBF">
              <w:rPr>
                <w:rFonts w:ascii="Verdana" w:hAnsi="Verdana"/>
                <w:sz w:val="20"/>
                <w:szCs w:val="20"/>
              </w:rPr>
              <w:t xml:space="preserve">по т. 2.4, пар. 72 (д) от </w:t>
            </w:r>
            <w:r w:rsidRPr="00C25BBF">
              <w:rPr>
                <w:rFonts w:ascii="Verdana" w:hAnsi="Verdana"/>
                <w:i/>
                <w:sz w:val="20"/>
                <w:szCs w:val="20"/>
              </w:rPr>
              <w:t>Временната рамка за мерки за държавна помощ при кризи и преход в подкрепа на икономиката след агресията на Русия срещу Украйна</w:t>
            </w:r>
            <w:r>
              <w:rPr>
                <w:rFonts w:ascii="Verdana" w:hAnsi="Verdana"/>
                <w:sz w:val="20"/>
                <w:szCs w:val="20"/>
              </w:rPr>
              <w:t>,</w:t>
            </w:r>
            <w:r w:rsidRPr="00C25BBF">
              <w:rPr>
                <w:rFonts w:ascii="Verdana" w:hAnsi="Verdana"/>
                <w:i/>
                <w:sz w:val="20"/>
                <w:szCs w:val="20"/>
              </w:rPr>
              <w:t xml:space="preserve"> </w:t>
            </w:r>
            <w:r w:rsidRPr="00C25BBF">
              <w:rPr>
                <w:rFonts w:ascii="Verdana" w:hAnsi="Verdana"/>
                <w:sz w:val="20"/>
                <w:szCs w:val="20"/>
              </w:rPr>
              <w:t>за компенсации във връзка с увеличените цени на електрическа енергия в рамките на националните Програми за компенсиране на небитови крайни клиенти на електрическа енергия, одобрени от Министерския съвет с Решение № 30/2022 г. и Решение № 534/2022 г</w:t>
            </w:r>
            <w:r w:rsidRPr="00B86B96">
              <w:rPr>
                <w:rFonts w:ascii="Verdana" w:hAnsi="Verdana"/>
                <w:sz w:val="20"/>
                <w:szCs w:val="20"/>
              </w:rPr>
              <w:t>.</w:t>
            </w:r>
            <w:r>
              <w:rPr>
                <w:rFonts w:ascii="Verdana" w:hAnsi="Verdana"/>
                <w:sz w:val="20"/>
                <w:szCs w:val="20"/>
              </w:rPr>
              <w:t xml:space="preserve">, </w:t>
            </w:r>
          </w:p>
          <w:p w:rsidR="006D0E96" w:rsidRPr="00C25BBF" w:rsidRDefault="006D0E96" w:rsidP="006D0E96">
            <w:pPr>
              <w:spacing w:before="120" w:after="120" w:line="240" w:lineRule="auto"/>
              <w:jc w:val="both"/>
              <w:rPr>
                <w:rFonts w:ascii="Verdana" w:hAnsi="Verdana"/>
                <w:sz w:val="20"/>
                <w:szCs w:val="20"/>
              </w:rPr>
            </w:pP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Минимален размер на помощта</w:t>
            </w:r>
          </w:p>
        </w:tc>
        <w:tc>
          <w:tcPr>
            <w:tcW w:w="6959" w:type="dxa"/>
            <w:shd w:val="clear" w:color="auto" w:fill="auto"/>
          </w:tcPr>
          <w:p w:rsidR="006D0E96" w:rsidRPr="00360A2B" w:rsidRDefault="006D0E96" w:rsidP="006D0E96">
            <w:pPr>
              <w:spacing w:before="120" w:after="120" w:line="240" w:lineRule="auto"/>
              <w:jc w:val="both"/>
              <w:rPr>
                <w:rFonts w:cs="Calibri"/>
                <w:i/>
                <w:sz w:val="24"/>
                <w:szCs w:val="24"/>
              </w:rPr>
            </w:pPr>
            <w:r w:rsidRPr="00360A2B">
              <w:rPr>
                <w:rFonts w:cs="Calibri"/>
                <w:sz w:val="24"/>
                <w:szCs w:val="24"/>
              </w:rPr>
              <w:t>Неприложимо за конкретния бенефициент: Фонд "Сигурност на електроенергийната система"</w:t>
            </w: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Максимален размер на помощта</w:t>
            </w:r>
          </w:p>
        </w:tc>
        <w:tc>
          <w:tcPr>
            <w:tcW w:w="6959" w:type="dxa"/>
            <w:shd w:val="clear" w:color="auto" w:fill="auto"/>
          </w:tcPr>
          <w:p w:rsidR="006D0E96" w:rsidRPr="00360A2B" w:rsidRDefault="006D0E96" w:rsidP="006D0E96">
            <w:pPr>
              <w:numPr>
                <w:ilvl w:val="0"/>
                <w:numId w:val="9"/>
              </w:numPr>
              <w:spacing w:before="120" w:after="120" w:line="240" w:lineRule="auto"/>
              <w:jc w:val="both"/>
              <w:rPr>
                <w:rFonts w:cs="Calibri"/>
                <w:sz w:val="24"/>
                <w:szCs w:val="24"/>
              </w:rPr>
            </w:pPr>
            <w:r w:rsidRPr="00360A2B">
              <w:rPr>
                <w:rFonts w:cs="Calibri"/>
                <w:sz w:val="24"/>
                <w:szCs w:val="24"/>
              </w:rPr>
              <w:t xml:space="preserve">За конкретния бенефициент: </w:t>
            </w:r>
          </w:p>
          <w:p w:rsidR="006D0E96" w:rsidRPr="00360A2B" w:rsidRDefault="006D0E96" w:rsidP="006D0E96">
            <w:pPr>
              <w:spacing w:before="120" w:after="120" w:line="240" w:lineRule="auto"/>
              <w:jc w:val="both"/>
              <w:rPr>
                <w:rFonts w:cs="Calibri"/>
                <w:sz w:val="24"/>
                <w:szCs w:val="24"/>
              </w:rPr>
            </w:pPr>
            <w:r w:rsidRPr="00360A2B">
              <w:rPr>
                <w:rFonts w:cs="Calibri"/>
                <w:sz w:val="24"/>
                <w:szCs w:val="24"/>
              </w:rPr>
              <w:t>До размера на средствата, определени в т. Бюджет на раздел I Основни параметри</w:t>
            </w:r>
          </w:p>
          <w:p w:rsidR="006D0E96" w:rsidRPr="00360A2B" w:rsidRDefault="006D0E96" w:rsidP="006D0E96">
            <w:pPr>
              <w:numPr>
                <w:ilvl w:val="0"/>
                <w:numId w:val="9"/>
              </w:numPr>
              <w:spacing w:before="120" w:after="120" w:line="240" w:lineRule="auto"/>
              <w:jc w:val="both"/>
              <w:rPr>
                <w:rFonts w:cs="Calibri"/>
                <w:sz w:val="24"/>
                <w:szCs w:val="24"/>
              </w:rPr>
            </w:pPr>
            <w:r w:rsidRPr="00360A2B">
              <w:rPr>
                <w:rFonts w:cs="Calibri"/>
                <w:sz w:val="24"/>
                <w:szCs w:val="24"/>
              </w:rPr>
              <w:t xml:space="preserve">Максимален размер на подкрепата за МСП </w:t>
            </w:r>
          </w:p>
          <w:p w:rsidR="006D0E96" w:rsidRPr="00360A2B" w:rsidRDefault="006D0E96" w:rsidP="006D0E96">
            <w:pPr>
              <w:spacing w:before="120" w:after="120" w:line="240" w:lineRule="auto"/>
              <w:jc w:val="both"/>
              <w:rPr>
                <w:rFonts w:cs="Calibri"/>
                <w:sz w:val="24"/>
                <w:szCs w:val="24"/>
              </w:rPr>
            </w:pPr>
            <w:r w:rsidRPr="00C25BBF">
              <w:rPr>
                <w:rFonts w:ascii="Verdana" w:hAnsi="Verdana"/>
                <w:sz w:val="20"/>
                <w:szCs w:val="20"/>
              </w:rPr>
              <w:t xml:space="preserve">Максималният размер на разходите </w:t>
            </w:r>
            <w:r>
              <w:rPr>
                <w:rFonts w:ascii="Verdana" w:hAnsi="Verdana"/>
                <w:sz w:val="20"/>
                <w:szCs w:val="20"/>
              </w:rPr>
              <w:t>з</w:t>
            </w:r>
            <w:r w:rsidRPr="00C25BBF">
              <w:rPr>
                <w:rFonts w:ascii="Verdana" w:hAnsi="Verdana"/>
                <w:sz w:val="20"/>
                <w:szCs w:val="20"/>
              </w:rPr>
              <w:t>а предприятие, който следва да бъде възстановен</w:t>
            </w:r>
            <w:r>
              <w:rPr>
                <w:rFonts w:ascii="Verdana" w:hAnsi="Verdana"/>
                <w:sz w:val="20"/>
                <w:szCs w:val="20"/>
              </w:rPr>
              <w:t xml:space="preserve"> на бенефициента</w:t>
            </w:r>
            <w:r w:rsidRPr="00C25BBF">
              <w:rPr>
                <w:rFonts w:ascii="Verdana" w:hAnsi="Verdana"/>
                <w:sz w:val="20"/>
                <w:szCs w:val="20"/>
              </w:rPr>
              <w:t>, представлява реално предоставената от държавата компенсация</w:t>
            </w:r>
            <w:r w:rsidRPr="00C25BBF">
              <w:rPr>
                <w:rStyle w:val="FootnoteReference"/>
                <w:rFonts w:ascii="Verdana" w:hAnsi="Verdana"/>
                <w:sz w:val="20"/>
                <w:szCs w:val="20"/>
              </w:rPr>
              <w:footnoteReference w:id="2"/>
            </w:r>
            <w:r w:rsidRPr="00C25BBF">
              <w:rPr>
                <w:rFonts w:ascii="Verdana" w:hAnsi="Verdana"/>
                <w:sz w:val="20"/>
                <w:szCs w:val="20"/>
              </w:rPr>
              <w:t xml:space="preserve"> за съответния период.</w:t>
            </w:r>
          </w:p>
        </w:tc>
      </w:tr>
      <w:tr w:rsidR="006D0E96" w:rsidRPr="00360A2B" w:rsidTr="006D0E96">
        <w:tc>
          <w:tcPr>
            <w:tcW w:w="2965" w:type="dxa"/>
            <w:shd w:val="clear" w:color="auto" w:fill="BFBFBF"/>
          </w:tcPr>
          <w:p w:rsidR="006D0E96" w:rsidRPr="00360A2B" w:rsidRDefault="006D0E96" w:rsidP="006D0E96">
            <w:pPr>
              <w:spacing w:before="120" w:after="120" w:line="240" w:lineRule="auto"/>
              <w:rPr>
                <w:rFonts w:cs="Calibri"/>
                <w:sz w:val="24"/>
                <w:szCs w:val="24"/>
              </w:rPr>
            </w:pPr>
            <w:r w:rsidRPr="00360A2B">
              <w:rPr>
                <w:rFonts w:cs="Calibri"/>
                <w:sz w:val="24"/>
                <w:szCs w:val="24"/>
              </w:rPr>
              <w:t>Интензитет на помощта</w:t>
            </w:r>
          </w:p>
        </w:tc>
        <w:tc>
          <w:tcPr>
            <w:tcW w:w="695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100 %</w:t>
            </w:r>
          </w:p>
        </w:tc>
      </w:tr>
      <w:tr w:rsidR="006D0E96" w:rsidRPr="00360A2B" w:rsidTr="006D0E96">
        <w:trPr>
          <w:trHeight w:val="141"/>
        </w:trPr>
        <w:tc>
          <w:tcPr>
            <w:tcW w:w="2965" w:type="dxa"/>
            <w:tcBorders>
              <w:bottom w:val="single" w:sz="4" w:space="0" w:color="auto"/>
            </w:tcBorders>
            <w:shd w:val="clear" w:color="auto" w:fill="BFBFBF"/>
          </w:tcPr>
          <w:p w:rsidR="006D0E96" w:rsidRPr="00360A2B" w:rsidRDefault="006D0E96" w:rsidP="006D0E96">
            <w:pPr>
              <w:spacing w:before="120" w:after="60" w:line="240" w:lineRule="auto"/>
              <w:rPr>
                <w:rFonts w:cs="Calibri"/>
                <w:sz w:val="24"/>
                <w:szCs w:val="24"/>
              </w:rPr>
            </w:pPr>
            <w:r w:rsidRPr="00360A2B">
              <w:rPr>
                <w:rFonts w:cs="Calibri"/>
                <w:sz w:val="24"/>
                <w:szCs w:val="24"/>
              </w:rPr>
              <w:t>Продължителност на проектите</w:t>
            </w:r>
          </w:p>
        </w:tc>
        <w:tc>
          <w:tcPr>
            <w:tcW w:w="6959" w:type="dxa"/>
            <w:tcBorders>
              <w:bottom w:val="single" w:sz="4" w:space="0" w:color="auto"/>
            </w:tcBorders>
            <w:shd w:val="clear"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До 31.12.2023 г.</w:t>
            </w:r>
          </w:p>
        </w:tc>
      </w:tr>
      <w:tr w:rsidR="006D0E96" w:rsidRPr="00360A2B" w:rsidTr="006D0E96">
        <w:trPr>
          <w:trHeight w:val="141"/>
        </w:trPr>
        <w:tc>
          <w:tcPr>
            <w:tcW w:w="2965" w:type="dxa"/>
            <w:tcBorders>
              <w:bottom w:val="single" w:sz="4" w:space="0" w:color="auto"/>
            </w:tcBorders>
            <w:shd w:val="clear" w:color="auto" w:fill="BFBFBF"/>
          </w:tcPr>
          <w:p w:rsidR="006D0E96" w:rsidRPr="00360A2B" w:rsidRDefault="006D0E96" w:rsidP="006D0E96">
            <w:pPr>
              <w:spacing w:before="120" w:after="60" w:line="240" w:lineRule="auto"/>
              <w:rPr>
                <w:rFonts w:cs="Calibri"/>
                <w:sz w:val="24"/>
                <w:szCs w:val="24"/>
              </w:rPr>
            </w:pPr>
            <w:r w:rsidRPr="00360A2B">
              <w:rPr>
                <w:rFonts w:cs="Calibri"/>
                <w:sz w:val="24"/>
                <w:szCs w:val="24"/>
              </w:rPr>
              <w:t xml:space="preserve">Кръстосано финансиране </w:t>
            </w:r>
            <w:r w:rsidRPr="00360A2B">
              <w:rPr>
                <w:rFonts w:cs="Calibri"/>
                <w:i/>
                <w:sz w:val="24"/>
                <w:szCs w:val="24"/>
              </w:rPr>
              <w:t>(ако е приложимо)</w:t>
            </w:r>
          </w:p>
        </w:tc>
        <w:tc>
          <w:tcPr>
            <w:tcW w:w="6959" w:type="dxa"/>
            <w:tcBorders>
              <w:bottom w:val="single" w:sz="4" w:space="0" w:color="auto"/>
            </w:tcBorders>
            <w:shd w:val="clear"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Неприложимо</w:t>
            </w:r>
          </w:p>
        </w:tc>
      </w:tr>
      <w:tr w:rsidR="006D0E96" w:rsidRPr="00360A2B" w:rsidTr="006D0E96">
        <w:trPr>
          <w:trHeight w:val="141"/>
        </w:trPr>
        <w:tc>
          <w:tcPr>
            <w:tcW w:w="2965" w:type="dxa"/>
            <w:tcBorders>
              <w:bottom w:val="single" w:sz="4" w:space="0" w:color="auto"/>
            </w:tcBorders>
            <w:shd w:val="clear" w:color="auto" w:fill="BFBFBF"/>
          </w:tcPr>
          <w:p w:rsidR="006D0E96" w:rsidRPr="00360A2B" w:rsidRDefault="006D0E96" w:rsidP="002D69EF">
            <w:pPr>
              <w:spacing w:before="120" w:after="60" w:line="240" w:lineRule="auto"/>
              <w:rPr>
                <w:rFonts w:cs="Calibri"/>
                <w:sz w:val="24"/>
                <w:szCs w:val="24"/>
              </w:rPr>
            </w:pPr>
            <w:r w:rsidRPr="00360A2B">
              <w:rPr>
                <w:rFonts w:cs="Calibri"/>
                <w:sz w:val="24"/>
                <w:szCs w:val="24"/>
              </w:rPr>
              <w:t>Критерии за</w:t>
            </w:r>
            <w:r w:rsidR="00293052">
              <w:rPr>
                <w:rFonts w:cs="Calibri"/>
                <w:sz w:val="24"/>
                <w:szCs w:val="24"/>
                <w:lang w:val="en-US"/>
              </w:rPr>
              <w:t xml:space="preserve"> </w:t>
            </w:r>
            <w:r w:rsidRPr="00360A2B">
              <w:rPr>
                <w:rFonts w:cs="Calibri"/>
                <w:sz w:val="24"/>
                <w:szCs w:val="24"/>
              </w:rPr>
              <w:t>техническа и финансова оценка</w:t>
            </w:r>
          </w:p>
        </w:tc>
        <w:tc>
          <w:tcPr>
            <w:tcW w:w="6959" w:type="dxa"/>
            <w:tcBorders>
              <w:bottom w:val="single" w:sz="4" w:space="0" w:color="auto"/>
            </w:tcBorders>
            <w:shd w:val="clear" w:color="auto" w:fill="auto"/>
          </w:tcPr>
          <w:tbl>
            <w:tblPr>
              <w:tblW w:w="6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9"/>
              <w:gridCol w:w="555"/>
              <w:gridCol w:w="533"/>
              <w:gridCol w:w="786"/>
            </w:tblGrid>
            <w:tr w:rsidR="006D0E96" w:rsidRPr="00360A2B" w:rsidTr="00C64967">
              <w:trPr>
                <w:trHeight w:val="589"/>
              </w:trPr>
              <w:tc>
                <w:tcPr>
                  <w:tcW w:w="6663" w:type="dxa"/>
                  <w:gridSpan w:val="4"/>
                  <w:shd w:val="pct25"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 xml:space="preserve">Критерии </w:t>
                  </w:r>
                </w:p>
              </w:tc>
            </w:tr>
            <w:tr w:rsidR="006D0E96" w:rsidRPr="00360A2B" w:rsidTr="00C64967">
              <w:trPr>
                <w:trHeight w:val="496"/>
              </w:trPr>
              <w:tc>
                <w:tcPr>
                  <w:tcW w:w="478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 xml:space="preserve">1. Проектното предложение допринася за постигане на целта на приоритетна ос 6 </w:t>
                  </w:r>
                  <w:r w:rsidR="00E87DCF">
                    <w:rPr>
                      <w:rFonts w:cs="Calibri"/>
                      <w:sz w:val="24"/>
                      <w:szCs w:val="24"/>
                    </w:rPr>
                    <w:t xml:space="preserve">на ОПТТИ </w:t>
                  </w:r>
                  <w:r w:rsidRPr="00360A2B">
                    <w:rPr>
                      <w:rFonts w:cs="Calibri"/>
                      <w:sz w:val="24"/>
                      <w:szCs w:val="24"/>
                    </w:rPr>
                    <w:t>и на настоящата процедура.</w:t>
                  </w:r>
                </w:p>
              </w:tc>
              <w:tc>
                <w:tcPr>
                  <w:tcW w:w="555" w:type="dxa"/>
                  <w:shd w:val="clear"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 xml:space="preserve">да </w:t>
                  </w:r>
                </w:p>
              </w:tc>
              <w:tc>
                <w:tcPr>
                  <w:tcW w:w="533" w:type="dxa"/>
                  <w:shd w:val="clear"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 xml:space="preserve">не </w:t>
                  </w:r>
                </w:p>
              </w:tc>
              <w:tc>
                <w:tcPr>
                  <w:tcW w:w="786" w:type="dxa"/>
                  <w:shd w:val="clear" w:color="auto" w:fill="auto"/>
                </w:tcPr>
                <w:p w:rsidR="006D0E96" w:rsidRPr="00360A2B" w:rsidRDefault="006D0E96" w:rsidP="006D0E96">
                  <w:pPr>
                    <w:spacing w:before="120" w:after="120" w:line="240" w:lineRule="auto"/>
                    <w:rPr>
                      <w:rFonts w:cs="Calibri"/>
                      <w:sz w:val="24"/>
                      <w:szCs w:val="24"/>
                    </w:rPr>
                  </w:pPr>
                  <w:r w:rsidRPr="00360A2B">
                    <w:rPr>
                      <w:rFonts w:cs="Calibri"/>
                      <w:sz w:val="24"/>
                      <w:szCs w:val="24"/>
                    </w:rPr>
                    <w:t>н/п</w:t>
                  </w:r>
                </w:p>
              </w:tc>
            </w:tr>
            <w:tr w:rsidR="006D0E96" w:rsidRPr="00360A2B" w:rsidTr="00C64967">
              <w:tc>
                <w:tcPr>
                  <w:tcW w:w="478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 xml:space="preserve">2. Проектното предложение е в съответствие с приложимите хоризонтални принципи, залегнали в чл.7 и чл.8 на Регламент (ЕС) № 1303/2013 на Европейския парламент и на Съвета, посочени в Условията за кандидатстване. </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6D0E96" w:rsidP="00356FBC">
                  <w:pPr>
                    <w:spacing w:before="120" w:after="120" w:line="240" w:lineRule="auto"/>
                    <w:jc w:val="both"/>
                    <w:rPr>
                      <w:rFonts w:cs="Calibri"/>
                      <w:sz w:val="24"/>
                      <w:szCs w:val="24"/>
                    </w:rPr>
                  </w:pPr>
                  <w:r w:rsidRPr="00360A2B">
                    <w:rPr>
                      <w:rFonts w:cs="Calibri"/>
                      <w:sz w:val="24"/>
                      <w:szCs w:val="24"/>
                    </w:rPr>
                    <w:t>3. Проектното предложение демонстрира ясна връзка между цел, дейности и резултати.</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4. Конкретният бенефициент разполага с необходимия административен</w:t>
                  </w:r>
                  <w:r w:rsidRPr="00360A2B">
                    <w:rPr>
                      <w:rStyle w:val="FootnoteReference"/>
                      <w:rFonts w:cs="Calibri"/>
                      <w:sz w:val="24"/>
                      <w:szCs w:val="24"/>
                    </w:rPr>
                    <w:footnoteReference w:id="3"/>
                  </w:r>
                  <w:r w:rsidRPr="00360A2B">
                    <w:rPr>
                      <w:rFonts w:cs="Calibri"/>
                      <w:sz w:val="24"/>
                      <w:szCs w:val="24"/>
                    </w:rPr>
                    <w:t xml:space="preserve"> капацитет, който гарантира успешното изпълнение на дейностите по проекта. </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5. Конкретният бенефициент разполага с необходимия финансов</w:t>
                  </w:r>
                  <w:r w:rsidRPr="00360A2B">
                    <w:rPr>
                      <w:rStyle w:val="FootnoteReference"/>
                      <w:rFonts w:cs="Calibri"/>
                      <w:sz w:val="24"/>
                      <w:szCs w:val="24"/>
                    </w:rPr>
                    <w:footnoteReference w:id="4"/>
                  </w:r>
                  <w:r w:rsidRPr="00360A2B">
                    <w:rPr>
                      <w:rFonts w:cs="Calibri"/>
                      <w:sz w:val="24"/>
                      <w:szCs w:val="24"/>
                    </w:rPr>
                    <w:t xml:space="preserve"> капацитет, който гарантира успешното изпълнение на дейностите по проекта.</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6D0E96" w:rsidP="006D0E96">
                  <w:pPr>
                    <w:spacing w:before="120" w:after="120" w:line="240" w:lineRule="auto"/>
                    <w:jc w:val="both"/>
                    <w:rPr>
                      <w:rFonts w:cs="Calibri"/>
                      <w:sz w:val="24"/>
                      <w:szCs w:val="24"/>
                    </w:rPr>
                  </w:pPr>
                  <w:r w:rsidRPr="00360A2B">
                    <w:rPr>
                      <w:rFonts w:cs="Calibri"/>
                      <w:sz w:val="24"/>
                      <w:szCs w:val="24"/>
                    </w:rPr>
                    <w:t>6. Конкретният бенефициент разполага с необходимия оперативен</w:t>
                  </w:r>
                  <w:r w:rsidRPr="00360A2B">
                    <w:rPr>
                      <w:rStyle w:val="FootnoteReference"/>
                      <w:rFonts w:cs="Calibri"/>
                      <w:sz w:val="24"/>
                      <w:szCs w:val="24"/>
                    </w:rPr>
                    <w:footnoteReference w:id="5"/>
                  </w:r>
                  <w:r w:rsidRPr="00360A2B">
                    <w:rPr>
                      <w:rFonts w:cs="Calibri"/>
                      <w:sz w:val="24"/>
                      <w:szCs w:val="24"/>
                    </w:rPr>
                    <w:t xml:space="preserve"> капацитет, който гарантира успешното изпълнение на дейностите по проекта.</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293052" w:rsidP="006D0E96">
                  <w:pPr>
                    <w:spacing w:before="120" w:after="120" w:line="240" w:lineRule="auto"/>
                    <w:jc w:val="both"/>
                    <w:rPr>
                      <w:rFonts w:cs="Calibri"/>
                      <w:sz w:val="24"/>
                      <w:szCs w:val="24"/>
                    </w:rPr>
                  </w:pPr>
                  <w:r>
                    <w:rPr>
                      <w:rFonts w:cs="Calibri"/>
                      <w:sz w:val="24"/>
                      <w:szCs w:val="24"/>
                    </w:rPr>
                    <w:t>7</w:t>
                  </w:r>
                  <w:r w:rsidR="006D0E96" w:rsidRPr="00360A2B">
                    <w:rPr>
                      <w:rFonts w:cs="Calibri"/>
                      <w:sz w:val="24"/>
                      <w:szCs w:val="24"/>
                    </w:rPr>
                    <w:t>. 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възстановяване на същите разходи, за финансирането на които кандидатства по настоящата процедура.</w:t>
                  </w:r>
                  <w:r w:rsidR="006D0E96" w:rsidRPr="00360A2B">
                    <w:rPr>
                      <w:rStyle w:val="FootnoteReference"/>
                      <w:rFonts w:cs="Calibri"/>
                      <w:sz w:val="24"/>
                      <w:szCs w:val="24"/>
                    </w:rPr>
                    <w:footnoteReference w:id="6"/>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r w:rsidR="006D0E96" w:rsidRPr="00360A2B" w:rsidTr="00C64967">
              <w:tc>
                <w:tcPr>
                  <w:tcW w:w="4789" w:type="dxa"/>
                  <w:shd w:val="clear" w:color="auto" w:fill="auto"/>
                </w:tcPr>
                <w:p w:rsidR="006D0E96" w:rsidRPr="00360A2B" w:rsidRDefault="00293052" w:rsidP="006D0E96">
                  <w:pPr>
                    <w:spacing w:before="120" w:after="120" w:line="240" w:lineRule="auto"/>
                    <w:jc w:val="both"/>
                    <w:rPr>
                      <w:rFonts w:cs="Calibri"/>
                      <w:sz w:val="24"/>
                      <w:szCs w:val="24"/>
                    </w:rPr>
                  </w:pPr>
                  <w:r>
                    <w:rPr>
                      <w:rFonts w:cs="Calibri"/>
                      <w:sz w:val="24"/>
                      <w:szCs w:val="24"/>
                    </w:rPr>
                    <w:t>8</w:t>
                  </w:r>
                  <w:r w:rsidR="006D0E96" w:rsidRPr="00360A2B">
                    <w:rPr>
                      <w:rFonts w:cs="Calibri"/>
                      <w:sz w:val="24"/>
                      <w:szCs w:val="24"/>
                    </w:rPr>
                    <w:t>. Всички разходи, включени в бюджета на проектното предложение съответстват изцяло на дейностите, предвидени за изпълнение.</w:t>
                  </w:r>
                </w:p>
              </w:tc>
              <w:tc>
                <w:tcPr>
                  <w:tcW w:w="555" w:type="dxa"/>
                  <w:shd w:val="clear" w:color="auto" w:fill="auto"/>
                </w:tcPr>
                <w:p w:rsidR="006D0E96" w:rsidRPr="00360A2B" w:rsidRDefault="006D0E96" w:rsidP="006D0E96">
                  <w:pPr>
                    <w:spacing w:before="120" w:after="120" w:line="240" w:lineRule="auto"/>
                    <w:rPr>
                      <w:rFonts w:cs="Calibri"/>
                      <w:sz w:val="24"/>
                      <w:szCs w:val="24"/>
                    </w:rPr>
                  </w:pPr>
                </w:p>
              </w:tc>
              <w:tc>
                <w:tcPr>
                  <w:tcW w:w="533" w:type="dxa"/>
                  <w:shd w:val="clear" w:color="auto" w:fill="auto"/>
                </w:tcPr>
                <w:p w:rsidR="006D0E96" w:rsidRPr="00360A2B" w:rsidRDefault="006D0E96" w:rsidP="006D0E96">
                  <w:pPr>
                    <w:spacing w:before="120" w:after="120" w:line="240" w:lineRule="auto"/>
                    <w:rPr>
                      <w:rFonts w:cs="Calibri"/>
                      <w:sz w:val="24"/>
                      <w:szCs w:val="24"/>
                    </w:rPr>
                  </w:pPr>
                </w:p>
              </w:tc>
              <w:tc>
                <w:tcPr>
                  <w:tcW w:w="786" w:type="dxa"/>
                  <w:shd w:val="clear" w:color="auto" w:fill="auto"/>
                </w:tcPr>
                <w:p w:rsidR="006D0E96" w:rsidRPr="00360A2B" w:rsidRDefault="006D0E96" w:rsidP="006D0E96">
                  <w:pPr>
                    <w:spacing w:before="120" w:after="120" w:line="240" w:lineRule="auto"/>
                    <w:rPr>
                      <w:rFonts w:cs="Calibri"/>
                      <w:sz w:val="24"/>
                      <w:szCs w:val="24"/>
                    </w:rPr>
                  </w:pPr>
                </w:p>
              </w:tc>
            </w:tr>
          </w:tbl>
          <w:p w:rsidR="006D0E96" w:rsidRPr="00360A2B" w:rsidRDefault="006D0E96" w:rsidP="006D0E96">
            <w:pPr>
              <w:spacing w:before="120" w:after="120" w:line="240" w:lineRule="auto"/>
              <w:rPr>
                <w:rFonts w:cs="Calibri"/>
                <w:sz w:val="24"/>
                <w:szCs w:val="24"/>
              </w:rPr>
            </w:pPr>
          </w:p>
        </w:tc>
      </w:tr>
      <w:tr w:rsidR="006D0E96" w:rsidRPr="00360A2B" w:rsidTr="006D0E96">
        <w:trPr>
          <w:trHeight w:val="141"/>
        </w:trPr>
        <w:tc>
          <w:tcPr>
            <w:tcW w:w="2965" w:type="dxa"/>
            <w:tcBorders>
              <w:bottom w:val="single" w:sz="4" w:space="0" w:color="auto"/>
            </w:tcBorders>
            <w:shd w:val="clear" w:color="auto" w:fill="BFBFBF"/>
          </w:tcPr>
          <w:p w:rsidR="006D0E96" w:rsidRPr="00360A2B" w:rsidRDefault="006D0E96" w:rsidP="006D0E96">
            <w:pPr>
              <w:spacing w:before="120" w:after="60" w:line="240" w:lineRule="auto"/>
              <w:rPr>
                <w:rFonts w:cs="Calibri"/>
                <w:sz w:val="24"/>
                <w:szCs w:val="24"/>
              </w:rPr>
            </w:pPr>
            <w:r w:rsidRPr="00360A2B">
              <w:rPr>
                <w:rFonts w:cs="Calibri"/>
                <w:sz w:val="24"/>
                <w:szCs w:val="24"/>
              </w:rPr>
              <w:t>Индикатори</w:t>
            </w:r>
          </w:p>
        </w:tc>
        <w:tc>
          <w:tcPr>
            <w:tcW w:w="6959" w:type="dxa"/>
            <w:tcBorders>
              <w:bottom w:val="single" w:sz="4" w:space="0" w:color="auto"/>
            </w:tcBorders>
            <w:shd w:val="clear" w:color="auto" w:fill="auto"/>
          </w:tcPr>
          <w:p w:rsidR="006D0E96" w:rsidRPr="00360A2B" w:rsidRDefault="006D0E96" w:rsidP="006D0E96">
            <w:pPr>
              <w:spacing w:before="120" w:after="120" w:line="240" w:lineRule="auto"/>
              <w:jc w:val="both"/>
              <w:rPr>
                <w:rFonts w:cs="Calibri"/>
                <w:b/>
                <w:sz w:val="24"/>
                <w:szCs w:val="24"/>
                <w:u w:val="single"/>
              </w:rPr>
            </w:pPr>
            <w:r w:rsidRPr="00360A2B">
              <w:rPr>
                <w:rFonts w:cs="Calibri"/>
                <w:b/>
                <w:sz w:val="24"/>
                <w:szCs w:val="24"/>
                <w:u w:val="single"/>
              </w:rPr>
              <w:t>Индикатори:</w:t>
            </w:r>
          </w:p>
          <w:p w:rsidR="006D0E96" w:rsidRPr="00360A2B" w:rsidRDefault="002D69EF" w:rsidP="006D0E96">
            <w:pPr>
              <w:spacing w:before="120" w:after="120" w:line="240" w:lineRule="auto"/>
              <w:rPr>
                <w:rFonts w:cs="Calibri"/>
                <w:noProof/>
                <w:color w:val="000000"/>
                <w:sz w:val="24"/>
                <w:szCs w:val="24"/>
              </w:rPr>
            </w:pPr>
            <w:r w:rsidRPr="002D69EF">
              <w:rPr>
                <w:rFonts w:cs="Calibri"/>
                <w:noProof/>
                <w:color w:val="000000"/>
                <w:sz w:val="24"/>
                <w:szCs w:val="24"/>
              </w:rPr>
              <w:t>CO01</w:t>
            </w:r>
            <w:r>
              <w:rPr>
                <w:rFonts w:cs="Calibri"/>
                <w:noProof/>
                <w:color w:val="000000"/>
                <w:sz w:val="24"/>
                <w:szCs w:val="24"/>
              </w:rPr>
              <w:t xml:space="preserve"> </w:t>
            </w:r>
            <w:r w:rsidR="006D0E96" w:rsidRPr="00360A2B">
              <w:rPr>
                <w:rFonts w:cs="Calibri"/>
                <w:noProof/>
                <w:color w:val="000000"/>
                <w:sz w:val="24"/>
                <w:szCs w:val="24"/>
              </w:rPr>
              <w:t xml:space="preserve">Производствени инвестиции: Брой предприятия, получаващи подкрепа </w:t>
            </w:r>
            <w:r>
              <w:rPr>
                <w:rFonts w:cs="Calibri"/>
                <w:noProof/>
                <w:color w:val="000000"/>
                <w:sz w:val="24"/>
                <w:szCs w:val="24"/>
              </w:rPr>
              <w:t>(ЕФРР</w:t>
            </w:r>
            <w:r w:rsidR="00E33FBD">
              <w:rPr>
                <w:rFonts w:cs="Calibri"/>
                <w:noProof/>
                <w:color w:val="000000"/>
                <w:sz w:val="24"/>
                <w:szCs w:val="24"/>
              </w:rPr>
              <w:t>/КФ</w:t>
            </w:r>
            <w:r>
              <w:rPr>
                <w:rFonts w:cs="Calibri"/>
                <w:noProof/>
                <w:color w:val="000000"/>
                <w:sz w:val="24"/>
                <w:szCs w:val="24"/>
              </w:rPr>
              <w:t>)</w:t>
            </w:r>
          </w:p>
          <w:p w:rsidR="006D0E96" w:rsidRPr="00360A2B" w:rsidRDefault="002D69EF" w:rsidP="006D0E96">
            <w:pPr>
              <w:spacing w:before="120" w:after="120" w:line="240" w:lineRule="auto"/>
              <w:rPr>
                <w:rFonts w:cs="Calibri"/>
                <w:noProof/>
                <w:color w:val="000000"/>
                <w:sz w:val="24"/>
                <w:szCs w:val="24"/>
              </w:rPr>
            </w:pPr>
            <w:r>
              <w:t xml:space="preserve"> </w:t>
            </w:r>
            <w:r w:rsidRPr="002D69EF">
              <w:rPr>
                <w:rFonts w:cs="Calibri"/>
                <w:noProof/>
                <w:color w:val="000000"/>
                <w:sz w:val="24"/>
                <w:szCs w:val="24"/>
              </w:rPr>
              <w:t>CO02</w:t>
            </w:r>
            <w:r w:rsidR="006D0E96" w:rsidRPr="00360A2B">
              <w:rPr>
                <w:rFonts w:cs="Calibri"/>
                <w:noProof/>
                <w:color w:val="000000"/>
                <w:sz w:val="24"/>
                <w:szCs w:val="24"/>
              </w:rPr>
              <w:t xml:space="preserve"> Производствени инвестиции: Брой предприятия, които получават безвъзмездни средства</w:t>
            </w:r>
            <w:r>
              <w:rPr>
                <w:rFonts w:cs="Calibri"/>
                <w:noProof/>
                <w:color w:val="000000"/>
                <w:sz w:val="24"/>
                <w:szCs w:val="24"/>
              </w:rPr>
              <w:t xml:space="preserve"> (ЕФРР</w:t>
            </w:r>
            <w:r w:rsidR="00E33FBD">
              <w:rPr>
                <w:rFonts w:cs="Calibri"/>
                <w:noProof/>
                <w:color w:val="000000"/>
                <w:sz w:val="24"/>
                <w:szCs w:val="24"/>
              </w:rPr>
              <w:t>/КФ</w:t>
            </w:r>
            <w:r>
              <w:rPr>
                <w:rFonts w:cs="Calibri"/>
                <w:noProof/>
                <w:color w:val="000000"/>
                <w:sz w:val="24"/>
                <w:szCs w:val="24"/>
              </w:rPr>
              <w:t>)</w:t>
            </w:r>
          </w:p>
          <w:p w:rsidR="002D69EF" w:rsidRPr="00E33FBD" w:rsidRDefault="002D69EF" w:rsidP="002D69EF">
            <w:pPr>
              <w:spacing w:before="120" w:after="120" w:line="240" w:lineRule="auto"/>
              <w:rPr>
                <w:rFonts w:cs="Calibri"/>
                <w:noProof/>
                <w:color w:val="000000"/>
                <w:sz w:val="24"/>
                <w:szCs w:val="24"/>
              </w:rPr>
            </w:pPr>
            <w:r>
              <w:rPr>
                <w:rFonts w:cs="Calibri"/>
                <w:noProof/>
                <w:color w:val="000000"/>
                <w:sz w:val="24"/>
                <w:szCs w:val="24"/>
              </w:rPr>
              <w:t>8.1</w:t>
            </w:r>
            <w:r w:rsidR="00293052">
              <w:rPr>
                <w:rFonts w:cs="Calibri"/>
                <w:noProof/>
                <w:color w:val="000000"/>
                <w:sz w:val="24"/>
                <w:szCs w:val="24"/>
              </w:rPr>
              <w:t xml:space="preserve"> </w:t>
            </w:r>
            <w:r w:rsidR="006D0E96" w:rsidRPr="00360A2B">
              <w:rPr>
                <w:rFonts w:cs="Calibri"/>
                <w:noProof/>
                <w:color w:val="000000"/>
                <w:sz w:val="24"/>
                <w:szCs w:val="24"/>
              </w:rPr>
              <w:t>Безвъзмездни средства за компенсиране на завишените цени на енергията на МСП</w:t>
            </w:r>
            <w:r>
              <w:rPr>
                <w:rFonts w:cs="Calibri"/>
                <w:noProof/>
                <w:color w:val="000000"/>
                <w:sz w:val="24"/>
                <w:szCs w:val="24"/>
              </w:rPr>
              <w:t xml:space="preserve"> (ЕФРР</w:t>
            </w:r>
            <w:r w:rsidR="00E33FBD">
              <w:rPr>
                <w:rFonts w:cs="Calibri"/>
                <w:noProof/>
                <w:color w:val="000000"/>
                <w:sz w:val="24"/>
                <w:szCs w:val="24"/>
              </w:rPr>
              <w:t>/КФ</w:t>
            </w:r>
            <w:r>
              <w:rPr>
                <w:rFonts w:cs="Calibri"/>
                <w:noProof/>
                <w:color w:val="000000"/>
                <w:sz w:val="24"/>
                <w:szCs w:val="24"/>
              </w:rPr>
              <w:t>)</w:t>
            </w:r>
          </w:p>
        </w:tc>
      </w:tr>
      <w:tr w:rsidR="006D0E96" w:rsidRPr="00360A2B" w:rsidTr="009760FF">
        <w:trPr>
          <w:trHeight w:val="141"/>
        </w:trPr>
        <w:tc>
          <w:tcPr>
            <w:tcW w:w="9924" w:type="dxa"/>
            <w:gridSpan w:val="2"/>
            <w:tcBorders>
              <w:left w:val="nil"/>
              <w:right w:val="nil"/>
            </w:tcBorders>
            <w:shd w:val="clear" w:color="auto" w:fill="auto"/>
          </w:tcPr>
          <w:p w:rsidR="006D0E96" w:rsidRPr="00360A2B" w:rsidRDefault="006D0E96" w:rsidP="006D0E96">
            <w:pPr>
              <w:spacing w:before="120" w:after="120" w:line="240" w:lineRule="auto"/>
              <w:rPr>
                <w:rFonts w:cs="Calibri"/>
                <w:sz w:val="24"/>
                <w:szCs w:val="24"/>
              </w:rPr>
            </w:pPr>
          </w:p>
        </w:tc>
      </w:tr>
    </w:tbl>
    <w:p w:rsidR="00C6183E" w:rsidRPr="00360A2B" w:rsidRDefault="00C6183E" w:rsidP="00C6183E">
      <w:pPr>
        <w:rPr>
          <w:rFonts w:cs="Calibri"/>
          <w:sz w:val="24"/>
          <w:szCs w:val="24"/>
        </w:rPr>
      </w:pPr>
    </w:p>
    <w:p w:rsidR="004846C7" w:rsidRPr="00360A2B" w:rsidRDefault="004846C7">
      <w:pPr>
        <w:rPr>
          <w:rFonts w:cs="Calibri"/>
          <w:sz w:val="24"/>
          <w:szCs w:val="24"/>
        </w:rPr>
      </w:pPr>
    </w:p>
    <w:sectPr w:rsidR="004846C7" w:rsidRPr="00360A2B" w:rsidSect="007C6223">
      <w:headerReference w:type="default" r:id="rId9"/>
      <w:pgSz w:w="11906" w:h="16838"/>
      <w:pgMar w:top="1417" w:right="566" w:bottom="1276" w:left="141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15" w:rsidRDefault="002D1415" w:rsidP="008F4E92">
      <w:pPr>
        <w:spacing w:after="0" w:line="240" w:lineRule="auto"/>
      </w:pPr>
      <w:r>
        <w:separator/>
      </w:r>
    </w:p>
  </w:endnote>
  <w:endnote w:type="continuationSeparator" w:id="0">
    <w:p w:rsidR="002D1415" w:rsidRDefault="002D1415" w:rsidP="008F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15" w:rsidRDefault="002D1415" w:rsidP="008F4E92">
      <w:pPr>
        <w:spacing w:after="0" w:line="240" w:lineRule="auto"/>
      </w:pPr>
      <w:r>
        <w:separator/>
      </w:r>
    </w:p>
  </w:footnote>
  <w:footnote w:type="continuationSeparator" w:id="0">
    <w:p w:rsidR="002D1415" w:rsidRDefault="002D1415" w:rsidP="008F4E92">
      <w:pPr>
        <w:spacing w:after="0" w:line="240" w:lineRule="auto"/>
      </w:pPr>
      <w:r>
        <w:continuationSeparator/>
      </w:r>
    </w:p>
  </w:footnote>
  <w:footnote w:id="1">
    <w:p w:rsidR="00183EAC" w:rsidRDefault="00183EAC" w:rsidP="00183EAC">
      <w:pPr>
        <w:pStyle w:val="FootnoteText"/>
      </w:pPr>
      <w:r w:rsidRPr="00F75CB3">
        <w:rPr>
          <w:rStyle w:val="FootnoteReference"/>
        </w:rPr>
        <w:footnoteRef/>
      </w:r>
      <w:r w:rsidRPr="00F75CB3">
        <w:t xml:space="preserve"> В съответствие с чл. 125, параграф 3, буква „г“ на Регламент (ЕС) №1303/2013</w:t>
      </w:r>
    </w:p>
  </w:footnote>
  <w:footnote w:id="2">
    <w:p w:rsidR="006D0E96" w:rsidRDefault="006D0E96" w:rsidP="006D0E96">
      <w:pPr>
        <w:pStyle w:val="FootnoteText"/>
        <w:jc w:val="both"/>
      </w:pPr>
      <w:r>
        <w:rPr>
          <w:rStyle w:val="FootnoteReference"/>
        </w:rPr>
        <w:footnoteRef/>
      </w:r>
      <w:r>
        <w:t xml:space="preserve"> Изплатена съгласно </w:t>
      </w:r>
      <w:r w:rsidRPr="00592E0D">
        <w:t xml:space="preserve">двете национални програми - Програма за компенсиране на небитови крайни клиенти на електрическа енергия, одобрена </w:t>
      </w:r>
      <w:r>
        <w:t>с РМС</w:t>
      </w:r>
      <w:r w:rsidRPr="00592E0D">
        <w:t xml:space="preserve"> № 30</w:t>
      </w:r>
      <w:r>
        <w:t>/2022 г.</w:t>
      </w:r>
      <w:r w:rsidRPr="00592E0D">
        <w:t xml:space="preserve"> и Програма за компенсиране на небитови крайни клиенти на електрическа енергия, одобрена с Р</w:t>
      </w:r>
      <w:r>
        <w:t>МС</w:t>
      </w:r>
      <w:r w:rsidRPr="00592E0D">
        <w:t xml:space="preserve"> № 534</w:t>
      </w:r>
      <w:r>
        <w:t>/</w:t>
      </w:r>
      <w:r w:rsidRPr="00592E0D">
        <w:t>2022 г.</w:t>
      </w:r>
    </w:p>
  </w:footnote>
  <w:footnote w:id="3">
    <w:p w:rsidR="006D0E96" w:rsidRDefault="006D0E96" w:rsidP="007A4758">
      <w:pPr>
        <w:pStyle w:val="FootnoteText"/>
        <w:jc w:val="both"/>
      </w:pPr>
      <w:r>
        <w:rPr>
          <w:rStyle w:val="FootnoteReference"/>
        </w:rPr>
        <w:footnoteRef/>
      </w:r>
      <w:r>
        <w:t xml:space="preserve"> При оценката на а</w:t>
      </w:r>
      <w:r w:rsidRPr="000374A0">
        <w:t>дминистратив</w:t>
      </w:r>
      <w:r>
        <w:t>ния к</w:t>
      </w:r>
      <w:r w:rsidRPr="000374A0">
        <w:t xml:space="preserve">апацитет </w:t>
      </w:r>
      <w:r>
        <w:t xml:space="preserve">се взема предвид следното: </w:t>
      </w:r>
      <w:r w:rsidRPr="000374A0">
        <w:t>екипът за изпълнение на проекта е съобразен със спецификата и обема дейности по проекта и гарантира ефективното управление и изпълнение на проекта от с</w:t>
      </w:r>
      <w:r>
        <w:t xml:space="preserve">трана на конкретния бенефициент. </w:t>
      </w:r>
    </w:p>
  </w:footnote>
  <w:footnote w:id="4">
    <w:p w:rsidR="006D0E96" w:rsidRDefault="006D0E96" w:rsidP="007A4758">
      <w:pPr>
        <w:pStyle w:val="FootnoteText"/>
        <w:jc w:val="both"/>
      </w:pPr>
      <w:r>
        <w:rPr>
          <w:rStyle w:val="FootnoteReference"/>
        </w:rPr>
        <w:footnoteRef/>
      </w:r>
      <w:r>
        <w:t xml:space="preserve"> </w:t>
      </w:r>
      <w:r w:rsidR="00293052">
        <w:t xml:space="preserve">При оценката на финансовия капацитет се взема предвид  </w:t>
      </w:r>
      <w:r w:rsidR="00293052" w:rsidRPr="00735000">
        <w:t>наличие</w:t>
      </w:r>
      <w:r w:rsidR="00293052">
        <w:t>то</w:t>
      </w:r>
      <w:r w:rsidR="00293052" w:rsidRPr="00735000">
        <w:t xml:space="preserve"> на изградена система за финансово управление и контрол</w:t>
      </w:r>
      <w:r w:rsidR="00293052">
        <w:t>.</w:t>
      </w:r>
    </w:p>
  </w:footnote>
  <w:footnote w:id="5">
    <w:p w:rsidR="006D0E96" w:rsidRDefault="006D0E96" w:rsidP="00183EAC">
      <w:pPr>
        <w:pStyle w:val="FootnoteText"/>
        <w:jc w:val="both"/>
      </w:pPr>
      <w:r>
        <w:rPr>
          <w:rStyle w:val="FootnoteReference"/>
        </w:rPr>
        <w:footnoteRef/>
      </w:r>
      <w:r>
        <w:t xml:space="preserve"> При оценката на оперативния капацитет се взема предвид следното: </w:t>
      </w:r>
      <w:r w:rsidRPr="00C01F6F">
        <w:t xml:space="preserve">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  </w:t>
      </w:r>
    </w:p>
  </w:footnote>
  <w:footnote w:id="6">
    <w:p w:rsidR="006D0E96" w:rsidRPr="00BE7C95" w:rsidRDefault="006D0E96" w:rsidP="00183EAC">
      <w:pPr>
        <w:pStyle w:val="FootnoteText"/>
      </w:pPr>
      <w:r>
        <w:rPr>
          <w:rStyle w:val="FootnoteReference"/>
        </w:rPr>
        <w:footnoteRef/>
      </w:r>
      <w:r>
        <w:t xml:space="preserve"> В съответствие с чл. 65, пар. 11 от Регламент </w:t>
      </w:r>
      <w:r w:rsidRPr="00E078C8">
        <w:t>(</w:t>
      </w:r>
      <w:r>
        <w:t>ЕС</w:t>
      </w:r>
      <w:r w:rsidRPr="00E078C8">
        <w:t>)</w:t>
      </w:r>
      <w:r>
        <w:t xml:space="preserve"> №: 1303/2013.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31C" w:rsidRDefault="003A431C">
    <w:pPr>
      <w:pStyle w:val="Header"/>
    </w:pPr>
  </w:p>
  <w:p w:rsidR="00CE47A0" w:rsidRDefault="00CE47A0" w:rsidP="00CE47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570C22"/>
    <w:multiLevelType w:val="multilevel"/>
    <w:tmpl w:val="0B7ABE62"/>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1051" w:hanging="72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2808" w:hanging="1080"/>
      </w:pPr>
      <w:rPr>
        <w:rFonts w:hint="default"/>
      </w:rPr>
    </w:lvl>
    <w:lvl w:ilvl="4">
      <w:start w:val="1"/>
      <w:numFmt w:val="decimal"/>
      <w:isLgl/>
      <w:lvlText w:val="%1.%2.%3.%4.%5"/>
      <w:lvlJc w:val="left"/>
      <w:pPr>
        <w:ind w:left="3744"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256" w:hanging="1800"/>
      </w:pPr>
      <w:rPr>
        <w:rFonts w:hint="default"/>
      </w:rPr>
    </w:lvl>
    <w:lvl w:ilvl="7">
      <w:start w:val="1"/>
      <w:numFmt w:val="decimal"/>
      <w:isLgl/>
      <w:lvlText w:val="%1.%2.%3.%4.%5.%6.%7.%8"/>
      <w:lvlJc w:val="left"/>
      <w:pPr>
        <w:ind w:left="6192" w:hanging="2160"/>
      </w:pPr>
      <w:rPr>
        <w:rFonts w:hint="default"/>
      </w:rPr>
    </w:lvl>
    <w:lvl w:ilvl="8">
      <w:start w:val="1"/>
      <w:numFmt w:val="decimal"/>
      <w:isLgl/>
      <w:lvlText w:val="%1.%2.%3.%4.%5.%6.%7.%8.%9"/>
      <w:lvlJc w:val="left"/>
      <w:pPr>
        <w:ind w:left="6768" w:hanging="2160"/>
      </w:pPr>
      <w:rPr>
        <w:rFonts w:hint="default"/>
      </w:rPr>
    </w:lvl>
  </w:abstractNum>
  <w:abstractNum w:abstractNumId="2" w15:restartNumberingAfterBreak="0">
    <w:nsid w:val="384B4174"/>
    <w:multiLevelType w:val="hybridMultilevel"/>
    <w:tmpl w:val="8BE415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FD50F9F"/>
    <w:multiLevelType w:val="hybridMultilevel"/>
    <w:tmpl w:val="3C1C5DBE"/>
    <w:lvl w:ilvl="0" w:tplc="CE5C3B4C">
      <w:start w:val="4"/>
      <w:numFmt w:val="bullet"/>
      <w:lvlText w:val="-"/>
      <w:lvlJc w:val="left"/>
      <w:pPr>
        <w:ind w:left="393" w:hanging="360"/>
      </w:pPr>
      <w:rPr>
        <w:rFonts w:ascii="Verdana" w:eastAsia="Calibri" w:hAnsi="Verdana" w:cs="Times New Roman" w:hint="default"/>
      </w:rPr>
    </w:lvl>
    <w:lvl w:ilvl="1" w:tplc="04020003" w:tentative="1">
      <w:start w:val="1"/>
      <w:numFmt w:val="bullet"/>
      <w:lvlText w:val="o"/>
      <w:lvlJc w:val="left"/>
      <w:pPr>
        <w:ind w:left="1113" w:hanging="360"/>
      </w:pPr>
      <w:rPr>
        <w:rFonts w:ascii="Courier New" w:hAnsi="Courier New" w:cs="Courier New" w:hint="default"/>
      </w:rPr>
    </w:lvl>
    <w:lvl w:ilvl="2" w:tplc="04020005" w:tentative="1">
      <w:start w:val="1"/>
      <w:numFmt w:val="bullet"/>
      <w:lvlText w:val=""/>
      <w:lvlJc w:val="left"/>
      <w:pPr>
        <w:ind w:left="1833" w:hanging="360"/>
      </w:pPr>
      <w:rPr>
        <w:rFonts w:ascii="Wingdings" w:hAnsi="Wingdings" w:hint="default"/>
      </w:rPr>
    </w:lvl>
    <w:lvl w:ilvl="3" w:tplc="04020001" w:tentative="1">
      <w:start w:val="1"/>
      <w:numFmt w:val="bullet"/>
      <w:lvlText w:val=""/>
      <w:lvlJc w:val="left"/>
      <w:pPr>
        <w:ind w:left="2553" w:hanging="360"/>
      </w:pPr>
      <w:rPr>
        <w:rFonts w:ascii="Symbol" w:hAnsi="Symbol" w:hint="default"/>
      </w:rPr>
    </w:lvl>
    <w:lvl w:ilvl="4" w:tplc="04020003" w:tentative="1">
      <w:start w:val="1"/>
      <w:numFmt w:val="bullet"/>
      <w:lvlText w:val="o"/>
      <w:lvlJc w:val="left"/>
      <w:pPr>
        <w:ind w:left="3273" w:hanging="360"/>
      </w:pPr>
      <w:rPr>
        <w:rFonts w:ascii="Courier New" w:hAnsi="Courier New" w:cs="Courier New" w:hint="default"/>
      </w:rPr>
    </w:lvl>
    <w:lvl w:ilvl="5" w:tplc="04020005" w:tentative="1">
      <w:start w:val="1"/>
      <w:numFmt w:val="bullet"/>
      <w:lvlText w:val=""/>
      <w:lvlJc w:val="left"/>
      <w:pPr>
        <w:ind w:left="3993" w:hanging="360"/>
      </w:pPr>
      <w:rPr>
        <w:rFonts w:ascii="Wingdings" w:hAnsi="Wingdings" w:hint="default"/>
      </w:rPr>
    </w:lvl>
    <w:lvl w:ilvl="6" w:tplc="04020001" w:tentative="1">
      <w:start w:val="1"/>
      <w:numFmt w:val="bullet"/>
      <w:lvlText w:val=""/>
      <w:lvlJc w:val="left"/>
      <w:pPr>
        <w:ind w:left="4713" w:hanging="360"/>
      </w:pPr>
      <w:rPr>
        <w:rFonts w:ascii="Symbol" w:hAnsi="Symbol" w:hint="default"/>
      </w:rPr>
    </w:lvl>
    <w:lvl w:ilvl="7" w:tplc="04020003" w:tentative="1">
      <w:start w:val="1"/>
      <w:numFmt w:val="bullet"/>
      <w:lvlText w:val="o"/>
      <w:lvlJc w:val="left"/>
      <w:pPr>
        <w:ind w:left="5433" w:hanging="360"/>
      </w:pPr>
      <w:rPr>
        <w:rFonts w:ascii="Courier New" w:hAnsi="Courier New" w:cs="Courier New" w:hint="default"/>
      </w:rPr>
    </w:lvl>
    <w:lvl w:ilvl="8" w:tplc="04020005" w:tentative="1">
      <w:start w:val="1"/>
      <w:numFmt w:val="bullet"/>
      <w:lvlText w:val=""/>
      <w:lvlJc w:val="left"/>
      <w:pPr>
        <w:ind w:left="6153" w:hanging="360"/>
      </w:pPr>
      <w:rPr>
        <w:rFonts w:ascii="Wingdings" w:hAnsi="Wingdings" w:hint="default"/>
      </w:rPr>
    </w:lvl>
  </w:abstractNum>
  <w:abstractNum w:abstractNumId="4" w15:restartNumberingAfterBreak="0">
    <w:nsid w:val="4952133A"/>
    <w:multiLevelType w:val="hybridMultilevel"/>
    <w:tmpl w:val="ACF8570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CE129CC"/>
    <w:multiLevelType w:val="hybridMultilevel"/>
    <w:tmpl w:val="8940F88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FAD474F"/>
    <w:multiLevelType w:val="hybridMultilevel"/>
    <w:tmpl w:val="C1903BBC"/>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61350894"/>
    <w:multiLevelType w:val="hybridMultilevel"/>
    <w:tmpl w:val="63901E56"/>
    <w:lvl w:ilvl="0" w:tplc="3DFC64EE">
      <w:start w:val="50"/>
      <w:numFmt w:val="bullet"/>
      <w:lvlText w:val="-"/>
      <w:lvlJc w:val="left"/>
      <w:pPr>
        <w:ind w:left="720" w:hanging="360"/>
      </w:pPr>
      <w:rPr>
        <w:rFonts w:ascii="Verdana" w:eastAsia="Calibri"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4F02752"/>
    <w:multiLevelType w:val="hybridMultilevel"/>
    <w:tmpl w:val="B46E66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7B14E32"/>
    <w:multiLevelType w:val="hybridMultilevel"/>
    <w:tmpl w:val="55C82E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94B15D4"/>
    <w:multiLevelType w:val="hybridMultilevel"/>
    <w:tmpl w:val="AE903E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C577B28"/>
    <w:multiLevelType w:val="hybridMultilevel"/>
    <w:tmpl w:val="081C8A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 w:numId="8">
    <w:abstractNumId w:val="9"/>
  </w:num>
  <w:num w:numId="9">
    <w:abstractNumId w:val="8"/>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6C7"/>
    <w:rsid w:val="0000071F"/>
    <w:rsid w:val="00000D10"/>
    <w:rsid w:val="00007203"/>
    <w:rsid w:val="00011852"/>
    <w:rsid w:val="00012165"/>
    <w:rsid w:val="00012F62"/>
    <w:rsid w:val="0001412C"/>
    <w:rsid w:val="000263CB"/>
    <w:rsid w:val="00030669"/>
    <w:rsid w:val="00031A50"/>
    <w:rsid w:val="00033E66"/>
    <w:rsid w:val="00042449"/>
    <w:rsid w:val="000427BD"/>
    <w:rsid w:val="00045321"/>
    <w:rsid w:val="00045D0C"/>
    <w:rsid w:val="00047289"/>
    <w:rsid w:val="00050AAD"/>
    <w:rsid w:val="00077DFC"/>
    <w:rsid w:val="00080CE6"/>
    <w:rsid w:val="00082911"/>
    <w:rsid w:val="000841D5"/>
    <w:rsid w:val="00094455"/>
    <w:rsid w:val="00094BA3"/>
    <w:rsid w:val="000A29CF"/>
    <w:rsid w:val="000A7618"/>
    <w:rsid w:val="000A7C2A"/>
    <w:rsid w:val="000B05D9"/>
    <w:rsid w:val="000B1FF4"/>
    <w:rsid w:val="000B5BAE"/>
    <w:rsid w:val="000B6377"/>
    <w:rsid w:val="000C3969"/>
    <w:rsid w:val="000C6C89"/>
    <w:rsid w:val="000D2475"/>
    <w:rsid w:val="000D63EC"/>
    <w:rsid w:val="000D641A"/>
    <w:rsid w:val="000D69EE"/>
    <w:rsid w:val="000E5FB2"/>
    <w:rsid w:val="000F33C7"/>
    <w:rsid w:val="00102F33"/>
    <w:rsid w:val="00107CE4"/>
    <w:rsid w:val="0011536D"/>
    <w:rsid w:val="0011554A"/>
    <w:rsid w:val="0011700C"/>
    <w:rsid w:val="00117D40"/>
    <w:rsid w:val="00125D87"/>
    <w:rsid w:val="0012693D"/>
    <w:rsid w:val="00126C02"/>
    <w:rsid w:val="00133E32"/>
    <w:rsid w:val="00140776"/>
    <w:rsid w:val="00141E9B"/>
    <w:rsid w:val="00143EC4"/>
    <w:rsid w:val="001442E4"/>
    <w:rsid w:val="00150E91"/>
    <w:rsid w:val="001561A9"/>
    <w:rsid w:val="00156951"/>
    <w:rsid w:val="00163325"/>
    <w:rsid w:val="00164121"/>
    <w:rsid w:val="00165488"/>
    <w:rsid w:val="00173A5F"/>
    <w:rsid w:val="001803DD"/>
    <w:rsid w:val="00183EAC"/>
    <w:rsid w:val="00186835"/>
    <w:rsid w:val="00193EDE"/>
    <w:rsid w:val="0019488B"/>
    <w:rsid w:val="001975FE"/>
    <w:rsid w:val="001A11C8"/>
    <w:rsid w:val="001A45F9"/>
    <w:rsid w:val="001A795D"/>
    <w:rsid w:val="001A7D1B"/>
    <w:rsid w:val="001B1859"/>
    <w:rsid w:val="001B6B5B"/>
    <w:rsid w:val="001B713E"/>
    <w:rsid w:val="001C0A0B"/>
    <w:rsid w:val="001C29C4"/>
    <w:rsid w:val="001D1392"/>
    <w:rsid w:val="001E0ECE"/>
    <w:rsid w:val="001E1E7D"/>
    <w:rsid w:val="001E3579"/>
    <w:rsid w:val="001E463C"/>
    <w:rsid w:val="001E72F5"/>
    <w:rsid w:val="001F64C4"/>
    <w:rsid w:val="0020562A"/>
    <w:rsid w:val="00206F5B"/>
    <w:rsid w:val="002141AB"/>
    <w:rsid w:val="002247DF"/>
    <w:rsid w:val="002322B4"/>
    <w:rsid w:val="00233D10"/>
    <w:rsid w:val="002368E0"/>
    <w:rsid w:val="0023731B"/>
    <w:rsid w:val="00243703"/>
    <w:rsid w:val="0024510E"/>
    <w:rsid w:val="00254EF1"/>
    <w:rsid w:val="002571FE"/>
    <w:rsid w:val="00262A8D"/>
    <w:rsid w:val="0026477C"/>
    <w:rsid w:val="00267683"/>
    <w:rsid w:val="00267700"/>
    <w:rsid w:val="00267F3E"/>
    <w:rsid w:val="00272CD5"/>
    <w:rsid w:val="002769CD"/>
    <w:rsid w:val="00280EE5"/>
    <w:rsid w:val="00282634"/>
    <w:rsid w:val="002878B6"/>
    <w:rsid w:val="00287C8D"/>
    <w:rsid w:val="00287FCB"/>
    <w:rsid w:val="00292181"/>
    <w:rsid w:val="00292FC3"/>
    <w:rsid w:val="00293052"/>
    <w:rsid w:val="002939E4"/>
    <w:rsid w:val="00296A33"/>
    <w:rsid w:val="002B383A"/>
    <w:rsid w:val="002B4F23"/>
    <w:rsid w:val="002C2139"/>
    <w:rsid w:val="002C553A"/>
    <w:rsid w:val="002D1211"/>
    <w:rsid w:val="002D1415"/>
    <w:rsid w:val="002D2B9A"/>
    <w:rsid w:val="002D69EF"/>
    <w:rsid w:val="002E1546"/>
    <w:rsid w:val="002E75D2"/>
    <w:rsid w:val="002F121E"/>
    <w:rsid w:val="002F53E8"/>
    <w:rsid w:val="00314CD7"/>
    <w:rsid w:val="00316B9C"/>
    <w:rsid w:val="003208CF"/>
    <w:rsid w:val="00323030"/>
    <w:rsid w:val="00323860"/>
    <w:rsid w:val="00326EAE"/>
    <w:rsid w:val="00331961"/>
    <w:rsid w:val="003332BB"/>
    <w:rsid w:val="00337C0D"/>
    <w:rsid w:val="003416E9"/>
    <w:rsid w:val="00347575"/>
    <w:rsid w:val="00347D7D"/>
    <w:rsid w:val="00353A92"/>
    <w:rsid w:val="00353E30"/>
    <w:rsid w:val="00356FBC"/>
    <w:rsid w:val="00360A2B"/>
    <w:rsid w:val="00362A2D"/>
    <w:rsid w:val="00363AB6"/>
    <w:rsid w:val="003654D7"/>
    <w:rsid w:val="003711FA"/>
    <w:rsid w:val="00371C18"/>
    <w:rsid w:val="00372219"/>
    <w:rsid w:val="003751FB"/>
    <w:rsid w:val="0037629B"/>
    <w:rsid w:val="0037728D"/>
    <w:rsid w:val="0038606B"/>
    <w:rsid w:val="00393951"/>
    <w:rsid w:val="00394DE9"/>
    <w:rsid w:val="003A26B1"/>
    <w:rsid w:val="003A431C"/>
    <w:rsid w:val="003A6DD1"/>
    <w:rsid w:val="003A7311"/>
    <w:rsid w:val="003A7779"/>
    <w:rsid w:val="003B2004"/>
    <w:rsid w:val="003B366E"/>
    <w:rsid w:val="003B5E7E"/>
    <w:rsid w:val="003B65D3"/>
    <w:rsid w:val="003C19A1"/>
    <w:rsid w:val="003C1B4F"/>
    <w:rsid w:val="003C3780"/>
    <w:rsid w:val="003C7558"/>
    <w:rsid w:val="003D0438"/>
    <w:rsid w:val="003E039F"/>
    <w:rsid w:val="003E13FD"/>
    <w:rsid w:val="003E328E"/>
    <w:rsid w:val="003E3556"/>
    <w:rsid w:val="003E6741"/>
    <w:rsid w:val="003F36C4"/>
    <w:rsid w:val="003F410D"/>
    <w:rsid w:val="003F4643"/>
    <w:rsid w:val="003F5371"/>
    <w:rsid w:val="003F55AE"/>
    <w:rsid w:val="00401898"/>
    <w:rsid w:val="00407B66"/>
    <w:rsid w:val="00417CB7"/>
    <w:rsid w:val="0042396C"/>
    <w:rsid w:val="00425A0E"/>
    <w:rsid w:val="00436A21"/>
    <w:rsid w:val="00440D70"/>
    <w:rsid w:val="00441619"/>
    <w:rsid w:val="0045128B"/>
    <w:rsid w:val="00453C2A"/>
    <w:rsid w:val="004567F3"/>
    <w:rsid w:val="00463236"/>
    <w:rsid w:val="00470C4F"/>
    <w:rsid w:val="004846C7"/>
    <w:rsid w:val="0049182F"/>
    <w:rsid w:val="00494B82"/>
    <w:rsid w:val="00496F57"/>
    <w:rsid w:val="004A2257"/>
    <w:rsid w:val="004B5B07"/>
    <w:rsid w:val="004B6B10"/>
    <w:rsid w:val="004B7E64"/>
    <w:rsid w:val="004C3EB1"/>
    <w:rsid w:val="004D6CB6"/>
    <w:rsid w:val="004E25D7"/>
    <w:rsid w:val="004E4884"/>
    <w:rsid w:val="004E4C18"/>
    <w:rsid w:val="004F2133"/>
    <w:rsid w:val="004F3EB9"/>
    <w:rsid w:val="00522D09"/>
    <w:rsid w:val="005241A6"/>
    <w:rsid w:val="005249B7"/>
    <w:rsid w:val="005254EA"/>
    <w:rsid w:val="00527DB1"/>
    <w:rsid w:val="00534376"/>
    <w:rsid w:val="00540D4F"/>
    <w:rsid w:val="00542758"/>
    <w:rsid w:val="0054283E"/>
    <w:rsid w:val="00547F8B"/>
    <w:rsid w:val="005536AF"/>
    <w:rsid w:val="0056240C"/>
    <w:rsid w:val="00571088"/>
    <w:rsid w:val="0057666C"/>
    <w:rsid w:val="00577925"/>
    <w:rsid w:val="00581A18"/>
    <w:rsid w:val="0058214E"/>
    <w:rsid w:val="005855D7"/>
    <w:rsid w:val="00586499"/>
    <w:rsid w:val="0059012A"/>
    <w:rsid w:val="00592E0D"/>
    <w:rsid w:val="00595642"/>
    <w:rsid w:val="005A2DC6"/>
    <w:rsid w:val="005A3426"/>
    <w:rsid w:val="005C14C4"/>
    <w:rsid w:val="005C253B"/>
    <w:rsid w:val="005D20E0"/>
    <w:rsid w:val="005D3818"/>
    <w:rsid w:val="005D38EF"/>
    <w:rsid w:val="005D57EE"/>
    <w:rsid w:val="005E0988"/>
    <w:rsid w:val="005E2702"/>
    <w:rsid w:val="005E79DB"/>
    <w:rsid w:val="005F16B6"/>
    <w:rsid w:val="005F3635"/>
    <w:rsid w:val="005F71ED"/>
    <w:rsid w:val="00602287"/>
    <w:rsid w:val="00605D29"/>
    <w:rsid w:val="00606031"/>
    <w:rsid w:val="00624567"/>
    <w:rsid w:val="00640527"/>
    <w:rsid w:val="00642DFC"/>
    <w:rsid w:val="00644E38"/>
    <w:rsid w:val="00645AE9"/>
    <w:rsid w:val="00647B6C"/>
    <w:rsid w:val="0065133E"/>
    <w:rsid w:val="00652704"/>
    <w:rsid w:val="00655EEF"/>
    <w:rsid w:val="0065647B"/>
    <w:rsid w:val="00687D91"/>
    <w:rsid w:val="0069188B"/>
    <w:rsid w:val="006B0318"/>
    <w:rsid w:val="006D0E96"/>
    <w:rsid w:val="006D629E"/>
    <w:rsid w:val="006E29EA"/>
    <w:rsid w:val="006E497C"/>
    <w:rsid w:val="006F1AE4"/>
    <w:rsid w:val="006F3DC2"/>
    <w:rsid w:val="00701695"/>
    <w:rsid w:val="00701873"/>
    <w:rsid w:val="007048A0"/>
    <w:rsid w:val="007143C6"/>
    <w:rsid w:val="007143C8"/>
    <w:rsid w:val="0071632A"/>
    <w:rsid w:val="00724730"/>
    <w:rsid w:val="00737A67"/>
    <w:rsid w:val="00740873"/>
    <w:rsid w:val="00740FE1"/>
    <w:rsid w:val="00742181"/>
    <w:rsid w:val="00750AD3"/>
    <w:rsid w:val="00755980"/>
    <w:rsid w:val="00762E2F"/>
    <w:rsid w:val="00763244"/>
    <w:rsid w:val="007637B8"/>
    <w:rsid w:val="007648ED"/>
    <w:rsid w:val="00764EBF"/>
    <w:rsid w:val="0076643E"/>
    <w:rsid w:val="007701D6"/>
    <w:rsid w:val="007722C6"/>
    <w:rsid w:val="0078279B"/>
    <w:rsid w:val="0078529D"/>
    <w:rsid w:val="00787041"/>
    <w:rsid w:val="007904C7"/>
    <w:rsid w:val="007911DE"/>
    <w:rsid w:val="0079177F"/>
    <w:rsid w:val="007965ED"/>
    <w:rsid w:val="00796D24"/>
    <w:rsid w:val="007A0984"/>
    <w:rsid w:val="007A1AD0"/>
    <w:rsid w:val="007A289C"/>
    <w:rsid w:val="007A2EA2"/>
    <w:rsid w:val="007A3D41"/>
    <w:rsid w:val="007A4758"/>
    <w:rsid w:val="007A7FC1"/>
    <w:rsid w:val="007B0C6C"/>
    <w:rsid w:val="007C6223"/>
    <w:rsid w:val="007C701B"/>
    <w:rsid w:val="007D0374"/>
    <w:rsid w:val="007D25BB"/>
    <w:rsid w:val="007D7E6B"/>
    <w:rsid w:val="007E7D41"/>
    <w:rsid w:val="007F236F"/>
    <w:rsid w:val="007F3CA4"/>
    <w:rsid w:val="007F50D2"/>
    <w:rsid w:val="007F5254"/>
    <w:rsid w:val="007F5261"/>
    <w:rsid w:val="00800027"/>
    <w:rsid w:val="00801569"/>
    <w:rsid w:val="008042F2"/>
    <w:rsid w:val="0080742F"/>
    <w:rsid w:val="00824D88"/>
    <w:rsid w:val="00832311"/>
    <w:rsid w:val="0083437B"/>
    <w:rsid w:val="00847D29"/>
    <w:rsid w:val="008571D7"/>
    <w:rsid w:val="008574A6"/>
    <w:rsid w:val="008672EA"/>
    <w:rsid w:val="00874B4B"/>
    <w:rsid w:val="00875888"/>
    <w:rsid w:val="00877213"/>
    <w:rsid w:val="0088132A"/>
    <w:rsid w:val="00881A92"/>
    <w:rsid w:val="00885302"/>
    <w:rsid w:val="008917EB"/>
    <w:rsid w:val="00895768"/>
    <w:rsid w:val="008B0143"/>
    <w:rsid w:val="008B051B"/>
    <w:rsid w:val="008B1C55"/>
    <w:rsid w:val="008B2ABD"/>
    <w:rsid w:val="008B6233"/>
    <w:rsid w:val="008D0080"/>
    <w:rsid w:val="008D2222"/>
    <w:rsid w:val="008E0CC7"/>
    <w:rsid w:val="008F34C6"/>
    <w:rsid w:val="008F4E92"/>
    <w:rsid w:val="00904FF5"/>
    <w:rsid w:val="009070A1"/>
    <w:rsid w:val="00907BA3"/>
    <w:rsid w:val="00907FD2"/>
    <w:rsid w:val="00910E36"/>
    <w:rsid w:val="009122F7"/>
    <w:rsid w:val="009221B0"/>
    <w:rsid w:val="009276A9"/>
    <w:rsid w:val="00934528"/>
    <w:rsid w:val="00937875"/>
    <w:rsid w:val="009405D3"/>
    <w:rsid w:val="00940ABF"/>
    <w:rsid w:val="009512E4"/>
    <w:rsid w:val="00951305"/>
    <w:rsid w:val="00952728"/>
    <w:rsid w:val="00952C3C"/>
    <w:rsid w:val="00955243"/>
    <w:rsid w:val="00955D33"/>
    <w:rsid w:val="009622B3"/>
    <w:rsid w:val="009660D7"/>
    <w:rsid w:val="009706F8"/>
    <w:rsid w:val="00971D40"/>
    <w:rsid w:val="009745DC"/>
    <w:rsid w:val="009760FF"/>
    <w:rsid w:val="00977A38"/>
    <w:rsid w:val="009811E2"/>
    <w:rsid w:val="00982C49"/>
    <w:rsid w:val="009854C1"/>
    <w:rsid w:val="00992507"/>
    <w:rsid w:val="00992DDB"/>
    <w:rsid w:val="0099664A"/>
    <w:rsid w:val="009A2842"/>
    <w:rsid w:val="009A3257"/>
    <w:rsid w:val="009B00D8"/>
    <w:rsid w:val="009B1CE6"/>
    <w:rsid w:val="009C02FC"/>
    <w:rsid w:val="009C0E08"/>
    <w:rsid w:val="009D2B36"/>
    <w:rsid w:val="009D5A85"/>
    <w:rsid w:val="009D73AB"/>
    <w:rsid w:val="009E02B2"/>
    <w:rsid w:val="009E169A"/>
    <w:rsid w:val="009E2781"/>
    <w:rsid w:val="009E3AE1"/>
    <w:rsid w:val="009E779F"/>
    <w:rsid w:val="009F0AE1"/>
    <w:rsid w:val="009F13C0"/>
    <w:rsid w:val="009F334C"/>
    <w:rsid w:val="009F7F41"/>
    <w:rsid w:val="00A00706"/>
    <w:rsid w:val="00A01BAF"/>
    <w:rsid w:val="00A15C47"/>
    <w:rsid w:val="00A16091"/>
    <w:rsid w:val="00A226BA"/>
    <w:rsid w:val="00A258A3"/>
    <w:rsid w:val="00A36C70"/>
    <w:rsid w:val="00A42257"/>
    <w:rsid w:val="00A4282A"/>
    <w:rsid w:val="00A542FD"/>
    <w:rsid w:val="00A54A9C"/>
    <w:rsid w:val="00A62123"/>
    <w:rsid w:val="00A64D2C"/>
    <w:rsid w:val="00A65D0B"/>
    <w:rsid w:val="00A722ED"/>
    <w:rsid w:val="00A730A0"/>
    <w:rsid w:val="00A83CA7"/>
    <w:rsid w:val="00A8610F"/>
    <w:rsid w:val="00A878B0"/>
    <w:rsid w:val="00A9634B"/>
    <w:rsid w:val="00AA2470"/>
    <w:rsid w:val="00AA61C6"/>
    <w:rsid w:val="00AB442B"/>
    <w:rsid w:val="00AB6C31"/>
    <w:rsid w:val="00AC0A2E"/>
    <w:rsid w:val="00AC20B2"/>
    <w:rsid w:val="00AC3977"/>
    <w:rsid w:val="00AD31BD"/>
    <w:rsid w:val="00AD344E"/>
    <w:rsid w:val="00AD7051"/>
    <w:rsid w:val="00AE4697"/>
    <w:rsid w:val="00AE6740"/>
    <w:rsid w:val="00AF6D28"/>
    <w:rsid w:val="00B013F9"/>
    <w:rsid w:val="00B16418"/>
    <w:rsid w:val="00B16AFB"/>
    <w:rsid w:val="00B413F7"/>
    <w:rsid w:val="00B42849"/>
    <w:rsid w:val="00B44C4A"/>
    <w:rsid w:val="00B45C3E"/>
    <w:rsid w:val="00B55602"/>
    <w:rsid w:val="00B56226"/>
    <w:rsid w:val="00B56DD4"/>
    <w:rsid w:val="00B62932"/>
    <w:rsid w:val="00B64CAC"/>
    <w:rsid w:val="00B65DA8"/>
    <w:rsid w:val="00B71614"/>
    <w:rsid w:val="00B77508"/>
    <w:rsid w:val="00B86B96"/>
    <w:rsid w:val="00B90603"/>
    <w:rsid w:val="00B92D2D"/>
    <w:rsid w:val="00B95E77"/>
    <w:rsid w:val="00B975C9"/>
    <w:rsid w:val="00BA0A37"/>
    <w:rsid w:val="00BA0AF3"/>
    <w:rsid w:val="00BA0C21"/>
    <w:rsid w:val="00BA2915"/>
    <w:rsid w:val="00BA44A7"/>
    <w:rsid w:val="00BA49C4"/>
    <w:rsid w:val="00BA5068"/>
    <w:rsid w:val="00BB28E7"/>
    <w:rsid w:val="00BB32BE"/>
    <w:rsid w:val="00BB4782"/>
    <w:rsid w:val="00BB5433"/>
    <w:rsid w:val="00BD1B4F"/>
    <w:rsid w:val="00BD4334"/>
    <w:rsid w:val="00BD53FC"/>
    <w:rsid w:val="00BE2D0B"/>
    <w:rsid w:val="00BE4AC5"/>
    <w:rsid w:val="00C0113E"/>
    <w:rsid w:val="00C06D16"/>
    <w:rsid w:val="00C12549"/>
    <w:rsid w:val="00C22340"/>
    <w:rsid w:val="00C248B2"/>
    <w:rsid w:val="00C27226"/>
    <w:rsid w:val="00C33712"/>
    <w:rsid w:val="00C35EDC"/>
    <w:rsid w:val="00C40B8E"/>
    <w:rsid w:val="00C430B2"/>
    <w:rsid w:val="00C46842"/>
    <w:rsid w:val="00C505FC"/>
    <w:rsid w:val="00C51FC5"/>
    <w:rsid w:val="00C601F1"/>
    <w:rsid w:val="00C6066D"/>
    <w:rsid w:val="00C60C75"/>
    <w:rsid w:val="00C6183E"/>
    <w:rsid w:val="00C64871"/>
    <w:rsid w:val="00C64967"/>
    <w:rsid w:val="00C779C3"/>
    <w:rsid w:val="00C77CB4"/>
    <w:rsid w:val="00C815F7"/>
    <w:rsid w:val="00C8668E"/>
    <w:rsid w:val="00C87EEC"/>
    <w:rsid w:val="00C92712"/>
    <w:rsid w:val="00CA568F"/>
    <w:rsid w:val="00CA59B8"/>
    <w:rsid w:val="00CA6C42"/>
    <w:rsid w:val="00CA790D"/>
    <w:rsid w:val="00CB1D7A"/>
    <w:rsid w:val="00CB5B2F"/>
    <w:rsid w:val="00CB606E"/>
    <w:rsid w:val="00CC4D36"/>
    <w:rsid w:val="00CC71D8"/>
    <w:rsid w:val="00CD25B3"/>
    <w:rsid w:val="00CE3FD4"/>
    <w:rsid w:val="00CE47A0"/>
    <w:rsid w:val="00CE7BEF"/>
    <w:rsid w:val="00CF141C"/>
    <w:rsid w:val="00CF1E41"/>
    <w:rsid w:val="00CF5328"/>
    <w:rsid w:val="00D01762"/>
    <w:rsid w:val="00D05AC6"/>
    <w:rsid w:val="00D06A0C"/>
    <w:rsid w:val="00D1098C"/>
    <w:rsid w:val="00D11B74"/>
    <w:rsid w:val="00D11BDB"/>
    <w:rsid w:val="00D158C6"/>
    <w:rsid w:val="00D17EDD"/>
    <w:rsid w:val="00D22B10"/>
    <w:rsid w:val="00D2552A"/>
    <w:rsid w:val="00D31286"/>
    <w:rsid w:val="00D31D3D"/>
    <w:rsid w:val="00D3401A"/>
    <w:rsid w:val="00D37BD5"/>
    <w:rsid w:val="00D41ACE"/>
    <w:rsid w:val="00D4211C"/>
    <w:rsid w:val="00D46CEA"/>
    <w:rsid w:val="00D51FD7"/>
    <w:rsid w:val="00D57477"/>
    <w:rsid w:val="00D6255C"/>
    <w:rsid w:val="00D633B0"/>
    <w:rsid w:val="00D6660B"/>
    <w:rsid w:val="00D7345E"/>
    <w:rsid w:val="00D7451B"/>
    <w:rsid w:val="00D7775B"/>
    <w:rsid w:val="00D8014D"/>
    <w:rsid w:val="00D80C1C"/>
    <w:rsid w:val="00D8393A"/>
    <w:rsid w:val="00D84717"/>
    <w:rsid w:val="00D91564"/>
    <w:rsid w:val="00D91ED2"/>
    <w:rsid w:val="00D922B2"/>
    <w:rsid w:val="00D92893"/>
    <w:rsid w:val="00D94433"/>
    <w:rsid w:val="00DA34DC"/>
    <w:rsid w:val="00DA5309"/>
    <w:rsid w:val="00DB3FBA"/>
    <w:rsid w:val="00DC2049"/>
    <w:rsid w:val="00DC2329"/>
    <w:rsid w:val="00DC242F"/>
    <w:rsid w:val="00DD0F03"/>
    <w:rsid w:val="00DD3BD5"/>
    <w:rsid w:val="00DD3E47"/>
    <w:rsid w:val="00DD43AF"/>
    <w:rsid w:val="00DE33C7"/>
    <w:rsid w:val="00DE3AFC"/>
    <w:rsid w:val="00DF38BF"/>
    <w:rsid w:val="00DF429E"/>
    <w:rsid w:val="00DF69EC"/>
    <w:rsid w:val="00E06A7E"/>
    <w:rsid w:val="00E250B3"/>
    <w:rsid w:val="00E30102"/>
    <w:rsid w:val="00E33AD6"/>
    <w:rsid w:val="00E33FBD"/>
    <w:rsid w:val="00E41D78"/>
    <w:rsid w:val="00E44179"/>
    <w:rsid w:val="00E5565D"/>
    <w:rsid w:val="00E55D62"/>
    <w:rsid w:val="00E62FDE"/>
    <w:rsid w:val="00E633E4"/>
    <w:rsid w:val="00E66235"/>
    <w:rsid w:val="00E73D89"/>
    <w:rsid w:val="00E8379A"/>
    <w:rsid w:val="00E855B6"/>
    <w:rsid w:val="00E87983"/>
    <w:rsid w:val="00E87DCF"/>
    <w:rsid w:val="00E93675"/>
    <w:rsid w:val="00E9379E"/>
    <w:rsid w:val="00EB1254"/>
    <w:rsid w:val="00EB2971"/>
    <w:rsid w:val="00EB7D5F"/>
    <w:rsid w:val="00EC1DDC"/>
    <w:rsid w:val="00EC299B"/>
    <w:rsid w:val="00EC386D"/>
    <w:rsid w:val="00ED4210"/>
    <w:rsid w:val="00ED4337"/>
    <w:rsid w:val="00ED60CA"/>
    <w:rsid w:val="00ED6E04"/>
    <w:rsid w:val="00EF2F46"/>
    <w:rsid w:val="00EF4703"/>
    <w:rsid w:val="00EF4E77"/>
    <w:rsid w:val="00F154F5"/>
    <w:rsid w:val="00F201AE"/>
    <w:rsid w:val="00F23BAC"/>
    <w:rsid w:val="00F243CE"/>
    <w:rsid w:val="00F252F5"/>
    <w:rsid w:val="00F26770"/>
    <w:rsid w:val="00F26AEC"/>
    <w:rsid w:val="00F26C51"/>
    <w:rsid w:val="00F42D3D"/>
    <w:rsid w:val="00F43194"/>
    <w:rsid w:val="00F474E8"/>
    <w:rsid w:val="00F476BE"/>
    <w:rsid w:val="00F500CB"/>
    <w:rsid w:val="00F507E3"/>
    <w:rsid w:val="00F5540A"/>
    <w:rsid w:val="00F56F2D"/>
    <w:rsid w:val="00F63C98"/>
    <w:rsid w:val="00F651A8"/>
    <w:rsid w:val="00F71EE4"/>
    <w:rsid w:val="00F8088D"/>
    <w:rsid w:val="00F80C94"/>
    <w:rsid w:val="00F8235E"/>
    <w:rsid w:val="00F838B0"/>
    <w:rsid w:val="00F90F4E"/>
    <w:rsid w:val="00F9214E"/>
    <w:rsid w:val="00F922B2"/>
    <w:rsid w:val="00FA0A2D"/>
    <w:rsid w:val="00FB128C"/>
    <w:rsid w:val="00FC55D7"/>
    <w:rsid w:val="00FC7710"/>
    <w:rsid w:val="00FD2343"/>
    <w:rsid w:val="00FD34A4"/>
    <w:rsid w:val="00FD4100"/>
    <w:rsid w:val="00FD4246"/>
    <w:rsid w:val="00FD6D99"/>
    <w:rsid w:val="00FE4164"/>
    <w:rsid w:val="00FF262A"/>
    <w:rsid w:val="00FF5B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FDD49"/>
  <w15:chartTrackingRefBased/>
  <w15:docId w15:val="{A6CE13A1-F977-4441-B051-39606C45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846C7"/>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rsid w:val="008F4E92"/>
    <w:pPr>
      <w:spacing w:after="0" w:line="240" w:lineRule="auto"/>
    </w:pPr>
    <w:rPr>
      <w:rFonts w:ascii="Times New Roman" w:eastAsia="Times New Roman" w:hAnsi="Times New Roman"/>
      <w:sz w:val="20"/>
      <w:szCs w:val="20"/>
      <w:lang w:eastAsia="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8F4E92"/>
    <w:rPr>
      <w:rFonts w:ascii="Times New Roman" w:eastAsia="Times New Roman" w:hAnsi="Times New Roman" w:cs="Times New Roman"/>
      <w:sz w:val="20"/>
      <w:szCs w:val="20"/>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8F4E92"/>
    <w:rPr>
      <w:vertAlign w:val="superscript"/>
    </w:rPr>
  </w:style>
  <w:style w:type="paragraph" w:customStyle="1" w:styleId="Default">
    <w:name w:val="Default"/>
    <w:rsid w:val="00B16AFB"/>
    <w:pPr>
      <w:autoSpaceDE w:val="0"/>
      <w:autoSpaceDN w:val="0"/>
      <w:adjustRightInd w:val="0"/>
    </w:pPr>
    <w:rPr>
      <w:rFonts w:ascii="Times New Roman" w:hAnsi="Times New Roman"/>
      <w:color w:val="000000"/>
      <w:sz w:val="24"/>
      <w:szCs w:val="24"/>
      <w:lang w:val="en-US" w:eastAsia="en-US"/>
    </w:rPr>
  </w:style>
  <w:style w:type="paragraph" w:styleId="Header">
    <w:name w:val="header"/>
    <w:basedOn w:val="Normal"/>
    <w:link w:val="HeaderChar"/>
    <w:uiPriority w:val="99"/>
    <w:unhideWhenUsed/>
    <w:rsid w:val="006245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4567"/>
  </w:style>
  <w:style w:type="paragraph" w:styleId="Footer">
    <w:name w:val="footer"/>
    <w:basedOn w:val="Normal"/>
    <w:link w:val="FooterChar"/>
    <w:uiPriority w:val="99"/>
    <w:unhideWhenUsed/>
    <w:rsid w:val="006245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4567"/>
  </w:style>
  <w:style w:type="paragraph" w:styleId="BalloonText">
    <w:name w:val="Balloon Text"/>
    <w:basedOn w:val="Normal"/>
    <w:link w:val="BalloonTextChar"/>
    <w:uiPriority w:val="99"/>
    <w:semiHidden/>
    <w:unhideWhenUsed/>
    <w:rsid w:val="006245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24567"/>
    <w:rPr>
      <w:rFonts w:ascii="Tahoma" w:hAnsi="Tahoma" w:cs="Tahoma"/>
      <w:sz w:val="16"/>
      <w:szCs w:val="16"/>
    </w:rPr>
  </w:style>
  <w:style w:type="paragraph" w:styleId="Revision">
    <w:name w:val="Revision"/>
    <w:hidden/>
    <w:uiPriority w:val="99"/>
    <w:semiHidden/>
    <w:rsid w:val="00CB606E"/>
    <w:rPr>
      <w:sz w:val="22"/>
      <w:szCs w:val="22"/>
      <w:lang w:eastAsia="en-US"/>
    </w:rPr>
  </w:style>
  <w:style w:type="paragraph" w:styleId="CommentText">
    <w:name w:val="annotation text"/>
    <w:basedOn w:val="Normal"/>
    <w:link w:val="CommentTextChar"/>
    <w:rsid w:val="00183EAC"/>
    <w:pPr>
      <w:spacing w:after="240" w:line="240" w:lineRule="auto"/>
    </w:pPr>
    <w:rPr>
      <w:rFonts w:ascii="Times New Roman" w:eastAsia="Times New Roman" w:hAnsi="Times New Roman"/>
      <w:sz w:val="20"/>
      <w:szCs w:val="20"/>
      <w:lang w:val="en-GB"/>
    </w:rPr>
  </w:style>
  <w:style w:type="character" w:customStyle="1" w:styleId="CommentTextChar">
    <w:name w:val="Comment Text Char"/>
    <w:link w:val="CommentText"/>
    <w:rsid w:val="00183EAC"/>
    <w:rPr>
      <w:rFonts w:ascii="Times New Roman" w:eastAsia="Times New Roman" w:hAnsi="Times New Roman"/>
      <w:lang w:val="en-GB" w:eastAsia="en-US"/>
    </w:rPr>
  </w:style>
  <w:style w:type="character" w:styleId="CommentReference">
    <w:name w:val="annotation reference"/>
    <w:rsid w:val="00183EAC"/>
    <w:rPr>
      <w:sz w:val="16"/>
      <w:szCs w:val="16"/>
    </w:rPr>
  </w:style>
  <w:style w:type="paragraph" w:styleId="CommentSubject">
    <w:name w:val="annotation subject"/>
    <w:basedOn w:val="CommentText"/>
    <w:next w:val="CommentText"/>
    <w:link w:val="CommentSubjectChar"/>
    <w:uiPriority w:val="99"/>
    <w:semiHidden/>
    <w:unhideWhenUsed/>
    <w:rsid w:val="00183EAC"/>
    <w:pPr>
      <w:spacing w:after="200" w:line="276" w:lineRule="auto"/>
    </w:pPr>
    <w:rPr>
      <w:rFonts w:ascii="Calibri" w:eastAsia="Calibri" w:hAnsi="Calibri"/>
      <w:b/>
      <w:bCs/>
      <w:lang w:val="bg-BG"/>
    </w:rPr>
  </w:style>
  <w:style w:type="character" w:customStyle="1" w:styleId="CommentSubjectChar">
    <w:name w:val="Comment Subject Char"/>
    <w:link w:val="CommentSubject"/>
    <w:uiPriority w:val="99"/>
    <w:semiHidden/>
    <w:rsid w:val="00183EAC"/>
    <w:rPr>
      <w:rFonts w:ascii="Times New Roman" w:eastAsia="Times New Roman" w:hAnsi="Times New Roman"/>
      <w:b/>
      <w:bCs/>
      <w:lang w:val="en-GB" w:eastAsia="en-US"/>
    </w:rPr>
  </w:style>
  <w:style w:type="paragraph" w:customStyle="1" w:styleId="title-bold">
    <w:name w:val="title-bold"/>
    <w:basedOn w:val="Normal"/>
    <w:rsid w:val="00592E0D"/>
    <w:pPr>
      <w:spacing w:before="100" w:beforeAutospacing="1" w:after="100" w:afterAutospacing="1" w:line="240" w:lineRule="auto"/>
    </w:pPr>
    <w:rPr>
      <w:rFonts w:ascii="Times New Roman" w:eastAsia="Times New Roman" w:hAnsi="Times New Roman"/>
      <w:sz w:val="24"/>
      <w:szCs w:val="24"/>
      <w:lang w:eastAsia="bg-BG"/>
    </w:rPr>
  </w:style>
  <w:style w:type="paragraph" w:styleId="NormalWeb">
    <w:name w:val="Normal (Web)"/>
    <w:basedOn w:val="Normal"/>
    <w:uiPriority w:val="99"/>
    <w:semiHidden/>
    <w:unhideWhenUsed/>
    <w:rsid w:val="00592E0D"/>
    <w:pPr>
      <w:spacing w:before="100" w:beforeAutospacing="1" w:after="100" w:afterAutospacing="1" w:line="240" w:lineRule="auto"/>
    </w:pPr>
    <w:rPr>
      <w:rFonts w:ascii="Times New Roman" w:eastAsia="Times New Roman" w:hAnsi="Times New Roman"/>
      <w:sz w:val="24"/>
      <w:szCs w:val="24"/>
      <w:lang w:eastAsia="bg-BG"/>
    </w:rPr>
  </w:style>
  <w:style w:type="character" w:styleId="Emphasis">
    <w:name w:val="Emphasis"/>
    <w:uiPriority w:val="20"/>
    <w:qFormat/>
    <w:rsid w:val="00592E0D"/>
    <w:rPr>
      <w:i/>
      <w:iCs/>
    </w:rPr>
  </w:style>
  <w:style w:type="character" w:customStyle="1" w:styleId="ListParagraphChar">
    <w:name w:val="List Paragraph Char"/>
    <w:link w:val="ListParagraph"/>
    <w:uiPriority w:val="34"/>
    <w:locked/>
    <w:rsid w:val="00F9214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020413">
      <w:bodyDiv w:val="1"/>
      <w:marLeft w:val="0"/>
      <w:marRight w:val="0"/>
      <w:marTop w:val="0"/>
      <w:marBottom w:val="0"/>
      <w:divBdr>
        <w:top w:val="none" w:sz="0" w:space="0" w:color="auto"/>
        <w:left w:val="none" w:sz="0" w:space="0" w:color="auto"/>
        <w:bottom w:val="none" w:sz="0" w:space="0" w:color="auto"/>
        <w:right w:val="none" w:sz="0" w:space="0" w:color="auto"/>
      </w:divBdr>
    </w:div>
    <w:div w:id="1366834510">
      <w:bodyDiv w:val="1"/>
      <w:marLeft w:val="0"/>
      <w:marRight w:val="0"/>
      <w:marTop w:val="0"/>
      <w:marBottom w:val="0"/>
      <w:divBdr>
        <w:top w:val="none" w:sz="0" w:space="0" w:color="auto"/>
        <w:left w:val="none" w:sz="0" w:space="0" w:color="auto"/>
        <w:bottom w:val="none" w:sz="0" w:space="0" w:color="auto"/>
        <w:right w:val="none" w:sz="0" w:space="0" w:color="auto"/>
      </w:divBdr>
    </w:div>
    <w:div w:id="182662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buls('1769634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A19D-4D38-4076-9FE7-8944E170E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2471</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16523</CharactersWithSpaces>
  <SharedDoc>false</SharedDoc>
  <HLinks>
    <vt:vector size="6" baseType="variant">
      <vt:variant>
        <vt:i4>6946924</vt:i4>
      </vt:variant>
      <vt:variant>
        <vt:i4>0</vt:i4>
      </vt:variant>
      <vt:variant>
        <vt:i4>0</vt:i4>
      </vt:variant>
      <vt:variant>
        <vt:i4>5</vt:i4>
      </vt:variant>
      <vt:variant>
        <vt:lpwstr>javascript:buls('176963402',0)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Даниела Калайджийска</dc:creator>
  <cp:keywords/>
  <cp:lastModifiedBy>Daniela Kalaydzhiyska-Ivanova</cp:lastModifiedBy>
  <cp:revision>3</cp:revision>
  <cp:lastPrinted>2015-01-15T08:27:00Z</cp:lastPrinted>
  <dcterms:created xsi:type="dcterms:W3CDTF">2023-09-18T13:02:00Z</dcterms:created>
  <dcterms:modified xsi:type="dcterms:W3CDTF">2023-09-18T13:03:00Z</dcterms:modified>
</cp:coreProperties>
</file>