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EC1" w:rsidRDefault="003258F1" w:rsidP="001B410C">
      <w:pPr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bg-BG"/>
        </w:rPr>
      </w:pPr>
      <w:bookmarkStart w:id="0" w:name="_Toc479775682"/>
      <w:bookmarkStart w:id="1" w:name="_Toc140150233"/>
      <w:r w:rsidRPr="003258F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bg-BG"/>
        </w:rPr>
        <w:t>ГЛАВА 4</w:t>
      </w:r>
      <w:r w:rsidRPr="003258F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bg-BG"/>
        </w:rPr>
        <w:br/>
        <w:t>ОБЩЕСТВЕНИ ПОРЪЧКИ</w:t>
      </w:r>
      <w:bookmarkEnd w:id="0"/>
      <w:bookmarkEnd w:id="1"/>
    </w:p>
    <w:p w:rsidR="00401613" w:rsidRPr="00CC6EDD" w:rsidRDefault="002A1F3B" w:rsidP="00CC6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ind w:right="141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8942B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1.</w:t>
      </w:r>
      <w:r w:rsidR="00894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  <w:r w:rsidR="00F438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Функции на </w:t>
      </w:r>
      <w:r w:rsidR="00460EC1" w:rsidRPr="00CC6E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отдел „Контрол по обществени поръчки“</w:t>
      </w:r>
    </w:p>
    <w:p w:rsidR="00401613" w:rsidRPr="00401613" w:rsidRDefault="00401613" w:rsidP="00850B40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Осъществява контрол на процедурите от проведените обществени поръчк</w:t>
      </w:r>
      <w:r w:rsidR="008D44EE">
        <w:rPr>
          <w:rFonts w:ascii="Times New Roman" w:eastAsia="Times New Roman" w:hAnsi="Times New Roman" w:cs="Times New Roman"/>
          <w:sz w:val="24"/>
          <w:szCs w:val="20"/>
          <w:lang w:eastAsia="pl-PL"/>
        </w:rPr>
        <w:t>и при изпълнение на проекти по програма</w:t>
      </w: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„Транспорт</w:t>
      </w:r>
      <w:r w:rsidR="008D44EE">
        <w:rPr>
          <w:rFonts w:ascii="Times New Roman" w:eastAsia="Times New Roman" w:hAnsi="Times New Roman" w:cs="Times New Roman"/>
          <w:sz w:val="24"/>
          <w:szCs w:val="20"/>
          <w:lang w:eastAsia="pl-PL"/>
        </w:rPr>
        <w:t>на свързаност</w:t>
      </w: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”</w:t>
      </w:r>
      <w:r w:rsidR="004E389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2021-2027</w:t>
      </w: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и върху подписаните договори за обществени поръчки с избраните изпълнители преди верифициране на разходите декларирани от бенефициентите;</w:t>
      </w:r>
    </w:p>
    <w:p w:rsidR="00401613" w:rsidRPr="00401613" w:rsidRDefault="00401613" w:rsidP="00850B40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Осъществява контрол върху подписаните от бенефициентите изменения на договор за обществена поръчка в хипотезите на Закона за обществени поръчки;</w:t>
      </w:r>
    </w:p>
    <w:p w:rsidR="00401613" w:rsidRPr="00401613" w:rsidRDefault="00401613" w:rsidP="00850B40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При констатирано нарушение на правилата за възлагане на обществени поръчки, изготвя от името на Ръководителя на УО сигнал с описание на нарушението до съответния бенефициент;</w:t>
      </w:r>
    </w:p>
    <w:p w:rsidR="00401613" w:rsidRPr="00401613" w:rsidRDefault="00401613" w:rsidP="00850B40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Подпомага Ръководителя на УО при изготвяне на решение за налагане на финансова корекция съгласно приложимото законодателство;</w:t>
      </w:r>
    </w:p>
    <w:p w:rsidR="00401613" w:rsidRPr="00401613" w:rsidRDefault="00401613" w:rsidP="00850B40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Подпомага изготвянето на годи</w:t>
      </w:r>
      <w:r w:rsidR="004E3891">
        <w:rPr>
          <w:rFonts w:ascii="Times New Roman" w:eastAsia="Times New Roman" w:hAnsi="Times New Roman" w:cs="Times New Roman"/>
          <w:sz w:val="24"/>
          <w:szCs w:val="20"/>
          <w:lang w:eastAsia="pl-PL"/>
        </w:rPr>
        <w:t>шния доклад за изпълнението на ПТС</w:t>
      </w: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с</w:t>
      </w:r>
      <w:r w:rsidR="004B1709">
        <w:rPr>
          <w:rFonts w:ascii="Times New Roman" w:eastAsia="Times New Roman" w:hAnsi="Times New Roman" w:cs="Times New Roman"/>
          <w:sz w:val="24"/>
          <w:szCs w:val="20"/>
          <w:lang w:eastAsia="pl-PL"/>
        </w:rPr>
        <w:t>ъгласно компетенциите на отдела;</w:t>
      </w:r>
    </w:p>
    <w:p w:rsidR="00401613" w:rsidRDefault="00401613" w:rsidP="00850B40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01613">
        <w:rPr>
          <w:rFonts w:ascii="Times New Roman" w:eastAsia="Times New Roman" w:hAnsi="Times New Roman" w:cs="Times New Roman"/>
          <w:sz w:val="24"/>
          <w:szCs w:val="20"/>
          <w:lang w:eastAsia="pl-PL"/>
        </w:rPr>
        <w:t>Участва в провежданите в МТС периодични срещи за наблюдение на</w:t>
      </w:r>
      <w:r w:rsidR="008D44E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проектите, финансирани по ПТС</w:t>
      </w:r>
      <w:r w:rsidR="008814E0">
        <w:rPr>
          <w:rFonts w:ascii="Times New Roman" w:eastAsia="Times New Roman" w:hAnsi="Times New Roman" w:cs="Times New Roman"/>
          <w:sz w:val="24"/>
          <w:szCs w:val="20"/>
          <w:lang w:eastAsia="pl-PL"/>
        </w:rPr>
        <w:t>, при необходимост.</w:t>
      </w:r>
    </w:p>
    <w:p w:rsidR="00761554" w:rsidRPr="00CC6EDD" w:rsidRDefault="00761554" w:rsidP="00CC6ED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258F1" w:rsidRPr="008942B2" w:rsidRDefault="008942B2" w:rsidP="00894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ind w:right="141" w:firstLine="36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Toc479775683"/>
      <w:bookmarkStart w:id="3" w:name="_Toc140150234"/>
      <w:r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2. </w:t>
      </w:r>
      <w:r w:rsidR="003258F1" w:rsidRPr="00894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Нормативна уредба в областта на възлагането на обществените поръчки</w:t>
      </w:r>
      <w:bookmarkEnd w:id="2"/>
      <w:bookmarkEnd w:id="3"/>
    </w:p>
    <w:p w:rsidR="003258F1" w:rsidRPr="003258F1" w:rsidRDefault="003258F1" w:rsidP="003258F1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Правната рамка на възлагането на обществените поръчки се формира на ниво европейско законодателство и на ниво национално законодателство: </w:t>
      </w:r>
    </w:p>
    <w:p w:rsidR="003258F1" w:rsidRPr="003258F1" w:rsidRDefault="003258F1" w:rsidP="003258F1">
      <w:pPr>
        <w:numPr>
          <w:ilvl w:val="0"/>
          <w:numId w:val="2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Ниво ЕО:</w:t>
      </w:r>
    </w:p>
    <w:p w:rsidR="003258F1" w:rsidRPr="003258F1" w:rsidRDefault="003258F1" w:rsidP="003258F1">
      <w:pPr>
        <w:numPr>
          <w:ilvl w:val="0"/>
          <w:numId w:val="1"/>
        </w:numPr>
        <w:tabs>
          <w:tab w:val="clear" w:pos="360"/>
          <w:tab w:val="num" w:pos="1276"/>
          <w:tab w:val="left" w:pos="1560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Директивите на ЕС в областта на възлагане на обществени поръчки;</w:t>
      </w:r>
    </w:p>
    <w:p w:rsidR="003258F1" w:rsidRPr="003258F1" w:rsidRDefault="003258F1" w:rsidP="003258F1">
      <w:pPr>
        <w:numPr>
          <w:ilvl w:val="0"/>
          <w:numId w:val="1"/>
        </w:numPr>
        <w:tabs>
          <w:tab w:val="clear" w:pos="360"/>
          <w:tab w:val="num" w:pos="1276"/>
          <w:tab w:val="left" w:pos="1560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Решения на съда на Европейските общности;</w:t>
      </w:r>
    </w:p>
    <w:p w:rsidR="003258F1" w:rsidRPr="003258F1" w:rsidRDefault="003258F1" w:rsidP="003258F1">
      <w:pPr>
        <w:numPr>
          <w:ilvl w:val="0"/>
          <w:numId w:val="2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Национално ниво:</w:t>
      </w:r>
    </w:p>
    <w:p w:rsidR="003258F1" w:rsidRPr="003258F1" w:rsidRDefault="003258F1" w:rsidP="003258F1">
      <w:pPr>
        <w:numPr>
          <w:ilvl w:val="0"/>
          <w:numId w:val="1"/>
        </w:numPr>
        <w:tabs>
          <w:tab w:val="clear" w:pos="360"/>
          <w:tab w:val="num" w:pos="1276"/>
          <w:tab w:val="left" w:pos="1560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Закон за обществените поръчки (ЗОП);</w:t>
      </w:r>
    </w:p>
    <w:p w:rsidR="003258F1" w:rsidRPr="003258F1" w:rsidRDefault="003258F1" w:rsidP="003258F1">
      <w:pPr>
        <w:numPr>
          <w:ilvl w:val="0"/>
          <w:numId w:val="1"/>
        </w:numPr>
        <w:tabs>
          <w:tab w:val="clear" w:pos="360"/>
          <w:tab w:val="num" w:pos="1276"/>
          <w:tab w:val="left" w:pos="1560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Правилник за прилагане на ЗОП;</w:t>
      </w:r>
    </w:p>
    <w:p w:rsidR="003258F1" w:rsidRPr="003258F1" w:rsidRDefault="003258F1" w:rsidP="003258F1">
      <w:pPr>
        <w:spacing w:after="0" w:line="240" w:lineRule="auto"/>
        <w:ind w:left="60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CC6EDD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Прилагането на Закона за обществени поръчки е условие за осигуряване приемливост за финансиране на разходите от програма „Транспортна свързаност”.</w:t>
      </w:r>
    </w:p>
    <w:p w:rsidR="003258F1" w:rsidRPr="003258F1" w:rsidRDefault="003258F1" w:rsidP="003258F1">
      <w:pPr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Целта на Закона за обществените поръчки е осигуряването на ефективност и ефикасност при разходване на публичните средства – чрез неговото прилагане се гарантира, че публичните средства се разходват по най-ефективния начин с оглед на целта и предмета на обществената поръчка чрез изпълнение на публична процедура за сключване на договор и избор на оферта. В Закона за обществените поръчки са регламентирани основните принципи, които се спазват при провеждане на процедурите за възлагане на обществени поръчки, а именно: </w:t>
      </w:r>
    </w:p>
    <w:p w:rsidR="003258F1" w:rsidRPr="003258F1" w:rsidRDefault="003258F1" w:rsidP="003258F1">
      <w:pPr>
        <w:numPr>
          <w:ilvl w:val="0"/>
          <w:numId w:val="3"/>
        </w:numPr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Равнопоставеност и недопускане на дискриминация; </w:t>
      </w:r>
    </w:p>
    <w:p w:rsidR="003258F1" w:rsidRPr="003258F1" w:rsidRDefault="003258F1" w:rsidP="003258F1">
      <w:pPr>
        <w:numPr>
          <w:ilvl w:val="0"/>
          <w:numId w:val="3"/>
        </w:numPr>
        <w:tabs>
          <w:tab w:val="clear" w:pos="360"/>
          <w:tab w:val="num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Свободна конкуренция; </w:t>
      </w:r>
    </w:p>
    <w:p w:rsidR="003258F1" w:rsidRPr="003258F1" w:rsidRDefault="003258F1" w:rsidP="003258F1">
      <w:pPr>
        <w:numPr>
          <w:ilvl w:val="0"/>
          <w:numId w:val="3"/>
        </w:numPr>
        <w:tabs>
          <w:tab w:val="clear" w:pos="360"/>
          <w:tab w:val="num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Пропорционалност;</w:t>
      </w:r>
    </w:p>
    <w:p w:rsidR="003258F1" w:rsidRPr="003258F1" w:rsidRDefault="003258F1" w:rsidP="003258F1">
      <w:pPr>
        <w:numPr>
          <w:ilvl w:val="0"/>
          <w:numId w:val="3"/>
        </w:numPr>
        <w:tabs>
          <w:tab w:val="clear" w:pos="360"/>
          <w:tab w:val="num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Публичност и прозрачност</w:t>
      </w:r>
    </w:p>
    <w:p w:rsidR="003258F1" w:rsidRPr="003258F1" w:rsidRDefault="003258F1" w:rsidP="003258F1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3258F1" w:rsidRPr="003258F1" w:rsidRDefault="003258F1" w:rsidP="003258F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Обекти на обществени поръчки са:  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1. Строителството, включително: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изпълнение или проектиране и изпълнение на строителство, свързано с една от дейностите по приложение № 1 на ЗОП;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б) изпълнение или проектиране и изпълнение на строеж;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Доставките на стоки, осъществявани чрез покупка, лизинг, наем или финансов лизинг, със или без право на закупуване, както и всички необходими предварителни дейности по употребата на стоката, като инсталационни или монтажни работи, тестване на машини и съоръжения и други;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Предоставянето на услуги.</w:t>
      </w:r>
    </w:p>
    <w:p w:rsidR="003258F1" w:rsidRPr="003258F1" w:rsidRDefault="003258F1" w:rsidP="003258F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258F1" w:rsidRPr="008814E0" w:rsidRDefault="003258F1" w:rsidP="008814E0">
      <w:pPr>
        <w:autoSpaceDE w:val="0"/>
        <w:autoSpaceDN w:val="0"/>
        <w:adjustRightInd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Процедурите, предвидени в нормативната уредба по обществени поръчки, са система от действия на възложителя и участниците в процедурата, чиято крайна цел е определянето на изпълнител на обществената поръчка и сключването на договор с него. </w:t>
      </w:r>
    </w:p>
    <w:p w:rsidR="003258F1" w:rsidRPr="00CC6EDD" w:rsidRDefault="003258F1" w:rsidP="008942B2">
      <w:pPr>
        <w:pStyle w:val="ListParagraph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ind w:hanging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4" w:name="_Toc479775684"/>
      <w:bookmarkStart w:id="5" w:name="_Toc140150235"/>
      <w:r w:rsidRPr="00CC6E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Осъществяване на контрол от Управляващия орган по програма „Транспортна свързаност”</w:t>
      </w:r>
      <w:bookmarkEnd w:id="4"/>
      <w:bookmarkEnd w:id="5"/>
    </w:p>
    <w:p w:rsidR="003258F1" w:rsidRPr="003258F1" w:rsidRDefault="003258F1" w:rsidP="003258F1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Целта на контрола е постигането на разумна увереност за законосъобразност при възлагането на обществените поръчки, финансирани напълно или частично от ПТС.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Контролните дейности на Управляващия орган в процеса на възлагане на обществени поръчки се извършват по отношение приемливостта за финансиране на разходите по сключените договори от ПТС. Бенефициентите на програма</w:t>
      </w:r>
      <w:r w:rsidR="00947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та</w:t>
      </w: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са възложители на обществените поръчки. Контролът от страна на Управляващия орган се осъществява по отношение на проведената обществена поръчка  с оглед възстановяване на разходите по нея от средствата по ПТС, но не и по отношение на поемане на задължения от възложителя в процеса на възлагане и изпълнение на обществената поръчка. Независимо от този контрол, бенефициентите по програмата, като разпоредители с бюджетни средства, прилагат свои вътрешни правила и процедури за финансово управление и контрол.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Контролът от Управляващия орган се осъществява за съответствие с нормативните актове в тази област и съгласно процедурите, разписани в настоящия Наръчник, и вътрешните правила за възлагане на обществени поръчки в Министерството на транспорта и съобщенията (в случаите, когато бенефициент по проектите е Управляващият орган).</w:t>
      </w:r>
    </w:p>
    <w:p w:rsidR="003258F1" w:rsidRPr="003258F1" w:rsidRDefault="003258F1" w:rsidP="003258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258F1" w:rsidRPr="003258F1" w:rsidRDefault="003258F1" w:rsidP="003258F1">
      <w:pPr>
        <w:autoSpaceDE w:val="0"/>
        <w:autoSpaceDN w:val="0"/>
        <w:adjustRightInd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За дейности в обхвата на проектите по ПТС, които не са обект на обществени поръчки съгласно действащия ЗОП, както и за договори, сключени в хипотезите на изключения на ЗОП, не се осъществява контрол за законосъобразност от Управляващия орган, освен в изрично предвидени случаи в настоящия Наръчник.  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Бенефициенти по ПТС са както институции извън рамките на Министерство на транспорта и съобщенията (ДП  Национална компания „Железопътна инфраструктура”, Агенция „Пътна инфраструктура”, „Метрополитен” ЕАД, ИА „Проучване и поддържане на река Дунав“,  ДП „Пристанищна инфраструктура”, ИА „Морска администрация”, така и самото Министерство на транспорта и съобщенията чрез Управляващия орган в качеството му на бенефициент по приоритетна ос „Транспортна свързаност”. 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3258F1" w:rsidRPr="008942B2" w:rsidRDefault="003258F1" w:rsidP="008942B2">
      <w:pPr>
        <w:pStyle w:val="ListParagraph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6" w:name="_Toc479775685"/>
      <w:bookmarkStart w:id="7" w:name="_Toc140150236"/>
      <w:r w:rsidRPr="00894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Контрол върху документация от проведена обществена поръчка</w:t>
      </w:r>
      <w:bookmarkEnd w:id="6"/>
      <w:bookmarkEnd w:id="7"/>
    </w:p>
    <w:p w:rsidR="003258F1" w:rsidRPr="003258F1" w:rsidRDefault="003258F1" w:rsidP="006569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случаите, когато бенефициентите са извън Управляващия орган, процедурата по възлагане на обществените поръчки се провежда  от съответния бенефициент, който е и възложител на поръчката. Всички взаимодействия с бенефициентите по отношение на процедурите по контрол при възлагане на поръчки са регламентирани и в „Условия за изпълнение на одобрени проекти по програма „Транспортна свързаност“ 2021-2027  г.“ към Насоките по ПТС.</w:t>
      </w:r>
    </w:p>
    <w:p w:rsidR="003258F1" w:rsidRPr="003258F1" w:rsidRDefault="003258F1" w:rsidP="003258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Контрол за законосъобразност върху документацията от проведената  обществена поръчка се осъществява за всички поръчки над стойностните прагове по ЗОП за възлагане, преди верифициране на докладваните от бенефициента разходи.</w:t>
      </w:r>
    </w:p>
    <w:p w:rsidR="003258F1" w:rsidRPr="003258F1" w:rsidRDefault="003258F1" w:rsidP="003258F1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Бенефициентът, възложител на поръчката, изпраща за контрол в УО документацията в тридесет (30) дневен срок преди  първото включване на разходи по сключения договор за верификация в искане за плащане. Документите, които следва да се представят на електронен носител са: 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Предварително обявление (ако има такова, поотделно от ОВ и от АОП);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Обявление за обществената поръчка (поотделно от ОВ и от АОП);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Документация за участие, вкл. кореспонденцията и разясненията на възложителя по получени въпроси от участниците (ако има такива);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Актове от външен контрол, осъществяван от АОП  (ако има такива);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Решения за промяна на обявлението или документацията за участие (ако има такива, (поотделно от ОВ и от АОП);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Протоколи за работата на комисията, вкл. оценителни листове;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Заповед за назначаване на комисия за провеждане на процедурата;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Декларации по чл.103 от ЗОП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и др. подобни (ако има такива); 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Разменена кореспонденция между участниците и комисията за оценка по време на процедурата, вкл. допълнително представени документи и др. подобни;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Решение за определяне на изпълнител;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Договор за обществена поръчка/рамково споразумение и договор по него;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Актове на КЗК и ВАС във връзка с процедурата;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Копие от офертата на спечелилия участник и копия от офертите на останалите участници;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Посочените по-горе документи следва да са налични в ИСУН 2020 към датата на изпращане за контрол в УО на документацията;</w:t>
      </w:r>
    </w:p>
    <w:p w:rsidR="003258F1" w:rsidRPr="003258F1" w:rsidRDefault="003258F1" w:rsidP="003258F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Бенефициентът представя и други документи, извън горните – при необходимост (напр.  справка, попълнена и подписана от възложителя за проведени процедури със сходен предмет за съответната календарна година, както и график за планираните по проекта).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УО извършва контрол върху получените документи с общ контролен лист, който се попълва в ИСУН 2020 и приложения към него  (в зависимост от вида на процедурата), част от Наръчника, които се публикуват в ИСУН 2020. Срокът за проверка на документацията от проведената  обществена поръчка е до 20 работни дни от получаването в УО на гореописаните документи. </w:t>
      </w: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Ако в процеса на проверка на документацията се установят пропуски в представените документи, съответно наличните такива в ИСУН 2020, експерт от отдел „КОП“ изисква писм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ено от бенефициента (официално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или по ел. поща) представянето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на допълнителни документи, информация или разяснения, като същите следва да се публикуват и в ИСУН 2020. </w:t>
      </w: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Срокът за изпращане/публикуване в ИСУН 2020 на документите/допълнителната информация от бенефициента е до 3 работни дни от получаване на писмено запитване. До получаване на отговор/изпращането на документи от страна на бенефициента в УО, се прекъсва срокът за проверка на документацията от проведената процедура.</w:t>
      </w:r>
    </w:p>
    <w:p w:rsidR="003258F1" w:rsidRPr="003258F1" w:rsidRDefault="003258F1" w:rsidP="00325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Гореописаните проверки се финализират с попълването на общ КЛ в ИСУН 2020 и публикуването на приложенията към него от експерта, и одобрението му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от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началника на отдел „Контрол по обществени поръчки“ в ИСУН 2020. За резултатите от проверката се изпраща </w:t>
      </w:r>
      <w:r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уведомление по електронен път до началниците на отдели „ИК“ и „ФУ“ (писмо, в случаите по  Глава </w:t>
      </w:r>
      <w:r w:rsidR="005411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8 </w:t>
      </w:r>
      <w:r w:rsidR="006569B3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от наръчника</w:t>
      </w:r>
      <w:r w:rsidR="00DC1D2F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:rsidR="003258F1" w:rsidRPr="008942B2" w:rsidRDefault="003258F1" w:rsidP="008942B2">
      <w:pPr>
        <w:pStyle w:val="ListParagraph"/>
        <w:numPr>
          <w:ilvl w:val="1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8" w:name="_Toc479775686"/>
      <w:bookmarkStart w:id="9" w:name="_Toc140150237"/>
      <w:r w:rsidRPr="00894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Контрол за разделяне на поръчка под стойностните прагове на ЗОП</w:t>
      </w:r>
      <w:bookmarkEnd w:id="8"/>
      <w:bookmarkEnd w:id="9"/>
      <w:r w:rsidRPr="00894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За поръчки под стойностните прагове за възлагане по ЗОП възложителите прилагат собствените си утвърдени контролни процедури за осигуряване на законосъобразност.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DC1D2F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3258F1"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.1.1. В случаите, когато бенефициентът иска верификация на средства по сключен договор под стойностните прагове за възлагане на ЗОП, същият представя следната информация:</w:t>
      </w:r>
    </w:p>
    <w:p w:rsidR="003258F1" w:rsidRPr="00CC6EDD" w:rsidRDefault="003258F1" w:rsidP="00CC6EDD">
      <w:pPr>
        <w:pStyle w:val="ListParagraph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При </w:t>
      </w: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първо искане за верификация</w:t>
      </w: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на средства по договора, бенефициентът следва да попълни справка с информация за сключени други договори със същия или сходен предмет, независимо от източника им на финансиране, от началната дата на допустимост на разходите по ПТС до момента (ако е приложимо). Справката е приложение към искането за междинно плащане;</w:t>
      </w:r>
    </w:p>
    <w:p w:rsidR="003258F1" w:rsidRPr="00CC6EDD" w:rsidRDefault="003258F1" w:rsidP="00CC6EDD">
      <w:pPr>
        <w:pStyle w:val="ListParagraph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При всяко следващо искане за верификация, бенефициентът следва да попълва справката с информация за сключени други договори със същия или сходен предмет, независимо от източника им на финансиране </w:t>
      </w: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за периода от предходното искане</w:t>
      </w: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до момента (ако е приложимо).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случай, че няма сключени такива договори, бенефициентът следва да посочи изрично това обстоятелство.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При получаване в УО на искане за междинно плащане, в което са докладвани за верификация разходи по договор на стойност под праговете за възлагане на ЗОП и с попълнено Приложение № 3 от искане за междинно плащане, отдел „Финансово управление“ препраща Приложение № 3 за становище за евентуално  неправомерно разделяне на поръчката до отдел „КОП“. 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В срок от 3 работни дни началникът на отдел „КОП“ уведомява по електронна поща началника на отдел „Финансово управление“ (с копие до началника на отдел „Изпълнение и координация“) за договорите за изпълнение, включени в Приложение № 3, подлежащи на проверка, както и за необходимостта същите да бъдат изискани от бенефициента. 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Отдел „КОП“ изисква от бенефициента необходимите документи за проверка, съгласно </w:t>
      </w:r>
      <w:r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т. </w:t>
      </w:r>
      <w:r w:rsidR="00163B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от настоящата глава. 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срок от 15 работни дни от получаване на изисканите документи отдел „КОП“ следва да излезе със становище от извършената проверка. В случай, че бенефициентите не представят необходимата за проверката информация, срокът за проверката се увеличава със съответния брой дни на забавата на бенефициента.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Началникът на отдел „КОП“ уведомява по електронна поща началника на отдел „Финансово управление“ (с копие до началника на отдел „Изпълнение и координация“) за резултатите от извършената проверка.</w:t>
      </w:r>
    </w:p>
    <w:p w:rsidR="003258F1" w:rsidRPr="003258F1" w:rsidRDefault="003258F1" w:rsidP="00325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163BD9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3258F1"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.1.2</w:t>
      </w:r>
      <w:r w:rsidR="00493C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3258F1"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В случаите, когато </w:t>
      </w:r>
      <w:r w:rsidR="003258F1" w:rsidRPr="003258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бенефициентът по проекта е Управляващият орган</w:t>
      </w:r>
      <w:r w:rsidR="003258F1"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и се иска верификация на средства по сключен договор под стойностните прагове за възлагане на ЗОП, същият представя следната информация:</w:t>
      </w:r>
    </w:p>
    <w:p w:rsidR="003258F1" w:rsidRPr="00CC6EDD" w:rsidRDefault="003258F1" w:rsidP="00CC6EDD">
      <w:pPr>
        <w:pStyle w:val="ListParagraph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При подготовка на първо искане за верификация на средства по договора, бенефициентът следва да попълни справка с информация за сключени други договори със същия или сходен предмет, независимо от източника им на финансиране, от началната дата на допустимост на разходите по ПТС до момента (ако е приложимо). Справката е приложение към искането за междинно плащане;</w:t>
      </w:r>
    </w:p>
    <w:p w:rsidR="003258F1" w:rsidRPr="00CC6EDD" w:rsidRDefault="003258F1" w:rsidP="00CC6EDD">
      <w:pPr>
        <w:pStyle w:val="ListParagraph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6E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При всяко следващо искане за верификация, бенефициентът следва да попълва справката с информация за сключени други договори със същия или сходен предмет, независимо от източника им на финансиране, за периода от предходното искане до момента (ако е приложимо).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случай, че няма сключени такива договори, бенефициентът следва да посочи изрично това обстоятелство.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При подготовка на искане за верификация на средства, с включен договор на стойност под праговете за възлагане на ЗОП с попълнена справка Приложение № 3</w:t>
      </w:r>
      <w:r w:rsidRPr="003258F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от искане за междинно плащане, Ръководителят на ЗИП го изпраща за становище за евентуално  неправомерно разделяне на поръчката до отдел „КОП“. В случай, че бенефициентът УО изрично е посочил, че няма сключени други договори, не се изисква становище от отдел „КОП“. В срок от 3 работни дни началникът на отдел „КОП“ уведомява по електронна поща Ръководителя на ЗИП за договорите за изпълнение, включени в Приложение № 3, подлежащи на проверка, както и за необходимостта същите да бъдат представени за проверка, съгласно </w:t>
      </w:r>
      <w:r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т. </w:t>
      </w:r>
      <w:r w:rsidR="00163BD9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163B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от настоящата глава.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Отдел „КОП“ следва да излезе със становище в срок от 15 работни дни от получаване на документите за проверка. В случай, че бенефициентът УО не представи необходимата за проверката информация, срокът за проверката се увеличава със съответния брой дни на забавата на бенефициента. 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Отдел „КОП“ уведомява по електронна поща Ръководителя на ЗИП за резултатите от извършената проверка.</w:t>
      </w:r>
    </w:p>
    <w:p w:rsidR="003258F1" w:rsidRPr="003258F1" w:rsidRDefault="003258F1" w:rsidP="003258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:rsidR="003258F1" w:rsidRPr="008942B2" w:rsidRDefault="003258F1" w:rsidP="008942B2">
      <w:pPr>
        <w:pStyle w:val="ListParagraph"/>
        <w:numPr>
          <w:ilvl w:val="1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0" w:name="_Toc479775687"/>
      <w:bookmarkStart w:id="11" w:name="_Toc140150238"/>
      <w:r w:rsidRPr="00894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Контрол от страна на УО на измененията на договор за обществена поръчка</w:t>
      </w:r>
      <w:bookmarkEnd w:id="10"/>
      <w:bookmarkEnd w:id="11"/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случай, че възникне някоя от предвидените в ЗОП хипотези, подписаното изменение на договора  и копие от документацията, обосноваваща изменението на договора, се представя за последващ контрол в Управляващия орган за осъществяване на проверка за съответствие със законовите изисквания и клаузите на договора в срок от 5 работни дни от сключването му. Към датата на представянето му за проверката, същото следва да е публикувано и в ИСУН 2020, заедно с документацията, обосноваваща изменението.</w:t>
      </w:r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При проверката се извършват консултации и се изисква становище от отдел „Изпълнение и координация” (официално или по електронна поща) във връзка с актуалния статус на изпълнение на проекта/договора и обстоятелствата, наложили изменението.</w:t>
      </w:r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В случаите, когато при преобразуване на изпълнителя в съответствие със законодателството на държавата, в която е установен, Възложителя сключва договор за продължаване на договора за обществена поръчка с правоприемника, Възложителят уведомява УО.  С договора с правоприемника не могат да се правят промени в договора за обществена поръчка.</w:t>
      </w:r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Заедно с уведомлението Възложителят представя на УО доказателства, че не са налице обстоятелствата, изискващи задължително отстраняване по ЗОП, както и такива обстоятелства посочени от Възложителя (основания за незадължително отстраняване), и че правоприемникът покрива изискванията относно критериите за подбор. 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Проверката на допълнителното споразумение се извършва в срок от 7 работни дни след получаването му в отдел КОП. Отдел КОП, в посочения срок изготвя становище по полученото споразумение. За резултатите от проверката се уведомяват по електронна поща отдел ФУ и отдел ИК, а самото становище се публикува в ИСУН 2020 до 2 работни дни. </w:t>
      </w:r>
    </w:p>
    <w:p w:rsid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При констатирано нарушение се прилагат процедурите съгласно </w:t>
      </w:r>
      <w:r w:rsidR="00163BD9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Глава </w:t>
      </w:r>
      <w:r w:rsidR="005411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541194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569B3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от наръчника</w:t>
      </w:r>
      <w:r w:rsidR="00163BD9"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6569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Ако в процеса на проверка се установят пропуски в пр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едставените документи, експерт от отдел КОП  изисква писмено от бенефициента (официално, по факс или по ел. поща) представянето на допълнителни документи, информация или разяснения. Срокът за изпращане на документите/допълнителната информация от бенефициента е до 2 работни дни от получаване на писмено запитване. </w:t>
      </w:r>
    </w:p>
    <w:p w:rsidR="004767AD" w:rsidRPr="003258F1" w:rsidRDefault="004767AD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CC6EDD" w:rsidRDefault="003258F1" w:rsidP="008942B2">
      <w:pPr>
        <w:pStyle w:val="ListParagraph"/>
        <w:numPr>
          <w:ilvl w:val="1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2" w:name="_Toc140150239"/>
      <w:r w:rsidRPr="00CC6E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Избягване на конфликт на интереси в обществените поръчки</w:t>
      </w:r>
      <w:bookmarkEnd w:id="12"/>
    </w:p>
    <w:p w:rsidR="003258F1" w:rsidRPr="003258F1" w:rsidRDefault="003258F1" w:rsidP="00CC6E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Във връзка с изискванията на чл.24 от директива 2014/24/ЕС,  параграф 21 от ДР на ЗОП и във връзка с чл. 61, </w:t>
      </w:r>
      <w:proofErr w:type="spellStart"/>
      <w:r w:rsidRPr="003258F1">
        <w:rPr>
          <w:rFonts w:ascii="Times New Roman" w:hAnsi="Times New Roman" w:cs="Times New Roman"/>
          <w:sz w:val="24"/>
          <w:szCs w:val="24"/>
        </w:rPr>
        <w:t>пар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 xml:space="preserve">. 1 и 3 от Регламент (ЕС, </w:t>
      </w:r>
      <w:proofErr w:type="spellStart"/>
      <w:r w:rsidRPr="003258F1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>) № 1046/ 2018 на Европейския парламент и на Съвета, е необходимо:</w:t>
      </w:r>
    </w:p>
    <w:p w:rsidR="003258F1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 Възложителят, членовете на управителните му органи, негови служители или наети от него лица извън неговата структура, които участват в подготовката на обществена поръчка да подават декларация за липса на конфликт на интереси по смисъла на горните разпоредби, касаеща провежданата обществена поръчка. </w:t>
      </w:r>
    </w:p>
    <w:p w:rsidR="003258F1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Декларациите следва да се подписват към момента на стартиране на действията по подготовка на съответната процедура - за лицата, които участват в подготовката на обществена поръчка) и преди одобряване на доклада/протокола от работата на комисията по чл. 60/чл. 60а от ППЗОП, от възложителя и членовете на управителните му органи. </w:t>
      </w:r>
      <w:r w:rsidRPr="00163BD9">
        <w:rPr>
          <w:rFonts w:ascii="Times New Roman" w:hAnsi="Times New Roman" w:cs="Times New Roman"/>
          <w:sz w:val="24"/>
          <w:szCs w:val="24"/>
        </w:rPr>
        <w:t xml:space="preserve">Декларацията е приложение към </w:t>
      </w:r>
      <w:r w:rsidR="00163BD9" w:rsidRPr="00163BD9">
        <w:rPr>
          <w:rFonts w:ascii="Times New Roman" w:hAnsi="Times New Roman" w:cs="Times New Roman"/>
          <w:sz w:val="24"/>
          <w:szCs w:val="24"/>
        </w:rPr>
        <w:t xml:space="preserve">настоящата </w:t>
      </w:r>
      <w:r w:rsidRPr="00163BD9">
        <w:rPr>
          <w:rFonts w:ascii="Times New Roman" w:hAnsi="Times New Roman" w:cs="Times New Roman"/>
          <w:sz w:val="24"/>
          <w:szCs w:val="24"/>
        </w:rPr>
        <w:t xml:space="preserve">глава 4 на </w:t>
      </w:r>
      <w:r w:rsidR="00163BD9" w:rsidRPr="00163BD9">
        <w:rPr>
          <w:rFonts w:ascii="Times New Roman" w:hAnsi="Times New Roman" w:cs="Times New Roman"/>
          <w:sz w:val="24"/>
          <w:szCs w:val="24"/>
        </w:rPr>
        <w:t>наръчника</w:t>
      </w:r>
    </w:p>
    <w:p w:rsidR="003258F1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Копия от декларациите се представят в УО заедно с документите по проведената процедура. </w:t>
      </w:r>
    </w:p>
    <w:p w:rsidR="003258F1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Декларацията не заменя </w:t>
      </w:r>
      <w:r w:rsidR="00EC79D5" w:rsidRPr="00EC79D5">
        <w:rPr>
          <w:rFonts w:ascii="Times New Roman" w:hAnsi="Times New Roman" w:cs="Times New Roman"/>
          <w:sz w:val="24"/>
          <w:szCs w:val="24"/>
        </w:rPr>
        <w:t xml:space="preserve">декларация за липса на конфликт на интереси по смисъла на чл. 61, </w:t>
      </w:r>
      <w:proofErr w:type="spellStart"/>
      <w:r w:rsidR="00EC79D5" w:rsidRPr="00EC79D5">
        <w:rPr>
          <w:rFonts w:ascii="Times New Roman" w:hAnsi="Times New Roman" w:cs="Times New Roman"/>
          <w:sz w:val="24"/>
          <w:szCs w:val="24"/>
        </w:rPr>
        <w:t>пар</w:t>
      </w:r>
      <w:proofErr w:type="spellEnd"/>
      <w:r w:rsidR="00EC79D5" w:rsidRPr="00EC79D5">
        <w:rPr>
          <w:rFonts w:ascii="Times New Roman" w:hAnsi="Times New Roman" w:cs="Times New Roman"/>
          <w:sz w:val="24"/>
          <w:szCs w:val="24"/>
        </w:rPr>
        <w:t xml:space="preserve">. 3 от Регламент (ЕС, </w:t>
      </w:r>
      <w:proofErr w:type="spellStart"/>
      <w:r w:rsidR="00EC79D5" w:rsidRPr="00EC79D5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EC79D5" w:rsidRPr="00EC79D5">
        <w:rPr>
          <w:rFonts w:ascii="Times New Roman" w:hAnsi="Times New Roman" w:cs="Times New Roman"/>
          <w:sz w:val="24"/>
          <w:szCs w:val="24"/>
        </w:rPr>
        <w:t>) № 1046 от 2018 на Европейския парламент и на Съвета</w:t>
      </w:r>
      <w:r w:rsidRPr="003258F1">
        <w:rPr>
          <w:rFonts w:ascii="Times New Roman" w:hAnsi="Times New Roman" w:cs="Times New Roman"/>
          <w:sz w:val="24"/>
          <w:szCs w:val="24"/>
        </w:rPr>
        <w:t xml:space="preserve">, която се подава по реда на </w:t>
      </w:r>
      <w:r w:rsidR="00EC79D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41194">
        <w:rPr>
          <w:rFonts w:ascii="Times New Roman" w:hAnsi="Times New Roman" w:cs="Times New Roman"/>
          <w:sz w:val="24"/>
          <w:szCs w:val="24"/>
        </w:rPr>
        <w:t xml:space="preserve">8 </w:t>
      </w:r>
      <w:r w:rsidRPr="003258F1">
        <w:rPr>
          <w:rFonts w:ascii="Times New Roman" w:hAnsi="Times New Roman" w:cs="Times New Roman"/>
          <w:sz w:val="24"/>
          <w:szCs w:val="24"/>
        </w:rPr>
        <w:t xml:space="preserve">от настоящия </w:t>
      </w:r>
      <w:r w:rsidR="00EC79D5">
        <w:rPr>
          <w:rFonts w:ascii="Times New Roman" w:hAnsi="Times New Roman" w:cs="Times New Roman"/>
          <w:sz w:val="24"/>
          <w:szCs w:val="24"/>
        </w:rPr>
        <w:t>наръчник</w:t>
      </w:r>
    </w:p>
    <w:p w:rsidR="00AB7DC7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>Декларациите по чл.103 от ЗОП на членовете на оценителната комисия по съответната обществена поръчка се представят както до момента.</w:t>
      </w:r>
    </w:p>
    <w:p w:rsidR="003258F1" w:rsidRPr="003258F1" w:rsidRDefault="00EA0BB5" w:rsidP="00CC6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3" w:name="_Toc14015024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3258F1" w:rsidRPr="003258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.3.1.</w:t>
      </w:r>
      <w:r w:rsidR="003258F1" w:rsidRPr="003258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Видове проверки</w:t>
      </w:r>
      <w:bookmarkEnd w:id="13"/>
    </w:p>
    <w:p w:rsidR="003258F1" w:rsidRPr="003258F1" w:rsidRDefault="003258F1" w:rsidP="008F0861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3258F1">
        <w:rPr>
          <w:rFonts w:ascii="Times New Roman" w:hAnsi="Times New Roman" w:cs="Times New Roman"/>
          <w:sz w:val="24"/>
          <w:szCs w:val="24"/>
          <w:u w:val="single"/>
        </w:rPr>
        <w:lastRenderedPageBreak/>
        <w:t>А)</w:t>
      </w:r>
      <w:r w:rsidRPr="003258F1">
        <w:rPr>
          <w:rFonts w:ascii="Times New Roman" w:hAnsi="Times New Roman" w:cs="Times New Roman"/>
          <w:sz w:val="24"/>
          <w:szCs w:val="24"/>
        </w:rPr>
        <w:t xml:space="preserve"> За всички процедури за обществени поръчки, чийто стойностен праг е над праговете заложени в Директива 2014/24 ЕС за съответната година, експертите проверяват наличието на декларации и данните в тях , използвайки регистри, в които се съдържат данни за юридически лица и физически лица, напр. </w:t>
      </w:r>
      <w:proofErr w:type="spellStart"/>
      <w:r w:rsidRPr="003258F1">
        <w:rPr>
          <w:rFonts w:ascii="Times New Roman" w:hAnsi="Times New Roman" w:cs="Times New Roman"/>
          <w:sz w:val="24"/>
          <w:szCs w:val="24"/>
        </w:rPr>
        <w:t>Апис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 xml:space="preserve"> +/ регистър БУЛСТАТ/ Търговски регистър или електронна система </w:t>
      </w:r>
      <w:r w:rsidRPr="003258F1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3258F1">
        <w:rPr>
          <w:rFonts w:ascii="Times New Roman" w:hAnsi="Times New Roman" w:cs="Times New Roman"/>
          <w:sz w:val="24"/>
          <w:szCs w:val="24"/>
        </w:rPr>
        <w:t>, или други общодостъпни източници на информация. Към проверките на процедурата за обществена поръчка се прилагат и резултатите от горепосочените проверки.</w:t>
      </w:r>
    </w:p>
    <w:p w:rsidR="003258F1" w:rsidRPr="003258F1" w:rsidRDefault="003258F1" w:rsidP="003258F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>Б) За поръчки под прагове заложени в Директива 2014/24 ЕС за съответната година се осъществява проверка на данните в декларациите в случаите, когато има подадена само една оферта или до етап класиране е допусната само една оферта.</w:t>
      </w:r>
    </w:p>
    <w:p w:rsid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С документите по </w:t>
      </w:r>
      <w:r w:rsidRPr="00163BD9">
        <w:rPr>
          <w:rFonts w:ascii="Times New Roman" w:hAnsi="Times New Roman" w:cs="Times New Roman"/>
          <w:sz w:val="24"/>
          <w:szCs w:val="24"/>
        </w:rPr>
        <w:t>т.</w:t>
      </w:r>
      <w:r w:rsidR="00163BD9" w:rsidRPr="00163BD9">
        <w:rPr>
          <w:rFonts w:ascii="Times New Roman" w:hAnsi="Times New Roman" w:cs="Times New Roman"/>
          <w:sz w:val="24"/>
          <w:szCs w:val="24"/>
        </w:rPr>
        <w:t>4</w:t>
      </w:r>
      <w:r w:rsidRPr="00163BD9">
        <w:rPr>
          <w:rFonts w:ascii="Times New Roman" w:hAnsi="Times New Roman" w:cs="Times New Roman"/>
          <w:sz w:val="24"/>
          <w:szCs w:val="24"/>
        </w:rPr>
        <w:t xml:space="preserve"> от </w:t>
      </w:r>
      <w:r w:rsidR="00163BD9" w:rsidRPr="00163BD9">
        <w:rPr>
          <w:rFonts w:ascii="Times New Roman" w:hAnsi="Times New Roman" w:cs="Times New Roman"/>
          <w:sz w:val="24"/>
          <w:szCs w:val="24"/>
        </w:rPr>
        <w:t>глава 4 на наръчника</w:t>
      </w:r>
      <w:r w:rsidRPr="00163BD9">
        <w:rPr>
          <w:rFonts w:ascii="Times New Roman" w:hAnsi="Times New Roman" w:cs="Times New Roman"/>
          <w:sz w:val="24"/>
          <w:szCs w:val="24"/>
        </w:rPr>
        <w:t>, бенефициентът подава и попълнена справка, относно</w:t>
      </w:r>
      <w:r w:rsidRPr="00163BD9">
        <w:t xml:space="preserve"> </w:t>
      </w:r>
      <w:r w:rsidRPr="00163BD9">
        <w:rPr>
          <w:rFonts w:ascii="Times New Roman" w:hAnsi="Times New Roman" w:cs="Times New Roman"/>
          <w:sz w:val="24"/>
          <w:szCs w:val="24"/>
        </w:rPr>
        <w:t xml:space="preserve">провеждани пазарни консултации и/или външно участие при подготовка на документацията на обществена поръчка по приложен образец към глава 4 на </w:t>
      </w:r>
      <w:r w:rsidR="00163BD9" w:rsidRPr="00163BD9">
        <w:rPr>
          <w:rFonts w:ascii="Times New Roman" w:hAnsi="Times New Roman" w:cs="Times New Roman"/>
          <w:sz w:val="24"/>
          <w:szCs w:val="24"/>
        </w:rPr>
        <w:t>наръчника</w:t>
      </w:r>
      <w:r w:rsidR="00EC79D5">
        <w:rPr>
          <w:rFonts w:ascii="Times New Roman" w:hAnsi="Times New Roman" w:cs="Times New Roman"/>
          <w:sz w:val="24"/>
          <w:szCs w:val="24"/>
        </w:rPr>
        <w:t xml:space="preserve">. </w:t>
      </w:r>
      <w:r w:rsidRPr="00163BD9">
        <w:rPr>
          <w:rFonts w:ascii="Times New Roman" w:hAnsi="Times New Roman" w:cs="Times New Roman"/>
          <w:sz w:val="24"/>
          <w:szCs w:val="24"/>
        </w:rPr>
        <w:t>Същата служи освен за преценка на обстоятелствата по ЗОП, касаещи провеждането на пазарни проучвания, така и за проверка на наличие на потенциален конфликт на интереси.</w:t>
      </w:r>
      <w:r w:rsidRPr="003258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E42" w:rsidRPr="003258F1" w:rsidRDefault="00D70E42" w:rsidP="003258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8F1" w:rsidRPr="00EA0BB5" w:rsidRDefault="003258F1" w:rsidP="00EA0BB5">
      <w:pPr>
        <w:pStyle w:val="ListParagraph"/>
        <w:numPr>
          <w:ilvl w:val="2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0"/>
        </w:tabs>
        <w:spacing w:before="120" w:after="120" w:line="240" w:lineRule="auto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bookmarkStart w:id="14" w:name="_Toc140150241"/>
      <w:r w:rsidRPr="00EA0B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Процедура по </w:t>
      </w:r>
      <w:proofErr w:type="spellStart"/>
      <w:r w:rsidRPr="00EA0B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самоотвод</w:t>
      </w:r>
      <w:proofErr w:type="spellEnd"/>
      <w:r w:rsidRPr="00EA0B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на експерти, осъществяващи последващ контрол на ОП в УО</w:t>
      </w:r>
      <w:bookmarkEnd w:id="14"/>
    </w:p>
    <w:p w:rsidR="003258F1" w:rsidRPr="003258F1" w:rsidRDefault="003258F1" w:rsidP="003258F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 xml:space="preserve">Във връзка с чл. 61, </w:t>
      </w:r>
      <w:proofErr w:type="spellStart"/>
      <w:r w:rsidRPr="003258F1">
        <w:rPr>
          <w:rFonts w:ascii="Times New Roman" w:hAnsi="Times New Roman" w:cs="Times New Roman"/>
          <w:sz w:val="24"/>
          <w:szCs w:val="24"/>
        </w:rPr>
        <w:t>пар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 xml:space="preserve">. 2  от Регламент (ЕС, </w:t>
      </w:r>
      <w:proofErr w:type="spellStart"/>
      <w:r w:rsidRPr="003258F1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 xml:space="preserve">) № 1046 от 2018 на Европейския парламент и на Съвета, когато има риск от конфликт на интереси с участието на служител, осъществяващ последващ контрол на обществена поръчка, след узнаване на кандидатите или участниците, същият следва да си направи </w:t>
      </w:r>
      <w:proofErr w:type="spellStart"/>
      <w:r w:rsidRPr="003258F1">
        <w:rPr>
          <w:rFonts w:ascii="Times New Roman" w:hAnsi="Times New Roman" w:cs="Times New Roman"/>
          <w:sz w:val="24"/>
          <w:szCs w:val="24"/>
        </w:rPr>
        <w:t>самоотвод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>, когато установи, че е налице или в хода на проверката е възникнал конфликт на интереси.</w:t>
      </w:r>
    </w:p>
    <w:p w:rsidR="003258F1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58F1">
        <w:rPr>
          <w:rFonts w:ascii="Times New Roman" w:hAnsi="Times New Roman" w:cs="Times New Roman"/>
          <w:sz w:val="24"/>
          <w:szCs w:val="24"/>
        </w:rPr>
        <w:t>Самоотводът</w:t>
      </w:r>
      <w:proofErr w:type="spellEnd"/>
      <w:r w:rsidRPr="003258F1">
        <w:rPr>
          <w:rFonts w:ascii="Times New Roman" w:hAnsi="Times New Roman" w:cs="Times New Roman"/>
          <w:sz w:val="24"/>
          <w:szCs w:val="24"/>
        </w:rPr>
        <w:t xml:space="preserve"> се прави в писмен вид в свободен текст до началника на отдел, който определя друг експерт, който да осъществи проверката на съответната процедура.</w:t>
      </w:r>
    </w:p>
    <w:p w:rsidR="003258F1" w:rsidRPr="003258F1" w:rsidRDefault="003258F1" w:rsidP="003258F1">
      <w:pPr>
        <w:jc w:val="both"/>
        <w:rPr>
          <w:rFonts w:ascii="Times New Roman" w:hAnsi="Times New Roman" w:cs="Times New Roman"/>
          <w:sz w:val="24"/>
          <w:szCs w:val="24"/>
        </w:rPr>
      </w:pPr>
      <w:r w:rsidRPr="003258F1">
        <w:rPr>
          <w:rFonts w:ascii="Times New Roman" w:hAnsi="Times New Roman" w:cs="Times New Roman"/>
          <w:sz w:val="24"/>
          <w:szCs w:val="24"/>
        </w:rPr>
        <w:t>Експертите, осъществяващи последващ контрол на ОП в УО, декларират липсата на конфликт на интереси по проверяваната от тях процедура по подходящ начин.</w:t>
      </w:r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258F1" w:rsidRPr="00CC6EDD" w:rsidRDefault="00F96733" w:rsidP="00F9673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5" w:name="_Toc431992229"/>
      <w:bookmarkStart w:id="16" w:name="_Toc432165960"/>
      <w:bookmarkStart w:id="17" w:name="_Toc431992230"/>
      <w:bookmarkStart w:id="18" w:name="_Toc432165961"/>
      <w:bookmarkStart w:id="19" w:name="_Toc431992231"/>
      <w:bookmarkStart w:id="20" w:name="_Toc432165962"/>
      <w:bookmarkStart w:id="21" w:name="_Toc431992232"/>
      <w:bookmarkStart w:id="22" w:name="_Toc432165963"/>
      <w:bookmarkStart w:id="23" w:name="_Toc431992233"/>
      <w:bookmarkStart w:id="24" w:name="_Toc432165964"/>
      <w:bookmarkStart w:id="25" w:name="_Toc431992234"/>
      <w:bookmarkStart w:id="26" w:name="_Toc432165965"/>
      <w:bookmarkStart w:id="27" w:name="_Toc431992235"/>
      <w:bookmarkStart w:id="28" w:name="_Toc432165966"/>
      <w:bookmarkStart w:id="29" w:name="_Toc431992236"/>
      <w:bookmarkStart w:id="30" w:name="_Toc432165967"/>
      <w:bookmarkStart w:id="31" w:name="_Toc431992237"/>
      <w:bookmarkStart w:id="32" w:name="_Toc432165968"/>
      <w:bookmarkStart w:id="33" w:name="_Toc431992238"/>
      <w:bookmarkStart w:id="34" w:name="_Toc432165969"/>
      <w:bookmarkStart w:id="35" w:name="_Toc431992239"/>
      <w:bookmarkStart w:id="36" w:name="_Toc432165970"/>
      <w:bookmarkStart w:id="37" w:name="_Toc431992240"/>
      <w:bookmarkStart w:id="38" w:name="_Toc432165971"/>
      <w:bookmarkStart w:id="39" w:name="_Toc431992241"/>
      <w:bookmarkStart w:id="40" w:name="_Toc432165972"/>
      <w:bookmarkStart w:id="41" w:name="_Toc431992242"/>
      <w:bookmarkStart w:id="42" w:name="_Toc432165973"/>
      <w:bookmarkStart w:id="43" w:name="_Toc431992243"/>
      <w:bookmarkStart w:id="44" w:name="_Toc432165974"/>
      <w:bookmarkStart w:id="45" w:name="_Toc431992244"/>
      <w:bookmarkStart w:id="46" w:name="_Toc432165975"/>
      <w:bookmarkStart w:id="47" w:name="_Toc431992245"/>
      <w:bookmarkStart w:id="48" w:name="_Toc432165976"/>
      <w:bookmarkStart w:id="49" w:name="_Toc431992246"/>
      <w:bookmarkStart w:id="50" w:name="_Toc432165977"/>
      <w:bookmarkStart w:id="51" w:name="_Toc431992247"/>
      <w:bookmarkStart w:id="52" w:name="_Toc432165978"/>
      <w:bookmarkStart w:id="53" w:name="_Toc431992248"/>
      <w:bookmarkStart w:id="54" w:name="_Toc432165979"/>
      <w:bookmarkStart w:id="55" w:name="_Toc431992249"/>
      <w:bookmarkStart w:id="56" w:name="_Toc432165980"/>
      <w:bookmarkStart w:id="57" w:name="_Toc431992250"/>
      <w:bookmarkStart w:id="58" w:name="_Toc432165981"/>
      <w:bookmarkStart w:id="59" w:name="_Toc431992251"/>
      <w:bookmarkStart w:id="60" w:name="_Toc432165982"/>
      <w:bookmarkStart w:id="61" w:name="_Toc431992252"/>
      <w:bookmarkStart w:id="62" w:name="_Toc432165983"/>
      <w:bookmarkStart w:id="63" w:name="_Toc431992253"/>
      <w:bookmarkStart w:id="64" w:name="_Toc432165984"/>
      <w:bookmarkStart w:id="65" w:name="_Toc431992254"/>
      <w:bookmarkStart w:id="66" w:name="_Toc432165985"/>
      <w:bookmarkStart w:id="67" w:name="_Toc431992255"/>
      <w:bookmarkStart w:id="68" w:name="_Toc432165986"/>
      <w:bookmarkStart w:id="69" w:name="_Toc431992256"/>
      <w:bookmarkStart w:id="70" w:name="_Toc432165987"/>
      <w:bookmarkStart w:id="71" w:name="_Toc431992257"/>
      <w:bookmarkStart w:id="72" w:name="_Toc432165988"/>
      <w:bookmarkStart w:id="73" w:name="_Toc431992258"/>
      <w:bookmarkStart w:id="74" w:name="_Toc432165989"/>
      <w:bookmarkStart w:id="75" w:name="_Toc431992259"/>
      <w:bookmarkStart w:id="76" w:name="_Toc432165990"/>
      <w:bookmarkStart w:id="77" w:name="_Toc431992260"/>
      <w:bookmarkStart w:id="78" w:name="_Toc432165991"/>
      <w:bookmarkStart w:id="79" w:name="_Toc431992261"/>
      <w:bookmarkStart w:id="80" w:name="_Toc432165992"/>
      <w:bookmarkStart w:id="81" w:name="_Toc431992262"/>
      <w:bookmarkStart w:id="82" w:name="_Toc432165993"/>
      <w:bookmarkStart w:id="83" w:name="_Toc431992263"/>
      <w:bookmarkStart w:id="84" w:name="_Toc432165994"/>
      <w:bookmarkStart w:id="85" w:name="_Toc431992264"/>
      <w:bookmarkStart w:id="86" w:name="_Toc432165995"/>
      <w:bookmarkStart w:id="87" w:name="_Toc431992265"/>
      <w:bookmarkStart w:id="88" w:name="_Toc432165996"/>
      <w:bookmarkStart w:id="89" w:name="_Toc431992266"/>
      <w:bookmarkStart w:id="90" w:name="_Toc432165997"/>
      <w:bookmarkStart w:id="91" w:name="_Toc431992267"/>
      <w:bookmarkStart w:id="92" w:name="_Toc432165998"/>
      <w:bookmarkStart w:id="93" w:name="_Toc431992268"/>
      <w:bookmarkStart w:id="94" w:name="_Toc432165999"/>
      <w:bookmarkStart w:id="95" w:name="_Toc431992269"/>
      <w:bookmarkStart w:id="96" w:name="_Toc432166000"/>
      <w:bookmarkStart w:id="97" w:name="_Toc431992270"/>
      <w:bookmarkStart w:id="98" w:name="_Toc432166001"/>
      <w:bookmarkStart w:id="99" w:name="_Toc431992271"/>
      <w:bookmarkStart w:id="100" w:name="_Toc432166002"/>
      <w:bookmarkStart w:id="101" w:name="_Toc431992272"/>
      <w:bookmarkStart w:id="102" w:name="_Toc432166003"/>
      <w:bookmarkStart w:id="103" w:name="_Toc431992273"/>
      <w:bookmarkStart w:id="104" w:name="_Toc432166004"/>
      <w:bookmarkStart w:id="105" w:name="_Toc431992274"/>
      <w:bookmarkStart w:id="106" w:name="_Toc432166005"/>
      <w:bookmarkStart w:id="107" w:name="_Toc431992275"/>
      <w:bookmarkStart w:id="108" w:name="_Toc432166006"/>
      <w:bookmarkStart w:id="109" w:name="_Toc431992276"/>
      <w:bookmarkStart w:id="110" w:name="_Toc432166007"/>
      <w:bookmarkStart w:id="111" w:name="_Toc431992277"/>
      <w:bookmarkStart w:id="112" w:name="_Toc432166008"/>
      <w:bookmarkStart w:id="113" w:name="_Toc431992278"/>
      <w:bookmarkStart w:id="114" w:name="_Toc432166009"/>
      <w:bookmarkStart w:id="115" w:name="_Toc431992279"/>
      <w:bookmarkStart w:id="116" w:name="_Toc432166010"/>
      <w:bookmarkStart w:id="117" w:name="_Toc431992280"/>
      <w:bookmarkStart w:id="118" w:name="_Toc432166011"/>
      <w:bookmarkStart w:id="119" w:name="_Toc431992281"/>
      <w:bookmarkStart w:id="120" w:name="_Toc432166012"/>
      <w:bookmarkStart w:id="121" w:name="_Toc431992282"/>
      <w:bookmarkStart w:id="122" w:name="_Toc432166013"/>
      <w:bookmarkStart w:id="123" w:name="_Toc431992283"/>
      <w:bookmarkStart w:id="124" w:name="_Toc432166014"/>
      <w:bookmarkStart w:id="125" w:name="_Toc431992284"/>
      <w:bookmarkStart w:id="126" w:name="_Toc432166015"/>
      <w:bookmarkStart w:id="127" w:name="_Toc431992285"/>
      <w:bookmarkStart w:id="128" w:name="_Toc432166016"/>
      <w:bookmarkStart w:id="129" w:name="_Toc431992286"/>
      <w:bookmarkStart w:id="130" w:name="_Toc432166017"/>
      <w:bookmarkStart w:id="131" w:name="_Toc431992287"/>
      <w:bookmarkStart w:id="132" w:name="_Toc432166018"/>
      <w:bookmarkStart w:id="133" w:name="_Toc431992288"/>
      <w:bookmarkStart w:id="134" w:name="_Toc432166019"/>
      <w:bookmarkStart w:id="135" w:name="_Toc431992289"/>
      <w:bookmarkStart w:id="136" w:name="_Toc432166020"/>
      <w:bookmarkStart w:id="137" w:name="_Toc431992290"/>
      <w:bookmarkStart w:id="138" w:name="_Toc432166021"/>
      <w:bookmarkStart w:id="139" w:name="_Toc431992291"/>
      <w:bookmarkStart w:id="140" w:name="_Toc432166022"/>
      <w:bookmarkStart w:id="141" w:name="_Toc431992292"/>
      <w:bookmarkStart w:id="142" w:name="_Toc432166023"/>
      <w:bookmarkStart w:id="143" w:name="_Toc431992293"/>
      <w:bookmarkStart w:id="144" w:name="_Toc432166024"/>
      <w:bookmarkStart w:id="145" w:name="_Toc431992294"/>
      <w:bookmarkStart w:id="146" w:name="_Toc432166025"/>
      <w:bookmarkStart w:id="147" w:name="_Toc431992295"/>
      <w:bookmarkStart w:id="148" w:name="_Toc432166026"/>
      <w:bookmarkStart w:id="149" w:name="_Toc431992296"/>
      <w:bookmarkStart w:id="150" w:name="_Toc432166027"/>
      <w:bookmarkStart w:id="151" w:name="_Toc431992297"/>
      <w:bookmarkStart w:id="152" w:name="_Toc432166028"/>
      <w:bookmarkStart w:id="153" w:name="_Toc431992298"/>
      <w:bookmarkStart w:id="154" w:name="_Toc432166029"/>
      <w:bookmarkStart w:id="155" w:name="_Toc431992299"/>
      <w:bookmarkStart w:id="156" w:name="_Toc432166030"/>
      <w:bookmarkStart w:id="157" w:name="_Toc431992300"/>
      <w:bookmarkStart w:id="158" w:name="_Toc432166031"/>
      <w:bookmarkStart w:id="159" w:name="_Toc431992301"/>
      <w:bookmarkStart w:id="160" w:name="_Toc432166032"/>
      <w:bookmarkStart w:id="161" w:name="_Toc431992302"/>
      <w:bookmarkStart w:id="162" w:name="_Toc432166033"/>
      <w:bookmarkStart w:id="163" w:name="_Toc431992303"/>
      <w:bookmarkStart w:id="164" w:name="_Toc432166034"/>
      <w:bookmarkStart w:id="165" w:name="_Toc431992304"/>
      <w:bookmarkStart w:id="166" w:name="_Toc432166035"/>
      <w:bookmarkStart w:id="167" w:name="_Toc431992305"/>
      <w:bookmarkStart w:id="168" w:name="_Toc432166036"/>
      <w:bookmarkStart w:id="169" w:name="_Toc431992306"/>
      <w:bookmarkStart w:id="170" w:name="_Toc432166037"/>
      <w:bookmarkStart w:id="171" w:name="_Toc431992307"/>
      <w:bookmarkStart w:id="172" w:name="_Toc432166038"/>
      <w:bookmarkStart w:id="173" w:name="_Toc431992308"/>
      <w:bookmarkStart w:id="174" w:name="_Toc432166039"/>
      <w:bookmarkStart w:id="175" w:name="_Toc431992309"/>
      <w:bookmarkStart w:id="176" w:name="_Toc432166040"/>
      <w:bookmarkStart w:id="177" w:name="_Toc431992310"/>
      <w:bookmarkStart w:id="178" w:name="_Toc432166041"/>
      <w:bookmarkStart w:id="179" w:name="_Toc431992311"/>
      <w:bookmarkStart w:id="180" w:name="_Toc432166042"/>
      <w:bookmarkStart w:id="181" w:name="_Toc431992312"/>
      <w:bookmarkStart w:id="182" w:name="_Toc432166043"/>
      <w:bookmarkStart w:id="183" w:name="_Toc431992313"/>
      <w:bookmarkStart w:id="184" w:name="_Toc432166044"/>
      <w:bookmarkStart w:id="185" w:name="_Toc431992314"/>
      <w:bookmarkStart w:id="186" w:name="_Toc432166045"/>
      <w:bookmarkStart w:id="187" w:name="_Toc431992315"/>
      <w:bookmarkStart w:id="188" w:name="_Toc432166046"/>
      <w:bookmarkStart w:id="189" w:name="_Toc431992316"/>
      <w:bookmarkStart w:id="190" w:name="_Toc432166047"/>
      <w:bookmarkStart w:id="191" w:name="_Toc431992317"/>
      <w:bookmarkStart w:id="192" w:name="_Toc432166048"/>
      <w:bookmarkStart w:id="193" w:name="_Toc431992318"/>
      <w:bookmarkStart w:id="194" w:name="_Toc432166049"/>
      <w:bookmarkStart w:id="195" w:name="_Toc431992319"/>
      <w:bookmarkStart w:id="196" w:name="_Toc432166050"/>
      <w:bookmarkStart w:id="197" w:name="_Toc431992320"/>
      <w:bookmarkStart w:id="198" w:name="_Toc432166051"/>
      <w:bookmarkStart w:id="199" w:name="_Toc431992321"/>
      <w:bookmarkStart w:id="200" w:name="_Toc432166052"/>
      <w:bookmarkStart w:id="201" w:name="_Toc431992322"/>
      <w:bookmarkStart w:id="202" w:name="_Toc432166053"/>
      <w:bookmarkStart w:id="203" w:name="_Toc431992323"/>
      <w:bookmarkStart w:id="204" w:name="_Toc432166054"/>
      <w:bookmarkStart w:id="205" w:name="_Toc431992324"/>
      <w:bookmarkStart w:id="206" w:name="_Toc432166055"/>
      <w:bookmarkStart w:id="207" w:name="_Toc431992325"/>
      <w:bookmarkStart w:id="208" w:name="_Toc432166056"/>
      <w:bookmarkStart w:id="209" w:name="_Toc431992326"/>
      <w:bookmarkStart w:id="210" w:name="_Toc432166057"/>
      <w:bookmarkStart w:id="211" w:name="_Toc431992327"/>
      <w:bookmarkStart w:id="212" w:name="_Toc432166058"/>
      <w:bookmarkStart w:id="213" w:name="_Toc431992328"/>
      <w:bookmarkStart w:id="214" w:name="_Toc432166059"/>
      <w:bookmarkStart w:id="215" w:name="_Toc431992329"/>
      <w:bookmarkStart w:id="216" w:name="_Toc432166060"/>
      <w:bookmarkStart w:id="217" w:name="_Toc431992330"/>
      <w:bookmarkStart w:id="218" w:name="_Toc432166061"/>
      <w:bookmarkStart w:id="219" w:name="_Toc431992331"/>
      <w:bookmarkStart w:id="220" w:name="_Toc432166062"/>
      <w:bookmarkStart w:id="221" w:name="_Toc431992332"/>
      <w:bookmarkStart w:id="222" w:name="_Toc432166063"/>
      <w:bookmarkStart w:id="223" w:name="_Toc431992333"/>
      <w:bookmarkStart w:id="224" w:name="_Toc432166064"/>
      <w:bookmarkStart w:id="225" w:name="_Toc431992334"/>
      <w:bookmarkStart w:id="226" w:name="_Toc432166065"/>
      <w:bookmarkStart w:id="227" w:name="_Toc431992335"/>
      <w:bookmarkStart w:id="228" w:name="_Toc432166066"/>
      <w:bookmarkStart w:id="229" w:name="_Toc431992336"/>
      <w:bookmarkStart w:id="230" w:name="_Toc432166067"/>
      <w:bookmarkStart w:id="231" w:name="_Toc431992337"/>
      <w:bookmarkStart w:id="232" w:name="_Toc432166068"/>
      <w:bookmarkStart w:id="233" w:name="_Toc479775688"/>
      <w:bookmarkStart w:id="234" w:name="_Toc14015024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 w:rsidR="003258F1" w:rsidRPr="00CC6E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Основни контролни дейности при възлагане на обществени </w:t>
      </w:r>
      <w:r w:rsidR="00897A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поръчки за проекти по </w:t>
      </w:r>
      <w:r w:rsidR="003258F1" w:rsidRPr="00CC6E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ПТС, при които бенефициент по проектите е Управляващият орган</w:t>
      </w:r>
      <w:bookmarkEnd w:id="233"/>
      <w:bookmarkEnd w:id="234"/>
    </w:p>
    <w:p w:rsid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случаите на изпълнение на проекти, финансирани по приоритетна ос „Техническа помощ”, бенефициент може да бъде Управляващият орган. В тези случаи, процедурата за възлагане на обществена поръчка се осъществява в рамките на Министерството на транспорта и съобщенията в съответствие с утвърдените от Министъра на транспорта и съобщенията „Вътрешни правила за реда и организацията за възлагане на обществени поръчки в Министерството на транспорта и съобщенията”.</w:t>
      </w:r>
    </w:p>
    <w:p w:rsidR="003258F1" w:rsidRPr="003258F1" w:rsidRDefault="003258F1" w:rsidP="0032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5A4F56" w:rsidP="003258F1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 w:line="240" w:lineRule="auto"/>
        <w:ind w:left="792" w:hanging="792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35" w:name="_Toc431992339"/>
      <w:bookmarkStart w:id="236" w:name="_Toc432166070"/>
      <w:bookmarkStart w:id="237" w:name="_Toc431992340"/>
      <w:bookmarkStart w:id="238" w:name="_Toc432166071"/>
      <w:bookmarkStart w:id="239" w:name="_Toc431992341"/>
      <w:bookmarkStart w:id="240" w:name="_Toc432166072"/>
      <w:bookmarkStart w:id="241" w:name="_Toc431992342"/>
      <w:bookmarkStart w:id="242" w:name="_Toc432166073"/>
      <w:bookmarkStart w:id="243" w:name="_Toc431992343"/>
      <w:bookmarkStart w:id="244" w:name="_Toc432166074"/>
      <w:bookmarkStart w:id="245" w:name="_Toc431992344"/>
      <w:bookmarkStart w:id="246" w:name="_Toc432166075"/>
      <w:bookmarkStart w:id="247" w:name="_Toc431992345"/>
      <w:bookmarkStart w:id="248" w:name="_Toc432166076"/>
      <w:bookmarkStart w:id="249" w:name="_Toc479775689"/>
      <w:bookmarkStart w:id="250" w:name="_Toc140150243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897D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.1. </w:t>
      </w:r>
      <w:r w:rsidR="003258F1" w:rsidRPr="003258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Контрол върху документацията от проведената обществена поръчка</w:t>
      </w:r>
      <w:bookmarkEnd w:id="249"/>
      <w:bookmarkEnd w:id="250"/>
    </w:p>
    <w:p w:rsidR="003258F1" w:rsidRPr="003258F1" w:rsidRDefault="003258F1" w:rsidP="00325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Контрол за законосъобразност върху документацията от проведената  обществена поръчка се осъществява за всички  поръчки над стойностните праговете по ЗОП.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Бенефициентът/Ръководителят на ЗИП в УО изпраща за контрол в отдел „Контрол по обществени поръчки“ документацията в тридесет (30) дневен срок преди  първото включване на разходи по сключения договор за верификация в искане за плащане. Документите, които следва да се представят на електронен носител  са: 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Предварително обявление (ако има такова, поотделно от ОВ и от АОП);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Обявление за обществената поръчка (по отделно от ОВ и от АОП);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Документация за участие, вкл. кореспонденцията и разясненията на възложителя  по получени въпроси от участниците (ако има такива);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Актове от външен контрол, осъществяван на АОП  (ако има такива);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Решения за промяна на обявлението или документацията за участие (ако има такива) (поотделно от ОВ и от АОП);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Протоколи за работата на комисията, вкл. оценителни листове; 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Заповед за назначаване на комисия за провеждане на процедурата;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Декларации по чл.103 от ЗОП и др. подобни (ако има такива);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Разменена кореспонденция между участниците и комисията за оценка по време на процедурата вкл. допълнително представени документи и др. подобни;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Решение за определяне на изпълнител;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Договор за обществена поръчка/рамково споразумение и договор по него;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Актове на КЗК и ВАС във връзка с процедурата;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Копие от офертата на спечелилия участник и копия от офертите на останалите участници;</w:t>
      </w:r>
    </w:p>
    <w:p w:rsidR="003258F1" w:rsidRPr="003258F1" w:rsidRDefault="003258F1" w:rsidP="003258F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Посочените по-горе документи следва да са налични в ИСУН 2020 към датата на изпращане за контрол на документацията. 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Бенефициентът/Ръководителят на ЗИП в УО представя и други документи, извън горните – при необходимост (напр.  справка, попълнена и подписана от възложителя за проведени процедури със сходен предмет за съответната календарна година).</w:t>
      </w:r>
    </w:p>
    <w:p w:rsidR="003258F1" w:rsidRPr="003258F1" w:rsidRDefault="003258F1" w:rsidP="003258F1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УО извършва контрол върху получените документи с приложим към настоящия Наръчник  общ контролен лист, който се попълва в ИСУН 2020 и приложения към него  (в зависимост от вида на процедурата), също част от Наръчника, които се публикуват в ИСУН 2020. Срокът за проверка на документацията от проведената обществена поръчка е до 20 работни дни от получаването в УО на гореописаните документи. 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Ако в процеса на проверка на документацията се установят пропуски в представените документи, експерт от отдел „КОП“  изисква писмено от Ръководителя на ЗИП в УО (официално или по ел. поща) представянето на допълнителни документи, информация или разяснения. 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Срокът за изпращане на документите/допълнителната информация е до 3 работни дни от получаване на писмено запитване. До получаване на отговор/изпращането на документи от страна на бенефициента в УО, се прекъсва срокът от 20 работни дни за проверка на документацията от проведената процедура.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За поръчки под стойностните прагове за възлагане по ЗОП възложителят прилага утвърдени в рамките на МТС контролни процедури за осигуряване на законосъобразност. По отношение на контрол за разделяне на поръчка под стойностните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прагове за възлагане по ЗОП се прилагат правилата на </w:t>
      </w:r>
      <w:r w:rsidRPr="00EC7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т.</w:t>
      </w:r>
      <w:r w:rsidR="00EC79D5" w:rsidRPr="00EC7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Pr="00EC79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.1.</w:t>
      </w:r>
      <w:r w:rsidR="00163B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от настоящата глава на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наръчник.</w:t>
      </w:r>
    </w:p>
    <w:p w:rsidR="003258F1" w:rsidRPr="003258F1" w:rsidRDefault="003258F1" w:rsidP="003258F1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Гореописаните проверки се финализират с попълването на общ КЛ в ИСУН 2020 и публикуването на приложенията към него от експерта, и одобрението му от началника на отдел „Контрол по обществени поръчки“ в ИСУН. За резултатите от проверката се изпраща уведомление по електронен път до началниците на отдели „ИК“ и „ФУ“ (п</w:t>
      </w:r>
      <w:r w:rsidR="00163B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исмо, в случаите по  Глава </w:t>
      </w:r>
      <w:r w:rsidR="005411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163B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к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акто и до Ръководителят на ЗИП в УО.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258F1" w:rsidRPr="003258F1" w:rsidRDefault="005A4F56" w:rsidP="003258F1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93"/>
        </w:tabs>
        <w:spacing w:before="120" w:after="120" w:line="240" w:lineRule="auto"/>
        <w:ind w:left="792" w:hanging="792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51" w:name="_Toc479775690"/>
      <w:bookmarkStart w:id="252" w:name="_Toc140150244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CC61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.2. </w:t>
      </w:r>
      <w:r w:rsidR="003258F1" w:rsidRPr="003258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Контрол от страна на УО на измененията на договор за обществена поръчка</w:t>
      </w:r>
      <w:bookmarkEnd w:id="251"/>
      <w:bookmarkEnd w:id="252"/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В случай, че възникне някоя от предвидените в ЗОП хипотези, подписаното изменение на договора и копие от документацията, обосноваваща изменението на договора, се представя за контрол в Управляващия орган (отдел „Контрол по обществени поръчки“) за осъществяване на проверка за съответствие със законовите изисквания и клаузите на договора в срок от 5 работни дни след сключването му. Към датата на представянето му за проверката, същото следва да е публикувано и в ИСУН 2020, заедно с документацията, обосноваваща изменението.</w:t>
      </w:r>
    </w:p>
    <w:p w:rsidR="003258F1" w:rsidRPr="003258F1" w:rsidRDefault="003258F1" w:rsidP="003258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При проверката се</w:t>
      </w:r>
      <w:bookmarkStart w:id="253" w:name="_GoBack"/>
      <w:bookmarkEnd w:id="253"/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извършват консултации и се изисква становище от отдел „Изпълнение и координация” (официално или по електронна поща) във връзка с актуалния статус на изпълнение на проекта/договора и обстоятелствата, наложили изменението.</w:t>
      </w: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В случаите, когато при преобразуване на изпълнителя в съответствие със законодателството на държавата, в която е установен, Възложителя сключва договор за продължаване на договора за обществена поръчка с правоприемника, Възложителят уведомява УО.  С договора с правоприемника не могат да се правят промени в договора за обществена поръчка. Заедно с уведомлението Възложителят представя на УО и доказателства, че не са налице обстоятелствата изискващи задължително отстраняване по ЗОП, както и такива обстоятелства посочени от Възложителя (основания за незадължително отстраняване) и че правоприемникът покрива изискванията относно критериите за подбор. </w:t>
      </w: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Проверката на допълнителното споразумение се извършва в срок от 7 работни дни след получаването му в отдел „КОП“. Отдел „КОП“ в посочения срок изготвя становище по полученото споразумение. За резултатите от проверката се уведомяват по електронна поща</w:t>
      </w:r>
      <w:r w:rsidRPr="003258F1" w:rsidDel="005B7F2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отдел „ФУ“ и отдел „ИК“, а самото становище се публикува в ИСУН 2020 до 2 работни дни. </w:t>
      </w: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При констатирано нарушение се прилага</w:t>
      </w:r>
      <w:r w:rsidR="00163B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т процедурите съгласно Глава </w:t>
      </w:r>
      <w:r w:rsidR="005411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8 </w:t>
      </w: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от настоящия наръчник.</w:t>
      </w:r>
    </w:p>
    <w:p w:rsidR="003258F1" w:rsidRPr="003258F1" w:rsidRDefault="003258F1" w:rsidP="003258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Ако в процеса на проверка се установят пропуски в представените документи, експерт от отдел „КОП“  изисква писмено от бенефициента (официално, по факс или по ел. поща) представянето на допълнителни документи, информация или разяснения. Срокът за изпращане на документите/допълнителната информация от бенефициента е до 2 работни дни от получаване на писмено запитване.</w:t>
      </w:r>
    </w:p>
    <w:p w:rsidR="00D70E42" w:rsidRDefault="003258F1" w:rsidP="006569B3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Описаната в т.</w:t>
      </w:r>
      <w:r w:rsidR="00163BD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</w:t>
      </w:r>
      <w:r w:rsidRPr="003258F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.3. процедура и изисквания, касаещи избягване на конфликт на интереси в обществените поръчки, се прилага и в случаите, когато бенефициент по проектите е Управляващият орган.</w:t>
      </w:r>
    </w:p>
    <w:p w:rsidR="006569B3" w:rsidRPr="006569B3" w:rsidRDefault="006569B3" w:rsidP="006569B3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258F1" w:rsidRPr="006569B3" w:rsidRDefault="006569B3" w:rsidP="006569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54" w:name="_Toc431992348"/>
      <w:bookmarkStart w:id="255" w:name="_Toc431992349"/>
      <w:bookmarkStart w:id="256" w:name="_Toc431992351"/>
      <w:bookmarkStart w:id="257" w:name="_Toc479775691"/>
      <w:bookmarkStart w:id="258" w:name="_Toc140150245"/>
      <w:bookmarkEnd w:id="254"/>
      <w:bookmarkEnd w:id="255"/>
      <w:bookmarkEnd w:id="256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</w:t>
      </w:r>
      <w:r w:rsidR="003258F1" w:rsidRPr="0065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Резултати от контрола на обществените поръчки</w:t>
      </w:r>
      <w:bookmarkEnd w:id="257"/>
      <w:bookmarkEnd w:id="258"/>
    </w:p>
    <w:p w:rsidR="003258F1" w:rsidRPr="003258F1" w:rsidRDefault="003258F1" w:rsidP="00CC6EDD">
      <w:pPr>
        <w:spacing w:before="60" w:after="6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58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Ако в резултат на извършения контрол от експерта от отдел „КОП“ се констатират нарушения, в контролния лист в ИСУН 2020 и приложенията към него, се описват установените нарушения и се дава препоръчителен процентен показател на финансова корекция за съответния вид нарушение, свързано с възлагането на обществената поръчка по „Насоките за определяне на финансовите корекции, които следва да бъдат направени спрямо разходите, съфинансирани от Структурните и Кохезионния фонд при неспазване на правилата за обществени поръчки“. В този случай се прилагат процедурите съгласно </w:t>
      </w:r>
      <w:r w:rsidR="00163BD9" w:rsidRPr="008912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Глава </w:t>
      </w:r>
      <w:r w:rsidR="005411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541194" w:rsidRPr="008912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912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от настоящия наръчник.</w:t>
      </w:r>
    </w:p>
    <w:p w:rsidR="00A55304" w:rsidRDefault="00A55304" w:rsidP="003258F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bg-BG"/>
        </w:rPr>
      </w:pPr>
    </w:p>
    <w:p w:rsidR="001C643D" w:rsidRPr="006569B3" w:rsidRDefault="00D563CC" w:rsidP="006569B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before="120" w:after="120" w:line="240" w:lineRule="auto"/>
        <w:ind w:left="0" w:right="141" w:firstLine="36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69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Осигуряване на одитна пътека по процедури от компетенциите на отдел „Контрол по обществени поръчки“</w:t>
      </w:r>
    </w:p>
    <w:p w:rsidR="00960DFA" w:rsidRDefault="00960DFA" w:rsidP="00CC6EDD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szCs w:val="24"/>
        </w:rPr>
      </w:pPr>
    </w:p>
    <w:p w:rsidR="003A248B" w:rsidRPr="00D60033" w:rsidRDefault="003A248B" w:rsidP="003A248B">
      <w:pPr>
        <w:pStyle w:val="ListParagraph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D60033">
        <w:rPr>
          <w:rFonts w:ascii="Times New Roman" w:hAnsi="Times New Roman" w:cs="Times New Roman"/>
          <w:sz w:val="24"/>
          <w:szCs w:val="24"/>
        </w:rPr>
        <w:t>Всички документации за възлагане на обществена поръчка, представени от възложителите на Управляващия орган (когато е представено на електронен носител, а не е внесено</w:t>
      </w:r>
      <w:r w:rsidRPr="00D60033">
        <w:t xml:space="preserve"> </w:t>
      </w:r>
      <w:r w:rsidRPr="00D60033">
        <w:rPr>
          <w:rFonts w:ascii="Times New Roman" w:hAnsi="Times New Roman" w:cs="Times New Roman"/>
          <w:sz w:val="24"/>
          <w:szCs w:val="24"/>
        </w:rPr>
        <w:t>в ИСУН 2020 );</w:t>
      </w:r>
    </w:p>
    <w:p w:rsidR="003A248B" w:rsidRPr="00CC6EDD" w:rsidRDefault="003A248B" w:rsidP="003A248B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CC6EDD">
        <w:rPr>
          <w:rFonts w:ascii="Times New Roman" w:hAnsi="Times New Roman" w:cs="Times New Roman"/>
          <w:sz w:val="24"/>
          <w:szCs w:val="24"/>
        </w:rPr>
        <w:t>Писма</w:t>
      </w:r>
      <w:r>
        <w:rPr>
          <w:rFonts w:ascii="Times New Roman" w:hAnsi="Times New Roman" w:cs="Times New Roman"/>
          <w:sz w:val="24"/>
          <w:szCs w:val="24"/>
        </w:rPr>
        <w:t xml:space="preserve"> и кореспонденция</w:t>
      </w:r>
      <w:r w:rsidRPr="00CC6EDD">
        <w:rPr>
          <w:rFonts w:ascii="Times New Roman" w:hAnsi="Times New Roman" w:cs="Times New Roman"/>
          <w:sz w:val="24"/>
          <w:szCs w:val="24"/>
          <w:lang w:eastAsia="fr-FR"/>
        </w:rPr>
        <w:t>, касаещи открити нарушения на обществени поръч</w:t>
      </w:r>
      <w:r>
        <w:rPr>
          <w:rFonts w:ascii="Times New Roman" w:hAnsi="Times New Roman" w:cs="Times New Roman"/>
          <w:sz w:val="24"/>
          <w:szCs w:val="24"/>
          <w:lang w:eastAsia="fr-FR"/>
        </w:rPr>
        <w:t>ки и налагане на финансови корекции, изпратени до бенефициентите (на хартиен или електронен носител, каквото е приложимо)</w:t>
      </w:r>
    </w:p>
    <w:p w:rsidR="0037104F" w:rsidRDefault="0037104F" w:rsidP="0037104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</w:pPr>
      <w:r w:rsidRPr="0037104F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Документите се съхраняват под формата на оригинали или заверени копия на оригиналите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(ако е приложими)</w:t>
      </w:r>
      <w:r w:rsidRPr="0037104F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или на общоприети носители на информация, включително електронни версии на оригинални документи или документи, съществуващи единствено в електронна версия. </w:t>
      </w:r>
    </w:p>
    <w:p w:rsidR="0037104F" w:rsidRPr="0037104F" w:rsidRDefault="0037104F" w:rsidP="0037104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</w:pPr>
      <w:r w:rsidRPr="0037104F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Електронните документи, внесени в ИСУН 2020, се считат за внесени в електронна система за архивиране.</w:t>
      </w:r>
    </w:p>
    <w:p w:rsidR="00D60033" w:rsidRDefault="0037104F" w:rsidP="00D600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37104F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Когато документите съществуват единствено в електронна форма, използваните компютърни системи отговарят на приетите стандарти за сигурност, които гарантират, че съхраняваните</w:t>
      </w:r>
      <w:r w:rsidRPr="0037104F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документи отговарят на националните законови изисквания и на тях може да се разчита за целите на одита.</w:t>
      </w:r>
    </w:p>
    <w:p w:rsidR="001C643D" w:rsidRPr="002208FF" w:rsidRDefault="001C643D" w:rsidP="003258F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bg-BG"/>
        </w:rPr>
      </w:pPr>
    </w:p>
    <w:sectPr w:rsidR="001C643D" w:rsidRPr="00220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378"/>
    <w:multiLevelType w:val="hybridMultilevel"/>
    <w:tmpl w:val="F092C7FC"/>
    <w:lvl w:ilvl="0" w:tplc="04020011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F007F9"/>
    <w:multiLevelType w:val="multilevel"/>
    <w:tmpl w:val="C73CD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F1477E"/>
    <w:multiLevelType w:val="hybridMultilevel"/>
    <w:tmpl w:val="D47066FA"/>
    <w:lvl w:ilvl="0" w:tplc="FBC410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B6E4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AC9F02">
      <w:start w:val="15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6C71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643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AC8B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8A7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C60B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211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B0B21"/>
    <w:multiLevelType w:val="hybridMultilevel"/>
    <w:tmpl w:val="DA3A5D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15899"/>
    <w:multiLevelType w:val="hybridMultilevel"/>
    <w:tmpl w:val="CCCAE5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F2B8D"/>
    <w:multiLevelType w:val="hybridMultilevel"/>
    <w:tmpl w:val="16B0C4E6"/>
    <w:lvl w:ilvl="0" w:tplc="6BEEEDE6">
      <w:start w:val="1"/>
      <w:numFmt w:val="decimal"/>
      <w:lvlText w:val="%1)"/>
      <w:lvlJc w:val="left"/>
      <w:pPr>
        <w:ind w:left="8157" w:hanging="360"/>
      </w:pPr>
      <w:rPr>
        <w:rFonts w:cs="Times New Roman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05C2255"/>
    <w:multiLevelType w:val="hybridMultilevel"/>
    <w:tmpl w:val="5A4438BC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2E08"/>
    <w:multiLevelType w:val="multilevel"/>
    <w:tmpl w:val="4350D5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FD275D"/>
    <w:multiLevelType w:val="multilevel"/>
    <w:tmpl w:val="8A5A341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3"/>
      <w:numFmt w:val="decimal"/>
      <w:isLgl/>
      <w:lvlText w:val="%1.%2."/>
      <w:lvlJc w:val="left"/>
      <w:pPr>
        <w:ind w:left="1871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9" w15:restartNumberingAfterBreak="0">
    <w:nsid w:val="28CE0E2B"/>
    <w:multiLevelType w:val="hybridMultilevel"/>
    <w:tmpl w:val="F2041F62"/>
    <w:lvl w:ilvl="0" w:tplc="040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D21B0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7E1D59"/>
    <w:multiLevelType w:val="multilevel"/>
    <w:tmpl w:val="ABA67BD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11" w15:restartNumberingAfterBreak="0">
    <w:nsid w:val="329961FF"/>
    <w:multiLevelType w:val="hybridMultilevel"/>
    <w:tmpl w:val="F2041F62"/>
    <w:lvl w:ilvl="0" w:tplc="040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D21B0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82027F"/>
    <w:multiLevelType w:val="hybridMultilevel"/>
    <w:tmpl w:val="BF5010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32AE4"/>
    <w:multiLevelType w:val="hybridMultilevel"/>
    <w:tmpl w:val="D5A258EC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57610"/>
    <w:multiLevelType w:val="multilevel"/>
    <w:tmpl w:val="439E80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15" w15:restartNumberingAfterBreak="0">
    <w:nsid w:val="4D38345B"/>
    <w:multiLevelType w:val="hybridMultilevel"/>
    <w:tmpl w:val="2264DEFC"/>
    <w:lvl w:ilvl="0" w:tplc="FDF4FDD6">
      <w:start w:val="1"/>
      <w:numFmt w:val="ordinal"/>
      <w:lvlText w:val="%1)"/>
      <w:lvlJc w:val="left"/>
      <w:pPr>
        <w:ind w:left="1571" w:hanging="360"/>
      </w:pPr>
      <w:rPr>
        <w:rFonts w:cs="Times New Roman" w:hint="default"/>
      </w:rPr>
    </w:lvl>
    <w:lvl w:ilvl="1" w:tplc="0402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E7544"/>
    <w:multiLevelType w:val="multilevel"/>
    <w:tmpl w:val="1FBA6908"/>
    <w:lvl w:ilvl="0">
      <w:start w:val="2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4EB8227E"/>
    <w:multiLevelType w:val="hybridMultilevel"/>
    <w:tmpl w:val="539877BE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4B02840"/>
    <w:multiLevelType w:val="hybridMultilevel"/>
    <w:tmpl w:val="F9C0EDD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6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11986"/>
    <w:multiLevelType w:val="hybridMultilevel"/>
    <w:tmpl w:val="AC501332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FA27420"/>
    <w:multiLevelType w:val="multilevel"/>
    <w:tmpl w:val="7D467F94"/>
    <w:lvl w:ilvl="0">
      <w:start w:val="4"/>
      <w:numFmt w:val="decimal"/>
      <w:lvlText w:val="%1."/>
      <w:lvlJc w:val="left"/>
      <w:pPr>
        <w:ind w:left="540" w:hanging="540"/>
      </w:pPr>
      <w:rPr>
        <w:rFonts w:eastAsia="Times New Roman" w:hint="default"/>
        <w:b/>
        <w:u w:val="none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eastAsia="Times New Roman" w:hint="default"/>
        <w:b/>
        <w:u w:val="none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eastAsia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eastAsia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eastAsia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eastAsia="Times New Roman"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eastAsia="Times New Roman"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eastAsia="Times New Roman" w:hint="default"/>
        <w:b/>
        <w:u w:val="none"/>
      </w:rPr>
    </w:lvl>
  </w:abstractNum>
  <w:abstractNum w:abstractNumId="21" w15:restartNumberingAfterBreak="0">
    <w:nsid w:val="7D1E4EA1"/>
    <w:multiLevelType w:val="hybridMultilevel"/>
    <w:tmpl w:val="81785FBE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8"/>
  </w:num>
  <w:num w:numId="6">
    <w:abstractNumId w:val="16"/>
  </w:num>
  <w:num w:numId="7">
    <w:abstractNumId w:val="1"/>
  </w:num>
  <w:num w:numId="8">
    <w:abstractNumId w:val="0"/>
  </w:num>
  <w:num w:numId="9">
    <w:abstractNumId w:val="15"/>
  </w:num>
  <w:num w:numId="10">
    <w:abstractNumId w:val="14"/>
  </w:num>
  <w:num w:numId="11">
    <w:abstractNumId w:val="10"/>
  </w:num>
  <w:num w:numId="12">
    <w:abstractNumId w:val="5"/>
  </w:num>
  <w:num w:numId="13">
    <w:abstractNumId w:val="19"/>
  </w:num>
  <w:num w:numId="14">
    <w:abstractNumId w:val="21"/>
  </w:num>
  <w:num w:numId="15">
    <w:abstractNumId w:val="17"/>
  </w:num>
  <w:num w:numId="16">
    <w:abstractNumId w:val="3"/>
  </w:num>
  <w:num w:numId="17">
    <w:abstractNumId w:val="20"/>
  </w:num>
  <w:num w:numId="18">
    <w:abstractNumId w:val="6"/>
  </w:num>
  <w:num w:numId="19">
    <w:abstractNumId w:val="18"/>
  </w:num>
  <w:num w:numId="20">
    <w:abstractNumId w:val="7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F1"/>
    <w:rsid w:val="000B4B47"/>
    <w:rsid w:val="000C4764"/>
    <w:rsid w:val="00163BD9"/>
    <w:rsid w:val="00182619"/>
    <w:rsid w:val="001B410C"/>
    <w:rsid w:val="001C643D"/>
    <w:rsid w:val="002208FF"/>
    <w:rsid w:val="002A1F3B"/>
    <w:rsid w:val="00307976"/>
    <w:rsid w:val="00313FA9"/>
    <w:rsid w:val="003258F1"/>
    <w:rsid w:val="0037104F"/>
    <w:rsid w:val="003917E8"/>
    <w:rsid w:val="003A248B"/>
    <w:rsid w:val="0040115D"/>
    <w:rsid w:val="00401613"/>
    <w:rsid w:val="00413658"/>
    <w:rsid w:val="00434505"/>
    <w:rsid w:val="00460EC1"/>
    <w:rsid w:val="004767AD"/>
    <w:rsid w:val="00493C30"/>
    <w:rsid w:val="004B1709"/>
    <w:rsid w:val="004B7B10"/>
    <w:rsid w:val="004E3891"/>
    <w:rsid w:val="00541194"/>
    <w:rsid w:val="00546AA7"/>
    <w:rsid w:val="005A4F56"/>
    <w:rsid w:val="005B0D4D"/>
    <w:rsid w:val="006569B3"/>
    <w:rsid w:val="00685FDE"/>
    <w:rsid w:val="006D4279"/>
    <w:rsid w:val="007579C1"/>
    <w:rsid w:val="00761554"/>
    <w:rsid w:val="007830A7"/>
    <w:rsid w:val="007E4763"/>
    <w:rsid w:val="00843B8B"/>
    <w:rsid w:val="00850B40"/>
    <w:rsid w:val="0088020E"/>
    <w:rsid w:val="008814E0"/>
    <w:rsid w:val="0089127F"/>
    <w:rsid w:val="008942B2"/>
    <w:rsid w:val="00897ADF"/>
    <w:rsid w:val="00897D99"/>
    <w:rsid w:val="008D3F51"/>
    <w:rsid w:val="008D44EE"/>
    <w:rsid w:val="008F0861"/>
    <w:rsid w:val="009006A1"/>
    <w:rsid w:val="009471B4"/>
    <w:rsid w:val="00960DFA"/>
    <w:rsid w:val="0096382F"/>
    <w:rsid w:val="00973FC7"/>
    <w:rsid w:val="00974ACE"/>
    <w:rsid w:val="00A24E0D"/>
    <w:rsid w:val="00A34AE6"/>
    <w:rsid w:val="00A55304"/>
    <w:rsid w:val="00A76BF8"/>
    <w:rsid w:val="00AB7DC7"/>
    <w:rsid w:val="00BA61FE"/>
    <w:rsid w:val="00BF6D95"/>
    <w:rsid w:val="00C5268C"/>
    <w:rsid w:val="00C6117B"/>
    <w:rsid w:val="00CC6101"/>
    <w:rsid w:val="00CC6EDD"/>
    <w:rsid w:val="00D5289B"/>
    <w:rsid w:val="00D563CC"/>
    <w:rsid w:val="00D60033"/>
    <w:rsid w:val="00D70E42"/>
    <w:rsid w:val="00DA786E"/>
    <w:rsid w:val="00DA7E67"/>
    <w:rsid w:val="00DB26BE"/>
    <w:rsid w:val="00DC1D2F"/>
    <w:rsid w:val="00DD47D0"/>
    <w:rsid w:val="00E024DA"/>
    <w:rsid w:val="00EA0BB5"/>
    <w:rsid w:val="00EA1D9A"/>
    <w:rsid w:val="00EC79D5"/>
    <w:rsid w:val="00F438D4"/>
    <w:rsid w:val="00F80C60"/>
    <w:rsid w:val="00F9142E"/>
    <w:rsid w:val="00F96733"/>
    <w:rsid w:val="00FB0796"/>
    <w:rsid w:val="00FD37AF"/>
    <w:rsid w:val="00FE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2685E-902E-4C9F-9BE8-DF31020C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8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AF603-8225-4679-AC16-45A0DC8A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4068</Words>
  <Characters>23192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Stoilova</dc:creator>
  <cp:keywords/>
  <dc:description/>
  <cp:lastModifiedBy>Daniela Kalaydzhiyska-Ivanova</cp:lastModifiedBy>
  <cp:revision>3</cp:revision>
  <dcterms:created xsi:type="dcterms:W3CDTF">2023-11-08T08:08:00Z</dcterms:created>
  <dcterms:modified xsi:type="dcterms:W3CDTF">2023-11-16T08:14:00Z</dcterms:modified>
</cp:coreProperties>
</file>