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6D238" w14:textId="77777777" w:rsidR="00941510" w:rsidRDefault="000445D9" w:rsidP="000445D9">
      <w:pPr>
        <w:spacing w:after="0"/>
        <w:jc w:val="right"/>
        <w:rPr>
          <w:rFonts w:asciiTheme="majorBidi" w:hAnsiTheme="majorBidi" w:cstheme="majorBidi"/>
          <w:b/>
          <w:spacing w:val="34"/>
          <w:sz w:val="24"/>
          <w:szCs w:val="24"/>
        </w:rPr>
      </w:pPr>
      <w:r w:rsidRPr="000445D9">
        <w:rPr>
          <w:rFonts w:asciiTheme="majorBidi" w:hAnsiTheme="majorBidi" w:cstheme="majorBidi"/>
          <w:b/>
          <w:spacing w:val="34"/>
          <w:sz w:val="24"/>
          <w:szCs w:val="24"/>
        </w:rPr>
        <w:t xml:space="preserve">Приложение 11 </w:t>
      </w:r>
    </w:p>
    <w:p w14:paraId="40F4ADDA" w14:textId="58E4636B" w:rsidR="000445D9" w:rsidRPr="000445D9" w:rsidRDefault="000445D9" w:rsidP="000445D9">
      <w:pPr>
        <w:spacing w:after="0"/>
        <w:jc w:val="right"/>
        <w:rPr>
          <w:rFonts w:asciiTheme="majorBidi" w:hAnsiTheme="majorBidi" w:cstheme="majorBidi"/>
          <w:b/>
          <w:spacing w:val="34"/>
          <w:sz w:val="24"/>
          <w:szCs w:val="24"/>
        </w:rPr>
      </w:pPr>
      <w:r w:rsidRPr="000445D9">
        <w:rPr>
          <w:rFonts w:asciiTheme="majorBidi" w:hAnsiTheme="majorBidi" w:cstheme="majorBidi"/>
          <w:b/>
          <w:spacing w:val="34"/>
          <w:sz w:val="24"/>
          <w:szCs w:val="24"/>
        </w:rPr>
        <w:t>Образец</w:t>
      </w:r>
    </w:p>
    <w:p w14:paraId="7FF05D28" w14:textId="35BA239A" w:rsidR="001D2A6D" w:rsidRPr="00E2682B" w:rsidRDefault="000E1842" w:rsidP="001D2A6D">
      <w:pPr>
        <w:spacing w:after="0"/>
        <w:jc w:val="center"/>
        <w:rPr>
          <w:b/>
          <w:spacing w:val="34"/>
          <w:sz w:val="24"/>
          <w:szCs w:val="24"/>
        </w:rPr>
      </w:pPr>
      <w:r w:rsidRPr="003A2CC1">
        <w:rPr>
          <w:rFonts w:ascii="Times New Roman Bold" w:hAnsi="Times New Roman Bold"/>
          <w:b/>
          <w:spacing w:val="34"/>
          <w:sz w:val="24"/>
          <w:szCs w:val="24"/>
        </w:rPr>
        <w:t>АДМИНИСТРАТИВЕН ДОГОВОР</w:t>
      </w:r>
    </w:p>
    <w:p w14:paraId="4332B620" w14:textId="77777777" w:rsidR="00F83303" w:rsidRPr="003377E8" w:rsidRDefault="00F83303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14:paraId="0B81C75D" w14:textId="77777777" w:rsidR="00166A5D" w:rsidRDefault="000E1842" w:rsidP="00166A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3A2CC1">
        <w:rPr>
          <w:rFonts w:ascii="Times New Roman" w:hAnsi="Times New Roman"/>
          <w:sz w:val="24"/>
          <w:szCs w:val="24"/>
        </w:rPr>
        <w:t xml:space="preserve">по </w:t>
      </w:r>
    </w:p>
    <w:p w14:paraId="0CC9F72E" w14:textId="77777777" w:rsidR="00C323AB" w:rsidRPr="000813EE" w:rsidRDefault="00950F04" w:rsidP="00166A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Програма</w:t>
      </w:r>
      <w:r w:rsidRPr="000813EE">
        <w:rPr>
          <w:rFonts w:ascii="Times New Roman" w:hAnsi="Times New Roman"/>
          <w:sz w:val="24"/>
          <w:szCs w:val="24"/>
        </w:rPr>
        <w:t xml:space="preserve"> </w:t>
      </w:r>
      <w:r w:rsidR="00604A93" w:rsidRPr="003A2CC1">
        <w:rPr>
          <w:rFonts w:ascii="Times New Roman" w:hAnsi="Times New Roman"/>
          <w:sz w:val="24"/>
          <w:szCs w:val="24"/>
        </w:rPr>
        <w:t>„</w:t>
      </w:r>
      <w:r w:rsidR="00BB3A1E" w:rsidRPr="003A2CC1">
        <w:rPr>
          <w:rFonts w:ascii="Times New Roman" w:hAnsi="Times New Roman"/>
          <w:sz w:val="24"/>
          <w:szCs w:val="24"/>
        </w:rPr>
        <w:t xml:space="preserve">Транспортна </w:t>
      </w:r>
      <w:r>
        <w:rPr>
          <w:rFonts w:ascii="Times New Roman" w:hAnsi="Times New Roman"/>
          <w:sz w:val="24"/>
          <w:szCs w:val="24"/>
        </w:rPr>
        <w:t>свързаност</w:t>
      </w:r>
      <w:r w:rsidR="00604A93" w:rsidRPr="003A2CC1"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 xml:space="preserve">2021-2027 </w:t>
      </w:r>
      <w:r w:rsidR="00BB3A1E" w:rsidRPr="003A2CC1">
        <w:rPr>
          <w:rFonts w:ascii="Times New Roman" w:hAnsi="Times New Roman"/>
          <w:sz w:val="24"/>
          <w:szCs w:val="24"/>
        </w:rPr>
        <w:t xml:space="preserve">г., </w:t>
      </w:r>
    </w:p>
    <w:p w14:paraId="3B1C629F" w14:textId="4FA4674E" w:rsidR="00E539BB" w:rsidRDefault="00950F04" w:rsidP="001D2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0F04">
        <w:rPr>
          <w:rFonts w:ascii="Times New Roman" w:hAnsi="Times New Roman"/>
          <w:sz w:val="24"/>
          <w:szCs w:val="24"/>
        </w:rPr>
        <w:t xml:space="preserve">Процедура </w:t>
      </w:r>
      <w:bookmarkStart w:id="0" w:name="_Hlk157776841"/>
      <w:r w:rsidRPr="00950F04">
        <w:rPr>
          <w:rFonts w:ascii="Times New Roman" w:hAnsi="Times New Roman"/>
          <w:sz w:val="24"/>
          <w:szCs w:val="24"/>
        </w:rPr>
        <w:t xml:space="preserve">№ </w:t>
      </w:r>
      <w:r w:rsidR="008F1929" w:rsidRPr="008F1929">
        <w:rPr>
          <w:rFonts w:ascii="Times New Roman" w:hAnsi="Times New Roman"/>
          <w:b/>
          <w:sz w:val="24"/>
          <w:szCs w:val="24"/>
        </w:rPr>
        <w:t>2021BG16FFPR001-3.002</w:t>
      </w:r>
      <w:r w:rsidR="008F1929" w:rsidRPr="008F1929" w:rsidDel="008F1929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8F1929" w:rsidRPr="008F1929">
        <w:rPr>
          <w:rFonts w:ascii="Times New Roman" w:hAnsi="Times New Roman"/>
          <w:sz w:val="24"/>
          <w:szCs w:val="24"/>
        </w:rPr>
        <w:t>„Подпомагане на интермодални оператори, включително развитие на съществуващи терминали“„</w:t>
      </w:r>
    </w:p>
    <w:p w14:paraId="4B004F78" w14:textId="77777777" w:rsidR="00F83303" w:rsidRPr="003A4794" w:rsidRDefault="00F83303" w:rsidP="001D2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F58309" w14:textId="3BBB51AB" w:rsidR="000A51C2" w:rsidRPr="000A51C2" w:rsidRDefault="00B95BED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Настоящият договор се сключва на основание </w:t>
      </w:r>
      <w:r w:rsidR="000001AA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чл. </w:t>
      </w:r>
      <w:r w:rsidR="00C510CA" w:rsidRPr="000A51C2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C510CA" w:rsidRPr="003A4794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="000001AA" w:rsidRPr="000A51C2">
        <w:rPr>
          <w:rFonts w:ascii="Times New Roman" w:eastAsia="Times New Roman" w:hAnsi="Times New Roman"/>
          <w:sz w:val="24"/>
          <w:szCs w:val="24"/>
          <w:lang w:eastAsia="fr-FR"/>
        </w:rPr>
        <w:t>, ал. 1</w:t>
      </w:r>
      <w:r w:rsidR="000001AA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D33E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чл.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C64C1" w:rsidRPr="000A51C2">
        <w:rPr>
          <w:rFonts w:ascii="Times New Roman" w:eastAsia="Times New Roman" w:hAnsi="Times New Roman"/>
          <w:sz w:val="24"/>
          <w:szCs w:val="24"/>
          <w:lang w:eastAsia="fr-FR"/>
        </w:rPr>
        <w:t>45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>, ал.</w:t>
      </w:r>
      <w:r w:rsidR="001C64C1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510CA" w:rsidRPr="003A4794">
        <w:rPr>
          <w:rFonts w:ascii="Times New Roman" w:eastAsia="Times New Roman" w:hAnsi="Times New Roman"/>
          <w:sz w:val="24"/>
          <w:szCs w:val="24"/>
          <w:lang w:eastAsia="fr-FR"/>
        </w:rPr>
        <w:t xml:space="preserve">1 </w:t>
      </w:r>
      <w:r w:rsidR="00C510CA">
        <w:rPr>
          <w:rFonts w:ascii="Times New Roman" w:eastAsia="Times New Roman" w:hAnsi="Times New Roman"/>
          <w:sz w:val="24"/>
          <w:szCs w:val="24"/>
          <w:lang w:val="en-US" w:eastAsia="fr-FR"/>
        </w:rPr>
        <w:t>t</w:t>
      </w:r>
      <w:r w:rsidR="00C510CA" w:rsidRPr="003A4794">
        <w:rPr>
          <w:rFonts w:ascii="Times New Roman" w:eastAsia="Times New Roman" w:hAnsi="Times New Roman"/>
          <w:sz w:val="24"/>
          <w:szCs w:val="24"/>
          <w:lang w:eastAsia="fr-FR"/>
        </w:rPr>
        <w:t xml:space="preserve">. 1 </w:t>
      </w:r>
      <w:r w:rsidR="00C510CA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C510CA" w:rsidRPr="003A4794">
        <w:rPr>
          <w:rFonts w:ascii="Times New Roman" w:eastAsia="Times New Roman" w:hAnsi="Times New Roman"/>
          <w:sz w:val="24"/>
          <w:szCs w:val="24"/>
          <w:lang w:eastAsia="fr-FR"/>
        </w:rPr>
        <w:t xml:space="preserve"> ал. 2</w:t>
      </w:r>
      <w:r w:rsidR="00C510CA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 w:rsidRPr="00535EE6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950F04" w:rsidRPr="006B329A">
        <w:rPr>
          <w:rFonts w:ascii="Times New Roman" w:eastAsia="Times New Roman" w:hAnsi="Times New Roman"/>
          <w:sz w:val="24"/>
          <w:szCs w:val="24"/>
          <w:lang w:eastAsia="fr-FR"/>
        </w:rPr>
        <w:t xml:space="preserve">Закона за управление на средствата от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950F04" w:rsidRPr="006B329A">
        <w:rPr>
          <w:rFonts w:ascii="Times New Roman" w:eastAsia="Times New Roman" w:hAnsi="Times New Roman"/>
          <w:sz w:val="24"/>
          <w:szCs w:val="24"/>
          <w:lang w:eastAsia="fr-FR"/>
        </w:rPr>
        <w:t>вропейските фондове при споделено управление (ЗУСЕФСУ)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D0376E">
        <w:rPr>
          <w:rFonts w:ascii="Times New Roman" w:eastAsia="Times New Roman" w:hAnsi="Times New Roman"/>
          <w:sz w:val="24"/>
          <w:szCs w:val="24"/>
          <w:lang w:eastAsia="fr-FR"/>
        </w:rPr>
        <w:t>изпратено уведомление до</w:t>
      </w:r>
      <w:r w:rsidR="00867A5E">
        <w:rPr>
          <w:rFonts w:ascii="Times New Roman" w:eastAsia="Times New Roman" w:hAnsi="Times New Roman"/>
          <w:sz w:val="24"/>
          <w:szCs w:val="24"/>
          <w:lang w:eastAsia="fr-FR"/>
        </w:rPr>
        <w:t xml:space="preserve"> ЕК ……….</w:t>
      </w:r>
      <w:r w:rsidR="000B57BB" w:rsidRPr="000B57BB">
        <w:rPr>
          <w:rFonts w:ascii="Times New Roman" w:eastAsia="Times New Roman" w:hAnsi="Times New Roman"/>
          <w:sz w:val="24"/>
          <w:szCs w:val="24"/>
        </w:rPr>
        <w:t xml:space="preserve"> </w:t>
      </w:r>
      <w:r w:rsidR="000B57BB"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чрез </w:t>
      </w:r>
      <w:hyperlink r:id="rId8" w:tgtFrame="_blank" w:history="1">
        <w:r w:rsidR="000B57BB" w:rsidRPr="000B57BB">
          <w:rPr>
            <w:rFonts w:ascii="Times New Roman" w:eastAsia="Times New Roman" w:hAnsi="Times New Roman"/>
            <w:sz w:val="24"/>
            <w:szCs w:val="24"/>
            <w:lang w:val="pl-PL" w:eastAsia="pl-PL"/>
          </w:rPr>
          <w:t>системата SANI 2</w:t>
        </w:r>
      </w:hyperlink>
      <w:r w:rsidR="00867A5E"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>в</w:t>
      </w:r>
      <w:proofErr w:type="spellStart"/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ъв</w:t>
      </w:r>
      <w:proofErr w:type="spellEnd"/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връзка с постъпило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ИСУН </w:t>
      </w:r>
      <w:r w:rsidR="00A9399D" w:rsidRPr="000A51C2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A50AB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„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</w:t>
      </w:r>
      <w:r w:rsidR="00A50AB4" w:rsidRPr="000A51C2">
        <w:rPr>
          <w:rFonts w:ascii="Times New Roman" w:eastAsia="Times New Roman" w:hAnsi="Times New Roman"/>
          <w:b/>
          <w:sz w:val="24"/>
          <w:szCs w:val="24"/>
          <w:lang w:eastAsia="fr-FR"/>
        </w:rPr>
        <w:t>”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и т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950F0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</w:t>
      </w:r>
      <w:r w:rsidR="000001AA" w:rsidRPr="000A51C2">
        <w:rPr>
          <w:rFonts w:ascii="Times New Roman" w:eastAsia="Times New Roman" w:hAnsi="Times New Roman"/>
          <w:sz w:val="24"/>
          <w:szCs w:val="24"/>
          <w:lang w:eastAsia="fr-FR"/>
        </w:rPr>
        <w:t>за предоставяне на БФП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“ от 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доклад на 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>оценителн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комисия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сформирана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с </w:t>
      </w:r>
      <w:r w:rsidR="00E539BB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№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539BB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>г.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Ръководителя на </w:t>
      </w:r>
      <w:r w:rsidR="00950F04" w:rsidRPr="003A2CC1">
        <w:rPr>
          <w:rFonts w:ascii="Times New Roman" w:hAnsi="Times New Roman"/>
          <w:sz w:val="24"/>
          <w:szCs w:val="24"/>
        </w:rPr>
        <w:t>Програма</w:t>
      </w:r>
      <w:r w:rsidR="00950F04" w:rsidRPr="000813EE">
        <w:rPr>
          <w:rFonts w:ascii="Times New Roman" w:hAnsi="Times New Roman"/>
          <w:sz w:val="24"/>
          <w:szCs w:val="24"/>
        </w:rPr>
        <w:t xml:space="preserve"> </w:t>
      </w:r>
      <w:r w:rsidR="00950F04" w:rsidRPr="003A2CC1">
        <w:rPr>
          <w:rFonts w:ascii="Times New Roman" w:hAnsi="Times New Roman"/>
          <w:sz w:val="24"/>
          <w:szCs w:val="24"/>
        </w:rPr>
        <w:t xml:space="preserve">„Транспортна </w:t>
      </w:r>
      <w:r w:rsidR="00950F04">
        <w:rPr>
          <w:rFonts w:ascii="Times New Roman" w:hAnsi="Times New Roman"/>
          <w:sz w:val="24"/>
          <w:szCs w:val="24"/>
        </w:rPr>
        <w:t>свързаност</w:t>
      </w:r>
      <w:r w:rsidR="00950F04" w:rsidRPr="003A2CC1">
        <w:rPr>
          <w:rFonts w:ascii="Times New Roman" w:hAnsi="Times New Roman"/>
          <w:sz w:val="24"/>
          <w:szCs w:val="24"/>
        </w:rPr>
        <w:t xml:space="preserve">” </w:t>
      </w:r>
      <w:r w:rsidR="00950F04">
        <w:rPr>
          <w:rFonts w:ascii="Times New Roman" w:hAnsi="Times New Roman"/>
          <w:sz w:val="24"/>
          <w:szCs w:val="24"/>
        </w:rPr>
        <w:t xml:space="preserve">2021-2027 </w:t>
      </w:r>
      <w:r w:rsidR="00950F04" w:rsidRPr="003A2CC1">
        <w:rPr>
          <w:rFonts w:ascii="Times New Roman" w:hAnsi="Times New Roman"/>
          <w:sz w:val="24"/>
          <w:szCs w:val="24"/>
        </w:rPr>
        <w:t>г.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) на </w:t>
      </w:r>
      <w:r w:rsidR="00950F04">
        <w:rPr>
          <w:rFonts w:ascii="Times New Roman" w:hAnsi="Times New Roman"/>
          <w:sz w:val="24"/>
          <w:szCs w:val="24"/>
        </w:rPr>
        <w:t>…………..</w:t>
      </w:r>
      <w:r w:rsidR="00A50AB4" w:rsidRPr="005160E4">
        <w:rPr>
          <w:rFonts w:ascii="Times New Roman" w:hAnsi="Times New Roman"/>
          <w:sz w:val="24"/>
          <w:szCs w:val="24"/>
        </w:rPr>
        <w:t xml:space="preserve"> </w:t>
      </w:r>
      <w:r w:rsidR="000A51C2" w:rsidRPr="005160E4">
        <w:rPr>
          <w:rFonts w:ascii="Times New Roman" w:hAnsi="Times New Roman"/>
          <w:sz w:val="24"/>
          <w:szCs w:val="24"/>
        </w:rPr>
        <w:t>г.</w:t>
      </w:r>
    </w:p>
    <w:p w14:paraId="16B0E54F" w14:textId="77777777" w:rsidR="009A7C1B" w:rsidRPr="000A51C2" w:rsidRDefault="00E52AE2" w:rsidP="001D2A6D">
      <w:pPr>
        <w:pStyle w:val="ListParagraph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между</w:t>
      </w:r>
    </w:p>
    <w:p w14:paraId="1B59D6E7" w14:textId="77777777"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МИНИСТЕРСТВО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ТО</w:t>
      </w:r>
      <w:r w:rsidR="00950F04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НА ТРАНСПОРТА 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И СЪОБЩЕНИЯТА,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със седалище гр. София 1000, ул. „Дякон Игнатий” № 9, ЕИК BG000695388, представлявано от </w:t>
      </w:r>
      <w:r w:rsidR="00950F04">
        <w:rPr>
          <w:rFonts w:ascii="Times New Roman" w:eastAsia="Times New Roman" w:hAnsi="Times New Roman"/>
          <w:sz w:val="24"/>
          <w:szCs w:val="24"/>
          <w:lang w:eastAsia="pl-PL"/>
        </w:rPr>
        <w:t>Мартин Георгиев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– директор на дирекция „Координация на програми и проекти“</w:t>
      </w:r>
      <w:r w:rsidRPr="007D33E3" w:rsidDel="00133E77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и Ръководител на Управляващия орган на </w:t>
      </w:r>
      <w:r w:rsidR="00950F04">
        <w:rPr>
          <w:rFonts w:ascii="Times New Roman" w:eastAsia="Times New Roman" w:hAnsi="Times New Roman"/>
          <w:sz w:val="24"/>
          <w:szCs w:val="24"/>
          <w:lang w:eastAsia="pl-PL"/>
        </w:rPr>
        <w:t>ПТС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и 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>г-жа Силвия Кузманова – началник на отдел „Финансово управление“ на дирекция „Координация на програми и проекти“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, </w:t>
      </w:r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наричан</w:t>
      </w:r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а</w:t>
      </w:r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по-долу </w:t>
      </w:r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УПРАВЛЯВАЩ ОРГАН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 една страна</w:t>
      </w:r>
    </w:p>
    <w:p w14:paraId="60960F2B" w14:textId="77777777"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и</w:t>
      </w:r>
    </w:p>
    <w:p w14:paraId="0CBAB53D" w14:textId="3ABF1A8C" w:rsidR="00AC4336" w:rsidRDefault="00950F04" w:rsidP="00AC4336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</w:t>
      </w:r>
      <w:r w:rsidR="007D33E3" w:rsidRPr="007D33E3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със седалище: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="004D74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E7A1E" w:rsidRPr="005E7A1E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ЕИК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представлявано от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="005E7A1E">
        <w:rPr>
          <w:rFonts w:ascii="Times New Roman" w:eastAsia="Times New Roman" w:hAnsi="Times New Roman"/>
          <w:i/>
          <w:sz w:val="24"/>
          <w:szCs w:val="24"/>
          <w:vertAlign w:val="superscript"/>
          <w:lang w:eastAsia="pl-PL"/>
        </w:rPr>
        <w:t xml:space="preserve"> </w:t>
      </w:r>
      <w:r w:rsidR="007D33E3" w:rsidRPr="007D33E3">
        <w:rPr>
          <w:rFonts w:ascii="Times New Roman" w:eastAsia="Times New Roman" w:hAnsi="Times New Roman"/>
          <w:iCs/>
          <w:sz w:val="24"/>
          <w:szCs w:val="24"/>
          <w:lang w:val="pl-PL" w:eastAsia="pl-PL"/>
        </w:rPr>
        <w:t xml:space="preserve">наричано по-долу </w:t>
      </w:r>
      <w:r w:rsidR="00E01D72">
        <w:rPr>
          <w:rFonts w:ascii="Times New Roman" w:eastAsia="Times New Roman" w:hAnsi="Times New Roman"/>
          <w:iCs/>
          <w:sz w:val="24"/>
          <w:szCs w:val="24"/>
          <w:lang w:eastAsia="pl-PL"/>
        </w:rPr>
        <w:t>„</w:t>
      </w:r>
      <w:r w:rsidR="007D33E3"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БЕНЕФИЦИЕНТ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="007D33E3" w:rsidRPr="007D33E3">
        <w:rPr>
          <w:rFonts w:ascii="Times New Roman" w:eastAsia="Times New Roman" w:hAnsi="Times New Roman"/>
          <w:bCs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 друга страна,</w:t>
      </w:r>
      <w:r w:rsidR="00AC4336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в партньорство с </w:t>
      </w:r>
      <w:r w:rsidR="00AC4336" w:rsidRPr="00AC4336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………………………, със седалище: …………………., ЕИК ………………, представлявано от </w:t>
      </w:r>
      <w:r w:rsidR="00AC4336">
        <w:rPr>
          <w:rFonts w:ascii="Times New Roman" w:eastAsia="Times New Roman" w:hAnsi="Times New Roman"/>
          <w:sz w:val="24"/>
          <w:szCs w:val="24"/>
          <w:lang w:val="pl-PL" w:eastAsia="pl-PL"/>
        </w:rPr>
        <w:t>.................................(съгласно подписано партньорско споразумение ако е приложимо).</w:t>
      </w:r>
    </w:p>
    <w:p w14:paraId="1F8BF681" w14:textId="77777777" w:rsidR="004D7464" w:rsidRPr="007D33E3" w:rsidRDefault="004D7464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14:paraId="577C801D" w14:textId="77777777" w:rsidR="00082379" w:rsidRPr="003A2CC1" w:rsidRDefault="009A7C1B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Страните по договора</w:t>
      </w:r>
      <w:r w:rsidRPr="00FF30D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се споразумяха за следното:</w:t>
      </w:r>
    </w:p>
    <w:p w14:paraId="5E4BBCCA" w14:textId="7D79AD1F" w:rsidR="00B90758" w:rsidRPr="000813EE" w:rsidRDefault="009A7C1B" w:rsidP="001D2A6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Ръководителят на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 xml:space="preserve">може да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предостав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3C1880"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, безвъзмездна финансова помощ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 xml:space="preserve"> (БФП)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в максимален размер до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3C1880" w:rsidRPr="00BC2115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………………</w:t>
      </w:r>
      <w:r w:rsidR="003C1880" w:rsidRPr="00256E1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от общите допустими разходи 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>за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проекта,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DE6E51" w:rsidRPr="003A2CC1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приоритетна ос </w:t>
      </w:r>
      <w:r w:rsidR="00D873E1">
        <w:rPr>
          <w:rFonts w:ascii="Times New Roman" w:eastAsia="Times New Roman" w:hAnsi="Times New Roman"/>
          <w:sz w:val="24"/>
          <w:szCs w:val="24"/>
          <w:lang w:eastAsia="fr-FR"/>
        </w:rPr>
        <w:t>3</w:t>
      </w:r>
      <w:r w:rsidR="00D873E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процедура </w:t>
      </w:r>
      <w:r w:rsidR="00D873E1" w:rsidRPr="00D873E1">
        <w:rPr>
          <w:rFonts w:ascii="Times New Roman" w:eastAsia="Times New Roman" w:hAnsi="Times New Roman"/>
          <w:sz w:val="24"/>
          <w:szCs w:val="24"/>
          <w:lang w:eastAsia="fr-FR"/>
        </w:rPr>
        <w:t xml:space="preserve">№ 2021BG16FFPR001-3.002 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за изпълнение на проект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………………..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(наричан по-долу </w:t>
      </w:r>
      <w:r w:rsidR="00E01D72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B90758" w:rsidRPr="00DE1F24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E01D72">
        <w:rPr>
          <w:rFonts w:ascii="Times New Roman" w:eastAsia="Times New Roman" w:hAnsi="Times New Roman"/>
          <w:b/>
          <w:sz w:val="24"/>
          <w:szCs w:val="24"/>
          <w:lang w:eastAsia="fr-FR"/>
        </w:rPr>
        <w:t>“</w:t>
      </w:r>
      <w:r w:rsidR="007E5363"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14:paraId="1A966C93" w14:textId="77777777" w:rsidR="00C61651" w:rsidRPr="003A2CC1" w:rsidRDefault="00B90758" w:rsidP="001D2A6D">
      <w:pPr>
        <w:pStyle w:val="ListParagraph"/>
        <w:numPr>
          <w:ilvl w:val="1"/>
          <w:numId w:val="3"/>
        </w:numPr>
        <w:tabs>
          <w:tab w:val="left" w:pos="1134"/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Стойностите, основните дейности и индикаторите за изпълнение по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са посочени в одобрения от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неразделна част от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настоящия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административен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договор.</w:t>
      </w:r>
    </w:p>
    <w:p w14:paraId="17CFF90E" w14:textId="77777777"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Общата стойност на разходите по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14:paraId="209243A9" w14:textId="77777777"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Общата стойност на допустимите разходи за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7C4F3E" w:rsidRPr="000813EE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).  </w:t>
      </w:r>
      <w:r w:rsidRPr="003A2CC1" w:rsidDel="00DD5CD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263A7F5D" w14:textId="6B6B5F0F" w:rsidR="00CE23E5" w:rsidRPr="00CE23E5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Безвъзмездна финансова помощ се отпуска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до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3875C1" w:rsidRPr="003875C1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C46015">
        <w:rPr>
          <w:rFonts w:ascii="Times New Roman" w:eastAsia="Times New Roman" w:hAnsi="Times New Roman"/>
          <w:sz w:val="24"/>
          <w:szCs w:val="24"/>
          <w:lang w:eastAsia="fr-FR"/>
        </w:rPr>
        <w:t xml:space="preserve">до </w:t>
      </w:r>
      <w:r w:rsidR="00C46015" w:rsidRPr="00C46015">
        <w:rPr>
          <w:rFonts w:ascii="Times New Roman" w:eastAsia="Times New Roman" w:hAnsi="Times New Roman"/>
          <w:sz w:val="24"/>
          <w:szCs w:val="24"/>
          <w:lang w:eastAsia="fr-FR"/>
        </w:rPr>
        <w:t xml:space="preserve">50% </w:t>
      </w:r>
      <w:r w:rsidR="00C46015">
        <w:rPr>
          <w:rFonts w:ascii="Times New Roman" w:eastAsia="Times New Roman" w:hAnsi="Times New Roman"/>
          <w:sz w:val="24"/>
          <w:szCs w:val="24"/>
          <w:lang w:eastAsia="fr-FR"/>
        </w:rPr>
        <w:t>петдесет процента</w:t>
      </w:r>
      <w:r w:rsidRPr="00F47F9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допустимите за финансиране по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разходи на проекта</w:t>
      </w:r>
      <w:r w:rsidR="00CE23E5" w:rsidRPr="00CE23E5">
        <w:rPr>
          <w:rFonts w:ascii="Times New Roman" w:hAnsi="Times New Roman"/>
          <w:sz w:val="24"/>
          <w:szCs w:val="24"/>
        </w:rPr>
        <w:t>,</w:t>
      </w:r>
      <w:r w:rsidR="006E6CBE">
        <w:rPr>
          <w:rFonts w:ascii="Times New Roman" w:hAnsi="Times New Roman"/>
          <w:sz w:val="24"/>
          <w:szCs w:val="24"/>
        </w:rPr>
        <w:t xml:space="preserve"> но не повече от </w:t>
      </w:r>
      <w:r w:rsidR="00C46015">
        <w:rPr>
          <w:rFonts w:ascii="Times New Roman" w:hAnsi="Times New Roman"/>
          <w:sz w:val="24"/>
          <w:szCs w:val="24"/>
        </w:rPr>
        <w:t>4,000,000 лв. (четири милиона лева)</w:t>
      </w:r>
      <w:r w:rsidR="00D873E1">
        <w:rPr>
          <w:rFonts w:ascii="Times New Roman" w:hAnsi="Times New Roman"/>
          <w:sz w:val="24"/>
          <w:szCs w:val="24"/>
        </w:rPr>
        <w:t>.</w:t>
      </w:r>
    </w:p>
    <w:p w14:paraId="757573A1" w14:textId="0218C399" w:rsidR="00FA7035" w:rsidRPr="00B24361" w:rsidRDefault="00FA7035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A7035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Администратор на държавната помощ е </w:t>
      </w:r>
      <w:r w:rsidRPr="00FA7035">
        <w:rPr>
          <w:rFonts w:ascii="Times New Roman" w:eastAsia="Times New Roman" w:hAnsi="Times New Roman"/>
          <w:b/>
          <w:sz w:val="24"/>
          <w:szCs w:val="24"/>
          <w:lang w:val="pl-PL" w:eastAsia="fr-FR"/>
        </w:rPr>
        <w:t>УПРАВЛЯВАЩИЯ</w:t>
      </w:r>
      <w:r w:rsidR="00D873E1">
        <w:rPr>
          <w:rFonts w:ascii="Times New Roman" w:eastAsia="Times New Roman" w:hAnsi="Times New Roman"/>
          <w:b/>
          <w:sz w:val="24"/>
          <w:szCs w:val="24"/>
          <w:lang w:val="pl-PL" w:eastAsia="fr-FR"/>
        </w:rPr>
        <w:t>Т</w:t>
      </w:r>
      <w:r w:rsidRPr="00FA7035">
        <w:rPr>
          <w:rFonts w:ascii="Times New Roman" w:eastAsia="Times New Roman" w:hAnsi="Times New Roman"/>
          <w:b/>
          <w:sz w:val="24"/>
          <w:szCs w:val="24"/>
          <w:lang w:val="pl-PL" w:eastAsia="fr-FR"/>
        </w:rPr>
        <w:t xml:space="preserve"> ОРГАН</w:t>
      </w:r>
      <w:r w:rsidR="00C4466E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Pr="00FA7035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</w:p>
    <w:p w14:paraId="36938246" w14:textId="4CC455B1" w:rsidR="00BB7A55" w:rsidRDefault="002424EA" w:rsidP="006E061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 не се отпуска за недопустими разходи </w:t>
      </w:r>
      <w:r w:rsidR="00174332"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за БФП </w:t>
      </w:r>
      <w:r w:rsidRPr="005E0D0C">
        <w:rPr>
          <w:rFonts w:ascii="Times New Roman" w:eastAsia="Times New Roman" w:hAnsi="Times New Roman"/>
          <w:sz w:val="24"/>
          <w:szCs w:val="24"/>
          <w:lang w:eastAsia="fr-FR"/>
        </w:rPr>
        <w:t>по проекта</w:t>
      </w:r>
      <w:r w:rsidR="00D873E1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53F97F0F" w14:textId="77777777" w:rsidR="00BB7A55" w:rsidRPr="005E0D0C" w:rsidRDefault="00AA6371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hAnsi="Times New Roman"/>
          <w:b/>
          <w:bCs/>
          <w:sz w:val="24"/>
          <w:szCs w:val="24"/>
        </w:rPr>
        <w:t>недопустими</w:t>
      </w:r>
      <w:r w:rsidRPr="006E061D">
        <w:rPr>
          <w:rFonts w:ascii="Times New Roman" w:hAnsi="Times New Roman"/>
          <w:bCs/>
          <w:sz w:val="24"/>
          <w:szCs w:val="24"/>
        </w:rPr>
        <w:t xml:space="preserve"> разходи за проекта</w:t>
      </w:r>
      <w:r w:rsidRPr="006E061D">
        <w:rPr>
          <w:rFonts w:ascii="Times New Roman" w:hAnsi="Times New Roman"/>
          <w:sz w:val="24"/>
          <w:szCs w:val="24"/>
        </w:rPr>
        <w:t xml:space="preserve"> в размер на </w:t>
      </w:r>
      <w:r w:rsidR="00950F04">
        <w:rPr>
          <w:rFonts w:ascii="Times New Roman" w:hAnsi="Times New Roman"/>
          <w:b/>
          <w:sz w:val="24"/>
          <w:szCs w:val="24"/>
        </w:rPr>
        <w:t>………</w:t>
      </w:r>
      <w:r w:rsidRPr="005E0D0C">
        <w:rPr>
          <w:rFonts w:ascii="Times New Roman" w:hAnsi="Times New Roman"/>
          <w:b/>
          <w:szCs w:val="24"/>
        </w:rPr>
        <w:t xml:space="preserve"> </w:t>
      </w:r>
      <w:r w:rsidRPr="005E0D0C">
        <w:rPr>
          <w:rFonts w:ascii="Times New Roman" w:hAnsi="Times New Roman"/>
          <w:b/>
          <w:sz w:val="24"/>
          <w:szCs w:val="24"/>
        </w:rPr>
        <w:t>лева</w:t>
      </w:r>
      <w:r w:rsidRPr="005E0D0C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………..</w:t>
      </w:r>
      <w:r w:rsidRPr="005E0D0C">
        <w:rPr>
          <w:rFonts w:ascii="Times New Roman" w:hAnsi="Times New Roman"/>
          <w:sz w:val="24"/>
          <w:szCs w:val="24"/>
        </w:rPr>
        <w:t>)</w:t>
      </w:r>
      <w:r w:rsidR="00BB7A55">
        <w:rPr>
          <w:rFonts w:ascii="Times New Roman" w:hAnsi="Times New Roman"/>
          <w:sz w:val="24"/>
          <w:szCs w:val="24"/>
        </w:rPr>
        <w:t>;</w:t>
      </w:r>
    </w:p>
    <w:p w14:paraId="258C552B" w14:textId="1272A28A" w:rsidR="002424EA" w:rsidRPr="005E0D0C" w:rsidRDefault="00AA6371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061D">
        <w:rPr>
          <w:rFonts w:ascii="Times New Roman" w:hAnsi="Times New Roman"/>
          <w:b/>
          <w:sz w:val="24"/>
          <w:szCs w:val="24"/>
        </w:rPr>
        <w:t>допустими</w:t>
      </w:r>
      <w:r w:rsidRPr="006E061D">
        <w:rPr>
          <w:rFonts w:ascii="Times New Roman" w:hAnsi="Times New Roman"/>
          <w:sz w:val="24"/>
          <w:szCs w:val="24"/>
        </w:rPr>
        <w:t xml:space="preserve"> разходи за проекта с общ размер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950F04">
        <w:rPr>
          <w:rFonts w:ascii="Times New Roman" w:hAnsi="Times New Roman"/>
          <w:b/>
          <w:sz w:val="24"/>
          <w:szCs w:val="24"/>
        </w:rPr>
        <w:t>……… лева</w:t>
      </w:r>
      <w:r w:rsidR="008D5564" w:rsidRPr="006E061D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</w:t>
      </w:r>
      <w:r w:rsidR="008D5564" w:rsidRPr="005E0D0C">
        <w:rPr>
          <w:rFonts w:ascii="Times New Roman" w:hAnsi="Times New Roman"/>
          <w:sz w:val="24"/>
          <w:szCs w:val="24"/>
        </w:rPr>
        <w:t>)</w:t>
      </w:r>
      <w:r w:rsidR="005E0D0C">
        <w:rPr>
          <w:sz w:val="24"/>
          <w:szCs w:val="24"/>
        </w:rPr>
        <w:t xml:space="preserve">. </w:t>
      </w:r>
      <w:r w:rsidR="005E0D0C" w:rsidRPr="003804BB">
        <w:rPr>
          <w:rFonts w:ascii="Times New Roman" w:hAnsi="Times New Roman"/>
          <w:sz w:val="24"/>
          <w:szCs w:val="24"/>
        </w:rPr>
        <w:t>Стойността включва</w:t>
      </w:r>
      <w:r w:rsidR="005E0D0C">
        <w:rPr>
          <w:sz w:val="24"/>
          <w:szCs w:val="24"/>
        </w:rPr>
        <w:t xml:space="preserve"> </w:t>
      </w:r>
      <w:r w:rsidR="00950F04">
        <w:rPr>
          <w:rFonts w:ascii="Times New Roman" w:hAnsi="Times New Roman"/>
          <w:b/>
          <w:sz w:val="24"/>
          <w:szCs w:val="24"/>
        </w:rPr>
        <w:t>………..</w:t>
      </w:r>
      <w:r w:rsidR="008D5564" w:rsidRPr="006E061D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</w:t>
      </w:r>
      <w:r w:rsidR="008D5564" w:rsidRPr="005E0D0C">
        <w:rPr>
          <w:rFonts w:ascii="Times New Roman" w:hAnsi="Times New Roman"/>
          <w:sz w:val="24"/>
          <w:szCs w:val="24"/>
        </w:rPr>
        <w:t xml:space="preserve">) поради ограничение на бюджета на </w:t>
      </w:r>
      <w:r w:rsidR="007C2D70" w:rsidRPr="00581700">
        <w:rPr>
          <w:rFonts w:ascii="Times New Roman" w:hAnsi="Times New Roman"/>
          <w:sz w:val="24"/>
          <w:szCs w:val="24"/>
        </w:rPr>
        <w:t>процедура №</w:t>
      </w:r>
      <w:r w:rsidR="007C2D70" w:rsidRPr="00581700">
        <w:rPr>
          <w:rFonts w:ascii="Times New Roman" w:hAnsi="Times New Roman"/>
          <w:b/>
          <w:sz w:val="24"/>
          <w:szCs w:val="24"/>
        </w:rPr>
        <w:t xml:space="preserve"> </w:t>
      </w:r>
      <w:r w:rsidR="00417BC9" w:rsidRPr="00417BC9">
        <w:rPr>
          <w:rFonts w:ascii="Times New Roman" w:hAnsi="Times New Roman"/>
          <w:sz w:val="24"/>
          <w:szCs w:val="24"/>
        </w:rPr>
        <w:t xml:space="preserve">2021BG16FFPR001-3.002 </w:t>
      </w:r>
      <w:r w:rsidR="00BB7A55">
        <w:rPr>
          <w:rFonts w:ascii="Times New Roman" w:hAnsi="Times New Roman"/>
          <w:sz w:val="24"/>
          <w:szCs w:val="24"/>
        </w:rPr>
        <w:t>по</w:t>
      </w:r>
      <w:r w:rsidR="00670864">
        <w:rPr>
          <w:rFonts w:ascii="Times New Roman" w:hAnsi="Times New Roman"/>
          <w:sz w:val="24"/>
          <w:szCs w:val="24"/>
        </w:rPr>
        <w:t xml:space="preserve"> </w:t>
      </w:r>
      <w:r w:rsidR="008D5564" w:rsidRPr="006E061D">
        <w:rPr>
          <w:rFonts w:ascii="Times New Roman" w:hAnsi="Times New Roman"/>
          <w:sz w:val="24"/>
          <w:szCs w:val="24"/>
        </w:rPr>
        <w:t xml:space="preserve">Приоритет </w:t>
      </w:r>
      <w:r w:rsidR="00CD3566">
        <w:rPr>
          <w:rFonts w:ascii="Times New Roman" w:hAnsi="Times New Roman"/>
          <w:sz w:val="24"/>
          <w:szCs w:val="24"/>
        </w:rPr>
        <w:t>3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7C2D70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C54F34">
        <w:rPr>
          <w:rFonts w:ascii="Times New Roman" w:hAnsi="Times New Roman"/>
          <w:b/>
          <w:sz w:val="24"/>
          <w:szCs w:val="24"/>
        </w:rPr>
        <w:t>……….</w:t>
      </w:r>
      <w:r w:rsidR="00216D39" w:rsidRPr="006E061D">
        <w:rPr>
          <w:rFonts w:ascii="Times New Roman" w:hAnsi="Times New Roman"/>
          <w:szCs w:val="24"/>
        </w:rPr>
        <w:t xml:space="preserve"> </w:t>
      </w:r>
      <w:r w:rsidRPr="006E061D">
        <w:rPr>
          <w:rFonts w:ascii="Times New Roman" w:hAnsi="Times New Roman"/>
          <w:sz w:val="24"/>
          <w:szCs w:val="24"/>
        </w:rPr>
        <w:t>лева</w:t>
      </w:r>
      <w:r w:rsidR="002E5F3A" w:rsidRPr="006E061D">
        <w:rPr>
          <w:rFonts w:ascii="Times New Roman" w:hAnsi="Times New Roman"/>
          <w:sz w:val="24"/>
          <w:szCs w:val="24"/>
        </w:rPr>
        <w:t xml:space="preserve"> (</w:t>
      </w:r>
      <w:r w:rsidR="00C54F34">
        <w:rPr>
          <w:rFonts w:ascii="Times New Roman" w:hAnsi="Times New Roman"/>
          <w:sz w:val="24"/>
          <w:szCs w:val="24"/>
        </w:rPr>
        <w:t>……….</w:t>
      </w:r>
      <w:r w:rsidR="002E5F3A" w:rsidRPr="005E0D0C">
        <w:rPr>
          <w:rFonts w:ascii="Times New Roman" w:hAnsi="Times New Roman"/>
          <w:sz w:val="24"/>
          <w:szCs w:val="24"/>
        </w:rPr>
        <w:t>)</w:t>
      </w:r>
      <w:r w:rsidRPr="005E0D0C">
        <w:rPr>
          <w:rFonts w:ascii="Times New Roman" w:hAnsi="Times New Roman"/>
          <w:sz w:val="24"/>
          <w:szCs w:val="24"/>
        </w:rPr>
        <w:t xml:space="preserve">, получени в резултат на прилагане на </w:t>
      </w:r>
      <w:r w:rsidR="00174332" w:rsidRPr="005E0D0C">
        <w:rPr>
          <w:rFonts w:ascii="Times New Roman" w:hAnsi="Times New Roman"/>
          <w:sz w:val="24"/>
          <w:szCs w:val="24"/>
        </w:rPr>
        <w:t>ограничението</w:t>
      </w:r>
      <w:r w:rsidR="00C46015">
        <w:rPr>
          <w:rFonts w:ascii="Times New Roman" w:hAnsi="Times New Roman"/>
          <w:sz w:val="24"/>
          <w:szCs w:val="24"/>
        </w:rPr>
        <w:t xml:space="preserve"> от 50% (петдесет процента)</w:t>
      </w:r>
      <w:r w:rsidR="00174332" w:rsidRPr="005E0D0C">
        <w:rPr>
          <w:rFonts w:ascii="Times New Roman" w:hAnsi="Times New Roman"/>
          <w:sz w:val="24"/>
          <w:szCs w:val="24"/>
        </w:rPr>
        <w:t xml:space="preserve"> </w:t>
      </w:r>
      <w:r w:rsidR="002E5F3A" w:rsidRPr="005E0D0C">
        <w:rPr>
          <w:rFonts w:ascii="Times New Roman" w:hAnsi="Times New Roman"/>
          <w:sz w:val="24"/>
          <w:szCs w:val="24"/>
        </w:rPr>
        <w:t>з</w:t>
      </w:r>
      <w:r w:rsidR="00174332" w:rsidRPr="005E0D0C">
        <w:rPr>
          <w:rFonts w:ascii="Times New Roman" w:hAnsi="Times New Roman"/>
          <w:sz w:val="24"/>
          <w:szCs w:val="24"/>
        </w:rPr>
        <w:t xml:space="preserve">а размера на съвместимата държавна помощ по </w:t>
      </w:r>
      <w:r w:rsidR="00D873E1">
        <w:rPr>
          <w:rFonts w:ascii="Times New Roman" w:hAnsi="Times New Roman"/>
          <w:sz w:val="24"/>
          <w:szCs w:val="24"/>
        </w:rPr>
        <w:t>съгласно уведомление до ЕК</w:t>
      </w:r>
      <w:r w:rsidRPr="005E0D0C">
        <w:rPr>
          <w:rFonts w:ascii="Times New Roman" w:hAnsi="Times New Roman"/>
          <w:sz w:val="24"/>
          <w:szCs w:val="24"/>
        </w:rPr>
        <w:t xml:space="preserve"> и </w:t>
      </w:r>
      <w:r w:rsidR="00C46015">
        <w:rPr>
          <w:rFonts w:ascii="Times New Roman" w:hAnsi="Times New Roman"/>
          <w:b/>
          <w:sz w:val="24"/>
          <w:szCs w:val="24"/>
        </w:rPr>
        <w:t>4,000,000</w:t>
      </w:r>
      <w:r w:rsidR="00216D39" w:rsidRPr="005E0D0C">
        <w:rPr>
          <w:rFonts w:ascii="Times New Roman" w:hAnsi="Times New Roman"/>
          <w:szCs w:val="24"/>
        </w:rPr>
        <w:t xml:space="preserve"> </w:t>
      </w:r>
      <w:r w:rsidRPr="005E0D0C">
        <w:rPr>
          <w:rFonts w:ascii="Times New Roman" w:hAnsi="Times New Roman"/>
          <w:sz w:val="24"/>
          <w:szCs w:val="24"/>
        </w:rPr>
        <w:t>лева (</w:t>
      </w:r>
      <w:r w:rsidR="00C46015">
        <w:rPr>
          <w:rFonts w:ascii="Times New Roman" w:hAnsi="Times New Roman"/>
          <w:sz w:val="24"/>
          <w:szCs w:val="24"/>
        </w:rPr>
        <w:t>четири милиона</w:t>
      </w:r>
      <w:r w:rsidR="00CD3566">
        <w:rPr>
          <w:rFonts w:ascii="Times New Roman" w:hAnsi="Times New Roman"/>
          <w:sz w:val="24"/>
          <w:szCs w:val="24"/>
        </w:rPr>
        <w:t>)</w:t>
      </w:r>
      <w:r w:rsidR="0064656A" w:rsidRPr="003804BB">
        <w:rPr>
          <w:rFonts w:ascii="Times New Roman" w:hAnsi="Times New Roman"/>
          <w:sz w:val="24"/>
          <w:szCs w:val="24"/>
        </w:rPr>
        <w:t>.</w:t>
      </w:r>
      <w:r w:rsidR="00216D39">
        <w:rPr>
          <w:rFonts w:ascii="Times New Roman" w:hAnsi="Times New Roman"/>
          <w:sz w:val="24"/>
          <w:szCs w:val="24"/>
        </w:rPr>
        <w:t>Разходите,</w:t>
      </w:r>
      <w:r w:rsidR="00216D39" w:rsidRPr="00216D39">
        <w:rPr>
          <w:rFonts w:ascii="Times New Roman" w:hAnsi="Times New Roman"/>
          <w:sz w:val="24"/>
          <w:szCs w:val="24"/>
        </w:rPr>
        <w:t xml:space="preserve"> получени в резултат на прилагане на ограничението за размера на съвместимата държавна помощ по </w:t>
      </w:r>
      <w:r w:rsidR="00D873E1">
        <w:rPr>
          <w:rFonts w:ascii="Times New Roman" w:hAnsi="Times New Roman"/>
          <w:sz w:val="24"/>
          <w:szCs w:val="24"/>
        </w:rPr>
        <w:t>уведомлението/нотификацията/ до ЕК</w:t>
      </w:r>
      <w:r w:rsidR="00216D39">
        <w:rPr>
          <w:rFonts w:ascii="Times New Roman" w:hAnsi="Times New Roman"/>
          <w:sz w:val="24"/>
          <w:szCs w:val="24"/>
        </w:rPr>
        <w:t xml:space="preserve"> са недопустими за БФП по проекта</w:t>
      </w:r>
      <w:r w:rsidR="00BB7A55">
        <w:rPr>
          <w:rFonts w:ascii="Times New Roman" w:hAnsi="Times New Roman"/>
          <w:sz w:val="24"/>
          <w:szCs w:val="24"/>
        </w:rPr>
        <w:t>;</w:t>
      </w:r>
    </w:p>
    <w:p w14:paraId="13AC099F" w14:textId="153F43D9" w:rsidR="00BB7A55" w:rsidRPr="00BB7A55" w:rsidRDefault="00BB7A55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B7A55">
        <w:rPr>
          <w:rFonts w:ascii="Times New Roman" w:hAnsi="Times New Roman"/>
          <w:sz w:val="24"/>
          <w:szCs w:val="24"/>
        </w:rPr>
        <w:t>При наличие на свободи средства в бюджета на процедура №</w:t>
      </w:r>
      <w:r w:rsidRPr="00BB7A55">
        <w:rPr>
          <w:rFonts w:ascii="Times New Roman" w:hAnsi="Times New Roman"/>
          <w:b/>
          <w:sz w:val="24"/>
          <w:szCs w:val="24"/>
        </w:rPr>
        <w:t xml:space="preserve"> </w:t>
      </w:r>
      <w:r w:rsidR="00417BC9" w:rsidRPr="00417BC9">
        <w:rPr>
          <w:rFonts w:ascii="Times New Roman" w:hAnsi="Times New Roman"/>
          <w:sz w:val="24"/>
          <w:szCs w:val="24"/>
        </w:rPr>
        <w:t xml:space="preserve">2021BG16FFPR001-3.002 </w:t>
      </w:r>
      <w:r w:rsidRPr="00BB7A5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BB7A55">
        <w:rPr>
          <w:rFonts w:ascii="Times New Roman" w:hAnsi="Times New Roman"/>
          <w:sz w:val="24"/>
          <w:szCs w:val="24"/>
        </w:rPr>
        <w:t xml:space="preserve"> Приоритетна ос </w:t>
      </w:r>
      <w:r w:rsidR="00C54F34">
        <w:rPr>
          <w:rFonts w:ascii="Times New Roman" w:hAnsi="Times New Roman"/>
          <w:sz w:val="24"/>
          <w:szCs w:val="24"/>
        </w:rPr>
        <w:t xml:space="preserve">3 </w:t>
      </w:r>
      <w:r w:rsidRPr="00BB7A55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Pr="00BB7A55">
        <w:rPr>
          <w:rFonts w:ascii="Times New Roman" w:hAnsi="Times New Roman"/>
          <w:sz w:val="24"/>
          <w:szCs w:val="24"/>
        </w:rPr>
        <w:t xml:space="preserve"> и при спазване на съотношението между различните източници на финансиране</w:t>
      </w:r>
      <w:r>
        <w:rPr>
          <w:rFonts w:ascii="Times New Roman" w:hAnsi="Times New Roman"/>
          <w:sz w:val="24"/>
          <w:szCs w:val="24"/>
        </w:rPr>
        <w:t>,</w:t>
      </w:r>
      <w:r w:rsidRPr="00BB7A55">
        <w:rPr>
          <w:rFonts w:ascii="Times New Roman" w:hAnsi="Times New Roman"/>
          <w:sz w:val="24"/>
          <w:szCs w:val="24"/>
        </w:rPr>
        <w:t xml:space="preserve"> както и съответните интензитети на държавната помощ </w:t>
      </w:r>
      <w:r w:rsidR="00D873E1">
        <w:rPr>
          <w:rFonts w:ascii="Times New Roman" w:hAnsi="Times New Roman"/>
          <w:sz w:val="24"/>
          <w:szCs w:val="24"/>
        </w:rPr>
        <w:t>съгласно уведомлението /нотификацията/ до ЕК</w:t>
      </w:r>
      <w:r w:rsidRPr="00BB7A55">
        <w:rPr>
          <w:rFonts w:ascii="Times New Roman" w:hAnsi="Times New Roman"/>
          <w:sz w:val="24"/>
          <w:szCs w:val="24"/>
        </w:rPr>
        <w:t xml:space="preserve">, посочени в одобрения формуляр за кандидатстване, </w:t>
      </w:r>
      <w:r w:rsidRPr="005E0D0C">
        <w:rPr>
          <w:rFonts w:ascii="Times New Roman" w:hAnsi="Times New Roman"/>
          <w:b/>
          <w:sz w:val="24"/>
          <w:szCs w:val="24"/>
        </w:rPr>
        <w:t>УПРАВЛЯВАЩИЯ ОРГАН</w:t>
      </w:r>
      <w:r w:rsidRPr="00BB7A55">
        <w:rPr>
          <w:rFonts w:ascii="Times New Roman" w:hAnsi="Times New Roman"/>
          <w:sz w:val="24"/>
          <w:szCs w:val="24"/>
        </w:rPr>
        <w:t xml:space="preserve"> 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Pr="00BB7A55">
        <w:rPr>
          <w:rFonts w:ascii="Times New Roman" w:hAnsi="Times New Roman"/>
          <w:sz w:val="24"/>
          <w:szCs w:val="24"/>
        </w:rPr>
        <w:t xml:space="preserve"> може да увеличи БФП до размера на договорите за изпълнение на дейностите по проекта, но не повече от допустимите разходи за проекта, посочени в т.2.1.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</w:p>
    <w:p w14:paraId="10FA3C5E" w14:textId="77777777"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БЕНЕФИЦИЕНТЪТ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е задължен да осигури собствени средства за съфинансиране на разходи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E46B5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по т. 2.2.</w:t>
      </w:r>
      <w:r w:rsidR="00FA7035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14:paraId="4560E273" w14:textId="6E6846AB" w:rsidR="0064656A" w:rsidRPr="003A4794" w:rsidRDefault="002424EA" w:rsidP="00E72251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4794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УПРАВЛЯВАЩИЯТ ОРГАН</w:t>
      </w:r>
      <w:r w:rsidRPr="003A4794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Pr="003A4794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БЕНЕФИЦИЕНТЪТ</w:t>
      </w:r>
      <w:r w:rsidRPr="003A4794">
        <w:rPr>
          <w:rFonts w:ascii="Times New Roman" w:eastAsia="Times New Roman" w:hAnsi="Times New Roman"/>
          <w:sz w:val="24"/>
          <w:szCs w:val="24"/>
          <w:lang w:eastAsia="fr-FR"/>
        </w:rPr>
        <w:t xml:space="preserve"> се съгласяват, че посочените по-горе финансови параметри на проекта са индикативни и могат </w:t>
      </w:r>
      <w:r w:rsidR="006E6F81" w:rsidRPr="003A4794">
        <w:rPr>
          <w:rFonts w:ascii="Times New Roman" w:eastAsia="Times New Roman" w:hAnsi="Times New Roman"/>
          <w:sz w:val="24"/>
          <w:szCs w:val="24"/>
          <w:lang w:eastAsia="fr-FR"/>
        </w:rPr>
        <w:t xml:space="preserve">да бъдат изменени в резултат на </w:t>
      </w:r>
      <w:r w:rsidR="00DA4819" w:rsidRPr="003A4794">
        <w:rPr>
          <w:rFonts w:ascii="Times New Roman" w:hAnsi="Times New Roman"/>
          <w:sz w:val="24"/>
          <w:szCs w:val="24"/>
        </w:rPr>
        <w:t>изпълнението на проекта и в съответствие с Условията за изпълнение</w:t>
      </w:r>
      <w:r w:rsidR="00E37532" w:rsidRPr="003A479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одобрени проекти по</w:t>
      </w:r>
      <w:r w:rsidR="0064656A" w:rsidRPr="003A4794">
        <w:rPr>
          <w:rFonts w:ascii="Times New Roman" w:hAnsi="Times New Roman"/>
          <w:sz w:val="24"/>
          <w:szCs w:val="24"/>
        </w:rPr>
        <w:t xml:space="preserve"> </w:t>
      </w:r>
      <w:r w:rsidR="00C54F34" w:rsidRPr="003A4794">
        <w:rPr>
          <w:rFonts w:ascii="Times New Roman" w:hAnsi="Times New Roman"/>
          <w:sz w:val="24"/>
          <w:szCs w:val="24"/>
        </w:rPr>
        <w:t>ПТС</w:t>
      </w:r>
      <w:r w:rsidR="00DE1F24" w:rsidRPr="003A4794">
        <w:rPr>
          <w:rFonts w:ascii="Times New Roman" w:hAnsi="Times New Roman"/>
          <w:sz w:val="24"/>
          <w:szCs w:val="24"/>
        </w:rPr>
        <w:t>,</w:t>
      </w:r>
      <w:r w:rsidR="00174332" w:rsidRPr="003A4794">
        <w:rPr>
          <w:rFonts w:ascii="Times New Roman" w:hAnsi="Times New Roman"/>
          <w:sz w:val="24"/>
          <w:szCs w:val="24"/>
        </w:rPr>
        <w:t xml:space="preserve"> Условията </w:t>
      </w:r>
      <w:r w:rsidR="00537AFA" w:rsidRPr="003A4794">
        <w:rPr>
          <w:rFonts w:ascii="Times New Roman" w:hAnsi="Times New Roman"/>
          <w:sz w:val="24"/>
          <w:szCs w:val="24"/>
        </w:rPr>
        <w:t xml:space="preserve">за съответствието на държавната помощ по проекта с </w:t>
      </w:r>
      <w:r w:rsidR="00C66895" w:rsidRPr="003A4794">
        <w:rPr>
          <w:rFonts w:ascii="Times New Roman" w:hAnsi="Times New Roman"/>
          <w:sz w:val="24"/>
          <w:szCs w:val="24"/>
        </w:rPr>
        <w:t>Решението на ЕК за одобрение на нотификацията за държавна помощ</w:t>
      </w:r>
      <w:r w:rsidR="00174332" w:rsidRPr="003A4794">
        <w:rPr>
          <w:rFonts w:ascii="Times New Roman" w:hAnsi="Times New Roman"/>
          <w:sz w:val="24"/>
          <w:szCs w:val="24"/>
        </w:rPr>
        <w:t>,</w:t>
      </w:r>
      <w:r w:rsidR="00DE1F24" w:rsidRPr="003A4794">
        <w:rPr>
          <w:rFonts w:ascii="Times New Roman" w:hAnsi="Times New Roman"/>
          <w:sz w:val="24"/>
          <w:szCs w:val="24"/>
        </w:rPr>
        <w:t xml:space="preserve"> както</w:t>
      </w:r>
      <w:r w:rsidR="0064656A" w:rsidRPr="003A4794">
        <w:rPr>
          <w:rFonts w:ascii="Times New Roman" w:hAnsi="Times New Roman"/>
          <w:sz w:val="24"/>
          <w:szCs w:val="24"/>
        </w:rPr>
        <w:t xml:space="preserve"> и</w:t>
      </w:r>
      <w:r w:rsidR="00DE1F24" w:rsidRPr="003A4794">
        <w:rPr>
          <w:rFonts w:ascii="Times New Roman" w:hAnsi="Times New Roman"/>
          <w:sz w:val="24"/>
          <w:szCs w:val="24"/>
        </w:rPr>
        <w:t xml:space="preserve"> в резултат на</w:t>
      </w:r>
      <w:r w:rsidR="00DD7F0C" w:rsidRPr="003A4794">
        <w:rPr>
          <w:rFonts w:ascii="Times New Roman" w:hAnsi="Times New Roman"/>
          <w:sz w:val="24"/>
          <w:szCs w:val="24"/>
        </w:rPr>
        <w:t xml:space="preserve"> </w:t>
      </w:r>
      <w:r w:rsidR="0064656A" w:rsidRPr="003A4794">
        <w:rPr>
          <w:rFonts w:ascii="Times New Roman" w:hAnsi="Times New Roman"/>
          <w:sz w:val="24"/>
          <w:szCs w:val="24"/>
        </w:rPr>
        <w:t xml:space="preserve">стойността на сключени договори с изпълнители по предстоящи процедури за изпълнение на дейности по проекта, описани </w:t>
      </w:r>
      <w:r w:rsidR="00570334" w:rsidRPr="003A4794">
        <w:rPr>
          <w:rFonts w:ascii="Times New Roman" w:hAnsi="Times New Roman"/>
          <w:sz w:val="24"/>
          <w:szCs w:val="24"/>
        </w:rPr>
        <w:t xml:space="preserve">в одобрения </w:t>
      </w:r>
      <w:r w:rsidR="0064656A" w:rsidRPr="003A4794">
        <w:rPr>
          <w:rFonts w:ascii="Times New Roman" w:hAnsi="Times New Roman"/>
          <w:sz w:val="24"/>
          <w:szCs w:val="24"/>
        </w:rPr>
        <w:t>формуляр за кандидатстване.</w:t>
      </w:r>
    </w:p>
    <w:p w14:paraId="30DC3EE7" w14:textId="14C84D71"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b/>
          <w:sz w:val="24"/>
          <w:szCs w:val="24"/>
        </w:rPr>
        <w:t>УПРАВЛЯВАЩИЯ</w:t>
      </w:r>
      <w:r w:rsidR="00E01D72">
        <w:rPr>
          <w:rFonts w:ascii="Times New Roman" w:hAnsi="Times New Roman"/>
          <w:b/>
          <w:sz w:val="24"/>
          <w:szCs w:val="24"/>
        </w:rPr>
        <w:t>Т</w:t>
      </w:r>
      <w:r w:rsidRPr="003A2CC1">
        <w:rPr>
          <w:rFonts w:ascii="Times New Roman" w:hAnsi="Times New Roman"/>
          <w:b/>
          <w:sz w:val="24"/>
          <w:szCs w:val="24"/>
        </w:rPr>
        <w:t xml:space="preserve"> ОРГАН</w:t>
      </w:r>
      <w:r w:rsidRPr="003A2CC1">
        <w:rPr>
          <w:rFonts w:ascii="Times New Roman" w:hAnsi="Times New Roman"/>
          <w:sz w:val="24"/>
          <w:szCs w:val="24"/>
        </w:rPr>
        <w:t xml:space="preserve"> по настоящия договор извършва</w:t>
      </w:r>
      <w:r w:rsidR="009C0C4A" w:rsidRPr="009C0C4A">
        <w:rPr>
          <w:rFonts w:ascii="Times New Roman" w:hAnsi="Times New Roman"/>
          <w:sz w:val="24"/>
          <w:szCs w:val="24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 xml:space="preserve">плащания по </w:t>
      </w:r>
      <w:r w:rsidRPr="003A2CC1">
        <w:rPr>
          <w:rFonts w:ascii="Times New Roman" w:hAnsi="Times New Roman"/>
          <w:b/>
          <w:sz w:val="24"/>
          <w:szCs w:val="24"/>
        </w:rPr>
        <w:t>ПРОЕКТА</w:t>
      </w:r>
      <w:r w:rsidRPr="003A2CC1">
        <w:rPr>
          <w:rFonts w:ascii="Times New Roman" w:hAnsi="Times New Roman"/>
          <w:sz w:val="24"/>
          <w:szCs w:val="24"/>
        </w:rPr>
        <w:t xml:space="preserve"> до изчерпване на  наличните финансови средства по процедура за предоставяне на безвъзмездна финансова помощ № </w:t>
      </w:r>
      <w:r w:rsidR="00C66895" w:rsidRPr="00C66895">
        <w:rPr>
          <w:rFonts w:ascii="Times New Roman" w:hAnsi="Times New Roman"/>
          <w:sz w:val="24"/>
          <w:szCs w:val="24"/>
        </w:rPr>
        <w:t>№ 2021BG16FFPR001-3.002</w:t>
      </w:r>
      <w:r w:rsidR="00C66895">
        <w:rPr>
          <w:rFonts w:ascii="Times New Roman" w:hAnsi="Times New Roman"/>
          <w:sz w:val="24"/>
          <w:szCs w:val="24"/>
        </w:rPr>
        <w:t>.</w:t>
      </w:r>
    </w:p>
    <w:p w14:paraId="0C65F7B1" w14:textId="718EFD1F"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В случай на намаление на стойността по </w:t>
      </w:r>
      <w:r w:rsidR="006E6F81" w:rsidRPr="003A2CC1">
        <w:rPr>
          <w:rFonts w:ascii="Times New Roman" w:hAnsi="Times New Roman"/>
          <w:sz w:val="24"/>
          <w:szCs w:val="24"/>
        </w:rPr>
        <w:t>т</w:t>
      </w:r>
      <w:r w:rsidRPr="003A2CC1">
        <w:rPr>
          <w:rFonts w:ascii="Times New Roman" w:hAnsi="Times New Roman"/>
          <w:sz w:val="24"/>
          <w:szCs w:val="24"/>
        </w:rPr>
        <w:t xml:space="preserve">. </w:t>
      </w:r>
      <w:r w:rsidR="006E6F81" w:rsidRPr="003A2CC1">
        <w:rPr>
          <w:rFonts w:ascii="Times New Roman" w:hAnsi="Times New Roman"/>
          <w:sz w:val="24"/>
          <w:szCs w:val="24"/>
        </w:rPr>
        <w:t>2.2.</w:t>
      </w:r>
      <w:r w:rsidRPr="003A2CC1">
        <w:rPr>
          <w:rFonts w:ascii="Times New Roman" w:hAnsi="Times New Roman"/>
          <w:sz w:val="24"/>
          <w:szCs w:val="24"/>
        </w:rPr>
        <w:t xml:space="preserve">1, за определяне на размера на приноса на източниците на финансиране на проекта по </w:t>
      </w:r>
      <w:r w:rsidR="006E6F81" w:rsidRPr="003A2CC1">
        <w:rPr>
          <w:rFonts w:ascii="Times New Roman" w:hAnsi="Times New Roman"/>
          <w:sz w:val="24"/>
          <w:szCs w:val="24"/>
        </w:rPr>
        <w:t xml:space="preserve">т. 2.2.2 </w:t>
      </w:r>
      <w:r w:rsidR="00CD3566">
        <w:rPr>
          <w:rFonts w:ascii="Times New Roman" w:hAnsi="Times New Roman"/>
          <w:sz w:val="24"/>
          <w:szCs w:val="24"/>
        </w:rPr>
        <w:t>/</w:t>
      </w:r>
      <w:r w:rsidRPr="003A2CC1">
        <w:rPr>
          <w:rFonts w:ascii="Times New Roman" w:hAnsi="Times New Roman"/>
          <w:sz w:val="24"/>
          <w:szCs w:val="24"/>
        </w:rPr>
        <w:t xml:space="preserve"> </w:t>
      </w:r>
      <w:r w:rsidR="006E6F81" w:rsidRPr="003A2CC1">
        <w:rPr>
          <w:rFonts w:ascii="Times New Roman" w:hAnsi="Times New Roman"/>
          <w:sz w:val="24"/>
          <w:szCs w:val="24"/>
        </w:rPr>
        <w:t>т. 2.2.</w:t>
      </w:r>
      <w:r w:rsidRPr="003A2CC1">
        <w:rPr>
          <w:rFonts w:ascii="Times New Roman" w:hAnsi="Times New Roman"/>
          <w:sz w:val="24"/>
          <w:szCs w:val="24"/>
        </w:rPr>
        <w:t xml:space="preserve">3 ще се прилага съотношението между различните източници на финансиране, съгласно </w:t>
      </w:r>
      <w:r w:rsidR="006E6F81" w:rsidRPr="003A2CC1">
        <w:rPr>
          <w:rFonts w:ascii="Times New Roman" w:hAnsi="Times New Roman"/>
          <w:sz w:val="24"/>
          <w:szCs w:val="24"/>
        </w:rPr>
        <w:t xml:space="preserve">одобрения </w:t>
      </w:r>
      <w:r w:rsidRPr="003A2CC1">
        <w:rPr>
          <w:rFonts w:ascii="Times New Roman" w:hAnsi="Times New Roman"/>
          <w:sz w:val="24"/>
          <w:szCs w:val="24"/>
        </w:rPr>
        <w:t>формуляр за кандидатстване</w:t>
      </w:r>
      <w:r w:rsidR="00CB112E">
        <w:rPr>
          <w:rFonts w:ascii="Times New Roman" w:hAnsi="Times New Roman"/>
          <w:sz w:val="24"/>
          <w:szCs w:val="24"/>
        </w:rPr>
        <w:t xml:space="preserve">, както и </w:t>
      </w:r>
      <w:r w:rsidR="00CB112E" w:rsidRPr="00CB112E">
        <w:rPr>
          <w:rFonts w:ascii="Times New Roman" w:hAnsi="Times New Roman"/>
          <w:sz w:val="24"/>
          <w:szCs w:val="24"/>
        </w:rPr>
        <w:t>изчислени</w:t>
      </w:r>
      <w:r w:rsidR="00CB112E">
        <w:rPr>
          <w:rFonts w:ascii="Times New Roman" w:hAnsi="Times New Roman"/>
          <w:sz w:val="24"/>
          <w:szCs w:val="24"/>
        </w:rPr>
        <w:t>те</w:t>
      </w:r>
      <w:r w:rsidR="00CB112E" w:rsidRPr="00CB112E">
        <w:rPr>
          <w:rFonts w:ascii="Times New Roman" w:hAnsi="Times New Roman"/>
          <w:sz w:val="24"/>
          <w:szCs w:val="24"/>
        </w:rPr>
        <w:t xml:space="preserve"> интензитет</w:t>
      </w:r>
      <w:r w:rsidR="00CB112E">
        <w:rPr>
          <w:rFonts w:ascii="Times New Roman" w:hAnsi="Times New Roman"/>
          <w:sz w:val="24"/>
          <w:szCs w:val="24"/>
        </w:rPr>
        <w:t>и</w:t>
      </w:r>
      <w:r w:rsidR="00CB112E" w:rsidRPr="00CB112E">
        <w:rPr>
          <w:rFonts w:ascii="Times New Roman" w:hAnsi="Times New Roman"/>
          <w:sz w:val="24"/>
          <w:szCs w:val="24"/>
        </w:rPr>
        <w:t xml:space="preserve"> на държавната помощ </w:t>
      </w:r>
      <w:r w:rsidR="00C66895">
        <w:rPr>
          <w:rFonts w:ascii="Times New Roman" w:hAnsi="Times New Roman"/>
          <w:sz w:val="24"/>
          <w:szCs w:val="24"/>
        </w:rPr>
        <w:t>в уведомлението за държавна помощ /нотификацията/ до ЕК</w:t>
      </w:r>
      <w:r w:rsidR="00CB112E">
        <w:rPr>
          <w:rFonts w:ascii="Times New Roman" w:hAnsi="Times New Roman"/>
          <w:sz w:val="24"/>
          <w:szCs w:val="24"/>
        </w:rPr>
        <w:t xml:space="preserve"> </w:t>
      </w:r>
      <w:r w:rsidR="00CB112E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за разходите по </w:t>
      </w:r>
      <w:r w:rsidR="00C66895">
        <w:rPr>
          <w:rFonts w:ascii="Times New Roman" w:eastAsia="Times New Roman" w:hAnsi="Times New Roman"/>
          <w:sz w:val="24"/>
          <w:szCs w:val="24"/>
          <w:lang w:eastAsia="fr-FR"/>
        </w:rPr>
        <w:t>проекта</w:t>
      </w:r>
      <w:r w:rsidR="00CB112E" w:rsidRPr="00CB112E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7B7830E" w14:textId="77777777"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Всички разходи и плащания по проекта направени след 31.12.202</w:t>
      </w:r>
      <w:r w:rsidR="00C54F34">
        <w:rPr>
          <w:rFonts w:ascii="Times New Roman" w:hAnsi="Times New Roman"/>
          <w:sz w:val="24"/>
          <w:szCs w:val="24"/>
        </w:rPr>
        <w:t>9</w:t>
      </w:r>
      <w:r w:rsidRPr="003A2CC1">
        <w:rPr>
          <w:rFonts w:ascii="Times New Roman" w:hAnsi="Times New Roman"/>
          <w:sz w:val="24"/>
          <w:szCs w:val="24"/>
        </w:rPr>
        <w:t xml:space="preserve"> г. остават за сметка на </w:t>
      </w:r>
      <w:r w:rsidRPr="003A2CC1">
        <w:rPr>
          <w:rFonts w:ascii="Times New Roman" w:hAnsi="Times New Roman"/>
          <w:b/>
          <w:sz w:val="24"/>
          <w:szCs w:val="24"/>
        </w:rPr>
        <w:t>БЕНЕФИЦИЕНТА</w:t>
      </w:r>
      <w:r w:rsidRPr="003A2CC1">
        <w:rPr>
          <w:rFonts w:ascii="Times New Roman" w:hAnsi="Times New Roman"/>
          <w:sz w:val="24"/>
          <w:szCs w:val="24"/>
        </w:rPr>
        <w:t xml:space="preserve"> и няма да бъдат финансирани от БФП по проекта.</w:t>
      </w:r>
    </w:p>
    <w:p w14:paraId="762B5FF6" w14:textId="77777777" w:rsidR="00F83303" w:rsidRPr="003A2CC1" w:rsidRDefault="00F83303" w:rsidP="00256E14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90D6330" w14:textId="7DF318C6" w:rsidR="00E01D72" w:rsidRPr="00256E14" w:rsidRDefault="009C4CB8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Срокът</w:t>
      </w:r>
      <w:r w:rsidR="0068782D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</w:t>
      </w:r>
      <w:r w:rsidR="006E6F81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6E6F81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е не по-късно от </w:t>
      </w:r>
      <w:r w:rsidR="0056231D" w:rsidRPr="0056231D">
        <w:rPr>
          <w:rFonts w:ascii="Times New Roman" w:hAnsi="Times New Roman"/>
          <w:sz w:val="24"/>
          <w:szCs w:val="24"/>
        </w:rPr>
        <w:t>срока за изпълнение на дейностите през периода 2021-2027 г..</w:t>
      </w:r>
      <w:r w:rsidR="00C66895">
        <w:rPr>
          <w:rFonts w:ascii="Times New Roman" w:hAnsi="Times New Roman"/>
          <w:sz w:val="24"/>
          <w:szCs w:val="24"/>
        </w:rPr>
        <w:t>.</w:t>
      </w:r>
      <w:r w:rsidR="006E6F81" w:rsidRPr="00C63006">
        <w:rPr>
          <w:rFonts w:ascii="Times New Roman" w:hAnsi="Times New Roman"/>
          <w:sz w:val="24"/>
          <w:szCs w:val="24"/>
        </w:rPr>
        <w:t xml:space="preserve"> В рамките на този срок трябва да бъдат приключени всички дейности в обхвата на проекта, съгласно одобрения формуляр за кандидатстване, да бъдат разплатени дължимите от </w:t>
      </w:r>
      <w:r w:rsidR="009933CC" w:rsidRPr="00C63006">
        <w:rPr>
          <w:rFonts w:ascii="Times New Roman" w:hAnsi="Times New Roman"/>
          <w:b/>
          <w:sz w:val="24"/>
          <w:szCs w:val="24"/>
        </w:rPr>
        <w:t>БЕНЕФИЦИЕНТА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суми по проекта и да бъде подадено искане за окончателно плащане от </w:t>
      </w:r>
      <w:r w:rsidR="009933CC" w:rsidRPr="00C63006">
        <w:rPr>
          <w:rFonts w:ascii="Times New Roman" w:hAnsi="Times New Roman"/>
          <w:b/>
          <w:sz w:val="24"/>
          <w:szCs w:val="24"/>
        </w:rPr>
        <w:t>БЕНЕФИЦИЕНТА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към </w:t>
      </w:r>
      <w:r w:rsidR="009933CC" w:rsidRPr="00C63006">
        <w:rPr>
          <w:rFonts w:ascii="Times New Roman" w:hAnsi="Times New Roman"/>
          <w:b/>
          <w:sz w:val="24"/>
          <w:szCs w:val="24"/>
        </w:rPr>
        <w:t>УПРАВЛЯВАЩИЯ ОРГАН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="00DE6E51" w:rsidRPr="00C63006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11A32E56" w14:textId="77777777"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14:paraId="3C35637F" w14:textId="77777777" w:rsidR="00F3636A" w:rsidRDefault="006E6F81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hAnsi="Times New Roman"/>
          <w:sz w:val="24"/>
          <w:szCs w:val="24"/>
        </w:rPr>
        <w:t xml:space="preserve">Настоящият договор влиза в сила от датата на подписването му. </w:t>
      </w:r>
    </w:p>
    <w:p w14:paraId="6736D933" w14:textId="77777777"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14:paraId="3E37601B" w14:textId="3F4DD998" w:rsidR="009C4CB8" w:rsidRPr="002C207D" w:rsidRDefault="002C5E60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приема отпуснатата безвъзмездна финансова помощ и се задължава да 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изпълнява </w:t>
      </w:r>
      <w:r w:rsidR="00B20E55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 спазване на изискванията на правото на Европейския съюз и националното законодателство, условията за кандидатстване, определени в Насоките по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процедурата (</w:t>
      </w:r>
      <w:r w:rsidR="00C54F34" w:rsidRPr="002C207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Условията за кандидатстване</w:t>
      </w:r>
      <w:r w:rsidR="007E5363" w:rsidRPr="002C207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, Условия за изпълнение на одобрени проекти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FA5D56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FA5D56" w:rsidRPr="002C207D">
        <w:rPr>
          <w:rFonts w:ascii="Times New Roman" w:hAnsi="Times New Roman"/>
          <w:b/>
          <w:bCs/>
          <w:sz w:val="24"/>
          <w:szCs w:val="24"/>
        </w:rPr>
        <w:t>Условията на</w:t>
      </w:r>
      <w:r w:rsidR="003C11A5" w:rsidRPr="002C207D">
        <w:rPr>
          <w:rFonts w:ascii="Times New Roman" w:hAnsi="Times New Roman"/>
          <w:b/>
          <w:bCs/>
          <w:sz w:val="24"/>
          <w:szCs w:val="24"/>
        </w:rPr>
        <w:t xml:space="preserve"> Решението на ЕК за</w:t>
      </w:r>
      <w:r w:rsidR="00FA5D56" w:rsidRPr="002C20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11A5" w:rsidRPr="002C207D">
        <w:rPr>
          <w:rFonts w:ascii="Times New Roman" w:hAnsi="Times New Roman"/>
          <w:b/>
          <w:bCs/>
          <w:sz w:val="24"/>
          <w:szCs w:val="24"/>
        </w:rPr>
        <w:t xml:space="preserve">съвместима </w:t>
      </w:r>
      <w:r w:rsidR="00FA5D56" w:rsidRPr="002C207D">
        <w:rPr>
          <w:rFonts w:ascii="Times New Roman" w:hAnsi="Times New Roman"/>
          <w:b/>
          <w:bCs/>
          <w:sz w:val="24"/>
          <w:szCs w:val="24"/>
        </w:rPr>
        <w:t>държавна помощ по проекта</w:t>
      </w:r>
      <w:r w:rsidR="00CD3566" w:rsidRPr="002C20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5363" w:rsidRPr="002C207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и </w:t>
      </w:r>
      <w:r w:rsidR="009C4CB8" w:rsidRPr="002C207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съгласно одобреното проектно предложение</w:t>
      </w:r>
      <w:r w:rsidR="00712B4A" w:rsidRPr="002C207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, </w:t>
      </w:r>
      <w:r w:rsidR="00DE6E51" w:rsidRPr="002C207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и клаузите на настоящия</w:t>
      </w:r>
      <w:r w:rsidR="009C4CB8" w:rsidRPr="002C207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договор.</w:t>
      </w:r>
      <w:r w:rsidR="007E5363" w:rsidRPr="002C207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</w:t>
      </w:r>
    </w:p>
    <w:p w14:paraId="6D6EB8D5" w14:textId="77777777" w:rsidR="00216D39" w:rsidRPr="00950F04" w:rsidRDefault="00216D39" w:rsidP="00950F0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4BB5B917" w14:textId="357AD212" w:rsidR="00254F5E" w:rsidRPr="003A2CC1" w:rsidRDefault="0054375B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>Конкретни</w:t>
      </w:r>
      <w:r w:rsidR="009C4CB8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условия за изпълнение на проекта</w:t>
      </w:r>
      <w:r w:rsidR="00C82F91"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58A8EFC" w14:textId="77777777" w:rsidR="00694B92" w:rsidRPr="003A2CC1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" w:name="OLE_LINK3"/>
      <w:bookmarkStart w:id="2" w:name="OLE_LINK4"/>
      <w:r w:rsidRPr="003A2CC1">
        <w:rPr>
          <w:rFonts w:ascii="Times New Roman" w:hAnsi="Times New Roman"/>
          <w:sz w:val="24"/>
          <w:szCs w:val="24"/>
        </w:rPr>
        <w:t>Безвъзмездната финансова помощ ще бъде платена от следните национални източници и фондове на ЕС:</w:t>
      </w:r>
    </w:p>
    <w:p w14:paraId="7F9C1509" w14:textId="77777777" w:rsidR="00694B92" w:rsidRPr="00256E14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6E14">
        <w:rPr>
          <w:rFonts w:ascii="Times New Roman" w:hAnsi="Times New Roman"/>
          <w:sz w:val="24"/>
          <w:szCs w:val="24"/>
        </w:rPr>
        <w:t xml:space="preserve">Европейски фонд за регионално развитие на ЕС: </w:t>
      </w:r>
      <w:r w:rsidR="00C54F34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DD7F0C" w:rsidRPr="00256E14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DD7F0C" w:rsidRPr="00256E14">
        <w:rPr>
          <w:rFonts w:ascii="Times New Roman" w:hAnsi="Times New Roman"/>
          <w:b/>
          <w:sz w:val="24"/>
          <w:szCs w:val="24"/>
        </w:rPr>
        <w:t xml:space="preserve"> </w:t>
      </w:r>
      <w:r w:rsidRPr="00256E14">
        <w:rPr>
          <w:rFonts w:ascii="Times New Roman" w:hAnsi="Times New Roman"/>
          <w:b/>
          <w:sz w:val="24"/>
          <w:szCs w:val="24"/>
        </w:rPr>
        <w:t xml:space="preserve">лева </w:t>
      </w:r>
      <w:r w:rsidRPr="00256E14">
        <w:rPr>
          <w:rFonts w:ascii="Times New Roman" w:hAnsi="Times New Roman"/>
          <w:sz w:val="24"/>
          <w:szCs w:val="24"/>
        </w:rPr>
        <w:t>(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Pr="00261C95">
        <w:rPr>
          <w:rFonts w:ascii="Times New Roman" w:hAnsi="Times New Roman"/>
          <w:sz w:val="24"/>
          <w:szCs w:val="24"/>
        </w:rPr>
        <w:t>) – 85 % о</w:t>
      </w:r>
      <w:r w:rsidRPr="00534F2F">
        <w:rPr>
          <w:rFonts w:ascii="Times New Roman" w:hAnsi="Times New Roman"/>
          <w:sz w:val="24"/>
          <w:szCs w:val="24"/>
        </w:rPr>
        <w:t>т БФП по проекта</w:t>
      </w:r>
      <w:r w:rsidRPr="00256E14">
        <w:rPr>
          <w:rFonts w:ascii="Times New Roman" w:hAnsi="Times New Roman"/>
          <w:sz w:val="24"/>
          <w:szCs w:val="24"/>
        </w:rPr>
        <w:t xml:space="preserve">; </w:t>
      </w:r>
    </w:p>
    <w:p w14:paraId="21E00304" w14:textId="77777777" w:rsidR="00694B92" w:rsidRPr="00534F2F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6E14">
        <w:rPr>
          <w:rFonts w:ascii="Times New Roman" w:hAnsi="Times New Roman"/>
          <w:sz w:val="24"/>
          <w:szCs w:val="24"/>
        </w:rPr>
        <w:t xml:space="preserve">Национално съфинансиране: </w:t>
      </w:r>
      <w:r w:rsidR="00C54F34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F155C6" w:rsidRPr="00256E14">
        <w:rPr>
          <w:rFonts w:ascii="Times New Roman" w:eastAsia="Times New Roman" w:hAnsi="Times New Roman"/>
          <w:sz w:val="24"/>
          <w:szCs w:val="24"/>
          <w:lang w:eastAsia="fr-FR"/>
        </w:rPr>
        <w:t xml:space="preserve">  </w:t>
      </w:r>
      <w:r w:rsidRPr="00256E14">
        <w:rPr>
          <w:rFonts w:ascii="Times New Roman" w:hAnsi="Times New Roman"/>
          <w:b/>
          <w:sz w:val="24"/>
          <w:szCs w:val="24"/>
        </w:rPr>
        <w:t>лева</w:t>
      </w:r>
      <w:r w:rsidRPr="00256E14">
        <w:rPr>
          <w:rFonts w:ascii="Times New Roman" w:hAnsi="Times New Roman"/>
          <w:sz w:val="24"/>
          <w:szCs w:val="24"/>
        </w:rPr>
        <w:t xml:space="preserve"> (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Pr="00261C95">
        <w:rPr>
          <w:rFonts w:ascii="Times New Roman" w:hAnsi="Times New Roman"/>
          <w:sz w:val="24"/>
          <w:szCs w:val="24"/>
        </w:rPr>
        <w:t xml:space="preserve">) – 15 % от БФП по проекта. </w:t>
      </w:r>
    </w:p>
    <w:p w14:paraId="29E076F6" w14:textId="77777777" w:rsidR="009C0C4A" w:rsidRDefault="009C0C4A" w:rsidP="009C0C4A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3409249" w14:textId="77777777" w:rsidR="00694B92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Плащането на БФП се извършва както следва:</w:t>
      </w:r>
    </w:p>
    <w:p w14:paraId="7F38C8F7" w14:textId="09834D81" w:rsidR="00694B92" w:rsidRPr="003A2CC1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авансово плащане в размер до </w:t>
      </w:r>
      <w:r w:rsidR="00C54F34">
        <w:rPr>
          <w:rFonts w:ascii="Times New Roman" w:hAnsi="Times New Roman"/>
          <w:sz w:val="24"/>
          <w:szCs w:val="24"/>
        </w:rPr>
        <w:t>……..</w:t>
      </w:r>
      <w:r w:rsidR="00BA3006" w:rsidRPr="003A2CC1">
        <w:rPr>
          <w:rFonts w:ascii="Times New Roman" w:hAnsi="Times New Roman"/>
          <w:sz w:val="24"/>
          <w:szCs w:val="24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>% от стойността на БФП по проекта</w:t>
      </w:r>
      <w:r w:rsidR="00DC1CAD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3A2CC1">
        <w:rPr>
          <w:rFonts w:ascii="Times New Roman" w:hAnsi="Times New Roman"/>
          <w:sz w:val="24"/>
          <w:szCs w:val="24"/>
        </w:rPr>
        <w:t>;</w:t>
      </w:r>
    </w:p>
    <w:p w14:paraId="4082B2C0" w14:textId="03216763" w:rsidR="00694B92" w:rsidRPr="003A2CC1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междинни плащания</w:t>
      </w:r>
      <w:r w:rsidR="00DC1CAD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3A2CC1">
        <w:rPr>
          <w:rFonts w:ascii="Times New Roman" w:hAnsi="Times New Roman"/>
          <w:sz w:val="24"/>
          <w:szCs w:val="24"/>
        </w:rPr>
        <w:t>;</w:t>
      </w:r>
    </w:p>
    <w:p w14:paraId="711055E0" w14:textId="77777777" w:rsidR="00694B92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окончателно плащане до пълната стойност на БФП по проекта, след приспадане на отпуснатите авансово и междинни плащания.</w:t>
      </w:r>
    </w:p>
    <w:p w14:paraId="1ABB6252" w14:textId="77777777" w:rsidR="00C54F34" w:rsidRDefault="00C54F34" w:rsidP="006E061D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1B7A5A7" w14:textId="284B563D" w:rsidR="00E01D72" w:rsidRPr="003A2CC1" w:rsidRDefault="00694B92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Общият размер на авансовото и междинни плащания не може да надхвърля </w:t>
      </w:r>
      <w:r w:rsidR="0054375B">
        <w:rPr>
          <w:rFonts w:ascii="Times New Roman" w:eastAsia="Times New Roman" w:hAnsi="Times New Roman"/>
          <w:sz w:val="24"/>
          <w:szCs w:val="24"/>
          <w:lang w:eastAsia="pl-PL"/>
        </w:rPr>
        <w:t>90</w:t>
      </w:r>
      <w:r w:rsidR="0054375B" w:rsidRPr="0092093C">
        <w:rPr>
          <w:rFonts w:ascii="Times New Roman" w:eastAsia="Times New Roman" w:hAnsi="Times New Roman"/>
          <w:sz w:val="24"/>
          <w:szCs w:val="24"/>
          <w:lang w:val="ru-RU" w:eastAsia="pl-PL"/>
        </w:rPr>
        <w:t>%</w:t>
      </w:r>
      <w:r w:rsidR="0054375B" w:rsidRPr="000A5463">
        <w:rPr>
          <w:rFonts w:ascii="Times New Roman" w:eastAsia="Times New Roman" w:hAnsi="Times New Roman"/>
          <w:i/>
          <w:sz w:val="24"/>
          <w:szCs w:val="24"/>
          <w:lang w:val="ru-RU" w:eastAsia="pl-PL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 xml:space="preserve">от стойността на общите допустими разходи по проекта, финансирани от БФП, посочени в </w:t>
      </w:r>
      <w:r w:rsidR="00546C81" w:rsidRPr="003A2CC1">
        <w:rPr>
          <w:rFonts w:ascii="Times New Roman" w:hAnsi="Times New Roman"/>
          <w:sz w:val="24"/>
          <w:szCs w:val="24"/>
        </w:rPr>
        <w:t>т. 2.2.3</w:t>
      </w:r>
      <w:r w:rsidRPr="003A2CC1">
        <w:rPr>
          <w:rFonts w:ascii="Times New Roman" w:hAnsi="Times New Roman"/>
          <w:sz w:val="24"/>
          <w:szCs w:val="24"/>
        </w:rPr>
        <w:t xml:space="preserve">. </w:t>
      </w:r>
    </w:p>
    <w:bookmarkEnd w:id="1"/>
    <w:bookmarkEnd w:id="2"/>
    <w:p w14:paraId="1D5AC48C" w14:textId="7FA72E1F" w:rsidR="00BC6281" w:rsidRPr="00CB112E" w:rsidRDefault="00D064CA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случай, че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БФП 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се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изплаща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няколко части, допустимите разходи ще се сконтират до тяхната стойност към момента на предоставянето помощта</w:t>
      </w:r>
      <w:r w:rsid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(сключването на настоящия договор)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>. Лихвеният процент, който ще се използва за сконтиране, е сконтовият процент, приложим към момента на предоставяне на помощта.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Информация за неговия размер е налична на страницата на Министерство на финансите на електронен адрес: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hyperlink r:id="rId9" w:history="1">
        <w:r w:rsidR="00A0633A" w:rsidRPr="00CB112E">
          <w:rPr>
            <w:rStyle w:val="Hyperlink"/>
            <w:rFonts w:ascii="Times New Roman" w:eastAsia="Times New Roman" w:hAnsi="Times New Roman"/>
            <w:color w:val="auto"/>
            <w:sz w:val="24"/>
            <w:szCs w:val="24"/>
            <w:lang w:eastAsia="fr-FR"/>
          </w:rPr>
          <w:t>https://stateaid.minfin.bg/bg/page/424</w:t>
        </w:r>
      </w:hyperlink>
      <w:r w:rsidR="001A46CB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3"/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E6CBE" w:rsidRP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3E32F046" w14:textId="77777777" w:rsidR="00D064CA" w:rsidRDefault="00BC6281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Възстановяването на неправомерна и несъвместима държавна помощ или неправилно използвана държавна помощ се извършва по реда на ЗДП. </w:t>
      </w:r>
      <w:r w:rsidR="00D064C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433876DC" w14:textId="0A6C5CE4" w:rsidR="00A0633A" w:rsidRPr="003B4153" w:rsidRDefault="00D01B40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>Всяк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>възлагане на трета страна на изграждането, модернизацията, управлението или наемането на пристанищна</w:t>
      </w:r>
      <w:r w:rsidR="006E6CBE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инфраструктура</w:t>
      </w:r>
      <w:r w:rsidR="003B4153">
        <w:rPr>
          <w:rFonts w:ascii="Times New Roman" w:eastAsia="Times New Roman" w:hAnsi="Times New Roman"/>
          <w:sz w:val="24"/>
          <w:szCs w:val="24"/>
          <w:lang w:eastAsia="fr-FR"/>
        </w:rPr>
        <w:t>, финансирана по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B4153">
        <w:rPr>
          <w:rFonts w:ascii="Times New Roman" w:eastAsia="Times New Roman" w:hAnsi="Times New Roman"/>
          <w:sz w:val="24"/>
          <w:szCs w:val="24"/>
          <w:lang w:eastAsia="fr-FR"/>
        </w:rPr>
        <w:t>проекта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се извършва на конкурентна, прозрачна, недискриминационна и безусловна основа.</w:t>
      </w:r>
    </w:p>
    <w:p w14:paraId="6834B00F" w14:textId="7A3456F7" w:rsidR="00A0633A" w:rsidRDefault="006E6CBE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>Финансираната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проекта 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инфраструктура трябва да се предоставя на заинтересованите ползватели на </w:t>
      </w:r>
      <w:r w:rsidR="00D01B40">
        <w:rPr>
          <w:rFonts w:ascii="Times New Roman" w:eastAsia="Times New Roman" w:hAnsi="Times New Roman"/>
          <w:sz w:val="24"/>
          <w:szCs w:val="24"/>
          <w:lang w:eastAsia="fr-FR"/>
        </w:rPr>
        <w:t xml:space="preserve">прозрачна, 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>равноправна и недискриминационна основа при пазарни условия.</w:t>
      </w:r>
    </w:p>
    <w:p w14:paraId="48531CFF" w14:textId="77777777" w:rsidR="001F557F" w:rsidRDefault="00073F60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1F557F" w:rsidRPr="003A2CC1">
        <w:rPr>
          <w:rFonts w:ascii="Times New Roman" w:eastAsia="Times New Roman" w:hAnsi="Times New Roman"/>
          <w:sz w:val="24"/>
          <w:szCs w:val="24"/>
          <w:lang w:eastAsia="fr-FR"/>
        </w:rPr>
        <w:t>о препоръка на национални и европейски контролни и/или одитни органи и/или на база свои проверки Управляващият орган може да наложи финансови корекции във връзка с индивидуални или системни нередности, както и в случаите, когато това е предвидено в националното законодателство и в съответните насоки на ЕК.</w:t>
      </w:r>
    </w:p>
    <w:p w14:paraId="378C2B8B" w14:textId="21275B56" w:rsidR="006C01A7" w:rsidRPr="00752EC7" w:rsidRDefault="00CF6FF5" w:rsidP="003B4153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Одобреният проект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документите по чл. 26, ал. 1 от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ЗУСЕФСУ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, в частта, определяща условията за изпълнение,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>Условията</w:t>
      </w:r>
      <w:r w:rsidR="00D01B40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Решението на ЕК за определяне на 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държавната помощ </w:t>
      </w:r>
      <w:r w:rsidR="00D01B40">
        <w:rPr>
          <w:rFonts w:ascii="Times New Roman" w:eastAsia="Times New Roman" w:hAnsi="Times New Roman"/>
          <w:sz w:val="24"/>
          <w:szCs w:val="24"/>
          <w:lang w:eastAsia="fr-FR"/>
        </w:rPr>
        <w:t xml:space="preserve">за съвместима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са неразделна част от настоящия договор.</w:t>
      </w:r>
    </w:p>
    <w:p w14:paraId="176F4339" w14:textId="77777777" w:rsidR="003105E4" w:rsidRDefault="003105E4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2729F60" w14:textId="77777777" w:rsidR="004D5093" w:rsidRDefault="001F557F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бите на действащото българско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 и законодателството на Европейския съюз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4400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2258EC29" w14:textId="77777777" w:rsidR="00005BC3" w:rsidRDefault="00005BC3" w:rsidP="005B5E2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68A2E8" w14:textId="77777777" w:rsidR="00005BC3" w:rsidRDefault="00005BC3" w:rsidP="005B5E2E">
      <w:pPr>
        <w:spacing w:after="0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Договорът се изготви в </w:t>
      </w:r>
      <w:r w:rsidR="005B5E2E">
        <w:rPr>
          <w:rFonts w:ascii="Times New Roman" w:eastAsia="Times New Roman" w:hAnsi="Times New Roman"/>
          <w:sz w:val="24"/>
          <w:szCs w:val="24"/>
          <w:lang w:eastAsia="fr-FR"/>
        </w:rPr>
        <w:t>два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еднообразни екземпляра – по </w:t>
      </w:r>
      <w:r w:rsidR="005B5E2E">
        <w:rPr>
          <w:rFonts w:ascii="Times New Roman" w:eastAsia="Times New Roman" w:hAnsi="Times New Roman"/>
          <w:sz w:val="24"/>
          <w:szCs w:val="24"/>
          <w:lang w:eastAsia="fr-FR"/>
        </w:rPr>
        <w:t>един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за всяка от страните.</w:t>
      </w:r>
    </w:p>
    <w:p w14:paraId="713E7917" w14:textId="77777777" w:rsidR="00005BC3" w:rsidRDefault="00005BC3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67A32B1" w14:textId="77777777"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F7A3C4" w14:textId="4B739C6C" w:rsidR="004711EC" w:rsidRDefault="00C54F34" w:rsidP="004711EC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</w:t>
      </w:r>
      <w:r w:rsidR="004711EC" w:rsidRPr="00C213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3A4794">
        <w:rPr>
          <w:rFonts w:ascii="Times New Roman" w:hAnsi="Times New Roman"/>
          <w:b/>
          <w:bCs/>
          <w:sz w:val="24"/>
          <w:szCs w:val="24"/>
        </w:rPr>
        <w:tab/>
      </w:r>
      <w:r w:rsidR="003A479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……………………………</w:t>
      </w:r>
    </w:p>
    <w:p w14:paraId="5F526C98" w14:textId="77777777" w:rsidR="004711EC" w:rsidRPr="00F85C38" w:rsidRDefault="004711EC" w:rsidP="004711EC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Ръководител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F2944">
        <w:rPr>
          <w:rFonts w:ascii="Times New Roman" w:hAnsi="Times New Roman"/>
          <w:i/>
          <w:iCs/>
          <w:sz w:val="24"/>
          <w:szCs w:val="24"/>
        </w:rPr>
        <w:t xml:space="preserve">на УО на </w:t>
      </w:r>
      <w:r w:rsidR="00C54F34">
        <w:rPr>
          <w:rFonts w:ascii="Times New Roman" w:hAnsi="Times New Roman"/>
          <w:i/>
          <w:iCs/>
          <w:sz w:val="24"/>
          <w:szCs w:val="24"/>
        </w:rPr>
        <w:t>ПТС</w:t>
      </w:r>
      <w:r w:rsidRPr="005F2944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</w:t>
      </w:r>
    </w:p>
    <w:p w14:paraId="781CED9D" w14:textId="77777777" w:rsidR="004711EC" w:rsidRPr="00F85C38" w:rsidRDefault="004711EC" w:rsidP="004711E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8D49D8B" w14:textId="77777777" w:rsidR="004711EC" w:rsidRDefault="004711EC" w:rsidP="004711E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FAC9A90" w14:textId="77777777" w:rsidR="004711EC" w:rsidRPr="005F2944" w:rsidRDefault="00C4466E" w:rsidP="004711E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………………………….</w:t>
      </w:r>
    </w:p>
    <w:p w14:paraId="7BB26192" w14:textId="77777777" w:rsidR="004711EC" w:rsidRDefault="004711EC" w:rsidP="004711E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Началник на отдел „Финансово</w:t>
      </w:r>
    </w:p>
    <w:p w14:paraId="05562763" w14:textId="77777777" w:rsidR="004711EC" w:rsidRDefault="004711EC" w:rsidP="004711E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 xml:space="preserve">управление”, дирекция „Координация на </w:t>
      </w:r>
    </w:p>
    <w:p w14:paraId="5531B27E" w14:textId="77777777" w:rsidR="004711EC" w:rsidRDefault="004711EC" w:rsidP="004711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програми и проекти”</w:t>
      </w:r>
    </w:p>
    <w:p w14:paraId="6E996815" w14:textId="77777777"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p w14:paraId="0E3AE571" w14:textId="77777777"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sectPr w:rsidR="00422E8E" w:rsidSect="00FC6229">
      <w:headerReference w:type="default" r:id="rId10"/>
      <w:footerReference w:type="default" r:id="rId11"/>
      <w:pgSz w:w="11906" w:h="16838"/>
      <w:pgMar w:top="993" w:right="1417" w:bottom="1417" w:left="1417" w:header="708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8C89B" w14:textId="77777777" w:rsidR="00FC6229" w:rsidRDefault="00FC6229" w:rsidP="008854CF">
      <w:pPr>
        <w:spacing w:after="0" w:line="240" w:lineRule="auto"/>
      </w:pPr>
      <w:r>
        <w:separator/>
      </w:r>
    </w:p>
  </w:endnote>
  <w:endnote w:type="continuationSeparator" w:id="0">
    <w:p w14:paraId="770F0BA6" w14:textId="77777777" w:rsidR="00FC6229" w:rsidRDefault="00FC6229" w:rsidP="0088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WBUTZ+HelenBg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6733" w14:textId="77777777" w:rsidR="009D0C8F" w:rsidRDefault="00C82540" w:rsidP="009D0C8F">
    <w:pPr>
      <w:pStyle w:val="Footer"/>
      <w:pBdr>
        <w:top w:val="thinThickSmallGap" w:sz="24" w:space="0" w:color="622423"/>
      </w:pBdr>
      <w:spacing w:after="0"/>
      <w:jc w:val="both"/>
      <w:rPr>
        <w:rFonts w:ascii="Times New Roman" w:eastAsia="Times New Roman" w:hAnsi="Times New Roman"/>
        <w:sz w:val="20"/>
        <w:szCs w:val="20"/>
        <w:lang w:eastAsia="fr-FR"/>
      </w:rPr>
    </w:pPr>
    <w:r w:rsidRPr="00C82540">
      <w:rPr>
        <w:rFonts w:ascii="Times New Roman" w:eastAsia="Times New Roman" w:hAnsi="Times New Roman"/>
        <w:sz w:val="20"/>
        <w:szCs w:val="20"/>
        <w:lang w:eastAsia="fr-FR"/>
      </w:rPr>
      <w:t>П</w:t>
    </w:r>
    <w:r w:rsidR="009D0C8F">
      <w:rPr>
        <w:rFonts w:ascii="Times New Roman" w:eastAsia="Times New Roman" w:hAnsi="Times New Roman"/>
        <w:sz w:val="20"/>
        <w:szCs w:val="20"/>
        <w:lang w:eastAsia="fr-FR"/>
      </w:rPr>
      <w:t>роект №</w:t>
    </w:r>
    <w:r>
      <w:rPr>
        <w:rFonts w:ascii="Times New Roman" w:eastAsia="Times New Roman" w:hAnsi="Times New Roman"/>
        <w:sz w:val="20"/>
        <w:szCs w:val="20"/>
        <w:lang w:eastAsia="fr-FR"/>
      </w:rPr>
      <w:t xml:space="preserve">  </w:t>
    </w:r>
  </w:p>
  <w:p w14:paraId="6BCEECF6" w14:textId="77777777" w:rsidR="00C82540" w:rsidRPr="00C82540" w:rsidRDefault="00C82540" w:rsidP="009D0C8F">
    <w:pPr>
      <w:pStyle w:val="Footer"/>
      <w:pBdr>
        <w:top w:val="thinThickSmallGap" w:sz="24" w:space="0" w:color="622423"/>
      </w:pBdr>
      <w:jc w:val="center"/>
      <w:rPr>
        <w:rFonts w:ascii="Times New Roman" w:eastAsia="Times New Roman" w:hAnsi="Times New Roman"/>
        <w:sz w:val="20"/>
        <w:szCs w:val="20"/>
        <w:lang w:eastAsia="fr-FR"/>
      </w:rPr>
    </w:pPr>
    <w:r>
      <w:rPr>
        <w:rFonts w:ascii="Times New Roman" w:hAnsi="Times New Roman"/>
        <w:sz w:val="20"/>
        <w:szCs w:val="20"/>
      </w:rPr>
      <w:t>с</w:t>
    </w:r>
    <w:r w:rsidRPr="00841CD4">
      <w:rPr>
        <w:rFonts w:ascii="Times New Roman" w:hAnsi="Times New Roman"/>
        <w:sz w:val="20"/>
        <w:szCs w:val="20"/>
      </w:rPr>
      <w:t xml:space="preserve">тр. 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PAGE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0B57BB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  <w:r w:rsidRPr="00841CD4">
      <w:rPr>
        <w:rFonts w:ascii="Times New Roman" w:hAnsi="Times New Roman"/>
        <w:sz w:val="20"/>
        <w:szCs w:val="20"/>
      </w:rPr>
      <w:t>/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NUMPAGES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0B57BB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</w:p>
  <w:p w14:paraId="7C659213" w14:textId="77777777" w:rsidR="00841CD4" w:rsidRPr="00841CD4" w:rsidRDefault="00841CD4" w:rsidP="00C82540">
    <w:pPr>
      <w:pStyle w:val="Footer"/>
      <w:pBdr>
        <w:top w:val="thinThickSmallGap" w:sz="24" w:space="0" w:color="622423"/>
      </w:pBdr>
      <w:tabs>
        <w:tab w:val="clear" w:pos="4536"/>
      </w:tabs>
      <w:spacing w:after="0" w:line="240" w:lineRule="auto"/>
      <w:rPr>
        <w:sz w:val="20"/>
        <w:szCs w:val="20"/>
      </w:rPr>
    </w:pPr>
    <w:r w:rsidRPr="00841CD4">
      <w:rPr>
        <w:rFonts w:ascii="Times New Roman" w:eastAsia="Times New Roman" w:hAnsi="Times New Roman"/>
      </w:rPr>
      <w:tab/>
    </w:r>
  </w:p>
  <w:p w14:paraId="5FA1D4B8" w14:textId="77777777" w:rsidR="00C82540" w:rsidRDefault="00C825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FBBAC" w14:textId="77777777" w:rsidR="00FC6229" w:rsidRDefault="00FC6229" w:rsidP="008854CF">
      <w:pPr>
        <w:spacing w:after="0" w:line="240" w:lineRule="auto"/>
      </w:pPr>
      <w:r>
        <w:separator/>
      </w:r>
    </w:p>
  </w:footnote>
  <w:footnote w:type="continuationSeparator" w:id="0">
    <w:p w14:paraId="32FD56E9" w14:textId="77777777" w:rsidR="00FC6229" w:rsidRDefault="00FC6229" w:rsidP="008854CF">
      <w:pPr>
        <w:spacing w:after="0" w:line="240" w:lineRule="auto"/>
      </w:pPr>
      <w:r>
        <w:continuationSeparator/>
      </w:r>
    </w:p>
  </w:footnote>
  <w:footnote w:id="1">
    <w:p w14:paraId="0D41053D" w14:textId="4BE3CCCB" w:rsidR="00DC1CAD" w:rsidRPr="003A4794" w:rsidRDefault="00DC1CAD" w:rsidP="003A4794">
      <w:pPr>
        <w:pStyle w:val="FootnoteText"/>
        <w:jc w:val="both"/>
        <w:rPr>
          <w:lang w:val="bg-BG"/>
        </w:rPr>
      </w:pPr>
      <w:r w:rsidRPr="00DC1CAD">
        <w:rPr>
          <w:rStyle w:val="FootnoteReference"/>
        </w:rPr>
        <w:footnoteRef/>
      </w:r>
      <w:r w:rsidRPr="00DC1CAD">
        <w:t xml:space="preserve"> Авансовото плащане се </w:t>
      </w:r>
      <w:r w:rsidRPr="00DC1CAD">
        <w:rPr>
          <w:lang w:val="bg-BG"/>
        </w:rPr>
        <w:t xml:space="preserve">извършва </w:t>
      </w:r>
      <w:r w:rsidRPr="00DC1CAD">
        <w:t>при спазване на условията на Глава V, Раздел II, чл. 61 от ЗУСЕФСУ</w:t>
      </w:r>
      <w:r w:rsidRPr="00DC1CAD">
        <w:rPr>
          <w:lang w:val="bg-BG"/>
        </w:rPr>
        <w:t xml:space="preserve"> и приложимото законодателство</w:t>
      </w:r>
    </w:p>
  </w:footnote>
  <w:footnote w:id="2">
    <w:p w14:paraId="3387EDA0" w14:textId="10C61E19" w:rsidR="00DC1CAD" w:rsidRPr="003A4794" w:rsidRDefault="00DC1CAD" w:rsidP="003A4794">
      <w:pPr>
        <w:pStyle w:val="FootnoteText"/>
        <w:jc w:val="both"/>
        <w:rPr>
          <w:lang w:val="bg-BG"/>
        </w:rPr>
      </w:pPr>
      <w:r w:rsidRPr="00DC1CAD">
        <w:rPr>
          <w:rStyle w:val="FootnoteReference"/>
        </w:rPr>
        <w:footnoteRef/>
      </w:r>
      <w:r w:rsidRPr="00DC1CAD">
        <w:t xml:space="preserve"> </w:t>
      </w:r>
      <w:r w:rsidRPr="00DC1CAD">
        <w:rPr>
          <w:lang w:val="bg-BG"/>
        </w:rPr>
        <w:t xml:space="preserve">Междинните плащания се извършва при спазване на условията на </w:t>
      </w:r>
      <w:r w:rsidRPr="00DC1CAD">
        <w:t>Глава V, Раздел II, чл. 6</w:t>
      </w:r>
      <w:r w:rsidRPr="00DC1CAD">
        <w:rPr>
          <w:lang w:val="bg-BG"/>
        </w:rPr>
        <w:t>2</w:t>
      </w:r>
      <w:r w:rsidRPr="00DC1CAD">
        <w:t xml:space="preserve"> от ЗУСЕФСУ</w:t>
      </w:r>
    </w:p>
  </w:footnote>
  <w:footnote w:id="3">
    <w:p w14:paraId="54D0192F" w14:textId="47F7D4F6" w:rsidR="001A46CB" w:rsidRPr="003A4794" w:rsidRDefault="001A46C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</w:t>
      </w:r>
      <w:r w:rsidRPr="001A46CB">
        <w:t xml:space="preserve"> съответствие с чл. 7, ал. 3 от Регламент (ЕС) № 651/2014 на Комисията, и чл. 3, пар. 6 от Регламент (ЕС) № 1407/2013 на Комисията.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C053F" w14:textId="77777777" w:rsidR="003A4794" w:rsidRDefault="003A4794" w:rsidP="003A4794">
    <w:pPr>
      <w:pStyle w:val="Header"/>
      <w:pBdr>
        <w:bottom w:val="single" w:sz="6" w:space="1" w:color="auto"/>
      </w:pBdr>
    </w:pPr>
    <w:r>
      <w:rPr>
        <w:noProof/>
        <w:lang w:eastAsia="bg-BG"/>
      </w:rPr>
      <w:drawing>
        <wp:inline distT="0" distB="0" distL="0" distR="0" wp14:anchorId="79721DD2" wp14:editId="29EEFC9F">
          <wp:extent cx="2190750" cy="838200"/>
          <wp:effectExtent l="0" t="0" r="0" b="0"/>
          <wp:docPr id="4353288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bg-BG"/>
      </w:rPr>
      <w:drawing>
        <wp:inline distT="0" distB="0" distL="0" distR="0" wp14:anchorId="505E3900" wp14:editId="49BD9BA7">
          <wp:extent cx="1108239" cy="761365"/>
          <wp:effectExtent l="0" t="0" r="0" b="635"/>
          <wp:docPr id="7407060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124453" cy="7725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6CE1FD" w14:textId="77777777" w:rsidR="004B5A56" w:rsidRDefault="004B5A56" w:rsidP="004B5A56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115B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70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3973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68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800717"/>
    <w:multiLevelType w:val="multilevel"/>
    <w:tmpl w:val="0D526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4" w15:restartNumberingAfterBreak="0">
    <w:nsid w:val="14925C87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B8207DA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6007CCD"/>
    <w:multiLevelType w:val="hybridMultilevel"/>
    <w:tmpl w:val="3ED6EA0C"/>
    <w:lvl w:ilvl="0" w:tplc="8BA013E2">
      <w:start w:val="1"/>
      <w:numFmt w:val="decimal"/>
      <w:lvlText w:val="Чл. %1."/>
      <w:lvlJc w:val="left"/>
      <w:pPr>
        <w:ind w:left="1818" w:hanging="1110"/>
      </w:pPr>
      <w:rPr>
        <w:rFonts w:hint="default"/>
        <w:b/>
        <w:i w:val="0"/>
        <w:vertAlign w:val="baseline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674E39"/>
    <w:multiLevelType w:val="multilevel"/>
    <w:tmpl w:val="064C0F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0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8" w15:restartNumberingAfterBreak="0">
    <w:nsid w:val="64AC6B44"/>
    <w:multiLevelType w:val="multilevel"/>
    <w:tmpl w:val="2926F1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A9813DE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AD63F91"/>
    <w:multiLevelType w:val="multilevel"/>
    <w:tmpl w:val="BA72352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7D0C790E"/>
    <w:multiLevelType w:val="hybridMultilevel"/>
    <w:tmpl w:val="CAD0309E"/>
    <w:lvl w:ilvl="0" w:tplc="9BCA20F8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515" w:hanging="360"/>
      </w:pPr>
    </w:lvl>
    <w:lvl w:ilvl="2" w:tplc="0402001B" w:tentative="1">
      <w:start w:val="1"/>
      <w:numFmt w:val="lowerRoman"/>
      <w:lvlText w:val="%3."/>
      <w:lvlJc w:val="right"/>
      <w:pPr>
        <w:ind w:left="2235" w:hanging="180"/>
      </w:pPr>
    </w:lvl>
    <w:lvl w:ilvl="3" w:tplc="0402000F" w:tentative="1">
      <w:start w:val="1"/>
      <w:numFmt w:val="decimal"/>
      <w:lvlText w:val="%4."/>
      <w:lvlJc w:val="left"/>
      <w:pPr>
        <w:ind w:left="2955" w:hanging="360"/>
      </w:pPr>
    </w:lvl>
    <w:lvl w:ilvl="4" w:tplc="04020019" w:tentative="1">
      <w:start w:val="1"/>
      <w:numFmt w:val="lowerLetter"/>
      <w:lvlText w:val="%5."/>
      <w:lvlJc w:val="left"/>
      <w:pPr>
        <w:ind w:left="3675" w:hanging="360"/>
      </w:pPr>
    </w:lvl>
    <w:lvl w:ilvl="5" w:tplc="0402001B" w:tentative="1">
      <w:start w:val="1"/>
      <w:numFmt w:val="lowerRoman"/>
      <w:lvlText w:val="%6."/>
      <w:lvlJc w:val="right"/>
      <w:pPr>
        <w:ind w:left="4395" w:hanging="180"/>
      </w:pPr>
    </w:lvl>
    <w:lvl w:ilvl="6" w:tplc="0402000F" w:tentative="1">
      <w:start w:val="1"/>
      <w:numFmt w:val="decimal"/>
      <w:lvlText w:val="%7."/>
      <w:lvlJc w:val="left"/>
      <w:pPr>
        <w:ind w:left="5115" w:hanging="360"/>
      </w:pPr>
    </w:lvl>
    <w:lvl w:ilvl="7" w:tplc="04020019" w:tentative="1">
      <w:start w:val="1"/>
      <w:numFmt w:val="lowerLetter"/>
      <w:lvlText w:val="%8."/>
      <w:lvlJc w:val="left"/>
      <w:pPr>
        <w:ind w:left="5835" w:hanging="360"/>
      </w:pPr>
    </w:lvl>
    <w:lvl w:ilvl="8" w:tplc="040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45263392">
    <w:abstractNumId w:val="9"/>
  </w:num>
  <w:num w:numId="2" w16cid:durableId="226458526">
    <w:abstractNumId w:val="2"/>
  </w:num>
  <w:num w:numId="3" w16cid:durableId="1734237078">
    <w:abstractNumId w:val="7"/>
  </w:num>
  <w:num w:numId="4" w16cid:durableId="1664553742">
    <w:abstractNumId w:val="10"/>
  </w:num>
  <w:num w:numId="5" w16cid:durableId="1391728725">
    <w:abstractNumId w:val="15"/>
  </w:num>
  <w:num w:numId="6" w16cid:durableId="417363584">
    <w:abstractNumId w:val="14"/>
  </w:num>
  <w:num w:numId="7" w16cid:durableId="348533084">
    <w:abstractNumId w:val="5"/>
  </w:num>
  <w:num w:numId="8" w16cid:durableId="789478235">
    <w:abstractNumId w:val="1"/>
  </w:num>
  <w:num w:numId="9" w16cid:durableId="1851555290">
    <w:abstractNumId w:val="6"/>
  </w:num>
  <w:num w:numId="10" w16cid:durableId="310017533">
    <w:abstractNumId w:val="4"/>
  </w:num>
  <w:num w:numId="11" w16cid:durableId="1940486367">
    <w:abstractNumId w:val="0"/>
  </w:num>
  <w:num w:numId="12" w16cid:durableId="1035236166">
    <w:abstractNumId w:val="11"/>
  </w:num>
  <w:num w:numId="13" w16cid:durableId="1051614995">
    <w:abstractNumId w:val="12"/>
  </w:num>
  <w:num w:numId="14" w16cid:durableId="1606496746">
    <w:abstractNumId w:val="8"/>
  </w:num>
  <w:num w:numId="15" w16cid:durableId="205602040">
    <w:abstractNumId w:val="3"/>
  </w:num>
  <w:num w:numId="16" w16cid:durableId="17760914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001AA"/>
    <w:rsid w:val="00005BC3"/>
    <w:rsid w:val="00042C99"/>
    <w:rsid w:val="000445D9"/>
    <w:rsid w:val="000471FC"/>
    <w:rsid w:val="00047FE2"/>
    <w:rsid w:val="0006505F"/>
    <w:rsid w:val="00073F60"/>
    <w:rsid w:val="00074249"/>
    <w:rsid w:val="0007656F"/>
    <w:rsid w:val="000813EE"/>
    <w:rsid w:val="00082379"/>
    <w:rsid w:val="0008342D"/>
    <w:rsid w:val="00083E97"/>
    <w:rsid w:val="000A51C2"/>
    <w:rsid w:val="000A5463"/>
    <w:rsid w:val="000B3F52"/>
    <w:rsid w:val="000B57BB"/>
    <w:rsid w:val="000C4E97"/>
    <w:rsid w:val="000C608A"/>
    <w:rsid w:val="000E1842"/>
    <w:rsid w:val="000E7473"/>
    <w:rsid w:val="000F1D9E"/>
    <w:rsid w:val="00104BA1"/>
    <w:rsid w:val="001116A3"/>
    <w:rsid w:val="0012034B"/>
    <w:rsid w:val="00123C46"/>
    <w:rsid w:val="00123E22"/>
    <w:rsid w:val="00130C87"/>
    <w:rsid w:val="00134845"/>
    <w:rsid w:val="00137D85"/>
    <w:rsid w:val="00154285"/>
    <w:rsid w:val="00166A5D"/>
    <w:rsid w:val="001676E7"/>
    <w:rsid w:val="00172D04"/>
    <w:rsid w:val="00174332"/>
    <w:rsid w:val="00181D09"/>
    <w:rsid w:val="0018291D"/>
    <w:rsid w:val="00184C39"/>
    <w:rsid w:val="001A46CB"/>
    <w:rsid w:val="001B761A"/>
    <w:rsid w:val="001C293A"/>
    <w:rsid w:val="001C64C1"/>
    <w:rsid w:val="001D091A"/>
    <w:rsid w:val="001D2A6D"/>
    <w:rsid w:val="001D7D8A"/>
    <w:rsid w:val="001E0E9C"/>
    <w:rsid w:val="001E2768"/>
    <w:rsid w:val="001E74BC"/>
    <w:rsid w:val="001F557F"/>
    <w:rsid w:val="00203DF1"/>
    <w:rsid w:val="00214D8C"/>
    <w:rsid w:val="00216D39"/>
    <w:rsid w:val="00233EBA"/>
    <w:rsid w:val="00234908"/>
    <w:rsid w:val="002418A6"/>
    <w:rsid w:val="002424EA"/>
    <w:rsid w:val="0025088A"/>
    <w:rsid w:val="00252DBA"/>
    <w:rsid w:val="00254F5E"/>
    <w:rsid w:val="00256E14"/>
    <w:rsid w:val="00261C95"/>
    <w:rsid w:val="00272925"/>
    <w:rsid w:val="002822F6"/>
    <w:rsid w:val="0028551E"/>
    <w:rsid w:val="002855F9"/>
    <w:rsid w:val="002902E7"/>
    <w:rsid w:val="002966BE"/>
    <w:rsid w:val="002A3E0C"/>
    <w:rsid w:val="002B1ECA"/>
    <w:rsid w:val="002B6FB4"/>
    <w:rsid w:val="002C207D"/>
    <w:rsid w:val="002C2491"/>
    <w:rsid w:val="002C2986"/>
    <w:rsid w:val="002C5E60"/>
    <w:rsid w:val="002E570D"/>
    <w:rsid w:val="002E5F3A"/>
    <w:rsid w:val="002F2F1E"/>
    <w:rsid w:val="00303FBF"/>
    <w:rsid w:val="003046FC"/>
    <w:rsid w:val="0030797B"/>
    <w:rsid w:val="003105E4"/>
    <w:rsid w:val="00311E50"/>
    <w:rsid w:val="00312B1A"/>
    <w:rsid w:val="003142FD"/>
    <w:rsid w:val="0032598E"/>
    <w:rsid w:val="00332AC6"/>
    <w:rsid w:val="00333F5C"/>
    <w:rsid w:val="00335AF7"/>
    <w:rsid w:val="003377E8"/>
    <w:rsid w:val="0037445D"/>
    <w:rsid w:val="003804BB"/>
    <w:rsid w:val="003814C1"/>
    <w:rsid w:val="00381845"/>
    <w:rsid w:val="003875C1"/>
    <w:rsid w:val="00396ED9"/>
    <w:rsid w:val="003A2466"/>
    <w:rsid w:val="003A2CC1"/>
    <w:rsid w:val="003A35FC"/>
    <w:rsid w:val="003A4794"/>
    <w:rsid w:val="003B4153"/>
    <w:rsid w:val="003B7462"/>
    <w:rsid w:val="003C11A5"/>
    <w:rsid w:val="003C1880"/>
    <w:rsid w:val="003D0B46"/>
    <w:rsid w:val="003E6D69"/>
    <w:rsid w:val="003F3625"/>
    <w:rsid w:val="003F523A"/>
    <w:rsid w:val="004023B1"/>
    <w:rsid w:val="00415973"/>
    <w:rsid w:val="00417BC9"/>
    <w:rsid w:val="00422E8E"/>
    <w:rsid w:val="004311B5"/>
    <w:rsid w:val="0043628A"/>
    <w:rsid w:val="004400F8"/>
    <w:rsid w:val="004415C2"/>
    <w:rsid w:val="00463028"/>
    <w:rsid w:val="00463785"/>
    <w:rsid w:val="00464DD0"/>
    <w:rsid w:val="004667CF"/>
    <w:rsid w:val="004711EC"/>
    <w:rsid w:val="0047318A"/>
    <w:rsid w:val="00480731"/>
    <w:rsid w:val="00487E8D"/>
    <w:rsid w:val="004A4B80"/>
    <w:rsid w:val="004B244F"/>
    <w:rsid w:val="004B5A56"/>
    <w:rsid w:val="004B5BFE"/>
    <w:rsid w:val="004C1F28"/>
    <w:rsid w:val="004D327B"/>
    <w:rsid w:val="004D5093"/>
    <w:rsid w:val="004D5E42"/>
    <w:rsid w:val="004D7464"/>
    <w:rsid w:val="004D7796"/>
    <w:rsid w:val="004E636A"/>
    <w:rsid w:val="004F3529"/>
    <w:rsid w:val="00507EA0"/>
    <w:rsid w:val="005160E4"/>
    <w:rsid w:val="005332F5"/>
    <w:rsid w:val="00534F2F"/>
    <w:rsid w:val="005353FE"/>
    <w:rsid w:val="00537AFA"/>
    <w:rsid w:val="005404C7"/>
    <w:rsid w:val="00540743"/>
    <w:rsid w:val="00542660"/>
    <w:rsid w:val="00542753"/>
    <w:rsid w:val="0054375B"/>
    <w:rsid w:val="00546C81"/>
    <w:rsid w:val="0055196B"/>
    <w:rsid w:val="005523E8"/>
    <w:rsid w:val="0055392D"/>
    <w:rsid w:val="00560E70"/>
    <w:rsid w:val="0056231D"/>
    <w:rsid w:val="00570334"/>
    <w:rsid w:val="00574B2C"/>
    <w:rsid w:val="00587B12"/>
    <w:rsid w:val="0059716F"/>
    <w:rsid w:val="005A308E"/>
    <w:rsid w:val="005B0076"/>
    <w:rsid w:val="005B0430"/>
    <w:rsid w:val="005B5E2E"/>
    <w:rsid w:val="005D25DA"/>
    <w:rsid w:val="005E0D0C"/>
    <w:rsid w:val="005E24EF"/>
    <w:rsid w:val="005E46B5"/>
    <w:rsid w:val="005E7A1E"/>
    <w:rsid w:val="005F2944"/>
    <w:rsid w:val="00604A93"/>
    <w:rsid w:val="00605054"/>
    <w:rsid w:val="0063026E"/>
    <w:rsid w:val="006400A6"/>
    <w:rsid w:val="00641076"/>
    <w:rsid w:val="0064656A"/>
    <w:rsid w:val="00660875"/>
    <w:rsid w:val="00660EDA"/>
    <w:rsid w:val="006629FC"/>
    <w:rsid w:val="00670864"/>
    <w:rsid w:val="00673EAA"/>
    <w:rsid w:val="00675B0C"/>
    <w:rsid w:val="006801F3"/>
    <w:rsid w:val="0068782D"/>
    <w:rsid w:val="00691F90"/>
    <w:rsid w:val="00694B92"/>
    <w:rsid w:val="006A5135"/>
    <w:rsid w:val="006C01A7"/>
    <w:rsid w:val="006C6055"/>
    <w:rsid w:val="006D4ACF"/>
    <w:rsid w:val="006D62C8"/>
    <w:rsid w:val="006D6F94"/>
    <w:rsid w:val="006E061D"/>
    <w:rsid w:val="006E6CBE"/>
    <w:rsid w:val="006E6F81"/>
    <w:rsid w:val="006F03C7"/>
    <w:rsid w:val="006F2258"/>
    <w:rsid w:val="00712B4A"/>
    <w:rsid w:val="00721075"/>
    <w:rsid w:val="00724026"/>
    <w:rsid w:val="00734B7F"/>
    <w:rsid w:val="00745F50"/>
    <w:rsid w:val="007467C1"/>
    <w:rsid w:val="00752EC7"/>
    <w:rsid w:val="00763479"/>
    <w:rsid w:val="007654F4"/>
    <w:rsid w:val="00775EBC"/>
    <w:rsid w:val="0078105E"/>
    <w:rsid w:val="00781D51"/>
    <w:rsid w:val="0078430D"/>
    <w:rsid w:val="00795554"/>
    <w:rsid w:val="007A014C"/>
    <w:rsid w:val="007A4646"/>
    <w:rsid w:val="007A4E55"/>
    <w:rsid w:val="007B641A"/>
    <w:rsid w:val="007C227E"/>
    <w:rsid w:val="007C2D70"/>
    <w:rsid w:val="007C2E4E"/>
    <w:rsid w:val="007C4B2E"/>
    <w:rsid w:val="007C4F3E"/>
    <w:rsid w:val="007C682D"/>
    <w:rsid w:val="007D33E3"/>
    <w:rsid w:val="007E5363"/>
    <w:rsid w:val="008009E5"/>
    <w:rsid w:val="00807B15"/>
    <w:rsid w:val="0081023C"/>
    <w:rsid w:val="00810506"/>
    <w:rsid w:val="00821E5D"/>
    <w:rsid w:val="00836375"/>
    <w:rsid w:val="008372E1"/>
    <w:rsid w:val="00841CD4"/>
    <w:rsid w:val="008438EA"/>
    <w:rsid w:val="00854B99"/>
    <w:rsid w:val="00855122"/>
    <w:rsid w:val="00867A5E"/>
    <w:rsid w:val="008803ED"/>
    <w:rsid w:val="008854CF"/>
    <w:rsid w:val="0089207C"/>
    <w:rsid w:val="008D3E08"/>
    <w:rsid w:val="008D5564"/>
    <w:rsid w:val="008D7FC3"/>
    <w:rsid w:val="008E2DD1"/>
    <w:rsid w:val="008E73E0"/>
    <w:rsid w:val="008F1929"/>
    <w:rsid w:val="0092093C"/>
    <w:rsid w:val="00926D36"/>
    <w:rsid w:val="0093288A"/>
    <w:rsid w:val="00941510"/>
    <w:rsid w:val="0094377F"/>
    <w:rsid w:val="00944B41"/>
    <w:rsid w:val="00950F04"/>
    <w:rsid w:val="00954537"/>
    <w:rsid w:val="00962672"/>
    <w:rsid w:val="0096613F"/>
    <w:rsid w:val="00966E3E"/>
    <w:rsid w:val="00974773"/>
    <w:rsid w:val="00982186"/>
    <w:rsid w:val="009933CC"/>
    <w:rsid w:val="009958A2"/>
    <w:rsid w:val="00996F35"/>
    <w:rsid w:val="00997D79"/>
    <w:rsid w:val="009A0C3F"/>
    <w:rsid w:val="009A7C1B"/>
    <w:rsid w:val="009B24A1"/>
    <w:rsid w:val="009C0C4A"/>
    <w:rsid w:val="009C4CB8"/>
    <w:rsid w:val="009D0C8F"/>
    <w:rsid w:val="009D131F"/>
    <w:rsid w:val="009D15CD"/>
    <w:rsid w:val="009E0DA7"/>
    <w:rsid w:val="009F2277"/>
    <w:rsid w:val="009F2AAB"/>
    <w:rsid w:val="00A0633A"/>
    <w:rsid w:val="00A1693E"/>
    <w:rsid w:val="00A219FB"/>
    <w:rsid w:val="00A33620"/>
    <w:rsid w:val="00A3403E"/>
    <w:rsid w:val="00A41BBF"/>
    <w:rsid w:val="00A50AB4"/>
    <w:rsid w:val="00A80774"/>
    <w:rsid w:val="00A85EFB"/>
    <w:rsid w:val="00A9399D"/>
    <w:rsid w:val="00A93EDC"/>
    <w:rsid w:val="00A9632C"/>
    <w:rsid w:val="00AA6371"/>
    <w:rsid w:val="00AB732C"/>
    <w:rsid w:val="00AC09D6"/>
    <w:rsid w:val="00AC4336"/>
    <w:rsid w:val="00AE285F"/>
    <w:rsid w:val="00AF615E"/>
    <w:rsid w:val="00B0459D"/>
    <w:rsid w:val="00B0729F"/>
    <w:rsid w:val="00B14D2A"/>
    <w:rsid w:val="00B17186"/>
    <w:rsid w:val="00B172C7"/>
    <w:rsid w:val="00B20E55"/>
    <w:rsid w:val="00B22E04"/>
    <w:rsid w:val="00B24361"/>
    <w:rsid w:val="00B24983"/>
    <w:rsid w:val="00B37DB1"/>
    <w:rsid w:val="00B83CB8"/>
    <w:rsid w:val="00B85707"/>
    <w:rsid w:val="00B90758"/>
    <w:rsid w:val="00B918F8"/>
    <w:rsid w:val="00B95BED"/>
    <w:rsid w:val="00BA3006"/>
    <w:rsid w:val="00BB199B"/>
    <w:rsid w:val="00BB3A1E"/>
    <w:rsid w:val="00BB7A55"/>
    <w:rsid w:val="00BC1F16"/>
    <w:rsid w:val="00BC2115"/>
    <w:rsid w:val="00BC2EF3"/>
    <w:rsid w:val="00BC6281"/>
    <w:rsid w:val="00BF1D2D"/>
    <w:rsid w:val="00BF396B"/>
    <w:rsid w:val="00C066A5"/>
    <w:rsid w:val="00C1066F"/>
    <w:rsid w:val="00C1581A"/>
    <w:rsid w:val="00C226F7"/>
    <w:rsid w:val="00C273F3"/>
    <w:rsid w:val="00C30B1C"/>
    <w:rsid w:val="00C323AB"/>
    <w:rsid w:val="00C365F4"/>
    <w:rsid w:val="00C42515"/>
    <w:rsid w:val="00C4466E"/>
    <w:rsid w:val="00C46015"/>
    <w:rsid w:val="00C510CA"/>
    <w:rsid w:val="00C53CA8"/>
    <w:rsid w:val="00C54F34"/>
    <w:rsid w:val="00C55E58"/>
    <w:rsid w:val="00C61651"/>
    <w:rsid w:val="00C63006"/>
    <w:rsid w:val="00C650B8"/>
    <w:rsid w:val="00C66895"/>
    <w:rsid w:val="00C81A5B"/>
    <w:rsid w:val="00C82540"/>
    <w:rsid w:val="00C82F91"/>
    <w:rsid w:val="00C902EF"/>
    <w:rsid w:val="00CA04C6"/>
    <w:rsid w:val="00CA139F"/>
    <w:rsid w:val="00CA3688"/>
    <w:rsid w:val="00CB112E"/>
    <w:rsid w:val="00CB3345"/>
    <w:rsid w:val="00CB3672"/>
    <w:rsid w:val="00CC1ED7"/>
    <w:rsid w:val="00CC7AD2"/>
    <w:rsid w:val="00CD28DE"/>
    <w:rsid w:val="00CD3566"/>
    <w:rsid w:val="00CD620D"/>
    <w:rsid w:val="00CE23E5"/>
    <w:rsid w:val="00CF6FF5"/>
    <w:rsid w:val="00D01B40"/>
    <w:rsid w:val="00D02AC6"/>
    <w:rsid w:val="00D02E78"/>
    <w:rsid w:val="00D0376E"/>
    <w:rsid w:val="00D064CA"/>
    <w:rsid w:val="00D1024A"/>
    <w:rsid w:val="00D10376"/>
    <w:rsid w:val="00D13069"/>
    <w:rsid w:val="00D20F4D"/>
    <w:rsid w:val="00D32CA4"/>
    <w:rsid w:val="00D33F1F"/>
    <w:rsid w:val="00D40035"/>
    <w:rsid w:val="00D50235"/>
    <w:rsid w:val="00D658EF"/>
    <w:rsid w:val="00D7083B"/>
    <w:rsid w:val="00D76039"/>
    <w:rsid w:val="00D873E1"/>
    <w:rsid w:val="00DA441A"/>
    <w:rsid w:val="00DA4819"/>
    <w:rsid w:val="00DA59DB"/>
    <w:rsid w:val="00DC1CAD"/>
    <w:rsid w:val="00DC33D5"/>
    <w:rsid w:val="00DD0740"/>
    <w:rsid w:val="00DD7F0C"/>
    <w:rsid w:val="00DE04EB"/>
    <w:rsid w:val="00DE1F24"/>
    <w:rsid w:val="00DE6E51"/>
    <w:rsid w:val="00DF05F8"/>
    <w:rsid w:val="00DF0A21"/>
    <w:rsid w:val="00DF10EA"/>
    <w:rsid w:val="00DF78CB"/>
    <w:rsid w:val="00E01D72"/>
    <w:rsid w:val="00E25426"/>
    <w:rsid w:val="00E2682B"/>
    <w:rsid w:val="00E37532"/>
    <w:rsid w:val="00E44C61"/>
    <w:rsid w:val="00E46681"/>
    <w:rsid w:val="00E5070A"/>
    <w:rsid w:val="00E52AE2"/>
    <w:rsid w:val="00E539BB"/>
    <w:rsid w:val="00E56093"/>
    <w:rsid w:val="00E72251"/>
    <w:rsid w:val="00E73E0C"/>
    <w:rsid w:val="00E770B2"/>
    <w:rsid w:val="00E917C0"/>
    <w:rsid w:val="00E941E3"/>
    <w:rsid w:val="00E9481C"/>
    <w:rsid w:val="00E96FB6"/>
    <w:rsid w:val="00EA1CFA"/>
    <w:rsid w:val="00EA5EEA"/>
    <w:rsid w:val="00EB0D37"/>
    <w:rsid w:val="00EB7AD6"/>
    <w:rsid w:val="00EC3936"/>
    <w:rsid w:val="00EC556C"/>
    <w:rsid w:val="00ED49C0"/>
    <w:rsid w:val="00ED5CAB"/>
    <w:rsid w:val="00EE1B1D"/>
    <w:rsid w:val="00EF440B"/>
    <w:rsid w:val="00EF7A9A"/>
    <w:rsid w:val="00F155C6"/>
    <w:rsid w:val="00F23679"/>
    <w:rsid w:val="00F3636A"/>
    <w:rsid w:val="00F47F98"/>
    <w:rsid w:val="00F52ED6"/>
    <w:rsid w:val="00F655A0"/>
    <w:rsid w:val="00F703B9"/>
    <w:rsid w:val="00F71121"/>
    <w:rsid w:val="00F72110"/>
    <w:rsid w:val="00F74DFF"/>
    <w:rsid w:val="00F75D6B"/>
    <w:rsid w:val="00F76FB4"/>
    <w:rsid w:val="00F8018A"/>
    <w:rsid w:val="00F83303"/>
    <w:rsid w:val="00F83F4E"/>
    <w:rsid w:val="00F9653D"/>
    <w:rsid w:val="00FA260F"/>
    <w:rsid w:val="00FA5D56"/>
    <w:rsid w:val="00FA7035"/>
    <w:rsid w:val="00FB3E87"/>
    <w:rsid w:val="00FC33C1"/>
    <w:rsid w:val="00FC5BD7"/>
    <w:rsid w:val="00FC6229"/>
    <w:rsid w:val="00FD4E8C"/>
    <w:rsid w:val="00FD74A1"/>
    <w:rsid w:val="00FE08B7"/>
    <w:rsid w:val="00FE19F0"/>
    <w:rsid w:val="00FF2D7E"/>
    <w:rsid w:val="00FF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FB424"/>
  <w15:chartTrackingRefBased/>
  <w15:docId w15:val="{76850E3D-6D2A-452F-9043-274B0750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character" w:customStyle="1" w:styleId="classlbloperationalmap">
    <w:name w:val="classlbloperationalmap"/>
    <w:rsid w:val="002424EA"/>
    <w:rPr>
      <w:rFonts w:cs="Times New Roman"/>
    </w:rPr>
  </w:style>
  <w:style w:type="paragraph" w:styleId="Header">
    <w:name w:val="header"/>
    <w:basedOn w:val="Normal"/>
    <w:link w:val="HeaderChar"/>
    <w:unhideWhenUsed/>
    <w:rsid w:val="008854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854C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54C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854CF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rsid w:val="000A5463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FootnoteTextChar">
    <w:name w:val="Footnote Text Char"/>
    <w:link w:val="FootnoteText"/>
    <w:rsid w:val="000A5463"/>
    <w:rPr>
      <w:rFonts w:ascii="Times New Roman" w:eastAsia="Times New Roman" w:hAnsi="Times New Roman"/>
      <w:lang w:val="pl-PL" w:eastAsia="pl-PL"/>
    </w:rPr>
  </w:style>
  <w:style w:type="character" w:styleId="FootnoteReference">
    <w:name w:val="footnote reference"/>
    <w:rsid w:val="000A5463"/>
    <w:rPr>
      <w:vertAlign w:val="superscript"/>
    </w:rPr>
  </w:style>
  <w:style w:type="paragraph" w:customStyle="1" w:styleId="Pa1">
    <w:name w:val="Pa1"/>
    <w:basedOn w:val="Normal"/>
    <w:next w:val="Normal"/>
    <w:rsid w:val="001D2A6D"/>
    <w:pPr>
      <w:autoSpaceDE w:val="0"/>
      <w:autoSpaceDN w:val="0"/>
      <w:adjustRightInd w:val="0"/>
      <w:spacing w:after="0" w:line="241" w:lineRule="atLeast"/>
    </w:pPr>
    <w:rPr>
      <w:rFonts w:ascii="OWBUTZ+HelenBg-Regular" w:eastAsia="Times New Roman" w:hAnsi="OWBUTZ+HelenBg-Regular"/>
      <w:sz w:val="24"/>
      <w:szCs w:val="24"/>
      <w:lang w:eastAsia="bg-BG"/>
    </w:rPr>
  </w:style>
  <w:style w:type="paragraph" w:customStyle="1" w:styleId="CharCharChar1CharCharChar">
    <w:name w:val="Char Char Char1 Char Char Char"/>
    <w:basedOn w:val="Normal"/>
    <w:rsid w:val="004B5A5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M1">
    <w:name w:val="CM1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styleId="Emphasis">
    <w:name w:val="Emphasis"/>
    <w:uiPriority w:val="20"/>
    <w:qFormat/>
    <w:rsid w:val="00B14D2A"/>
    <w:rPr>
      <w:i/>
      <w:iCs/>
    </w:rPr>
  </w:style>
  <w:style w:type="paragraph" w:styleId="Revision">
    <w:name w:val="Revision"/>
    <w:hidden/>
    <w:uiPriority w:val="99"/>
    <w:semiHidden/>
    <w:rsid w:val="008F19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competition/sani2/index.g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eaid.minfin.bg/bg/page/424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5A8F0-9156-426A-A9DE-AAB9632B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8884</CharactersWithSpaces>
  <SharedDoc>false</SharedDoc>
  <HLinks>
    <vt:vector size="36" baseType="variant">
      <vt:variant>
        <vt:i4>8257585</vt:i4>
      </vt:variant>
      <vt:variant>
        <vt:i4>15</vt:i4>
      </vt:variant>
      <vt:variant>
        <vt:i4>0</vt:i4>
      </vt:variant>
      <vt:variant>
        <vt:i4>5</vt:i4>
      </vt:variant>
      <vt:variant>
        <vt:lpwstr>https://stateaid.minfin.bg/bg/page/424</vt:lpwstr>
      </vt:variant>
      <vt:variant>
        <vt:lpwstr/>
      </vt:variant>
      <vt:variant>
        <vt:i4>131148</vt:i4>
      </vt:variant>
      <vt:variant>
        <vt:i4>12</vt:i4>
      </vt:variant>
      <vt:variant>
        <vt:i4>0</vt:i4>
      </vt:variant>
      <vt:variant>
        <vt:i4>5</vt:i4>
      </vt:variant>
      <vt:variant>
        <vt:lpwstr>apis://Base=NARH&amp;DocCode=5552018075&amp;Type=201/</vt:lpwstr>
      </vt:variant>
      <vt:variant>
        <vt:lpwstr/>
      </vt:variant>
      <vt:variant>
        <vt:i4>77</vt:i4>
      </vt:variant>
      <vt:variant>
        <vt:i4>9</vt:i4>
      </vt:variant>
      <vt:variant>
        <vt:i4>0</vt:i4>
      </vt:variant>
      <vt:variant>
        <vt:i4>5</vt:i4>
      </vt:variant>
      <vt:variant>
        <vt:lpwstr>apis://Base=NARH&amp;DocCode=5552018054&amp;Type=201/</vt:lpwstr>
      </vt:variant>
      <vt:variant>
        <vt:lpwstr/>
      </vt:variant>
      <vt:variant>
        <vt:i4>327755</vt:i4>
      </vt:variant>
      <vt:variant>
        <vt:i4>6</vt:i4>
      </vt:variant>
      <vt:variant>
        <vt:i4>0</vt:i4>
      </vt:variant>
      <vt:variant>
        <vt:i4>5</vt:i4>
      </vt:variant>
      <vt:variant>
        <vt:lpwstr>apis://Base=NARH&amp;DocCode=5552018002&amp;Type=201/</vt:lpwstr>
      </vt:variant>
      <vt:variant>
        <vt:lpwstr/>
      </vt:variant>
      <vt:variant>
        <vt:i4>786497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apis://Base=NARH&amp;DocCode=5552017068&amp;Type=201/</vt:lpwstr>
      </vt:variant>
      <vt:variant>
        <vt:lpwstr/>
      </vt:variant>
      <vt:variant>
        <vt:i4>589897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</dc:creator>
  <cp:keywords/>
  <cp:lastModifiedBy>User</cp:lastModifiedBy>
  <cp:revision>7</cp:revision>
  <cp:lastPrinted>2020-09-25T07:59:00Z</cp:lastPrinted>
  <dcterms:created xsi:type="dcterms:W3CDTF">2024-02-12T09:34:00Z</dcterms:created>
  <dcterms:modified xsi:type="dcterms:W3CDTF">2024-02-12T11:46:00Z</dcterms:modified>
</cp:coreProperties>
</file>