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7F" w:rsidRPr="00A6777F" w:rsidRDefault="00A6777F" w:rsidP="00827EC7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777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Таблица № 1</w:t>
      </w:r>
      <w:r w:rsidR="00232D9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</w:t>
      </w:r>
    </w:p>
    <w:p w:rsidR="00232D91" w:rsidRDefault="00232D91" w:rsidP="00A6777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912DB" w:rsidRDefault="00A912DB" w:rsidP="00A6777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</w:p>
    <w:p w:rsidR="00A6777F" w:rsidRPr="00A6777F" w:rsidRDefault="00A6777F" w:rsidP="00A6777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6777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Цел: </w:t>
      </w:r>
      <w:r w:rsidRPr="00A677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документира проверка на сроковете за провеждане на </w:t>
      </w:r>
      <w:r w:rsidR="00827EC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ограничена </w:t>
      </w:r>
      <w:r w:rsidRPr="00A6777F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процедура</w:t>
      </w:r>
      <w:r w:rsidR="00B10E8C">
        <w:rPr>
          <w:rFonts w:ascii="Times New Roman" w:eastAsia="Times New Roman" w:hAnsi="Times New Roman" w:cs="Times New Roman"/>
          <w:sz w:val="24"/>
          <w:szCs w:val="24"/>
          <w:lang w:eastAsia="bg-BG"/>
        </w:rPr>
        <w:t>, открита с обявление за предварителна информация</w:t>
      </w:r>
      <w:r w:rsidR="002A469F">
        <w:rPr>
          <w:rFonts w:ascii="Times New Roman" w:eastAsia="Times New Roman" w:hAnsi="Times New Roman" w:cs="Times New Roman"/>
          <w:sz w:val="24"/>
          <w:szCs w:val="24"/>
          <w:lang w:eastAsia="bg-BG"/>
        </w:rPr>
        <w:t>/ п</w:t>
      </w:r>
      <w:r w:rsidR="002A469F" w:rsidRPr="00F449F3">
        <w:rPr>
          <w:rFonts w:ascii="Times New Roman" w:eastAsia="Times New Roman" w:hAnsi="Times New Roman" w:cs="Times New Roman"/>
          <w:sz w:val="24"/>
          <w:szCs w:val="24"/>
          <w:lang w:eastAsia="bg-BG"/>
        </w:rPr>
        <w:t>ериодично индикативно обявление</w:t>
      </w:r>
      <w:r w:rsidRPr="00A6777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32D91" w:rsidRDefault="00A6777F" w:rsidP="00A6777F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777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Номер на поръчката в РОП:</w:t>
      </w:r>
    </w:p>
    <w:p w:rsidR="00232D91" w:rsidRDefault="00232D91" w:rsidP="00A6777F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8"/>
        <w:gridCol w:w="1557"/>
        <w:gridCol w:w="1350"/>
        <w:gridCol w:w="1170"/>
        <w:gridCol w:w="1350"/>
        <w:gridCol w:w="1296"/>
        <w:gridCol w:w="1373"/>
        <w:gridCol w:w="1679"/>
        <w:gridCol w:w="1000"/>
        <w:gridCol w:w="1001"/>
      </w:tblGrid>
      <w:tr w:rsidR="003C4EF4" w:rsidRPr="00232D91" w:rsidTr="000156B8">
        <w:tc>
          <w:tcPr>
            <w:tcW w:w="13994" w:type="dxa"/>
            <w:gridSpan w:val="10"/>
            <w:shd w:val="clear" w:color="auto" w:fill="C5E0B3" w:themeFill="accent6" w:themeFillTint="66"/>
          </w:tcPr>
          <w:p w:rsidR="003C4EF4" w:rsidRPr="00232D91" w:rsidRDefault="00232D91" w:rsidP="000156B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СРОК ЗА ЗАЯВЯВАНЕ НА ИНТЕРЕС</w:t>
            </w:r>
          </w:p>
        </w:tc>
      </w:tr>
      <w:tr w:rsidR="003C4EF4" w:rsidRPr="00232D91" w:rsidTr="000156B8">
        <w:tc>
          <w:tcPr>
            <w:tcW w:w="2218" w:type="dxa"/>
            <w:vMerge w:val="restart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557" w:type="dxa"/>
            <w:vMerge w:val="restart"/>
            <w:shd w:val="clear" w:color="auto" w:fill="C5E0B3" w:themeFill="accent6" w:themeFillTint="66"/>
          </w:tcPr>
          <w:p w:rsidR="003C4EF4" w:rsidRPr="00232D91" w:rsidRDefault="003C4EF4" w:rsidP="000156B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Прогнозна стойност</w:t>
            </w:r>
          </w:p>
        </w:tc>
        <w:tc>
          <w:tcPr>
            <w:tcW w:w="2520" w:type="dxa"/>
            <w:gridSpan w:val="2"/>
            <w:shd w:val="clear" w:color="auto" w:fill="C5E0B3" w:themeFill="accent6" w:themeFillTint="66"/>
          </w:tcPr>
          <w:p w:rsidR="003C4EF4" w:rsidRPr="00232D91" w:rsidRDefault="00AD7CB6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Дата на </w:t>
            </w:r>
            <w:r w:rsidR="003C4EF4"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ИЗПРАЩАНЕ 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до</w:t>
            </w:r>
            <w:r w:rsidR="003C4EF4"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:</w:t>
            </w:r>
          </w:p>
        </w:tc>
        <w:tc>
          <w:tcPr>
            <w:tcW w:w="4019" w:type="dxa"/>
            <w:gridSpan w:val="3"/>
            <w:shd w:val="clear" w:color="auto" w:fill="C5E0B3" w:themeFill="accent6" w:themeFillTint="66"/>
          </w:tcPr>
          <w:p w:rsidR="003C4EF4" w:rsidRPr="00232D91" w:rsidRDefault="003C4EF4" w:rsidP="000156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ПУБЛИКУВАНЕ:</w:t>
            </w:r>
          </w:p>
        </w:tc>
        <w:tc>
          <w:tcPr>
            <w:tcW w:w="1679" w:type="dxa"/>
            <w:vMerge w:val="restart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Крайна дата на срока за заявяване на интерес</w:t>
            </w:r>
          </w:p>
        </w:tc>
        <w:tc>
          <w:tcPr>
            <w:tcW w:w="2001" w:type="dxa"/>
            <w:gridSpan w:val="2"/>
            <w:vMerge w:val="restart"/>
            <w:shd w:val="clear" w:color="auto" w:fill="C5E0B3" w:themeFill="accent6" w:themeFillTint="66"/>
          </w:tcPr>
          <w:p w:rsidR="003C4EF4" w:rsidRPr="00232D91" w:rsidRDefault="003C4EF4" w:rsidP="0018057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Брой календарни дни между датите от колона 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I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.2/3 и колона 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I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.</w:t>
            </w:r>
            <w:r w:rsidR="00AD7CB6"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7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*</w:t>
            </w:r>
          </w:p>
        </w:tc>
      </w:tr>
      <w:tr w:rsidR="00232D91" w:rsidRPr="00232D91" w:rsidTr="000156B8">
        <w:tc>
          <w:tcPr>
            <w:tcW w:w="2218" w:type="dxa"/>
            <w:vMerge/>
            <w:shd w:val="clear" w:color="auto" w:fill="FFFF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557" w:type="dxa"/>
            <w:vMerge/>
            <w:shd w:val="clear" w:color="auto" w:fill="FFFF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350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ОВЕС</w:t>
            </w:r>
          </w:p>
        </w:tc>
        <w:tc>
          <w:tcPr>
            <w:tcW w:w="1170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РОП</w:t>
            </w:r>
          </w:p>
        </w:tc>
        <w:tc>
          <w:tcPr>
            <w:tcW w:w="1350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ОВЕС</w:t>
            </w:r>
          </w:p>
        </w:tc>
        <w:tc>
          <w:tcPr>
            <w:tcW w:w="1296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РОП</w:t>
            </w:r>
          </w:p>
        </w:tc>
        <w:tc>
          <w:tcPr>
            <w:tcW w:w="1373" w:type="dxa"/>
            <w:shd w:val="clear" w:color="auto" w:fill="C5E0B3" w:themeFill="accent6" w:themeFillTint="66"/>
          </w:tcPr>
          <w:p w:rsidR="003C4EF4" w:rsidRPr="00232D91" w:rsidRDefault="003C4EF4" w:rsidP="001805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Профила на купувача**</w:t>
            </w:r>
          </w:p>
        </w:tc>
        <w:tc>
          <w:tcPr>
            <w:tcW w:w="1679" w:type="dxa"/>
            <w:vMerge/>
            <w:shd w:val="clear" w:color="auto" w:fill="FFFF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2001" w:type="dxa"/>
            <w:gridSpan w:val="2"/>
            <w:vMerge/>
            <w:shd w:val="clear" w:color="auto" w:fill="FFFF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3C4EF4" w:rsidRPr="00232D91" w:rsidTr="000156B8">
        <w:tc>
          <w:tcPr>
            <w:tcW w:w="2218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I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557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350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70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50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296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373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679" w:type="dxa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001" w:type="dxa"/>
            <w:gridSpan w:val="2"/>
            <w:shd w:val="clear" w:color="auto" w:fill="C5E0B3" w:themeFill="accent6" w:themeFillTint="66"/>
          </w:tcPr>
          <w:p w:rsidR="003C4EF4" w:rsidRPr="00232D91" w:rsidRDefault="003C4EF4" w:rsidP="003C4E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8</w:t>
            </w:r>
          </w:p>
        </w:tc>
      </w:tr>
      <w:tr w:rsidR="003C4EF4" w:rsidRPr="00232D91" w:rsidTr="000156B8">
        <w:tc>
          <w:tcPr>
            <w:tcW w:w="2218" w:type="dxa"/>
            <w:shd w:val="clear" w:color="auto" w:fill="FFE599" w:themeFill="accent4" w:themeFillTint="66"/>
          </w:tcPr>
          <w:p w:rsidR="003C4EF4" w:rsidRPr="00232D91" w:rsidRDefault="003C4EF4" w:rsidP="007937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Обявление за предварителна информация</w:t>
            </w:r>
            <w:r w:rsidR="00B30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 xml:space="preserve"> </w:t>
            </w:r>
            <w:r w:rsidR="00B30112" w:rsidRPr="00B3011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bg-BG"/>
              </w:rPr>
              <w:t>(публични възложители)</w:t>
            </w:r>
            <w:r w:rsidR="00B30112" w:rsidRPr="00B30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/ периодично индикативно обявление </w:t>
            </w:r>
            <w:r w:rsidR="00B30112" w:rsidRPr="00B3011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bg-BG"/>
              </w:rPr>
              <w:t>(секторни възложители)</w:t>
            </w:r>
          </w:p>
        </w:tc>
        <w:tc>
          <w:tcPr>
            <w:tcW w:w="1557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350" w:type="dxa"/>
            <w:shd w:val="clear" w:color="auto" w:fill="auto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170" w:type="dxa"/>
            <w:shd w:val="clear" w:color="auto" w:fill="auto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4019" w:type="dxa"/>
            <w:gridSpan w:val="3"/>
            <w:shd w:val="clear" w:color="auto" w:fill="auto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679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2001" w:type="dxa"/>
            <w:gridSpan w:val="2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3C4EF4" w:rsidRPr="00232D91" w:rsidTr="000156B8">
        <w:trPr>
          <w:trHeight w:val="1138"/>
        </w:trPr>
        <w:tc>
          <w:tcPr>
            <w:tcW w:w="2218" w:type="dxa"/>
            <w:shd w:val="clear" w:color="auto" w:fill="FFE599" w:themeFill="accent4" w:themeFillTint="66"/>
          </w:tcPr>
          <w:p w:rsidR="003C4EF4" w:rsidRPr="00232D91" w:rsidRDefault="003C4EF4" w:rsidP="007937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Обявление за изменение или допълнителна информация</w:t>
            </w:r>
          </w:p>
        </w:tc>
        <w:tc>
          <w:tcPr>
            <w:tcW w:w="1557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350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170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350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296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373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679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000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А.</w:t>
            </w:r>
          </w:p>
        </w:tc>
        <w:tc>
          <w:tcPr>
            <w:tcW w:w="1001" w:type="dxa"/>
          </w:tcPr>
          <w:p w:rsidR="003C4EF4" w:rsidRPr="00232D91" w:rsidRDefault="003C4EF4" w:rsidP="00A677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Б.</w:t>
            </w:r>
          </w:p>
        </w:tc>
      </w:tr>
    </w:tbl>
    <w:p w:rsidR="00A6777F" w:rsidRDefault="00A6777F" w:rsidP="00A6777F">
      <w:pPr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A912DB" w:rsidRDefault="00A912DB" w:rsidP="00A6777F">
      <w:pPr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A912DB" w:rsidRDefault="00A912DB" w:rsidP="00A6777F">
      <w:pPr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A912DB" w:rsidRDefault="00A912DB" w:rsidP="00A6777F">
      <w:pPr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A912DB" w:rsidRDefault="00A912DB" w:rsidP="00A6777F">
      <w:pPr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0156B8" w:rsidRPr="00232D91" w:rsidRDefault="000156B8" w:rsidP="00A6777F">
      <w:pPr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tbl>
      <w:tblPr>
        <w:tblStyle w:val="TableGrid"/>
        <w:tblW w:w="14344" w:type="dxa"/>
        <w:tblLook w:val="04A0" w:firstRow="1" w:lastRow="0" w:firstColumn="1" w:lastColumn="0" w:noHBand="0" w:noVBand="1"/>
      </w:tblPr>
      <w:tblGrid>
        <w:gridCol w:w="1767"/>
        <w:gridCol w:w="1292"/>
        <w:gridCol w:w="1526"/>
        <w:gridCol w:w="1440"/>
        <w:gridCol w:w="1530"/>
        <w:gridCol w:w="1551"/>
        <w:gridCol w:w="1638"/>
        <w:gridCol w:w="1789"/>
        <w:gridCol w:w="872"/>
        <w:gridCol w:w="939"/>
      </w:tblGrid>
      <w:tr w:rsidR="000156B8" w:rsidRPr="00232D91" w:rsidTr="000156B8">
        <w:tc>
          <w:tcPr>
            <w:tcW w:w="14344" w:type="dxa"/>
            <w:gridSpan w:val="10"/>
            <w:shd w:val="clear" w:color="auto" w:fill="C5E0B3" w:themeFill="accent6" w:themeFillTint="66"/>
          </w:tcPr>
          <w:p w:rsidR="000156B8" w:rsidRPr="00232D91" w:rsidRDefault="000156B8" w:rsidP="009C0E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СРОК ЗА ПОЛУЧАВАНЕ НА ЗАЯВЛЕНИЯТА ЗА УЧАСТИЕ</w:t>
            </w:r>
          </w:p>
        </w:tc>
      </w:tr>
      <w:tr w:rsidR="000156B8" w:rsidRPr="00232D91" w:rsidTr="000156B8">
        <w:trPr>
          <w:trHeight w:val="1668"/>
        </w:trPr>
        <w:tc>
          <w:tcPr>
            <w:tcW w:w="1767" w:type="dxa"/>
            <w:shd w:val="clear" w:color="auto" w:fill="C5E0B3" w:themeFill="accent6" w:themeFillTint="66"/>
          </w:tcPr>
          <w:p w:rsidR="000156B8" w:rsidRPr="00232D91" w:rsidRDefault="000156B8" w:rsidP="00A160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C5E0B3" w:themeFill="accent6" w:themeFillTint="66"/>
          </w:tcPr>
          <w:p w:rsidR="000156B8" w:rsidRPr="00232D91" w:rsidRDefault="000156B8" w:rsidP="00A160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Прогнозна стойност</w:t>
            </w:r>
          </w:p>
        </w:tc>
        <w:tc>
          <w:tcPr>
            <w:tcW w:w="2966" w:type="dxa"/>
            <w:gridSpan w:val="2"/>
            <w:shd w:val="clear" w:color="auto" w:fill="C5E0B3" w:themeFill="accent6" w:themeFillTint="66"/>
          </w:tcPr>
          <w:p w:rsidR="000156B8" w:rsidRPr="00232D91" w:rsidRDefault="000156B8" w:rsidP="00A160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ИЗПРАЩАНЕ до заявилите интерес лица</w:t>
            </w:r>
          </w:p>
        </w:tc>
        <w:tc>
          <w:tcPr>
            <w:tcW w:w="4719" w:type="dxa"/>
            <w:gridSpan w:val="3"/>
            <w:shd w:val="clear" w:color="auto" w:fill="C5E0B3" w:themeFill="accent6" w:themeFillTint="66"/>
          </w:tcPr>
          <w:p w:rsidR="000156B8" w:rsidRPr="00232D91" w:rsidRDefault="000156B8" w:rsidP="00A160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ПУБЛИКУВАНЕ в Профила на купувача**</w:t>
            </w:r>
          </w:p>
          <w:p w:rsidR="000156B8" w:rsidRPr="00232D91" w:rsidRDefault="000156B8" w:rsidP="00A160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89" w:type="dxa"/>
            <w:shd w:val="clear" w:color="auto" w:fill="C5E0B3" w:themeFill="accent6" w:themeFillTint="66"/>
          </w:tcPr>
          <w:p w:rsidR="000156B8" w:rsidRPr="00232D91" w:rsidRDefault="000156B8" w:rsidP="009C0E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Крайна дата на срока за получаване на заявленията за участие</w:t>
            </w:r>
          </w:p>
        </w:tc>
        <w:tc>
          <w:tcPr>
            <w:tcW w:w="1811" w:type="dxa"/>
            <w:gridSpan w:val="2"/>
            <w:shd w:val="clear" w:color="auto" w:fill="C5E0B3" w:themeFill="accent6" w:themeFillTint="66"/>
          </w:tcPr>
          <w:p w:rsidR="000156B8" w:rsidRPr="00232D91" w:rsidRDefault="000156B8" w:rsidP="009C0E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Брой календарни дни между датите от колона 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II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.2 и колона 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II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.4*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 xml:space="preserve">/ 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съответно колона 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II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.6/7 и колона 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II</w:t>
            </w:r>
            <w:r w:rsidRPr="00232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.11*</w:t>
            </w:r>
          </w:p>
        </w:tc>
      </w:tr>
      <w:tr w:rsidR="00D90641" w:rsidRPr="00232D91" w:rsidTr="000156B8">
        <w:tc>
          <w:tcPr>
            <w:tcW w:w="1767" w:type="dxa"/>
            <w:shd w:val="clear" w:color="auto" w:fill="C5E0B3" w:themeFill="accent6" w:themeFillTint="66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92" w:type="dxa"/>
            <w:shd w:val="clear" w:color="auto" w:fill="C5E0B3" w:themeFill="accent6" w:themeFillTint="66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66" w:type="dxa"/>
            <w:gridSpan w:val="2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719" w:type="dxa"/>
            <w:gridSpan w:val="3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89" w:type="dxa"/>
            <w:shd w:val="clear" w:color="auto" w:fill="C5E0B3" w:themeFill="accent6" w:themeFillTint="66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11" w:type="dxa"/>
            <w:gridSpan w:val="2"/>
            <w:shd w:val="clear" w:color="auto" w:fill="C5E0B3" w:themeFill="accent6" w:themeFillTint="66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D90641" w:rsidRPr="00232D91" w:rsidTr="000156B8">
        <w:tc>
          <w:tcPr>
            <w:tcW w:w="1767" w:type="dxa"/>
            <w:shd w:val="clear" w:color="auto" w:fill="FFE599" w:themeFill="accent4" w:themeFillTint="66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Покана за потвърждаване на интерес</w:t>
            </w:r>
          </w:p>
        </w:tc>
        <w:tc>
          <w:tcPr>
            <w:tcW w:w="1292" w:type="dxa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6" w:type="dxa"/>
            <w:gridSpan w:val="2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9" w:type="dxa"/>
            <w:gridSpan w:val="3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gridSpan w:val="2"/>
          </w:tcPr>
          <w:p w:rsidR="00D90641" w:rsidRPr="00232D91" w:rsidRDefault="00D90641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641" w:rsidRPr="00232D91" w:rsidTr="000156B8">
        <w:tc>
          <w:tcPr>
            <w:tcW w:w="1767" w:type="dxa"/>
            <w:vMerge w:val="restart"/>
            <w:shd w:val="clear" w:color="auto" w:fill="FFE599" w:themeFill="accent4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2" w:type="dxa"/>
            <w:vMerge w:val="restart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6" w:type="dxa"/>
            <w:gridSpan w:val="2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ИЗПРАЩАНЕ до:</w:t>
            </w:r>
          </w:p>
        </w:tc>
        <w:tc>
          <w:tcPr>
            <w:tcW w:w="4719" w:type="dxa"/>
            <w:gridSpan w:val="3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ПУБЛИКУВАНЕ:</w:t>
            </w:r>
          </w:p>
        </w:tc>
        <w:tc>
          <w:tcPr>
            <w:tcW w:w="1789" w:type="dxa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641" w:rsidRPr="00232D91" w:rsidTr="000156B8">
        <w:tc>
          <w:tcPr>
            <w:tcW w:w="1767" w:type="dxa"/>
            <w:vMerge/>
            <w:shd w:val="clear" w:color="auto" w:fill="FFE599" w:themeFill="accent4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2" w:type="dxa"/>
            <w:vMerge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ОВЕС</w:t>
            </w:r>
          </w:p>
        </w:tc>
        <w:tc>
          <w:tcPr>
            <w:tcW w:w="1440" w:type="dxa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РОП</w:t>
            </w:r>
          </w:p>
        </w:tc>
        <w:tc>
          <w:tcPr>
            <w:tcW w:w="1530" w:type="dxa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ОВЕС</w:t>
            </w:r>
          </w:p>
        </w:tc>
        <w:tc>
          <w:tcPr>
            <w:tcW w:w="1551" w:type="dxa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РОП</w:t>
            </w:r>
          </w:p>
        </w:tc>
        <w:tc>
          <w:tcPr>
            <w:tcW w:w="1638" w:type="dxa"/>
            <w:shd w:val="clear" w:color="auto" w:fill="C5E0B3" w:themeFill="accent6" w:themeFillTint="66"/>
          </w:tcPr>
          <w:p w:rsidR="00D90641" w:rsidRPr="00232D91" w:rsidRDefault="00D90641" w:rsidP="000005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Профила на купувача**</w:t>
            </w:r>
          </w:p>
        </w:tc>
        <w:tc>
          <w:tcPr>
            <w:tcW w:w="1789" w:type="dxa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641" w:rsidRPr="00232D91" w:rsidTr="000156B8">
        <w:tc>
          <w:tcPr>
            <w:tcW w:w="1767" w:type="dxa"/>
            <w:shd w:val="clear" w:color="auto" w:fill="FFE599" w:themeFill="accent4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C5E0B3" w:themeFill="accent6" w:themeFillTint="66"/>
          </w:tcPr>
          <w:p w:rsidR="00D90641" w:rsidRPr="00232D91" w:rsidRDefault="00D90641" w:rsidP="00D90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C5E0B3" w:themeFill="accent6" w:themeFillTint="66"/>
          </w:tcPr>
          <w:p w:rsidR="00D90641" w:rsidRPr="00232D91" w:rsidRDefault="003C4EF4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C5E0B3" w:themeFill="accent6" w:themeFillTint="66"/>
          </w:tcPr>
          <w:p w:rsidR="00D90641" w:rsidRPr="00232D91" w:rsidRDefault="003C4EF4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30" w:type="dxa"/>
            <w:shd w:val="clear" w:color="auto" w:fill="C5E0B3" w:themeFill="accent6" w:themeFillTint="66"/>
          </w:tcPr>
          <w:p w:rsidR="00D90641" w:rsidRPr="00232D91" w:rsidRDefault="003C4EF4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551" w:type="dxa"/>
            <w:shd w:val="clear" w:color="auto" w:fill="C5E0B3" w:themeFill="accent6" w:themeFillTint="66"/>
          </w:tcPr>
          <w:p w:rsidR="00D90641" w:rsidRPr="00232D91" w:rsidRDefault="003C4EF4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638" w:type="dxa"/>
            <w:shd w:val="clear" w:color="auto" w:fill="C5E0B3" w:themeFill="accent6" w:themeFillTint="66"/>
          </w:tcPr>
          <w:p w:rsidR="00D90641" w:rsidRPr="00232D91" w:rsidRDefault="003C4EF4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789" w:type="dxa"/>
            <w:shd w:val="clear" w:color="auto" w:fill="C5E0B3" w:themeFill="accent6" w:themeFillTint="66"/>
          </w:tcPr>
          <w:p w:rsidR="00D90641" w:rsidRPr="00232D91" w:rsidRDefault="00AD7CB6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811" w:type="dxa"/>
            <w:gridSpan w:val="2"/>
            <w:shd w:val="clear" w:color="auto" w:fill="C5E0B3" w:themeFill="accent6" w:themeFillTint="66"/>
          </w:tcPr>
          <w:p w:rsidR="00D90641" w:rsidRPr="00232D91" w:rsidRDefault="00AD7CB6" w:rsidP="00D906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D90641" w:rsidRPr="00232D91" w:rsidTr="000156B8">
        <w:trPr>
          <w:trHeight w:val="1086"/>
        </w:trPr>
        <w:tc>
          <w:tcPr>
            <w:tcW w:w="1767" w:type="dxa"/>
            <w:shd w:val="clear" w:color="auto" w:fill="FFE599" w:themeFill="accent4" w:themeFillTint="66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Обявление за изменение или допълнителна информация</w:t>
            </w:r>
          </w:p>
        </w:tc>
        <w:tc>
          <w:tcPr>
            <w:tcW w:w="1292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89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939" w:type="dxa"/>
          </w:tcPr>
          <w:p w:rsidR="005C7852" w:rsidRPr="00232D91" w:rsidRDefault="005C7852" w:rsidP="00A67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sz w:val="20"/>
                <w:szCs w:val="20"/>
              </w:rPr>
              <w:t>Б.</w:t>
            </w:r>
          </w:p>
        </w:tc>
      </w:tr>
    </w:tbl>
    <w:p w:rsidR="00A6777F" w:rsidRPr="00232D91" w:rsidRDefault="00A6777F" w:rsidP="00A6777F">
      <w:pPr>
        <w:rPr>
          <w:sz w:val="20"/>
          <w:szCs w:val="20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817"/>
      </w:tblGrid>
      <w:tr w:rsidR="00892C5C" w:rsidRPr="00232D91" w:rsidTr="009A00A2">
        <w:tc>
          <w:tcPr>
            <w:tcW w:w="14312" w:type="dxa"/>
            <w:gridSpan w:val="4"/>
            <w:shd w:val="clear" w:color="auto" w:fill="C5E0B3" w:themeFill="accent6" w:themeFillTint="66"/>
          </w:tcPr>
          <w:p w:rsidR="00892C5C" w:rsidRPr="00232D91" w:rsidRDefault="00892C5C" w:rsidP="000156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СРОК ЗА ДОСТЪП ДО ДОКУМЕНТАЦИЯТА</w:t>
            </w:r>
          </w:p>
        </w:tc>
      </w:tr>
      <w:tr w:rsidR="00892C5C" w:rsidRPr="00232D91" w:rsidTr="009A00A2">
        <w:tc>
          <w:tcPr>
            <w:tcW w:w="3498" w:type="dxa"/>
            <w:shd w:val="clear" w:color="auto" w:fill="C5E0B3" w:themeFill="accent6" w:themeFillTint="66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8" w:type="dxa"/>
            <w:shd w:val="clear" w:color="auto" w:fill="C5E0B3" w:themeFill="accent6" w:themeFillTint="66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ПУБЛИКУВАНЕ в профила на купувача</w:t>
            </w:r>
            <w:r w:rsidR="005C7852"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</w:p>
        </w:tc>
        <w:tc>
          <w:tcPr>
            <w:tcW w:w="3499" w:type="dxa"/>
            <w:shd w:val="clear" w:color="auto" w:fill="C5E0B3" w:themeFill="accent6" w:themeFillTint="66"/>
          </w:tcPr>
          <w:p w:rsidR="00892C5C" w:rsidRPr="00232D91" w:rsidRDefault="00892C5C" w:rsidP="00892C5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Крайна дата на фактическия достъп до документацията (</w:t>
            </w:r>
            <w:proofErr w:type="spellStart"/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макс</w:t>
            </w:r>
            <w:proofErr w:type="spellEnd"/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да съвпада с крайната дата на </w:t>
            </w:r>
            <w:r w:rsidR="009D5B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срока за ЗАЯВЯВАНЕ НА ИНТЕРЕС или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срока за получаване на ЗАЯВЛЕНИЯТА ЗА УЧАСТИЕ</w:t>
            </w:r>
            <w:r w:rsidR="009D5B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зависимост от момента, в който е одобрена документацията****</w:t>
            </w:r>
            <w:r w:rsidR="005C060A"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817" w:type="dxa"/>
            <w:shd w:val="clear" w:color="auto" w:fill="C5E0B3" w:themeFill="accent6" w:themeFillTint="66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Брой календарни</w:t>
            </w:r>
            <w:r w:rsidR="00252E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дни между датите от колона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III.1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колона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III.2</w:t>
            </w:r>
            <w:r w:rsidR="005C060A"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</w:tr>
      <w:tr w:rsidR="00892C5C" w:rsidRPr="00232D91" w:rsidTr="009A00A2">
        <w:tc>
          <w:tcPr>
            <w:tcW w:w="3498" w:type="dxa"/>
            <w:shd w:val="clear" w:color="auto" w:fill="C5E0B3" w:themeFill="accent6" w:themeFillTint="66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III.</w:t>
            </w:r>
          </w:p>
        </w:tc>
        <w:tc>
          <w:tcPr>
            <w:tcW w:w="3498" w:type="dxa"/>
            <w:shd w:val="clear" w:color="auto" w:fill="C5E0B3" w:themeFill="accent6" w:themeFillTint="66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499" w:type="dxa"/>
            <w:shd w:val="clear" w:color="auto" w:fill="C5E0B3" w:themeFill="accent6" w:themeFillTint="66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817" w:type="dxa"/>
            <w:shd w:val="clear" w:color="auto" w:fill="C5E0B3" w:themeFill="accent6" w:themeFillTint="66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892C5C" w:rsidRPr="00232D91" w:rsidTr="009A00A2">
        <w:trPr>
          <w:trHeight w:val="360"/>
        </w:trPr>
        <w:tc>
          <w:tcPr>
            <w:tcW w:w="3498" w:type="dxa"/>
            <w:shd w:val="clear" w:color="auto" w:fill="FFE599" w:themeFill="accent4" w:themeFillTint="66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Документация за поръчката</w:t>
            </w:r>
          </w:p>
        </w:tc>
        <w:tc>
          <w:tcPr>
            <w:tcW w:w="3498" w:type="dxa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9" w:type="dxa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17" w:type="dxa"/>
          </w:tcPr>
          <w:p w:rsidR="00892C5C" w:rsidRPr="00232D91" w:rsidRDefault="00892C5C" w:rsidP="00A67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62D3F" w:rsidRPr="00232D91" w:rsidRDefault="00F62D3F" w:rsidP="00892C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92C5C" w:rsidRPr="00232D91" w:rsidRDefault="00892C5C" w:rsidP="00892C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817"/>
      </w:tblGrid>
      <w:tr w:rsidR="00892C5C" w:rsidRPr="00232D91" w:rsidTr="002D55E9">
        <w:trPr>
          <w:trHeight w:val="291"/>
        </w:trPr>
        <w:tc>
          <w:tcPr>
            <w:tcW w:w="14312" w:type="dxa"/>
            <w:gridSpan w:val="4"/>
            <w:shd w:val="clear" w:color="auto" w:fill="C5E0B3" w:themeFill="accent6" w:themeFillTint="66"/>
          </w:tcPr>
          <w:p w:rsidR="00892C5C" w:rsidRPr="00232D91" w:rsidRDefault="005C060A" w:rsidP="00F76C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СРОК ЗА ПОЛУЧАВАНЕ НА ОФЕРТИТЕ</w:t>
            </w:r>
          </w:p>
        </w:tc>
      </w:tr>
      <w:tr w:rsidR="00892C5C" w:rsidRPr="00232D91" w:rsidTr="009A00A2">
        <w:tc>
          <w:tcPr>
            <w:tcW w:w="3498" w:type="dxa"/>
            <w:shd w:val="clear" w:color="auto" w:fill="C5E0B3" w:themeFill="accent6" w:themeFillTint="66"/>
          </w:tcPr>
          <w:p w:rsidR="00892C5C" w:rsidRPr="00232D91" w:rsidRDefault="00892C5C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8" w:type="dxa"/>
            <w:shd w:val="clear" w:color="auto" w:fill="C5E0B3" w:themeFill="accent6" w:themeFillTint="66"/>
          </w:tcPr>
          <w:p w:rsidR="00892C5C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ИЗПРАЩАНЕ до кандидатите</w:t>
            </w:r>
          </w:p>
        </w:tc>
        <w:tc>
          <w:tcPr>
            <w:tcW w:w="3499" w:type="dxa"/>
            <w:shd w:val="clear" w:color="auto" w:fill="C5E0B3" w:themeFill="accent6" w:themeFillTint="66"/>
          </w:tcPr>
          <w:p w:rsidR="00892C5C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3817" w:type="dxa"/>
            <w:shd w:val="clear" w:color="auto" w:fill="C5E0B3" w:themeFill="accent6" w:themeFillTint="66"/>
          </w:tcPr>
          <w:p w:rsidR="00892C5C" w:rsidRPr="00232D91" w:rsidRDefault="005C060A" w:rsidP="000005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Брой календарни</w:t>
            </w:r>
            <w:r w:rsidR="00252E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дни между датите от колона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IV.1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колона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IV.2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</w:tr>
      <w:tr w:rsidR="00892C5C" w:rsidRPr="00232D91" w:rsidTr="009A00A2">
        <w:tc>
          <w:tcPr>
            <w:tcW w:w="3498" w:type="dxa"/>
            <w:shd w:val="clear" w:color="auto" w:fill="C5E0B3" w:themeFill="accent6" w:themeFillTint="66"/>
          </w:tcPr>
          <w:p w:rsidR="00892C5C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IV.</w:t>
            </w:r>
          </w:p>
        </w:tc>
        <w:tc>
          <w:tcPr>
            <w:tcW w:w="3498" w:type="dxa"/>
            <w:shd w:val="clear" w:color="auto" w:fill="C5E0B3" w:themeFill="accent6" w:themeFillTint="66"/>
          </w:tcPr>
          <w:p w:rsidR="00892C5C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499" w:type="dxa"/>
            <w:shd w:val="clear" w:color="auto" w:fill="C5E0B3" w:themeFill="accent6" w:themeFillTint="66"/>
          </w:tcPr>
          <w:p w:rsidR="00892C5C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817" w:type="dxa"/>
            <w:shd w:val="clear" w:color="auto" w:fill="C5E0B3" w:themeFill="accent6" w:themeFillTint="66"/>
          </w:tcPr>
          <w:p w:rsidR="00892C5C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C060A" w:rsidRPr="00232D91" w:rsidTr="009A00A2">
        <w:tc>
          <w:tcPr>
            <w:tcW w:w="3498" w:type="dxa"/>
            <w:shd w:val="clear" w:color="auto" w:fill="FFE599" w:themeFill="accent4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Покана за представяне на оферти по чл. 34, ал. 1, т. 1 и чл. 75 от ЗОП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498" w:type="dxa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499" w:type="dxa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817" w:type="dxa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</w:tbl>
    <w:p w:rsidR="00892C5C" w:rsidRPr="00232D91" w:rsidRDefault="00892C5C" w:rsidP="00892C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C060A" w:rsidRPr="00232D91" w:rsidRDefault="005C060A" w:rsidP="00892C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3117"/>
      </w:tblGrid>
      <w:tr w:rsidR="005C060A" w:rsidRPr="00232D91" w:rsidTr="009A00A2">
        <w:tc>
          <w:tcPr>
            <w:tcW w:w="14312" w:type="dxa"/>
            <w:gridSpan w:val="5"/>
            <w:shd w:val="clear" w:color="auto" w:fill="C5E0B3" w:themeFill="accent6" w:themeFillTint="66"/>
          </w:tcPr>
          <w:p w:rsidR="005C060A" w:rsidRPr="00232D91" w:rsidRDefault="00232D91" w:rsidP="00F76C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 ЗА ИЗПРАЩАНЕ НА ИНФОРМАЦИЯ ЗА ВЪЗЛОЖЕНА ПОРЪЧКА</w:t>
            </w:r>
          </w:p>
        </w:tc>
      </w:tr>
      <w:tr w:rsidR="005C060A" w:rsidRPr="00232D91" w:rsidTr="009A00A2">
        <w:tc>
          <w:tcPr>
            <w:tcW w:w="2798" w:type="dxa"/>
            <w:vMerge w:val="restart"/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  <w:vMerge w:val="restart"/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сключване на договора</w:t>
            </w:r>
          </w:p>
        </w:tc>
        <w:tc>
          <w:tcPr>
            <w:tcW w:w="5598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5C060A" w:rsidRPr="00232D91" w:rsidRDefault="005C060A" w:rsidP="00096B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Дата на ИЗПРАЩАНЕ до:</w:t>
            </w:r>
          </w:p>
        </w:tc>
        <w:tc>
          <w:tcPr>
            <w:tcW w:w="3117" w:type="dxa"/>
            <w:vMerge w:val="restart"/>
            <w:shd w:val="clear" w:color="auto" w:fill="C5E0B3" w:themeFill="accent6" w:themeFillTint="66"/>
          </w:tcPr>
          <w:p w:rsidR="005C060A" w:rsidRPr="00232D91" w:rsidRDefault="005C060A" w:rsidP="000005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Брой календарни</w:t>
            </w:r>
            <w:r w:rsidR="00252E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дни между датите от колона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V.1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колона 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V.2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</w:tr>
      <w:tr w:rsidR="005C060A" w:rsidRPr="00232D91" w:rsidTr="009A00A2">
        <w:tc>
          <w:tcPr>
            <w:tcW w:w="2798" w:type="dxa"/>
            <w:vMerge/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  <w:vMerge/>
            <w:tcBorders>
              <w:right w:val="single" w:sz="4" w:space="0" w:color="auto"/>
            </w:tcBorders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ОВЕС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РОП</w:t>
            </w:r>
          </w:p>
        </w:tc>
        <w:tc>
          <w:tcPr>
            <w:tcW w:w="3117" w:type="dxa"/>
            <w:vMerge/>
            <w:tcBorders>
              <w:left w:val="single" w:sz="4" w:space="0" w:color="auto"/>
            </w:tcBorders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C060A" w:rsidRPr="00232D91" w:rsidTr="009A00A2">
        <w:tc>
          <w:tcPr>
            <w:tcW w:w="2798" w:type="dxa"/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799" w:type="dxa"/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17" w:type="dxa"/>
            <w:shd w:val="clear" w:color="auto" w:fill="C5E0B3" w:themeFill="accent6" w:themeFillTint="66"/>
          </w:tcPr>
          <w:p w:rsidR="005C060A" w:rsidRPr="00232D91" w:rsidRDefault="005C060A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827EC7" w:rsidRPr="00232D91" w:rsidTr="009A00A2">
        <w:trPr>
          <w:trHeight w:val="631"/>
        </w:trPr>
        <w:tc>
          <w:tcPr>
            <w:tcW w:w="2798" w:type="dxa"/>
            <w:shd w:val="clear" w:color="auto" w:fill="FFE599" w:themeFill="accent4" w:themeFillTint="66"/>
          </w:tcPr>
          <w:p w:rsidR="00827EC7" w:rsidRPr="00232D91" w:rsidRDefault="00827EC7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D91">
              <w:rPr>
                <w:rFonts w:ascii="Times New Roman" w:hAnsi="Times New Roman" w:cs="Times New Roman"/>
                <w:b/>
                <w:sz w:val="20"/>
                <w:szCs w:val="20"/>
              </w:rPr>
              <w:t>Обявление за възложена поръчка</w:t>
            </w:r>
          </w:p>
        </w:tc>
        <w:tc>
          <w:tcPr>
            <w:tcW w:w="2799" w:type="dxa"/>
            <w:shd w:val="clear" w:color="auto" w:fill="FFFFFF" w:themeFill="background1"/>
          </w:tcPr>
          <w:p w:rsidR="00827EC7" w:rsidRPr="00232D91" w:rsidRDefault="00827EC7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FFFFFF" w:themeFill="background1"/>
          </w:tcPr>
          <w:p w:rsidR="00827EC7" w:rsidRPr="00232D91" w:rsidRDefault="00827EC7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FFFFFF" w:themeFill="background1"/>
          </w:tcPr>
          <w:p w:rsidR="00827EC7" w:rsidRPr="00232D91" w:rsidRDefault="00827EC7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7" w:type="dxa"/>
            <w:shd w:val="clear" w:color="auto" w:fill="FFFFFF" w:themeFill="background1"/>
          </w:tcPr>
          <w:p w:rsidR="00827EC7" w:rsidRPr="00232D91" w:rsidRDefault="00827EC7" w:rsidP="00892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C060A" w:rsidRDefault="005C060A" w:rsidP="00892C5C">
      <w:pPr>
        <w:spacing w:after="0" w:line="240" w:lineRule="auto"/>
        <w:rPr>
          <w:rFonts w:ascii="Times New Roman" w:hAnsi="Times New Roman" w:cs="Times New Roman"/>
          <w:b/>
        </w:rPr>
      </w:pPr>
    </w:p>
    <w:p w:rsidR="005C060A" w:rsidRDefault="005C060A" w:rsidP="005C060A">
      <w:pPr>
        <w:pStyle w:val="FootnoteText"/>
        <w:jc w:val="both"/>
      </w:pPr>
      <w:r w:rsidRPr="00FB6728">
        <w:rPr>
          <w:b/>
        </w:rPr>
        <w:t>*</w:t>
      </w:r>
      <w:r w:rsidRPr="00FB6728">
        <w:t xml:space="preserve"> </w:t>
      </w:r>
      <w:r w:rsidRPr="000D0E7F">
        <w:t>Броят календарни дни се изчислява както следва:</w:t>
      </w:r>
    </w:p>
    <w:p w:rsidR="005C060A" w:rsidRDefault="005C060A" w:rsidP="005C060A">
      <w:pPr>
        <w:pStyle w:val="FootnoteText"/>
        <w:numPr>
          <w:ilvl w:val="0"/>
          <w:numId w:val="1"/>
        </w:numPr>
        <w:jc w:val="both"/>
      </w:pPr>
      <w:r>
        <w:rPr>
          <w:b/>
        </w:rPr>
        <w:t xml:space="preserve">за </w:t>
      </w:r>
      <w:r w:rsidRPr="00E55861">
        <w:rPr>
          <w:b/>
        </w:rPr>
        <w:t>обявление за предварителна информация</w:t>
      </w:r>
      <w:r w:rsidR="00B30112">
        <w:rPr>
          <w:b/>
          <w:lang w:val="en-US"/>
        </w:rPr>
        <w:t xml:space="preserve"> </w:t>
      </w:r>
      <w:r w:rsidR="00B30112" w:rsidRPr="00B30112">
        <w:rPr>
          <w:b/>
          <w:i/>
        </w:rPr>
        <w:t>(публични възложители)</w:t>
      </w:r>
      <w:r w:rsidR="00B30112" w:rsidRPr="00B30112">
        <w:rPr>
          <w:b/>
        </w:rPr>
        <w:t xml:space="preserve">/ периодично индикативно обявление </w:t>
      </w:r>
      <w:r w:rsidR="00B30112" w:rsidRPr="00B30112">
        <w:rPr>
          <w:b/>
          <w:i/>
        </w:rPr>
        <w:t>(секторни възложители)</w:t>
      </w:r>
      <w:r>
        <w:rPr>
          <w:b/>
        </w:rPr>
        <w:t xml:space="preserve"> - </w:t>
      </w:r>
      <w:r w:rsidRPr="00FB6728">
        <w:t xml:space="preserve">броят на календарните дни между датата на изпращане на обявлението за предварителна информация и </w:t>
      </w:r>
      <w:r w:rsidR="00AD7CB6">
        <w:t>крайната дата за заявяване на интерес</w:t>
      </w:r>
      <w:r w:rsidRPr="00FB6728">
        <w:t xml:space="preserve">. Датите на публикуването на обявлението за предварителна информация </w:t>
      </w:r>
      <w:r w:rsidR="00AD7CB6">
        <w:t>е</w:t>
      </w:r>
      <w:r w:rsidRPr="00FB6728">
        <w:t xml:space="preserve"> без значение</w:t>
      </w:r>
      <w:r>
        <w:t xml:space="preserve"> за определяне дали </w:t>
      </w:r>
      <w:r w:rsidR="00AD7CB6">
        <w:t>срокът за заявяване на</w:t>
      </w:r>
      <w:r w:rsidR="00252E91">
        <w:rPr>
          <w:lang w:val="en-US"/>
        </w:rPr>
        <w:t xml:space="preserve"> </w:t>
      </w:r>
      <w:r w:rsidR="00AD7CB6">
        <w:t>интерес е законосъобразен</w:t>
      </w:r>
      <w:r>
        <w:t>;</w:t>
      </w:r>
    </w:p>
    <w:p w:rsidR="005C060A" w:rsidRDefault="005C060A" w:rsidP="005C060A">
      <w:pPr>
        <w:pStyle w:val="FootnoteText"/>
        <w:numPr>
          <w:ilvl w:val="0"/>
          <w:numId w:val="1"/>
        </w:numPr>
        <w:jc w:val="both"/>
      </w:pPr>
      <w:r w:rsidRPr="001F446A">
        <w:rPr>
          <w:b/>
        </w:rPr>
        <w:t xml:space="preserve">за </w:t>
      </w:r>
      <w:r w:rsidR="00AD7CB6">
        <w:rPr>
          <w:b/>
        </w:rPr>
        <w:t xml:space="preserve">покана за заявяване на интерес </w:t>
      </w:r>
      <w:r>
        <w:rPr>
          <w:b/>
        </w:rPr>
        <w:t xml:space="preserve"> - </w:t>
      </w:r>
      <w:r w:rsidRPr="001F446A">
        <w:t xml:space="preserve">броят календарни дни между датата на изпращане на </w:t>
      </w:r>
      <w:r w:rsidR="00AD7CB6">
        <w:t>поканата за заявяване на интерес</w:t>
      </w:r>
      <w:r w:rsidRPr="001F446A">
        <w:t xml:space="preserve"> </w:t>
      </w:r>
      <w:r>
        <w:t xml:space="preserve">и </w:t>
      </w:r>
      <w:r w:rsidRPr="001F446A">
        <w:t xml:space="preserve">крайния срок за получаване на </w:t>
      </w:r>
      <w:r w:rsidR="00AD7CB6">
        <w:t>заявленията за участие</w:t>
      </w:r>
      <w:r>
        <w:t xml:space="preserve">. Датата на публикуване на </w:t>
      </w:r>
      <w:r w:rsidR="00AD7CB6">
        <w:t>публикуване</w:t>
      </w:r>
      <w:r>
        <w:t xml:space="preserve"> е без значение за преценката дали срокът за получаване на </w:t>
      </w:r>
      <w:r w:rsidR="00AD7CB6">
        <w:t>заявленията за участие</w:t>
      </w:r>
      <w:r>
        <w:t xml:space="preserve"> е законосъобразен;</w:t>
      </w:r>
    </w:p>
    <w:p w:rsidR="005C060A" w:rsidRDefault="005C060A" w:rsidP="005C060A">
      <w:pPr>
        <w:pStyle w:val="FootnoteText"/>
        <w:numPr>
          <w:ilvl w:val="0"/>
          <w:numId w:val="1"/>
        </w:numPr>
        <w:jc w:val="both"/>
        <w:rPr>
          <w:b/>
        </w:rPr>
      </w:pPr>
      <w:r w:rsidRPr="001F446A">
        <w:rPr>
          <w:b/>
        </w:rPr>
        <w:t xml:space="preserve">за </w:t>
      </w:r>
      <w:r w:rsidRPr="001B26E5">
        <w:rPr>
          <w:b/>
        </w:rPr>
        <w:t>обявление за изменение или допълнителна информация</w:t>
      </w:r>
      <w:r>
        <w:rPr>
          <w:b/>
        </w:rPr>
        <w:t xml:space="preserve">: </w:t>
      </w:r>
    </w:p>
    <w:p w:rsidR="005C060A" w:rsidRPr="001F446A" w:rsidRDefault="005C060A" w:rsidP="005C060A">
      <w:pPr>
        <w:pStyle w:val="FootnoteText"/>
        <w:ind w:left="720"/>
        <w:jc w:val="both"/>
      </w:pPr>
      <w:r w:rsidRPr="00E55861">
        <w:rPr>
          <w:b/>
        </w:rPr>
        <w:t xml:space="preserve">А. </w:t>
      </w:r>
      <w:r w:rsidRPr="001F446A">
        <w:t xml:space="preserve">броят календарни дни между датата на изпращане на </w:t>
      </w:r>
      <w:r w:rsidRPr="00E55861">
        <w:t>обявление</w:t>
      </w:r>
      <w:r>
        <w:t>то</w:t>
      </w:r>
      <w:r w:rsidRPr="00E55861">
        <w:t xml:space="preserve"> за изменение или допълнителна информация</w:t>
      </w:r>
      <w:r w:rsidRPr="00FB6728">
        <w:t xml:space="preserve"> </w:t>
      </w:r>
      <w:r w:rsidRPr="001F446A">
        <w:t xml:space="preserve">и </w:t>
      </w:r>
      <w:r>
        <w:t>с</w:t>
      </w:r>
      <w:r w:rsidRPr="001F446A">
        <w:t>рок</w:t>
      </w:r>
      <w:r>
        <w:t>а</w:t>
      </w:r>
      <w:r w:rsidRPr="001F446A">
        <w:t xml:space="preserve"> за </w:t>
      </w:r>
      <w:r w:rsidR="00AD7CB6">
        <w:t xml:space="preserve">заявяване на интерес/ срока за </w:t>
      </w:r>
      <w:r w:rsidRPr="001F446A">
        <w:t xml:space="preserve">получаване на </w:t>
      </w:r>
      <w:r w:rsidR="00AD7CB6">
        <w:t>заявленията за участие</w:t>
      </w:r>
      <w:r w:rsidRPr="001F446A">
        <w:t xml:space="preserve"> </w:t>
      </w:r>
      <w:r>
        <w:t xml:space="preserve">съгласно обявлението за изменение или допълнителна информация </w:t>
      </w:r>
      <w:r w:rsidRPr="001F446A">
        <w:t xml:space="preserve">(възможни са повече от едно </w:t>
      </w:r>
      <w:r w:rsidRPr="0077575F">
        <w:t>обявлени</w:t>
      </w:r>
      <w:r>
        <w:t>я</w:t>
      </w:r>
      <w:r w:rsidRPr="00E55861">
        <w:t xml:space="preserve"> за изменение или допълнителна информация</w:t>
      </w:r>
      <w:r>
        <w:t>, като</w:t>
      </w:r>
      <w:r w:rsidRPr="001F446A">
        <w:t xml:space="preserve"> броят календарни дни се попълва за всяко отделно </w:t>
      </w:r>
      <w:r w:rsidRPr="00E55861">
        <w:t>обявление за изменение или допълнителна информация</w:t>
      </w:r>
      <w:r w:rsidRPr="00FB6728">
        <w:t xml:space="preserve"> </w:t>
      </w:r>
      <w:r w:rsidRPr="001F446A">
        <w:t>на отделен допълнителен ред в таблицата)</w:t>
      </w:r>
      <w:r w:rsidR="00AD7CB6">
        <w:t>. Обявление за изменение или допълнителна информация е възможно както във връзка с обявлен</w:t>
      </w:r>
      <w:r w:rsidR="007215D9">
        <w:t>ието за предварителна информаци</w:t>
      </w:r>
      <w:r w:rsidR="00AD7CB6">
        <w:t>я, така и с поканата за потвърждаване на интерес</w:t>
      </w:r>
      <w:r w:rsidRPr="001F446A">
        <w:t>;</w:t>
      </w:r>
    </w:p>
    <w:p w:rsidR="005C060A" w:rsidRPr="001F446A" w:rsidRDefault="005C060A" w:rsidP="005C060A">
      <w:pPr>
        <w:pStyle w:val="FootnoteText"/>
        <w:ind w:left="720"/>
        <w:jc w:val="both"/>
        <w:rPr>
          <w:lang w:val="en-US"/>
        </w:rPr>
      </w:pPr>
      <w:r w:rsidRPr="00E55861">
        <w:rPr>
          <w:b/>
        </w:rPr>
        <w:t xml:space="preserve">Б. </w:t>
      </w:r>
      <w:r w:rsidRPr="001F446A">
        <w:t xml:space="preserve">броят календарни дни между датата на изпращане на обявлението за </w:t>
      </w:r>
      <w:r w:rsidR="00232D91">
        <w:t>предварителна информация/ поканата за потвърждаване на интерес</w:t>
      </w:r>
      <w:r w:rsidRPr="001F446A">
        <w:t xml:space="preserve"> и последния краен </w:t>
      </w:r>
      <w:r w:rsidR="00232D91">
        <w:t xml:space="preserve">срок за заявяване на интерес/ съответно </w:t>
      </w:r>
      <w:r w:rsidRPr="001F446A">
        <w:t xml:space="preserve">срок за получаване </w:t>
      </w:r>
      <w:r w:rsidR="005C7852">
        <w:t>на заявленията за участие</w:t>
      </w:r>
      <w:r>
        <w:rPr>
          <w:lang w:val="en-US"/>
        </w:rPr>
        <w:t>.</w:t>
      </w:r>
    </w:p>
    <w:p w:rsidR="005C060A" w:rsidRDefault="005C060A" w:rsidP="005C060A">
      <w:pPr>
        <w:pStyle w:val="FootnoteText"/>
        <w:numPr>
          <w:ilvl w:val="0"/>
          <w:numId w:val="1"/>
        </w:numPr>
        <w:jc w:val="both"/>
      </w:pPr>
      <w:r w:rsidRPr="001F446A">
        <w:rPr>
          <w:b/>
        </w:rPr>
        <w:t>за</w:t>
      </w:r>
      <w:r>
        <w:rPr>
          <w:b/>
        </w:rPr>
        <w:t xml:space="preserve"> д</w:t>
      </w:r>
      <w:r w:rsidRPr="001B26E5">
        <w:rPr>
          <w:b/>
        </w:rPr>
        <w:t>окументация</w:t>
      </w:r>
      <w:r>
        <w:rPr>
          <w:b/>
        </w:rPr>
        <w:t>та</w:t>
      </w:r>
      <w:r w:rsidRPr="001B26E5">
        <w:rPr>
          <w:b/>
        </w:rPr>
        <w:t xml:space="preserve"> за </w:t>
      </w:r>
      <w:r>
        <w:rPr>
          <w:b/>
        </w:rPr>
        <w:t xml:space="preserve">обществена поръчка - </w:t>
      </w:r>
      <w:r w:rsidRPr="001F446A">
        <w:t>броят на календарните дни между датата на публикуване на документацията в профила на купувача и</w:t>
      </w:r>
      <w:r w:rsidRPr="00FB6728">
        <w:t xml:space="preserve"> </w:t>
      </w:r>
      <w:r w:rsidRPr="001F446A">
        <w:t>крайната дата на фактически осигурения достъп до документацията</w:t>
      </w:r>
      <w:r>
        <w:t>;</w:t>
      </w:r>
    </w:p>
    <w:p w:rsidR="005C060A" w:rsidRPr="008C4778" w:rsidRDefault="005C060A" w:rsidP="005C060A">
      <w:pPr>
        <w:pStyle w:val="FootnoteText"/>
        <w:numPr>
          <w:ilvl w:val="0"/>
          <w:numId w:val="1"/>
        </w:numPr>
        <w:jc w:val="both"/>
        <w:rPr>
          <w:b/>
        </w:rPr>
      </w:pPr>
      <w:r w:rsidRPr="008C4778">
        <w:rPr>
          <w:b/>
        </w:rPr>
        <w:t>за поканата за подаване на оферти:</w:t>
      </w:r>
    </w:p>
    <w:p w:rsidR="005C060A" w:rsidRDefault="005C060A" w:rsidP="005C060A">
      <w:pPr>
        <w:pStyle w:val="FootnoteText"/>
        <w:numPr>
          <w:ilvl w:val="0"/>
          <w:numId w:val="1"/>
        </w:numPr>
        <w:jc w:val="both"/>
      </w:pPr>
      <w:r>
        <w:lastRenderedPageBreak/>
        <w:t>броят календарни дни между датата на изпращане на поканата за получаване на оферти и срока за получаване на офертите съгласно поканата за получаване на оферти.</w:t>
      </w:r>
    </w:p>
    <w:p w:rsidR="005C060A" w:rsidRPr="001F446A" w:rsidRDefault="005C060A" w:rsidP="005C060A">
      <w:pPr>
        <w:pStyle w:val="FootnoteText"/>
        <w:numPr>
          <w:ilvl w:val="0"/>
          <w:numId w:val="1"/>
        </w:numPr>
        <w:jc w:val="both"/>
      </w:pPr>
      <w:r>
        <w:rPr>
          <w:b/>
        </w:rPr>
        <w:t>за обявление за възлагане на поръчка -</w:t>
      </w:r>
      <w:r>
        <w:t xml:space="preserve"> </w:t>
      </w:r>
      <w:r w:rsidRPr="00072069">
        <w:t xml:space="preserve">броят на календарните дни между датата на </w:t>
      </w:r>
      <w:r>
        <w:t>сключване на договора за обществена поръчка</w:t>
      </w:r>
      <w:r w:rsidRPr="00072069">
        <w:t xml:space="preserve"> и датата на изпращане на обявлението за</w:t>
      </w:r>
      <w:r>
        <w:t xml:space="preserve"> възлагане на </w:t>
      </w:r>
      <w:r w:rsidRPr="00072069">
        <w:t>поръчка.</w:t>
      </w:r>
    </w:p>
    <w:p w:rsidR="005C060A" w:rsidRPr="001F446A" w:rsidRDefault="005C060A" w:rsidP="005C060A">
      <w:pPr>
        <w:pStyle w:val="FootnoteText"/>
        <w:ind w:left="6372"/>
        <w:jc w:val="both"/>
        <w:rPr>
          <w:lang w:val="en-US"/>
        </w:rPr>
      </w:pPr>
      <w:r>
        <w:rPr>
          <w:b/>
        </w:rPr>
        <w:t xml:space="preserve"> </w:t>
      </w:r>
    </w:p>
    <w:p w:rsidR="005C060A" w:rsidRDefault="005C060A" w:rsidP="005C060A">
      <w:pPr>
        <w:pStyle w:val="FootnoteText"/>
        <w:jc w:val="both"/>
      </w:pPr>
      <w:r w:rsidRPr="00FB6728">
        <w:rPr>
          <w:b/>
        </w:rPr>
        <w:t>**</w:t>
      </w:r>
      <w:r w:rsidRPr="00FB6728">
        <w:t xml:space="preserve"> Посочва се датата на публикуване на съответните документи в профила на купувача. </w:t>
      </w:r>
      <w:r>
        <w:t>Д</w:t>
      </w:r>
      <w:r w:rsidRPr="00FB6728">
        <w:t xml:space="preserve">окументацията по процедурата се публикува в профила на купува в деня на публикуването на обявлението в ОВЕС (чл. 32, ал. 1, т. 1 от ЗОП). Необходимо е да се изследва кога възложителят фактически е публикувал съответните документи, респективно е поставено началото на осигурения от възложителя достъп до документацията чрез </w:t>
      </w:r>
      <w:r>
        <w:t>публикуването й</w:t>
      </w:r>
      <w:r w:rsidRPr="00FB6728">
        <w:t xml:space="preserve"> в профила на купувача.</w:t>
      </w:r>
    </w:p>
    <w:p w:rsidR="005C060A" w:rsidRPr="00FB6728" w:rsidRDefault="005C060A" w:rsidP="005C060A">
      <w:pPr>
        <w:pStyle w:val="FootnoteText"/>
        <w:jc w:val="both"/>
      </w:pPr>
      <w:r w:rsidRPr="00FB6728">
        <w:t>Обявлението за обществена поръчка и обявлението за изменение или допълнителна информация се публикуват в профила на купувача в деня на публикуванет</w:t>
      </w:r>
      <w:r>
        <w:t xml:space="preserve">о им </w:t>
      </w:r>
      <w:r w:rsidRPr="004D4707">
        <w:t>в РОП</w:t>
      </w:r>
      <w:r w:rsidRPr="00FB6728">
        <w:t xml:space="preserve"> (чл. 24, ал. 1, т. 1 </w:t>
      </w:r>
      <w:r>
        <w:t xml:space="preserve">- </w:t>
      </w:r>
      <w:r>
        <w:rPr>
          <w:lang w:val="en-US"/>
        </w:rPr>
        <w:t>3</w:t>
      </w:r>
      <w:r>
        <w:t xml:space="preserve"> </w:t>
      </w:r>
      <w:r w:rsidRPr="00FB6728">
        <w:t xml:space="preserve">от ППЗОП). </w:t>
      </w:r>
    </w:p>
    <w:p w:rsidR="005C060A" w:rsidRPr="00FB6728" w:rsidRDefault="005C060A" w:rsidP="005C060A">
      <w:pPr>
        <w:pStyle w:val="FootnoteText"/>
        <w:jc w:val="both"/>
      </w:pPr>
    </w:p>
    <w:p w:rsidR="005C060A" w:rsidRPr="00FB6728" w:rsidRDefault="005C060A" w:rsidP="003E29EB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1F446A">
        <w:rPr>
          <w:rFonts w:ascii="Times New Roman" w:hAnsi="Times New Roman"/>
          <w:b/>
          <w:sz w:val="20"/>
        </w:rPr>
        <w:t>***</w:t>
      </w:r>
      <w:r w:rsidRPr="001F446A">
        <w:rPr>
          <w:rFonts w:ascii="Times New Roman" w:hAnsi="Times New Roman"/>
          <w:sz w:val="20"/>
        </w:rPr>
        <w:t xml:space="preserve"> Посочва се </w:t>
      </w:r>
      <w:r w:rsidRPr="00FB6728">
        <w:rPr>
          <w:rFonts w:ascii="Times New Roman" w:hAnsi="Times New Roman"/>
          <w:sz w:val="20"/>
        </w:rPr>
        <w:t>крайната дата</w:t>
      </w:r>
      <w:r w:rsidRPr="001F446A">
        <w:rPr>
          <w:rFonts w:ascii="Times New Roman" w:hAnsi="Times New Roman"/>
          <w:sz w:val="20"/>
        </w:rPr>
        <w:t xml:space="preserve">, </w:t>
      </w:r>
      <w:r w:rsidRPr="001F446A">
        <w:rPr>
          <w:rFonts w:ascii="Times New Roman" w:hAnsi="Times New Roman"/>
          <w:b/>
          <w:sz w:val="20"/>
        </w:rPr>
        <w:t xml:space="preserve">до която е осигурен фактически достъп до документацията за </w:t>
      </w:r>
      <w:r w:rsidR="003E29EB">
        <w:rPr>
          <w:rFonts w:ascii="Times New Roman" w:hAnsi="Times New Roman"/>
          <w:b/>
          <w:sz w:val="20"/>
        </w:rPr>
        <w:t>поръчката</w:t>
      </w:r>
      <w:r w:rsidRPr="00FB6728">
        <w:rPr>
          <w:rFonts w:ascii="Times New Roman" w:hAnsi="Times New Roman"/>
          <w:sz w:val="20"/>
        </w:rPr>
        <w:t xml:space="preserve">, за да се установи дали </w:t>
      </w:r>
      <w:r w:rsidR="003E29EB">
        <w:rPr>
          <w:rFonts w:ascii="Times New Roman" w:hAnsi="Times New Roman"/>
          <w:sz w:val="20"/>
        </w:rPr>
        <w:t>е налице</w:t>
      </w:r>
      <w:r w:rsidRPr="00FB6728">
        <w:rPr>
          <w:rFonts w:ascii="Times New Roman" w:hAnsi="Times New Roman"/>
          <w:sz w:val="20"/>
        </w:rPr>
        <w:t xml:space="preserve"> нередност по т. 4 от Насоките на ЕК.</w:t>
      </w:r>
      <w:r w:rsidRPr="001F446A">
        <w:rPr>
          <w:rFonts w:ascii="Times New Roman" w:hAnsi="Times New Roman"/>
          <w:sz w:val="20"/>
        </w:rPr>
        <w:t xml:space="preserve"> </w:t>
      </w:r>
      <w:r w:rsidRPr="001F446A">
        <w:rPr>
          <w:rFonts w:ascii="Times New Roman" w:hAnsi="Times New Roman"/>
          <w:b/>
          <w:sz w:val="20"/>
        </w:rPr>
        <w:t>Крайният срок за достъп до документацията</w:t>
      </w:r>
      <w:r w:rsidRPr="00FB6728">
        <w:rPr>
          <w:rFonts w:ascii="Times New Roman" w:hAnsi="Times New Roman"/>
          <w:b/>
          <w:sz w:val="20"/>
        </w:rPr>
        <w:t xml:space="preserve"> за </w:t>
      </w:r>
      <w:r w:rsidR="003E29EB">
        <w:rPr>
          <w:rFonts w:ascii="Times New Roman" w:hAnsi="Times New Roman"/>
          <w:b/>
          <w:sz w:val="20"/>
        </w:rPr>
        <w:t xml:space="preserve">поръчката </w:t>
      </w:r>
      <w:r w:rsidRPr="00FB6728">
        <w:rPr>
          <w:rFonts w:ascii="Times New Roman" w:hAnsi="Times New Roman"/>
          <w:b/>
          <w:sz w:val="20"/>
        </w:rPr>
        <w:t xml:space="preserve">в процедурата следва да съвпада минимум с крайния срок за получаване на </w:t>
      </w:r>
      <w:r w:rsidR="003E29EB">
        <w:rPr>
          <w:rFonts w:ascii="Times New Roman" w:hAnsi="Times New Roman"/>
          <w:b/>
          <w:sz w:val="20"/>
        </w:rPr>
        <w:t>заявленията за участие</w:t>
      </w:r>
      <w:r w:rsidRPr="00FB6728">
        <w:rPr>
          <w:rFonts w:ascii="Times New Roman" w:hAnsi="Times New Roman"/>
          <w:sz w:val="20"/>
        </w:rPr>
        <w:t xml:space="preserve">. </w:t>
      </w:r>
      <w:r w:rsidRPr="000600DE">
        <w:rPr>
          <w:rFonts w:ascii="Times New Roman" w:hAnsi="Times New Roman"/>
          <w:sz w:val="20"/>
        </w:rPr>
        <w:t xml:space="preserve">Необходимо е да се изследва </w:t>
      </w:r>
      <w:r>
        <w:rPr>
          <w:rFonts w:ascii="Times New Roman" w:hAnsi="Times New Roman"/>
          <w:sz w:val="20"/>
        </w:rPr>
        <w:t xml:space="preserve">дали и на коя дата </w:t>
      </w:r>
      <w:r w:rsidRPr="000600DE">
        <w:rPr>
          <w:rFonts w:ascii="Times New Roman" w:hAnsi="Times New Roman"/>
          <w:sz w:val="20"/>
        </w:rPr>
        <w:t>възложителят</w:t>
      </w:r>
      <w:r>
        <w:rPr>
          <w:rFonts w:ascii="Times New Roman" w:hAnsi="Times New Roman"/>
          <w:sz w:val="20"/>
        </w:rPr>
        <w:t xml:space="preserve"> е прекратил достъпът до документацията.</w:t>
      </w:r>
    </w:p>
    <w:p w:rsidR="005C060A" w:rsidRDefault="005C060A" w:rsidP="003E29EB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FB6728">
        <w:rPr>
          <w:rFonts w:ascii="Times New Roman" w:hAnsi="Times New Roman"/>
          <w:sz w:val="20"/>
        </w:rPr>
        <w:t xml:space="preserve">В чл. </w:t>
      </w:r>
      <w:r w:rsidRPr="001F446A">
        <w:rPr>
          <w:rFonts w:ascii="Times New Roman" w:hAnsi="Times New Roman"/>
          <w:sz w:val="20"/>
        </w:rPr>
        <w:t>24, ал. 3 от ППЗОП</w:t>
      </w:r>
      <w:r w:rsidRPr="00FB6728">
        <w:rPr>
          <w:rFonts w:ascii="Times New Roman" w:hAnsi="Times New Roman"/>
          <w:sz w:val="20"/>
        </w:rPr>
        <w:t xml:space="preserve"> са заложени специални правила за съхранение на документи в профила на купувача, като нарушаването им е свързано с друг вид нередност относно осигуряването на одитна пътека.</w:t>
      </w:r>
    </w:p>
    <w:p w:rsidR="009D5BE8" w:rsidRDefault="009D5BE8" w:rsidP="003E29EB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9D5BE8" w:rsidRPr="00FB6728" w:rsidRDefault="009D5BE8" w:rsidP="003E29EB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**** Когато документацията за поръчката е одобрена с решението за откриване на процедурата, като крайна дата за достъпа до </w:t>
      </w:r>
      <w:r w:rsidR="002628F5">
        <w:rPr>
          <w:rFonts w:ascii="Times New Roman" w:hAnsi="Times New Roman"/>
          <w:sz w:val="20"/>
        </w:rPr>
        <w:t>нея</w:t>
      </w:r>
      <w:r>
        <w:rPr>
          <w:rFonts w:ascii="Times New Roman" w:hAnsi="Times New Roman"/>
          <w:sz w:val="20"/>
        </w:rPr>
        <w:t xml:space="preserve"> се взема срока за заявяване на интерес.</w:t>
      </w:r>
    </w:p>
    <w:p w:rsidR="005C060A" w:rsidRPr="00FB6728" w:rsidRDefault="005C060A" w:rsidP="005C060A">
      <w:pPr>
        <w:spacing w:after="0" w:line="240" w:lineRule="auto"/>
        <w:rPr>
          <w:rFonts w:ascii="Times New Roman" w:hAnsi="Times New Roman"/>
          <w:sz w:val="20"/>
        </w:rPr>
      </w:pPr>
    </w:p>
    <w:p w:rsidR="005C060A" w:rsidRPr="001F446A" w:rsidRDefault="005C060A" w:rsidP="005C060A">
      <w:pPr>
        <w:rPr>
          <w:b/>
          <w:sz w:val="20"/>
        </w:rPr>
      </w:pPr>
      <w:r w:rsidRPr="001F446A">
        <w:rPr>
          <w:rFonts w:ascii="Times New Roman" w:hAnsi="Times New Roman"/>
          <w:b/>
          <w:sz w:val="20"/>
        </w:rPr>
        <w:t xml:space="preserve">Изчисляване на сроковете: </w:t>
      </w:r>
    </w:p>
    <w:p w:rsidR="005C060A" w:rsidRPr="001F446A" w:rsidRDefault="005C060A" w:rsidP="005C060A">
      <w:pPr>
        <w:rPr>
          <w:rFonts w:ascii="Times New Roman" w:hAnsi="Times New Roman"/>
          <w:sz w:val="20"/>
          <w:lang w:eastAsia="bg-BG"/>
        </w:rPr>
      </w:pPr>
      <w:r w:rsidRPr="001F446A">
        <w:rPr>
          <w:rFonts w:ascii="Times New Roman" w:hAnsi="Times New Roman"/>
          <w:sz w:val="20"/>
          <w:lang w:eastAsia="bg-BG"/>
        </w:rPr>
        <w:t xml:space="preserve">Сроковете се изчисляват </w:t>
      </w:r>
      <w:r w:rsidR="003E29EB">
        <w:rPr>
          <w:rFonts w:ascii="Times New Roman" w:hAnsi="Times New Roman"/>
          <w:sz w:val="20"/>
          <w:lang w:eastAsia="bg-BG"/>
        </w:rPr>
        <w:t>по</w:t>
      </w:r>
      <w:r w:rsidRPr="001F446A">
        <w:rPr>
          <w:rFonts w:ascii="Times New Roman" w:hAnsi="Times New Roman"/>
          <w:sz w:val="20"/>
          <w:lang w:eastAsia="bg-BG"/>
        </w:rPr>
        <w:t xml:space="preserve"> реда</w:t>
      </w:r>
      <w:r w:rsidR="003E29EB">
        <w:rPr>
          <w:rFonts w:ascii="Times New Roman" w:hAnsi="Times New Roman"/>
          <w:sz w:val="20"/>
          <w:lang w:eastAsia="bg-BG"/>
        </w:rPr>
        <w:t xml:space="preserve"> на</w:t>
      </w:r>
      <w:r w:rsidRPr="001F446A">
        <w:rPr>
          <w:rFonts w:ascii="Times New Roman" w:hAnsi="Times New Roman"/>
          <w:sz w:val="20"/>
          <w:lang w:eastAsia="bg-BG"/>
        </w:rPr>
        <w:t xml:space="preserve"> чл. 28 от ППЗОП, а именно:</w:t>
      </w:r>
    </w:p>
    <w:p w:rsidR="00D571A0" w:rsidRPr="00D571A0" w:rsidRDefault="00D571A0" w:rsidP="00D571A0">
      <w:pPr>
        <w:pStyle w:val="NormalWeb"/>
        <w:rPr>
          <w:color w:val="auto"/>
          <w:sz w:val="20"/>
          <w:szCs w:val="20"/>
        </w:rPr>
      </w:pPr>
      <w:bookmarkStart w:id="1" w:name="to_paragraph_id29453750"/>
      <w:bookmarkEnd w:id="1"/>
      <w:r w:rsidRPr="00D571A0">
        <w:rPr>
          <w:color w:val="auto"/>
          <w:sz w:val="20"/>
          <w:szCs w:val="20"/>
        </w:rPr>
        <w:t>Чл. 28. (1) При определянето на срокове, които са в дни и се броят след определено действие или събитие, не се брои денят на настъпване на действието или на събитието.</w:t>
      </w:r>
    </w:p>
    <w:p w:rsidR="00D571A0" w:rsidRPr="00D571A0" w:rsidRDefault="00D571A0" w:rsidP="00D571A0">
      <w:pPr>
        <w:pStyle w:val="NormalWeb"/>
        <w:rPr>
          <w:color w:val="auto"/>
          <w:sz w:val="20"/>
          <w:szCs w:val="20"/>
        </w:rPr>
      </w:pPr>
      <w:r w:rsidRPr="00D571A0">
        <w:rPr>
          <w:color w:val="auto"/>
          <w:sz w:val="20"/>
          <w:szCs w:val="20"/>
        </w:rPr>
        <w:t>(2) Когато срокът изтича определен брой дни преди известен ден, този ден се взема предвид при определяне на датата, до която се извършва съответното действие.</w:t>
      </w:r>
    </w:p>
    <w:p w:rsidR="00D571A0" w:rsidRPr="00D571A0" w:rsidRDefault="00D571A0" w:rsidP="00D571A0">
      <w:pPr>
        <w:pStyle w:val="NormalWeb"/>
        <w:rPr>
          <w:color w:val="auto"/>
          <w:sz w:val="20"/>
          <w:szCs w:val="20"/>
        </w:rPr>
      </w:pPr>
      <w:r w:rsidRPr="00D571A0">
        <w:rPr>
          <w:color w:val="auto"/>
          <w:sz w:val="20"/>
          <w:szCs w:val="20"/>
        </w:rPr>
        <w:t>(3) (Изм. – ДВ, бр. 35 от 2021 г.) Когато последният ден от срока по ал. 1 е неприсъствен, срокът изтича:</w:t>
      </w:r>
    </w:p>
    <w:p w:rsidR="00D571A0" w:rsidRPr="00D571A0" w:rsidRDefault="00D571A0" w:rsidP="00D571A0">
      <w:pPr>
        <w:pStyle w:val="NormalWeb"/>
        <w:rPr>
          <w:color w:val="auto"/>
          <w:sz w:val="20"/>
          <w:szCs w:val="20"/>
        </w:rPr>
      </w:pPr>
      <w:r w:rsidRPr="00D571A0">
        <w:rPr>
          <w:color w:val="auto"/>
          <w:sz w:val="20"/>
          <w:szCs w:val="20"/>
        </w:rPr>
        <w:t>1. в края на двадесет и четвъртия час на първия присъствен ден – при обмен на информация в платформата;</w:t>
      </w:r>
    </w:p>
    <w:p w:rsidR="00D571A0" w:rsidRPr="00D571A0" w:rsidRDefault="00D571A0" w:rsidP="00D571A0">
      <w:pPr>
        <w:pStyle w:val="NormalWeb"/>
        <w:rPr>
          <w:color w:val="auto"/>
          <w:sz w:val="20"/>
          <w:szCs w:val="20"/>
        </w:rPr>
      </w:pPr>
      <w:r w:rsidRPr="00D571A0">
        <w:rPr>
          <w:color w:val="auto"/>
          <w:sz w:val="20"/>
          <w:szCs w:val="20"/>
        </w:rPr>
        <w:t>2. с приключване на работното време на възложителя на първия присъствен ден – когато обменът е извън платформата.</w:t>
      </w:r>
    </w:p>
    <w:p w:rsidR="00D571A0" w:rsidRPr="00D571A0" w:rsidRDefault="00D571A0" w:rsidP="00D571A0">
      <w:pPr>
        <w:pStyle w:val="NormalWeb"/>
        <w:rPr>
          <w:color w:val="auto"/>
          <w:sz w:val="20"/>
          <w:szCs w:val="20"/>
        </w:rPr>
      </w:pPr>
      <w:r w:rsidRPr="00D571A0">
        <w:rPr>
          <w:color w:val="auto"/>
          <w:sz w:val="20"/>
          <w:szCs w:val="20"/>
        </w:rPr>
        <w:t>(4) (Изм. – ДВ, бр. 17 от 2019 г., в сила от 1.11.2019 г., бр. 35 от 2021 г.) Последният ден на срока за получаване на заявления за участие и оферти чрез платформата се определя винаги в присъствен ден. Правилото се отнася и за отварянето на заявления за участие и оферти, включително ценовите предложения.</w:t>
      </w:r>
    </w:p>
    <w:p w:rsidR="00D571A0" w:rsidRPr="00D571A0" w:rsidRDefault="00D571A0" w:rsidP="00D571A0">
      <w:pPr>
        <w:pStyle w:val="NormalWeb"/>
        <w:rPr>
          <w:color w:val="auto"/>
          <w:sz w:val="20"/>
          <w:szCs w:val="20"/>
        </w:rPr>
      </w:pPr>
      <w:r w:rsidRPr="00D571A0">
        <w:rPr>
          <w:color w:val="auto"/>
          <w:sz w:val="20"/>
          <w:szCs w:val="20"/>
        </w:rPr>
        <w:t xml:space="preserve">(5) Когато възложителят удължава сроковете в процедурата на основание чл. 100, ал. 11 ЗОП, общата продължителност на всеки от сроковете, изтекли до момента на спирането на процедурата, заедно с </w:t>
      </w:r>
      <w:proofErr w:type="spellStart"/>
      <w:r w:rsidRPr="00D571A0">
        <w:rPr>
          <w:color w:val="auto"/>
          <w:sz w:val="20"/>
          <w:szCs w:val="20"/>
        </w:rPr>
        <w:t>новоопределените</w:t>
      </w:r>
      <w:proofErr w:type="spellEnd"/>
      <w:r w:rsidRPr="00D571A0">
        <w:rPr>
          <w:color w:val="auto"/>
          <w:sz w:val="20"/>
          <w:szCs w:val="20"/>
        </w:rPr>
        <w:t xml:space="preserve"> удължени срокове не може да е по-кратка от първоначалния срок, определен от възложителя.</w:t>
      </w:r>
    </w:p>
    <w:p w:rsidR="005C060A" w:rsidRPr="001F446A" w:rsidRDefault="00D571A0" w:rsidP="00D571A0">
      <w:pPr>
        <w:pStyle w:val="NormalWeb"/>
        <w:rPr>
          <w:color w:val="auto"/>
          <w:sz w:val="20"/>
          <w:szCs w:val="20"/>
        </w:rPr>
      </w:pPr>
      <w:r w:rsidRPr="00D571A0">
        <w:rPr>
          <w:color w:val="auto"/>
          <w:sz w:val="20"/>
          <w:szCs w:val="20"/>
        </w:rPr>
        <w:t>(6) (Нова – ДВ, бр. 17 от 2019 г., в сила от 1.03.2019 г., изм. и доп., бр. 29 от 2020 г., в сила от 1.04.2020 г.) Разликата между определения срок за получаване на заявленията за участие, офертите или проектите и датата и часа за тяхното отваряне не може да е по-малко от 12 часа.</w:t>
      </w:r>
    </w:p>
    <w:p w:rsidR="005C060A" w:rsidRPr="00892C5C" w:rsidRDefault="005C060A" w:rsidP="00892C5C">
      <w:pPr>
        <w:spacing w:after="0" w:line="240" w:lineRule="auto"/>
        <w:rPr>
          <w:rFonts w:ascii="Times New Roman" w:hAnsi="Times New Roman" w:cs="Times New Roman"/>
          <w:b/>
        </w:rPr>
      </w:pPr>
    </w:p>
    <w:sectPr w:rsidR="005C060A" w:rsidRPr="00892C5C" w:rsidSect="00A677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DAB" w:rsidRDefault="00F61DAB" w:rsidP="00A6777F">
      <w:pPr>
        <w:spacing w:after="0" w:line="240" w:lineRule="auto"/>
      </w:pPr>
      <w:r>
        <w:separator/>
      </w:r>
    </w:p>
  </w:endnote>
  <w:endnote w:type="continuationSeparator" w:id="0">
    <w:p w:rsidR="00F61DAB" w:rsidRDefault="00F61DAB" w:rsidP="00A67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D94" w:rsidRDefault="00CD3D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4940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827EC7" w:rsidRPr="00827EC7" w:rsidRDefault="00827EC7">
        <w:pPr>
          <w:pStyle w:val="Footer"/>
          <w:jc w:val="right"/>
          <w:rPr>
            <w:rFonts w:ascii="Times New Roman" w:hAnsi="Times New Roman" w:cs="Times New Roman"/>
          </w:rPr>
        </w:pPr>
        <w:r w:rsidRPr="00827EC7">
          <w:rPr>
            <w:rFonts w:ascii="Times New Roman" w:hAnsi="Times New Roman" w:cs="Times New Roman"/>
          </w:rPr>
          <w:fldChar w:fldCharType="begin"/>
        </w:r>
        <w:r w:rsidRPr="00827EC7">
          <w:rPr>
            <w:rFonts w:ascii="Times New Roman" w:hAnsi="Times New Roman" w:cs="Times New Roman"/>
          </w:rPr>
          <w:instrText xml:space="preserve"> PAGE   \* MERGEFORMAT </w:instrText>
        </w:r>
        <w:r w:rsidRPr="00827EC7">
          <w:rPr>
            <w:rFonts w:ascii="Times New Roman" w:hAnsi="Times New Roman" w:cs="Times New Roman"/>
          </w:rPr>
          <w:fldChar w:fldCharType="separate"/>
        </w:r>
        <w:r w:rsidR="0079377B">
          <w:rPr>
            <w:rFonts w:ascii="Times New Roman" w:hAnsi="Times New Roman" w:cs="Times New Roman"/>
            <w:noProof/>
          </w:rPr>
          <w:t>4</w:t>
        </w:r>
        <w:r w:rsidRPr="00827EC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827EC7" w:rsidRDefault="00827E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D94" w:rsidRDefault="00CD3D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DAB" w:rsidRDefault="00F61DAB" w:rsidP="00A6777F">
      <w:pPr>
        <w:spacing w:after="0" w:line="240" w:lineRule="auto"/>
      </w:pPr>
      <w:r>
        <w:separator/>
      </w:r>
    </w:p>
  </w:footnote>
  <w:footnote w:type="continuationSeparator" w:id="0">
    <w:p w:rsidR="00F61DAB" w:rsidRDefault="00F61DAB" w:rsidP="00A67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D94" w:rsidRDefault="00CD3D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77F" w:rsidRPr="00104BE7" w:rsidRDefault="00A6777F" w:rsidP="00CD3D94">
    <w:pPr>
      <w:tabs>
        <w:tab w:val="center" w:pos="4153"/>
        <w:tab w:val="center" w:pos="4320"/>
        <w:tab w:val="right" w:pos="8306"/>
        <w:tab w:val="right" w:pos="8640"/>
      </w:tabs>
      <w:spacing w:after="100" w:afterAutospacing="1" w:line="240" w:lineRule="auto"/>
      <w:rPr>
        <w:rFonts w:ascii="Times New Roman" w:hAnsi="Times New Roman"/>
        <w:b/>
        <w:i/>
        <w:lang w:val="en-US" w:eastAsia="bg-BG"/>
      </w:rPr>
    </w:pPr>
  </w:p>
  <w:p w:rsidR="00A6777F" w:rsidRDefault="00A677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D94" w:rsidRDefault="00CD3D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702AFF"/>
    <w:multiLevelType w:val="hybridMultilevel"/>
    <w:tmpl w:val="341A16B4"/>
    <w:lvl w:ilvl="0" w:tplc="B552A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DD6"/>
    <w:rsid w:val="00000540"/>
    <w:rsid w:val="00012DAA"/>
    <w:rsid w:val="000156B8"/>
    <w:rsid w:val="00096B4E"/>
    <w:rsid w:val="0018057A"/>
    <w:rsid w:val="00232D91"/>
    <w:rsid w:val="00242F52"/>
    <w:rsid w:val="00252E91"/>
    <w:rsid w:val="002628F5"/>
    <w:rsid w:val="002A469F"/>
    <w:rsid w:val="002D55E9"/>
    <w:rsid w:val="003C4EF4"/>
    <w:rsid w:val="003E29EB"/>
    <w:rsid w:val="003F2749"/>
    <w:rsid w:val="005A2C83"/>
    <w:rsid w:val="005C060A"/>
    <w:rsid w:val="005C7852"/>
    <w:rsid w:val="007215D9"/>
    <w:rsid w:val="0072760F"/>
    <w:rsid w:val="0079377B"/>
    <w:rsid w:val="00827EC7"/>
    <w:rsid w:val="00892C5C"/>
    <w:rsid w:val="00957B22"/>
    <w:rsid w:val="00972B57"/>
    <w:rsid w:val="009A00A2"/>
    <w:rsid w:val="009C0E77"/>
    <w:rsid w:val="009C3C21"/>
    <w:rsid w:val="009D5BE8"/>
    <w:rsid w:val="00A6777F"/>
    <w:rsid w:val="00A912DB"/>
    <w:rsid w:val="00AC1091"/>
    <w:rsid w:val="00AD7CB6"/>
    <w:rsid w:val="00B10E8C"/>
    <w:rsid w:val="00B30112"/>
    <w:rsid w:val="00CA4DD6"/>
    <w:rsid w:val="00CD3D94"/>
    <w:rsid w:val="00D12AAC"/>
    <w:rsid w:val="00D571A0"/>
    <w:rsid w:val="00D90641"/>
    <w:rsid w:val="00DB73AD"/>
    <w:rsid w:val="00E54515"/>
    <w:rsid w:val="00F25CCE"/>
    <w:rsid w:val="00F61DAB"/>
    <w:rsid w:val="00F62D3F"/>
    <w:rsid w:val="00F7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3C2D"/>
  <w15:docId w15:val="{1695B058-D9DB-48A9-AD6E-295C76EB4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77F"/>
  </w:style>
  <w:style w:type="paragraph" w:styleId="Footer">
    <w:name w:val="footer"/>
    <w:basedOn w:val="Normal"/>
    <w:link w:val="FooterChar"/>
    <w:uiPriority w:val="99"/>
    <w:unhideWhenUsed/>
    <w:rsid w:val="00A67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77F"/>
  </w:style>
  <w:style w:type="table" w:styleId="TableGrid">
    <w:name w:val="Table Grid"/>
    <w:basedOn w:val="TableNormal"/>
    <w:uiPriority w:val="39"/>
    <w:rsid w:val="00A6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C0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060A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NormalWeb">
    <w:name w:val="Normal (Web)"/>
    <w:basedOn w:val="Normal"/>
    <w:uiPriority w:val="99"/>
    <w:semiHidden/>
    <w:unhideWhenUsed/>
    <w:rsid w:val="005C060A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5C060A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BA808-47D8-4CED-BDC1-DFC3A154E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Anna Petrova Teneva-Kamh</cp:lastModifiedBy>
  <cp:revision>15</cp:revision>
  <cp:lastPrinted>2019-03-12T17:54:00Z</cp:lastPrinted>
  <dcterms:created xsi:type="dcterms:W3CDTF">2023-01-16T07:38:00Z</dcterms:created>
  <dcterms:modified xsi:type="dcterms:W3CDTF">2023-01-17T11:50:00Z</dcterms:modified>
</cp:coreProperties>
</file>