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39A92" w14:textId="77777777" w:rsidR="00F1341F" w:rsidRPr="008340BB" w:rsidRDefault="00F1341F" w:rsidP="00243777">
      <w:pPr>
        <w:pStyle w:val="Caption"/>
        <w:ind w:left="1440" w:firstLine="720"/>
        <w:rPr>
          <w:lang w:eastAsia="bg-BG"/>
        </w:rPr>
      </w:pPr>
      <w:r w:rsidRPr="008340BB">
        <w:rPr>
          <w:lang w:eastAsia="bg-BG"/>
        </w:rPr>
        <w:t>OPERATIONAL PROGRAMME UNDER THE</w:t>
      </w:r>
    </w:p>
    <w:p w14:paraId="437DB9FE" w14:textId="77777777" w:rsidR="00F1341F" w:rsidRPr="008340BB" w:rsidRDefault="00F1341F" w:rsidP="00294C1F">
      <w:pPr>
        <w:pStyle w:val="Typedudocument"/>
        <w:rPr>
          <w:bCs/>
          <w:sz w:val="32"/>
          <w:szCs w:val="32"/>
          <w:lang w:eastAsia="bg-BG"/>
        </w:rPr>
      </w:pPr>
      <w:r w:rsidRPr="008340BB">
        <w:rPr>
          <w:bCs/>
          <w:sz w:val="32"/>
          <w:szCs w:val="32"/>
          <w:lang w:eastAsia="bg-BG"/>
        </w:rPr>
        <w:t>'INVESTMENT FOR GROWTH AND JOBS' GOAL</w:t>
      </w:r>
    </w:p>
    <w:p w14:paraId="49550EC7" w14:textId="77777777" w:rsidR="00F1341F" w:rsidRPr="008340BB" w:rsidRDefault="00F1341F" w:rsidP="00294C1F">
      <w:pPr>
        <w:pStyle w:val="Typedudocument"/>
      </w:pPr>
    </w:p>
    <w:p w14:paraId="5F24C966" w14:textId="77777777" w:rsidR="00F1341F" w:rsidRPr="008340BB" w:rsidRDefault="00F1341F" w:rsidP="00294C1F">
      <w:pPr>
        <w:pStyle w:val="Typedudocumen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5103"/>
      </w:tblGrid>
      <w:tr w:rsidR="00F1341F" w:rsidRPr="008340BB" w14:paraId="437FF9EF" w14:textId="77777777" w:rsidTr="00AD4AED">
        <w:trPr>
          <w:trHeight w:val="222"/>
          <w:jc w:val="center"/>
        </w:trPr>
        <w:tc>
          <w:tcPr>
            <w:tcW w:w="2943" w:type="dxa"/>
          </w:tcPr>
          <w:p w14:paraId="214F377B" w14:textId="77777777" w:rsidR="00F1341F" w:rsidRPr="008340BB" w:rsidRDefault="00F1341F" w:rsidP="00F03C1E">
            <w:pPr>
              <w:spacing w:after="0"/>
            </w:pPr>
            <w:r w:rsidRPr="008340BB">
              <w:t>CCI</w:t>
            </w:r>
          </w:p>
        </w:tc>
        <w:tc>
          <w:tcPr>
            <w:tcW w:w="5103" w:type="dxa"/>
          </w:tcPr>
          <w:p w14:paraId="771032F6" w14:textId="77777777" w:rsidR="00F1341F" w:rsidRPr="008340BB" w:rsidRDefault="00F1341F" w:rsidP="00F03C1E">
            <w:pPr>
              <w:spacing w:after="0"/>
              <w:jc w:val="left"/>
              <w:rPr>
                <w:color w:val="8DB3E2"/>
                <w:sz w:val="18"/>
                <w:szCs w:val="18"/>
              </w:rPr>
            </w:pPr>
            <w:r w:rsidRPr="008340BB">
              <w:rPr>
                <w:szCs w:val="24"/>
                <w:lang w:eastAsia="bg-BG"/>
              </w:rPr>
              <w:t>2014BG16M1OP001</w:t>
            </w:r>
          </w:p>
        </w:tc>
      </w:tr>
      <w:tr w:rsidR="00F1341F" w:rsidRPr="008340BB" w14:paraId="58F2D670" w14:textId="77777777" w:rsidTr="00AD4AED">
        <w:trPr>
          <w:trHeight w:val="269"/>
          <w:jc w:val="center"/>
        </w:trPr>
        <w:tc>
          <w:tcPr>
            <w:tcW w:w="2943" w:type="dxa"/>
          </w:tcPr>
          <w:p w14:paraId="1FA41553" w14:textId="77777777" w:rsidR="00F1341F" w:rsidRPr="008340BB" w:rsidRDefault="00F1341F" w:rsidP="00F03C1E">
            <w:pPr>
              <w:spacing w:after="0"/>
            </w:pPr>
            <w:r w:rsidRPr="008340BB">
              <w:t>Title</w:t>
            </w:r>
          </w:p>
        </w:tc>
        <w:tc>
          <w:tcPr>
            <w:tcW w:w="5103" w:type="dxa"/>
          </w:tcPr>
          <w:p w14:paraId="74D2E046" w14:textId="77777777" w:rsidR="00F1341F" w:rsidRPr="008340BB" w:rsidRDefault="00F1341F" w:rsidP="00F03C1E">
            <w:pPr>
              <w:spacing w:after="0"/>
              <w:jc w:val="left"/>
              <w:rPr>
                <w:i/>
                <w:color w:val="8DB3E2"/>
                <w:sz w:val="18"/>
                <w:szCs w:val="18"/>
              </w:rPr>
            </w:pPr>
            <w:r w:rsidRPr="008340BB">
              <w:rPr>
                <w:i/>
              </w:rPr>
              <w:t>Operational Programme “Transport and Transport Infrastructure”</w:t>
            </w:r>
          </w:p>
        </w:tc>
      </w:tr>
      <w:tr w:rsidR="00F1341F" w:rsidRPr="008340BB" w14:paraId="46407657" w14:textId="77777777" w:rsidTr="00AD4AED">
        <w:trPr>
          <w:trHeight w:val="138"/>
          <w:jc w:val="center"/>
        </w:trPr>
        <w:tc>
          <w:tcPr>
            <w:tcW w:w="2943" w:type="dxa"/>
          </w:tcPr>
          <w:p w14:paraId="77196E03" w14:textId="77777777" w:rsidR="00F1341F" w:rsidRPr="008340BB" w:rsidRDefault="00F1341F" w:rsidP="00F03C1E">
            <w:pPr>
              <w:spacing w:after="0"/>
            </w:pPr>
            <w:r w:rsidRPr="008340BB">
              <w:t>Version</w:t>
            </w:r>
          </w:p>
        </w:tc>
        <w:tc>
          <w:tcPr>
            <w:tcW w:w="5103" w:type="dxa"/>
          </w:tcPr>
          <w:p w14:paraId="259E5570" w14:textId="456872FA" w:rsidR="00F1341F" w:rsidRPr="00253AB1" w:rsidRDefault="005D38BA" w:rsidP="00D32E79">
            <w:pPr>
              <w:spacing w:after="0"/>
              <w:jc w:val="left"/>
              <w:rPr>
                <w:i/>
                <w:color w:val="8DB3E2"/>
                <w:sz w:val="18"/>
                <w:szCs w:val="18"/>
                <w:lang w:val="en-US"/>
              </w:rPr>
            </w:pPr>
            <w:r>
              <w:rPr>
                <w:szCs w:val="24"/>
                <w:lang w:val="bg-BG" w:eastAsia="bg-BG"/>
              </w:rPr>
              <w:t>8</w:t>
            </w:r>
            <w:r w:rsidR="00B71EBE">
              <w:rPr>
                <w:szCs w:val="24"/>
                <w:lang w:val="en-US" w:eastAsia="bg-BG"/>
              </w:rPr>
              <w:t>.</w:t>
            </w:r>
          </w:p>
        </w:tc>
      </w:tr>
      <w:tr w:rsidR="00F1341F" w:rsidRPr="008340BB" w14:paraId="13FF218E" w14:textId="77777777" w:rsidTr="00AD4AED">
        <w:trPr>
          <w:jc w:val="center"/>
        </w:trPr>
        <w:tc>
          <w:tcPr>
            <w:tcW w:w="2943" w:type="dxa"/>
          </w:tcPr>
          <w:p w14:paraId="3208BA7A" w14:textId="77777777" w:rsidR="00F1341F" w:rsidRPr="008340BB" w:rsidRDefault="00F1341F" w:rsidP="008C66F2">
            <w:pPr>
              <w:spacing w:after="0"/>
            </w:pPr>
            <w:r w:rsidRPr="008340BB">
              <w:t>First year</w:t>
            </w:r>
          </w:p>
        </w:tc>
        <w:tc>
          <w:tcPr>
            <w:tcW w:w="5103" w:type="dxa"/>
          </w:tcPr>
          <w:p w14:paraId="13E6B01E" w14:textId="77777777" w:rsidR="00F1341F" w:rsidRPr="008340BB" w:rsidRDefault="00F1341F" w:rsidP="00F03C1E">
            <w:pPr>
              <w:spacing w:after="0"/>
              <w:jc w:val="left"/>
              <w:rPr>
                <w:i/>
                <w:color w:val="8DB3E2"/>
                <w:sz w:val="18"/>
                <w:szCs w:val="18"/>
              </w:rPr>
            </w:pPr>
            <w:r w:rsidRPr="008340BB">
              <w:rPr>
                <w:i/>
                <w:szCs w:val="24"/>
              </w:rPr>
              <w:t>2014</w:t>
            </w:r>
          </w:p>
        </w:tc>
      </w:tr>
      <w:tr w:rsidR="00F1341F" w:rsidRPr="008340BB" w14:paraId="3DDC753F" w14:textId="77777777" w:rsidTr="00AD4AED">
        <w:trPr>
          <w:jc w:val="center"/>
        </w:trPr>
        <w:tc>
          <w:tcPr>
            <w:tcW w:w="2943" w:type="dxa"/>
          </w:tcPr>
          <w:p w14:paraId="3DB6EFF8" w14:textId="77777777" w:rsidR="00F1341F" w:rsidRPr="008340BB" w:rsidRDefault="00F1341F" w:rsidP="008C66F2">
            <w:pPr>
              <w:spacing w:after="0"/>
            </w:pPr>
            <w:r w:rsidRPr="008340BB">
              <w:t>Last year</w:t>
            </w:r>
          </w:p>
        </w:tc>
        <w:tc>
          <w:tcPr>
            <w:tcW w:w="5103" w:type="dxa"/>
          </w:tcPr>
          <w:p w14:paraId="2E20DD74" w14:textId="77777777" w:rsidR="00F1341F" w:rsidRPr="008340BB" w:rsidRDefault="00F1341F" w:rsidP="00F03C1E">
            <w:pPr>
              <w:spacing w:after="0"/>
              <w:jc w:val="left"/>
              <w:rPr>
                <w:i/>
                <w:color w:val="8DB3E2"/>
                <w:sz w:val="18"/>
                <w:szCs w:val="18"/>
              </w:rPr>
            </w:pPr>
            <w:r w:rsidRPr="008340BB">
              <w:rPr>
                <w:i/>
                <w:szCs w:val="24"/>
              </w:rPr>
              <w:t>2020</w:t>
            </w:r>
          </w:p>
        </w:tc>
      </w:tr>
      <w:tr w:rsidR="00F1341F" w:rsidRPr="008340BB" w14:paraId="7DA721EB" w14:textId="77777777" w:rsidTr="00AD4AED">
        <w:trPr>
          <w:jc w:val="center"/>
        </w:trPr>
        <w:tc>
          <w:tcPr>
            <w:tcW w:w="2943" w:type="dxa"/>
          </w:tcPr>
          <w:p w14:paraId="4D8ABE03" w14:textId="77777777" w:rsidR="00F1341F" w:rsidRPr="008340BB" w:rsidRDefault="00F1341F" w:rsidP="008C66F2">
            <w:pPr>
              <w:spacing w:after="0"/>
            </w:pPr>
            <w:r w:rsidRPr="008340BB">
              <w:t>Eligible from</w:t>
            </w:r>
          </w:p>
        </w:tc>
        <w:tc>
          <w:tcPr>
            <w:tcW w:w="5103" w:type="dxa"/>
          </w:tcPr>
          <w:p w14:paraId="5EA867E8" w14:textId="77777777" w:rsidR="00F1341F" w:rsidRPr="008340BB" w:rsidRDefault="00F1341F" w:rsidP="00F03C1E">
            <w:pPr>
              <w:spacing w:after="0"/>
              <w:jc w:val="left"/>
              <w:rPr>
                <w:i/>
                <w:color w:val="8DB3E2"/>
                <w:sz w:val="18"/>
                <w:szCs w:val="18"/>
                <w:highlight w:val="green"/>
              </w:rPr>
            </w:pPr>
            <w:r w:rsidRPr="008340BB">
              <w:rPr>
                <w:i/>
                <w:szCs w:val="24"/>
              </w:rPr>
              <w:t xml:space="preserve">01.01.2014 </w:t>
            </w:r>
          </w:p>
        </w:tc>
      </w:tr>
      <w:tr w:rsidR="00F1341F" w:rsidRPr="008340BB" w14:paraId="05CC3432" w14:textId="77777777" w:rsidTr="00AD4AED">
        <w:trPr>
          <w:jc w:val="center"/>
        </w:trPr>
        <w:tc>
          <w:tcPr>
            <w:tcW w:w="2943" w:type="dxa"/>
          </w:tcPr>
          <w:p w14:paraId="0FCD3121" w14:textId="77777777" w:rsidR="00F1341F" w:rsidRPr="008340BB" w:rsidRDefault="00F1341F" w:rsidP="008C66F2">
            <w:pPr>
              <w:spacing w:after="0"/>
            </w:pPr>
            <w:r w:rsidRPr="008340BB">
              <w:t>Eligible until</w:t>
            </w:r>
          </w:p>
        </w:tc>
        <w:tc>
          <w:tcPr>
            <w:tcW w:w="5103" w:type="dxa"/>
          </w:tcPr>
          <w:p w14:paraId="4DE28319" w14:textId="77777777" w:rsidR="00F1341F" w:rsidRPr="008340BB" w:rsidRDefault="00F1341F" w:rsidP="00F03C1E">
            <w:pPr>
              <w:spacing w:after="0"/>
              <w:jc w:val="left"/>
              <w:rPr>
                <w:i/>
                <w:color w:val="8DB3E2"/>
                <w:sz w:val="18"/>
                <w:szCs w:val="18"/>
                <w:highlight w:val="green"/>
              </w:rPr>
            </w:pPr>
            <w:r w:rsidRPr="008340BB">
              <w:rPr>
                <w:i/>
                <w:szCs w:val="24"/>
              </w:rPr>
              <w:t xml:space="preserve">31.12.2023 </w:t>
            </w:r>
          </w:p>
        </w:tc>
      </w:tr>
      <w:tr w:rsidR="00F1341F" w:rsidRPr="008340BB" w14:paraId="441C66C4" w14:textId="77777777" w:rsidTr="00AD4AED">
        <w:trPr>
          <w:jc w:val="center"/>
        </w:trPr>
        <w:tc>
          <w:tcPr>
            <w:tcW w:w="2943" w:type="dxa"/>
          </w:tcPr>
          <w:p w14:paraId="05FB1B0A" w14:textId="77777777" w:rsidR="00F1341F" w:rsidRPr="008340BB" w:rsidRDefault="00F1341F" w:rsidP="008C66F2">
            <w:pPr>
              <w:spacing w:after="0"/>
            </w:pPr>
            <w:r w:rsidRPr="008340BB">
              <w:t>EC decision number</w:t>
            </w:r>
          </w:p>
        </w:tc>
        <w:tc>
          <w:tcPr>
            <w:tcW w:w="5103" w:type="dxa"/>
          </w:tcPr>
          <w:p w14:paraId="0D48FCF1" w14:textId="77777777" w:rsidR="00F1341F" w:rsidRPr="008340BB" w:rsidRDefault="00F1341F" w:rsidP="00F03C1E">
            <w:pPr>
              <w:spacing w:after="0"/>
              <w:jc w:val="left"/>
              <w:rPr>
                <w:i/>
                <w:color w:val="8DB3E2"/>
                <w:sz w:val="18"/>
                <w:szCs w:val="18"/>
              </w:rPr>
            </w:pPr>
          </w:p>
        </w:tc>
      </w:tr>
      <w:tr w:rsidR="00F1341F" w:rsidRPr="008340BB" w14:paraId="00EE3F1A" w14:textId="77777777" w:rsidTr="00AD4AED">
        <w:trPr>
          <w:jc w:val="center"/>
        </w:trPr>
        <w:tc>
          <w:tcPr>
            <w:tcW w:w="2943" w:type="dxa"/>
          </w:tcPr>
          <w:p w14:paraId="109F5668" w14:textId="77777777" w:rsidR="00F1341F" w:rsidRPr="008340BB" w:rsidRDefault="00F1341F" w:rsidP="008C66F2">
            <w:pPr>
              <w:spacing w:after="0"/>
            </w:pPr>
            <w:r w:rsidRPr="008340BB">
              <w:t>EC decision date</w:t>
            </w:r>
          </w:p>
        </w:tc>
        <w:tc>
          <w:tcPr>
            <w:tcW w:w="5103" w:type="dxa"/>
          </w:tcPr>
          <w:p w14:paraId="4BC28828" w14:textId="77777777" w:rsidR="00F1341F" w:rsidRPr="008340BB" w:rsidRDefault="00F1341F" w:rsidP="00F03C1E">
            <w:pPr>
              <w:spacing w:after="0"/>
              <w:jc w:val="left"/>
              <w:rPr>
                <w:i/>
                <w:color w:val="8DB3E2"/>
                <w:sz w:val="18"/>
                <w:szCs w:val="18"/>
              </w:rPr>
            </w:pPr>
          </w:p>
        </w:tc>
      </w:tr>
      <w:tr w:rsidR="00F1341F" w:rsidRPr="008340BB" w14:paraId="475A6D79" w14:textId="77777777" w:rsidTr="00AD4AED">
        <w:trPr>
          <w:jc w:val="center"/>
        </w:trPr>
        <w:tc>
          <w:tcPr>
            <w:tcW w:w="2943" w:type="dxa"/>
          </w:tcPr>
          <w:p w14:paraId="4EF77062" w14:textId="77777777" w:rsidR="00F1341F" w:rsidRPr="008340BB" w:rsidRDefault="00F1341F" w:rsidP="008C66F2">
            <w:pPr>
              <w:spacing w:after="0"/>
            </w:pPr>
            <w:r w:rsidRPr="008340BB">
              <w:t>MS decision number</w:t>
            </w:r>
          </w:p>
        </w:tc>
        <w:tc>
          <w:tcPr>
            <w:tcW w:w="5103" w:type="dxa"/>
          </w:tcPr>
          <w:p w14:paraId="059F3254" w14:textId="77777777" w:rsidR="00F1341F" w:rsidRPr="008340BB" w:rsidRDefault="00F1341F" w:rsidP="00F03C1E">
            <w:pPr>
              <w:spacing w:after="0"/>
              <w:jc w:val="left"/>
              <w:rPr>
                <w:i/>
                <w:color w:val="8DB3E2"/>
                <w:sz w:val="18"/>
                <w:szCs w:val="18"/>
              </w:rPr>
            </w:pPr>
          </w:p>
        </w:tc>
      </w:tr>
      <w:tr w:rsidR="00F1341F" w:rsidRPr="008340BB" w14:paraId="48FAAE12" w14:textId="77777777" w:rsidTr="00AD4AED">
        <w:trPr>
          <w:jc w:val="center"/>
        </w:trPr>
        <w:tc>
          <w:tcPr>
            <w:tcW w:w="2943" w:type="dxa"/>
          </w:tcPr>
          <w:p w14:paraId="73269432" w14:textId="77777777" w:rsidR="00F1341F" w:rsidRPr="008340BB" w:rsidRDefault="00F1341F" w:rsidP="008C66F2">
            <w:pPr>
              <w:spacing w:after="0"/>
            </w:pPr>
            <w:r w:rsidRPr="008340BB">
              <w:t>MS decision date</w:t>
            </w:r>
          </w:p>
        </w:tc>
        <w:tc>
          <w:tcPr>
            <w:tcW w:w="5103" w:type="dxa"/>
          </w:tcPr>
          <w:p w14:paraId="2A1028D1" w14:textId="77777777" w:rsidR="00F1341F" w:rsidRPr="008340BB" w:rsidRDefault="00F1341F" w:rsidP="00F03C1E">
            <w:pPr>
              <w:spacing w:after="0"/>
              <w:jc w:val="left"/>
              <w:rPr>
                <w:i/>
                <w:color w:val="8DB3E2"/>
                <w:sz w:val="18"/>
                <w:szCs w:val="18"/>
              </w:rPr>
            </w:pPr>
          </w:p>
        </w:tc>
      </w:tr>
      <w:tr w:rsidR="00F1341F" w:rsidRPr="008340BB" w14:paraId="7F680F04" w14:textId="77777777" w:rsidTr="00AD4AED">
        <w:trPr>
          <w:trHeight w:val="163"/>
          <w:jc w:val="center"/>
        </w:trPr>
        <w:tc>
          <w:tcPr>
            <w:tcW w:w="2943" w:type="dxa"/>
          </w:tcPr>
          <w:p w14:paraId="53F4C1B4" w14:textId="77777777" w:rsidR="00F1341F" w:rsidRPr="008340BB" w:rsidRDefault="00F1341F" w:rsidP="008C66F2">
            <w:pPr>
              <w:spacing w:after="0"/>
            </w:pPr>
            <w:r w:rsidRPr="008340BB">
              <w:t>MS decision entry into force date</w:t>
            </w:r>
          </w:p>
        </w:tc>
        <w:tc>
          <w:tcPr>
            <w:tcW w:w="5103" w:type="dxa"/>
          </w:tcPr>
          <w:p w14:paraId="6FB7F612" w14:textId="77777777" w:rsidR="00F1341F" w:rsidRPr="008340BB" w:rsidRDefault="00F1341F" w:rsidP="00F03C1E">
            <w:pPr>
              <w:spacing w:after="0"/>
              <w:jc w:val="left"/>
              <w:rPr>
                <w:i/>
                <w:color w:val="8DB3E2"/>
                <w:sz w:val="18"/>
                <w:szCs w:val="18"/>
              </w:rPr>
            </w:pPr>
          </w:p>
        </w:tc>
      </w:tr>
      <w:tr w:rsidR="00F1341F" w:rsidRPr="008340BB" w14:paraId="090BAA86" w14:textId="77777777" w:rsidTr="00AD4AED">
        <w:trPr>
          <w:trHeight w:val="163"/>
          <w:jc w:val="center"/>
        </w:trPr>
        <w:tc>
          <w:tcPr>
            <w:tcW w:w="2943" w:type="dxa"/>
          </w:tcPr>
          <w:p w14:paraId="5614FDAB" w14:textId="77777777" w:rsidR="00F1341F" w:rsidRPr="008340BB" w:rsidRDefault="00F1341F" w:rsidP="00F03C1E">
            <w:pPr>
              <w:spacing w:after="0"/>
            </w:pPr>
            <w:r w:rsidRPr="008340BB">
              <w:t>NUTS regions covered by the operational programme</w:t>
            </w:r>
          </w:p>
        </w:tc>
        <w:tc>
          <w:tcPr>
            <w:tcW w:w="5103" w:type="dxa"/>
          </w:tcPr>
          <w:p w14:paraId="7E5474A4" w14:textId="77777777" w:rsidR="00F1341F" w:rsidRPr="008340BB" w:rsidRDefault="00F1341F" w:rsidP="00F03C1E">
            <w:pPr>
              <w:spacing w:after="0"/>
              <w:jc w:val="left"/>
              <w:rPr>
                <w:i/>
                <w:color w:val="8DB3E2"/>
                <w:sz w:val="18"/>
                <w:szCs w:val="18"/>
              </w:rPr>
            </w:pPr>
          </w:p>
        </w:tc>
      </w:tr>
    </w:tbl>
    <w:p w14:paraId="1F997C5F" w14:textId="77777777" w:rsidR="00F1341F" w:rsidRPr="008340BB" w:rsidRDefault="00F1341F" w:rsidP="00F03C1E"/>
    <w:p w14:paraId="5E4509FF" w14:textId="77777777" w:rsidR="00F1341F" w:rsidRPr="008340BB" w:rsidRDefault="00F1341F" w:rsidP="00F03C1E"/>
    <w:p w14:paraId="199D7267" w14:textId="77777777" w:rsidR="00F1341F" w:rsidRPr="008340BB" w:rsidRDefault="00F1341F" w:rsidP="00F03C1E"/>
    <w:p w14:paraId="483A8912" w14:textId="77777777" w:rsidR="00F1341F" w:rsidRPr="008340BB" w:rsidRDefault="00F1341F" w:rsidP="00F03C1E"/>
    <w:p w14:paraId="08A96576" w14:textId="77777777" w:rsidR="00F1341F" w:rsidRPr="008340BB" w:rsidRDefault="00F1341F" w:rsidP="00F03C1E"/>
    <w:p w14:paraId="65A62540" w14:textId="77777777" w:rsidR="00F1341F" w:rsidRPr="008340BB" w:rsidRDefault="00F1341F" w:rsidP="00F03C1E"/>
    <w:p w14:paraId="31EFE9BC" w14:textId="77777777" w:rsidR="00F1341F" w:rsidRPr="008340BB" w:rsidRDefault="00F1341F" w:rsidP="00F03C1E"/>
    <w:p w14:paraId="5BE690D6" w14:textId="77777777" w:rsidR="00F1341F" w:rsidRPr="008340BB" w:rsidRDefault="00F1341F" w:rsidP="00445D2B">
      <w:pPr>
        <w:pStyle w:val="ManualHeading1"/>
        <w:tabs>
          <w:tab w:val="clear" w:pos="850"/>
          <w:tab w:val="left" w:pos="1418"/>
        </w:tabs>
        <w:ind w:left="1418" w:hanging="1418"/>
        <w:rPr>
          <w:sz w:val="19"/>
          <w:szCs w:val="19"/>
        </w:rPr>
      </w:pPr>
      <w:r w:rsidRPr="008340BB">
        <w:lastRenderedPageBreak/>
        <w:t>SECTION 1</w:t>
      </w:r>
      <w:r w:rsidRPr="008340BB">
        <w:tab/>
        <w:t xml:space="preserve">strategy for the operational programme's contribution to the Union strategy for smart, sustainable and inclusive growth </w:t>
      </w:r>
      <w:r w:rsidRPr="008340BB">
        <w:rPr>
          <w:sz w:val="19"/>
          <w:szCs w:val="19"/>
        </w:rPr>
        <w:t xml:space="preserve">AND THE ACHIEVEMENT OF ECONOMIC, SOCIAL AND TERRITORIAL COHESION </w:t>
      </w:r>
    </w:p>
    <w:p w14:paraId="374F3CC8" w14:textId="77777777" w:rsidR="00F1341F" w:rsidRPr="008340BB" w:rsidRDefault="00F1341F" w:rsidP="00BF3391">
      <w:r w:rsidRPr="008340BB">
        <w:t>(Reference: Article 27(1) and point (a) of the first subparagraph of Article 96(2) of Regulation (EU) No 1303/2013 of the European Parliament and of the Council)</w:t>
      </w:r>
      <w:r w:rsidRPr="008340BB">
        <w:rPr>
          <w:rStyle w:val="FootnoteReference"/>
        </w:rPr>
        <w:footnoteReference w:id="1"/>
      </w:r>
    </w:p>
    <w:p w14:paraId="75DB92BB" w14:textId="77777777" w:rsidR="00F1341F" w:rsidRPr="008340BB" w:rsidRDefault="00F1341F" w:rsidP="00AD4AED">
      <w:pPr>
        <w:rPr>
          <w:lang w:eastAsia="fr-BE"/>
        </w:rPr>
      </w:pPr>
    </w:p>
    <w:p w14:paraId="0398F41E" w14:textId="77777777" w:rsidR="00F1341F" w:rsidRPr="008340BB" w:rsidRDefault="00F1341F" w:rsidP="00ED5DE5">
      <w:pPr>
        <w:pStyle w:val="NumPar2"/>
        <w:numPr>
          <w:ilvl w:val="1"/>
          <w:numId w:val="31"/>
        </w:numPr>
        <w:tabs>
          <w:tab w:val="clear" w:pos="1492"/>
        </w:tabs>
      </w:pPr>
      <w:r w:rsidRPr="008340BB">
        <w:rPr>
          <w:b/>
        </w:rPr>
        <w:t>Strategy for the operational programme's contribution to the Union strategy for smart, sustainable and inclusive growth and to the achievement of economic, social and territorial cohesion</w:t>
      </w:r>
    </w:p>
    <w:p w14:paraId="1DD9D0D5" w14:textId="77777777" w:rsidR="00F1341F" w:rsidRPr="008340BB" w:rsidRDefault="00F1341F" w:rsidP="002B6273">
      <w:pPr>
        <w:rPr>
          <w:b/>
        </w:rPr>
      </w:pPr>
      <w:r w:rsidRPr="008340BB">
        <w:t xml:space="preserve">1.1.1. Description of the programme’s strategy for contributing to the delivery of the Union strategy for smart, sustainable and inclusive growth and for achieving economic, social and territorial cohesion. </w:t>
      </w:r>
    </w:p>
    <w:tbl>
      <w:tblPr>
        <w:tblW w:w="0" w:type="auto"/>
        <w:tblInd w:w="534" w:type="dxa"/>
        <w:tblLook w:val="00A0" w:firstRow="1" w:lastRow="0" w:firstColumn="1" w:lastColumn="0" w:noHBand="0" w:noVBand="0"/>
      </w:tblPr>
      <w:tblGrid>
        <w:gridCol w:w="8300"/>
      </w:tblGrid>
      <w:tr w:rsidR="00F1341F" w:rsidRPr="008340BB" w14:paraId="72D23590" w14:textId="77777777" w:rsidTr="00243777">
        <w:trPr>
          <w:trHeight w:val="996"/>
        </w:trPr>
        <w:tc>
          <w:tcPr>
            <w:tcW w:w="8300" w:type="dxa"/>
          </w:tcPr>
          <w:p w14:paraId="482D3C1E" w14:textId="77777777" w:rsidR="00504EE9" w:rsidRDefault="00F1341F" w:rsidP="00101A7A">
            <w:pPr>
              <w:autoSpaceDE w:val="0"/>
              <w:autoSpaceDN w:val="0"/>
              <w:adjustRightInd w:val="0"/>
            </w:pPr>
            <w:r w:rsidRPr="008340BB">
              <w:rPr>
                <w:b/>
              </w:rPr>
              <w:t xml:space="preserve">Current </w:t>
            </w:r>
            <w:r w:rsidRPr="008340BB">
              <w:rPr>
                <w:b/>
                <w:iCs/>
              </w:rPr>
              <w:t>state of the transport infrastructure in Bulgaria</w:t>
            </w:r>
            <w:r w:rsidRPr="008340BB" w:rsidDel="007C189E">
              <w:rPr>
                <w:b/>
              </w:rPr>
              <w:t xml:space="preserve"> </w:t>
            </w:r>
          </w:p>
          <w:p w14:paraId="0A682258" w14:textId="77777777" w:rsidR="00F1341F" w:rsidRPr="00BE5335" w:rsidRDefault="00943247" w:rsidP="00101A7A">
            <w:pPr>
              <w:autoSpaceDE w:val="0"/>
              <w:autoSpaceDN w:val="0"/>
              <w:adjustRightInd w:val="0"/>
              <w:rPr>
                <w:lang w:val="en-US"/>
              </w:rPr>
            </w:pPr>
            <w:r>
              <w:t>Bulgarian national transport system includes a</w:t>
            </w:r>
            <w:r w:rsidR="00F1341F" w:rsidRPr="008340BB">
              <w:t xml:space="preserve">ll modes of transport – railway, road, sea, inland-waterway, air and intermodal transport. </w:t>
            </w:r>
          </w:p>
          <w:p w14:paraId="57FA3C78" w14:textId="77777777" w:rsidR="00F1341F" w:rsidRPr="005C1418" w:rsidRDefault="00F1341F" w:rsidP="00A26B6F">
            <w:pPr>
              <w:rPr>
                <w:i/>
              </w:rPr>
            </w:pPr>
            <w:r w:rsidRPr="00A828C5">
              <w:rPr>
                <w:i/>
              </w:rPr>
              <w:t>Railway</w:t>
            </w:r>
          </w:p>
          <w:p w14:paraId="35EEB1C5" w14:textId="77777777" w:rsidR="00FD5BCC" w:rsidRDefault="00F1341F" w:rsidP="00435AC3">
            <w:pPr>
              <w:spacing w:before="0"/>
              <w:rPr>
                <w:szCs w:val="24"/>
              </w:rPr>
            </w:pPr>
            <w:bookmarkStart w:id="0" w:name="_Toc273090075"/>
            <w:bookmarkStart w:id="1" w:name="_Toc273090076"/>
            <w:bookmarkStart w:id="2" w:name="_Toc273090077"/>
            <w:bookmarkStart w:id="3" w:name="_Toc273090078"/>
            <w:bookmarkStart w:id="4" w:name="_Toc273090079"/>
            <w:bookmarkStart w:id="5" w:name="_Toc273090080"/>
            <w:bookmarkStart w:id="6" w:name="_Toc273090081"/>
            <w:bookmarkStart w:id="7" w:name="_Toc273090082"/>
            <w:bookmarkStart w:id="8" w:name="_Toc273090083"/>
            <w:bookmarkStart w:id="9" w:name="_Toc273090088"/>
            <w:bookmarkStart w:id="10" w:name="_Toc273090090"/>
            <w:bookmarkStart w:id="11" w:name="_Toc273090093"/>
            <w:bookmarkStart w:id="12" w:name="_Toc273090094"/>
            <w:bookmarkStart w:id="13" w:name="_Toc273090095"/>
            <w:bookmarkStart w:id="14" w:name="_Toc273090096"/>
            <w:bookmarkStart w:id="15" w:name="_Toc273090098"/>
            <w:bookmarkStart w:id="16" w:name="_Toc273090100"/>
            <w:bookmarkStart w:id="17" w:name="_Toc273090101"/>
            <w:bookmarkStart w:id="18" w:name="_Toc273090102"/>
            <w:bookmarkStart w:id="19" w:name="_Toc273090104"/>
            <w:bookmarkStart w:id="20" w:name="_Toc273090106"/>
            <w:bookmarkStart w:id="21" w:name="_Toc273090108"/>
            <w:bookmarkStart w:id="22" w:name="_Toc273090110"/>
            <w:bookmarkStart w:id="23" w:name="_Toc27309011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8340BB">
              <w:rPr>
                <w:szCs w:val="24"/>
              </w:rPr>
              <w:t xml:space="preserve">According to National Statistics Institute (NSI) data, in 2012 the total length of railway lines in Bulgaria </w:t>
            </w:r>
            <w:r w:rsidR="00FD5BCC">
              <w:rPr>
                <w:szCs w:val="24"/>
              </w:rPr>
              <w:t>was</w:t>
            </w:r>
            <w:r w:rsidR="00FD5BCC" w:rsidRPr="008340BB">
              <w:rPr>
                <w:szCs w:val="24"/>
              </w:rPr>
              <w:t xml:space="preserve"> </w:t>
            </w:r>
            <w:r w:rsidRPr="008340BB">
              <w:rPr>
                <w:szCs w:val="24"/>
              </w:rPr>
              <w:t>5</w:t>
            </w:r>
            <w:r w:rsidR="00176604">
              <w:rPr>
                <w:szCs w:val="24"/>
              </w:rPr>
              <w:t>,</w:t>
            </w:r>
            <w:r w:rsidRPr="008340BB">
              <w:rPr>
                <w:szCs w:val="24"/>
              </w:rPr>
              <w:t xml:space="preserve">658 km, including current railway </w:t>
            </w:r>
            <w:r w:rsidR="00444CAA">
              <w:rPr>
                <w:szCs w:val="24"/>
              </w:rPr>
              <w:t>–</w:t>
            </w:r>
            <w:r w:rsidRPr="008340BB">
              <w:rPr>
                <w:szCs w:val="24"/>
              </w:rPr>
              <w:t xml:space="preserve"> 4</w:t>
            </w:r>
            <w:r w:rsidR="00176604">
              <w:rPr>
                <w:szCs w:val="24"/>
              </w:rPr>
              <w:t>,</w:t>
            </w:r>
            <w:r w:rsidRPr="008340BB">
              <w:rPr>
                <w:szCs w:val="24"/>
              </w:rPr>
              <w:t xml:space="preserve">070 km and station tracks </w:t>
            </w:r>
            <w:r w:rsidR="00444CAA">
              <w:rPr>
                <w:szCs w:val="24"/>
              </w:rPr>
              <w:t>–</w:t>
            </w:r>
            <w:r w:rsidRPr="008340BB">
              <w:rPr>
                <w:szCs w:val="24"/>
              </w:rPr>
              <w:t xml:space="preserve"> 1</w:t>
            </w:r>
            <w:r w:rsidR="00176604">
              <w:rPr>
                <w:szCs w:val="24"/>
              </w:rPr>
              <w:t>,</w:t>
            </w:r>
            <w:r w:rsidRPr="008340BB">
              <w:rPr>
                <w:szCs w:val="24"/>
              </w:rPr>
              <w:t>588 km. Territorial distribution of railway lines in the country is unbalanced</w:t>
            </w:r>
            <w:r w:rsidR="00EF5E1F">
              <w:rPr>
                <w:szCs w:val="24"/>
              </w:rPr>
              <w:t>;</w:t>
            </w:r>
            <w:r w:rsidRPr="008340BB">
              <w:rPr>
                <w:szCs w:val="24"/>
              </w:rPr>
              <w:t xml:space="preserve"> </w:t>
            </w:r>
            <w:r w:rsidR="000243C0">
              <w:rPr>
                <w:szCs w:val="24"/>
              </w:rPr>
              <w:t xml:space="preserve">due </w:t>
            </w:r>
            <w:r w:rsidRPr="008340BB">
              <w:rPr>
                <w:szCs w:val="24"/>
              </w:rPr>
              <w:t xml:space="preserve">to </w:t>
            </w:r>
            <w:r w:rsidR="000243C0">
              <w:rPr>
                <w:szCs w:val="24"/>
              </w:rPr>
              <w:t xml:space="preserve">topography </w:t>
            </w:r>
            <w:r w:rsidRPr="008340BB">
              <w:rPr>
                <w:szCs w:val="24"/>
              </w:rPr>
              <w:t xml:space="preserve">and socio-demographic conditions. </w:t>
            </w:r>
            <w:r w:rsidR="000243C0">
              <w:rPr>
                <w:szCs w:val="24"/>
              </w:rPr>
              <w:t>The</w:t>
            </w:r>
            <w:r w:rsidR="00EF5E1F">
              <w:rPr>
                <w:szCs w:val="24"/>
              </w:rPr>
              <w:t xml:space="preserve"> </w:t>
            </w:r>
            <w:r w:rsidR="000243C0">
              <w:rPr>
                <w:szCs w:val="24"/>
              </w:rPr>
              <w:t>h</w:t>
            </w:r>
            <w:r w:rsidRPr="008340BB">
              <w:rPr>
                <w:szCs w:val="24"/>
              </w:rPr>
              <w:t xml:space="preserve">ighest density  </w:t>
            </w:r>
            <w:r w:rsidR="000243C0">
              <w:rPr>
                <w:szCs w:val="24"/>
              </w:rPr>
              <w:t xml:space="preserve">of </w:t>
            </w:r>
            <w:r w:rsidRPr="008340BB">
              <w:rPr>
                <w:szCs w:val="24"/>
              </w:rPr>
              <w:t xml:space="preserve">the railway network </w:t>
            </w:r>
            <w:r w:rsidR="000243C0">
              <w:rPr>
                <w:szCs w:val="24"/>
              </w:rPr>
              <w:t>is</w:t>
            </w:r>
            <w:r w:rsidR="00EF5E1F">
              <w:rPr>
                <w:szCs w:val="24"/>
              </w:rPr>
              <w:t xml:space="preserve"> </w:t>
            </w:r>
            <w:r w:rsidRPr="008340BB">
              <w:rPr>
                <w:szCs w:val="24"/>
              </w:rPr>
              <w:t xml:space="preserve">in the South-West Region - 44.8 km/1000 sq. km. Lower than the national average is the density of the railway network in the South-East, North-East and South Central Region. </w:t>
            </w:r>
            <w:r w:rsidR="000243C0">
              <w:rPr>
                <w:szCs w:val="24"/>
              </w:rPr>
              <w:t>C</w:t>
            </w:r>
            <w:r w:rsidRPr="008340BB">
              <w:rPr>
                <w:szCs w:val="24"/>
              </w:rPr>
              <w:t xml:space="preserve">onnections to neighbouring countries are relatively limited. </w:t>
            </w:r>
          </w:p>
          <w:p w14:paraId="212694CE" w14:textId="77777777" w:rsidR="00FD5BCC" w:rsidRPr="00BC06C2" w:rsidRDefault="00F1341F" w:rsidP="00435AC3">
            <w:pPr>
              <w:spacing w:before="0"/>
              <w:rPr>
                <w:szCs w:val="24"/>
                <w:lang w:val="en-US"/>
              </w:rPr>
            </w:pPr>
            <w:r w:rsidRPr="008340BB">
              <w:rPr>
                <w:szCs w:val="24"/>
              </w:rPr>
              <w:t>The share of electrified railway lines in the overall length of the lines in the current railway is 70.3%</w:t>
            </w:r>
            <w:r w:rsidR="006A7156">
              <w:rPr>
                <w:szCs w:val="24"/>
              </w:rPr>
              <w:t xml:space="preserve">; </w:t>
            </w:r>
            <w:r w:rsidR="006A7156" w:rsidRPr="006A7156">
              <w:rPr>
                <w:szCs w:val="24"/>
              </w:rPr>
              <w:t>this is considered</w:t>
            </w:r>
            <w:r w:rsidR="0057278A">
              <w:rPr>
                <w:szCs w:val="24"/>
              </w:rPr>
              <w:t xml:space="preserve"> satisfactory </w:t>
            </w:r>
            <w:r w:rsidR="0057278A" w:rsidRPr="0057278A">
              <w:rPr>
                <w:szCs w:val="24"/>
              </w:rPr>
              <w:t>and is in line with the share of electrified railway lines in other Member States</w:t>
            </w:r>
            <w:r w:rsidRPr="008340BB">
              <w:rPr>
                <w:szCs w:val="24"/>
              </w:rPr>
              <w:t xml:space="preserve">. </w:t>
            </w:r>
          </w:p>
          <w:p w14:paraId="60276C30" w14:textId="400377DF" w:rsidR="006837D5" w:rsidRPr="004D0AF2" w:rsidRDefault="00F1341F" w:rsidP="00435AC3">
            <w:pPr>
              <w:spacing w:before="0"/>
              <w:rPr>
                <w:rStyle w:val="hps"/>
                <w:lang w:val="bg-BG"/>
              </w:rPr>
            </w:pPr>
            <w:r w:rsidRPr="008340BB">
              <w:rPr>
                <w:rStyle w:val="hps"/>
              </w:rPr>
              <w:t>A significant part of</w:t>
            </w:r>
            <w:r w:rsidRPr="008340BB">
              <w:t xml:space="preserve"> </w:t>
            </w:r>
            <w:r w:rsidRPr="008340BB">
              <w:rPr>
                <w:rStyle w:val="hps"/>
              </w:rPr>
              <w:t>the railway</w:t>
            </w:r>
            <w:r w:rsidRPr="008340BB">
              <w:t xml:space="preserve"> </w:t>
            </w:r>
            <w:r w:rsidRPr="008340BB">
              <w:rPr>
                <w:rStyle w:val="hps"/>
              </w:rPr>
              <w:t>lines</w:t>
            </w:r>
            <w:r w:rsidRPr="008340BB">
              <w:t xml:space="preserve"> </w:t>
            </w:r>
            <w:r w:rsidRPr="008340BB">
              <w:rPr>
                <w:rStyle w:val="hps"/>
              </w:rPr>
              <w:t>were built</w:t>
            </w:r>
            <w:r w:rsidRPr="008340BB">
              <w:t xml:space="preserve"> </w:t>
            </w:r>
            <w:r w:rsidRPr="008340BB">
              <w:rPr>
                <w:rStyle w:val="hps"/>
              </w:rPr>
              <w:t>more than 50</w:t>
            </w:r>
            <w:r w:rsidRPr="008340BB">
              <w:t xml:space="preserve"> </w:t>
            </w:r>
            <w:r w:rsidRPr="008340BB">
              <w:rPr>
                <w:rStyle w:val="hps"/>
              </w:rPr>
              <w:t>years ago, with</w:t>
            </w:r>
            <w:r w:rsidRPr="008340BB">
              <w:t xml:space="preserve"> </w:t>
            </w:r>
            <w:r w:rsidRPr="008340BB">
              <w:rPr>
                <w:rStyle w:val="hps"/>
              </w:rPr>
              <w:t>geometry parameters</w:t>
            </w:r>
            <w:r w:rsidRPr="008340BB">
              <w:t xml:space="preserve">, </w:t>
            </w:r>
            <w:r w:rsidRPr="008340BB">
              <w:rPr>
                <w:rStyle w:val="hps"/>
              </w:rPr>
              <w:t>construction and equipment</w:t>
            </w:r>
            <w:r w:rsidRPr="008340BB">
              <w:t xml:space="preserve"> </w:t>
            </w:r>
            <w:r w:rsidRPr="008340BB">
              <w:rPr>
                <w:rStyle w:val="hps"/>
              </w:rPr>
              <w:t>suitable for</w:t>
            </w:r>
            <w:r w:rsidRPr="008340BB">
              <w:t xml:space="preserve"> </w:t>
            </w:r>
            <w:r w:rsidRPr="008340BB">
              <w:rPr>
                <w:rStyle w:val="hps"/>
              </w:rPr>
              <w:t xml:space="preserve">speeds </w:t>
            </w:r>
            <w:r w:rsidR="000243C0">
              <w:rPr>
                <w:rStyle w:val="hps"/>
              </w:rPr>
              <w:t xml:space="preserve">of maximum </w:t>
            </w:r>
            <w:r w:rsidRPr="008340BB">
              <w:rPr>
                <w:rStyle w:val="hps"/>
              </w:rPr>
              <w:t>100 km/h</w:t>
            </w:r>
            <w:r w:rsidRPr="008340BB">
              <w:t xml:space="preserve">, and </w:t>
            </w:r>
            <w:r w:rsidRPr="008340BB">
              <w:rPr>
                <w:rStyle w:val="hps"/>
              </w:rPr>
              <w:t>in places</w:t>
            </w:r>
            <w:r w:rsidRPr="008340BB">
              <w:t xml:space="preserve"> </w:t>
            </w:r>
            <w:r w:rsidRPr="008340BB">
              <w:rPr>
                <w:rStyle w:val="hps"/>
              </w:rPr>
              <w:t xml:space="preserve">with almost depleted options for </w:t>
            </w:r>
            <w:r w:rsidR="000243C0">
              <w:t>keeping</w:t>
            </w:r>
            <w:r w:rsidR="00891AB6">
              <w:t xml:space="preserve"> </w:t>
            </w:r>
            <w:r w:rsidRPr="008340BB">
              <w:rPr>
                <w:rStyle w:val="hps"/>
              </w:rPr>
              <w:t>the speed</w:t>
            </w:r>
            <w:r w:rsidRPr="008340BB">
              <w:t xml:space="preserve"> </w:t>
            </w:r>
            <w:r w:rsidRPr="008340BB">
              <w:rPr>
                <w:rStyle w:val="hps"/>
              </w:rPr>
              <w:t>and guaranteeing security</w:t>
            </w:r>
            <w:r w:rsidRPr="008340BB">
              <w:t xml:space="preserve"> </w:t>
            </w:r>
            <w:r w:rsidRPr="008340BB">
              <w:rPr>
                <w:rStyle w:val="hps"/>
              </w:rPr>
              <w:t>and</w:t>
            </w:r>
            <w:r w:rsidRPr="008340BB">
              <w:t xml:space="preserve"> </w:t>
            </w:r>
            <w:r w:rsidRPr="008340BB">
              <w:rPr>
                <w:rStyle w:val="hps"/>
              </w:rPr>
              <w:t xml:space="preserve">safety. </w:t>
            </w:r>
            <w:r w:rsidR="000243C0">
              <w:t>Key</w:t>
            </w:r>
            <w:r w:rsidR="00F17EB2">
              <w:t xml:space="preserve"> </w:t>
            </w:r>
            <w:r w:rsidRPr="008340BB">
              <w:rPr>
                <w:rStyle w:val="hps"/>
              </w:rPr>
              <w:t>sections</w:t>
            </w:r>
            <w:r w:rsidRPr="008340BB">
              <w:t xml:space="preserve"> </w:t>
            </w:r>
            <w:r w:rsidR="000243C0">
              <w:t>with reduced speed are the following</w:t>
            </w:r>
            <w:r w:rsidR="001C0590">
              <w:t xml:space="preserve"> </w:t>
            </w:r>
            <w:r w:rsidRPr="008340BB">
              <w:rPr>
                <w:rStyle w:val="hps"/>
              </w:rPr>
              <w:t>Sofia</w:t>
            </w:r>
            <w:r w:rsidRPr="008340BB">
              <w:t xml:space="preserve"> </w:t>
            </w:r>
            <w:r w:rsidRPr="008340BB">
              <w:rPr>
                <w:rStyle w:val="hps"/>
              </w:rPr>
              <w:t>- Septemvri</w:t>
            </w:r>
            <w:r w:rsidRPr="008340BB">
              <w:t>,</w:t>
            </w:r>
            <w:r w:rsidR="00584E1B" w:rsidRPr="00584E1B">
              <w:rPr>
                <w:lang w:val="en-US"/>
              </w:rPr>
              <w:t xml:space="preserve"> Voluyak – Dragoman, </w:t>
            </w:r>
            <w:r w:rsidRPr="008340BB">
              <w:t xml:space="preserve">Vidin </w:t>
            </w:r>
            <w:r w:rsidRPr="008340BB">
              <w:rPr>
                <w:rStyle w:val="hps"/>
              </w:rPr>
              <w:t>-</w:t>
            </w:r>
            <w:r w:rsidRPr="008340BB">
              <w:t xml:space="preserve"> </w:t>
            </w:r>
            <w:r w:rsidRPr="008340BB">
              <w:rPr>
                <w:rStyle w:val="hps"/>
              </w:rPr>
              <w:t>Medkovets</w:t>
            </w:r>
            <w:r w:rsidRPr="008340BB">
              <w:t xml:space="preserve">, </w:t>
            </w:r>
            <w:r w:rsidRPr="008340BB">
              <w:rPr>
                <w:rStyle w:val="hps"/>
              </w:rPr>
              <w:t>Plovdiv -</w:t>
            </w:r>
            <w:r w:rsidRPr="008340BB">
              <w:t xml:space="preserve"> </w:t>
            </w:r>
            <w:r w:rsidRPr="008340BB">
              <w:rPr>
                <w:rStyle w:val="hps"/>
              </w:rPr>
              <w:t>Mihaylovo</w:t>
            </w:r>
            <w:r w:rsidRPr="008340BB">
              <w:t xml:space="preserve">. </w:t>
            </w:r>
            <w:r w:rsidR="00B8453A">
              <w:t xml:space="preserve">Large part of the </w:t>
            </w:r>
            <w:r w:rsidR="00B8453A" w:rsidRPr="00CD1188">
              <w:rPr>
                <w:rStyle w:val="hps"/>
              </w:rPr>
              <w:t>r</w:t>
            </w:r>
            <w:r w:rsidRPr="00CD1188">
              <w:rPr>
                <w:rStyle w:val="hps"/>
              </w:rPr>
              <w:t>ailway facilities</w:t>
            </w:r>
            <w:r w:rsidRPr="00CD1188">
              <w:t xml:space="preserve"> </w:t>
            </w:r>
            <w:r w:rsidRPr="00CD1188">
              <w:rPr>
                <w:rStyle w:val="hps"/>
              </w:rPr>
              <w:t>(bridges</w:t>
            </w:r>
            <w:r w:rsidRPr="00CD1188">
              <w:t xml:space="preserve"> </w:t>
            </w:r>
            <w:r w:rsidRPr="00CD1188">
              <w:rPr>
                <w:rStyle w:val="hps"/>
              </w:rPr>
              <w:t>and</w:t>
            </w:r>
            <w:r w:rsidRPr="00CD1188">
              <w:t xml:space="preserve"> </w:t>
            </w:r>
            <w:r w:rsidRPr="00CD1188">
              <w:rPr>
                <w:rStyle w:val="hps"/>
              </w:rPr>
              <w:t>tunnels)</w:t>
            </w:r>
            <w:r w:rsidRPr="00CD1188">
              <w:t xml:space="preserve"> </w:t>
            </w:r>
            <w:r w:rsidR="00B8453A" w:rsidRPr="00CD1188">
              <w:t>is at the end of the life cycle</w:t>
            </w:r>
            <w:r w:rsidR="006F034C">
              <w:t xml:space="preserve"> </w:t>
            </w:r>
            <w:r w:rsidRPr="008340BB">
              <w:t xml:space="preserve">such as </w:t>
            </w:r>
            <w:r w:rsidRPr="008340BB">
              <w:rPr>
                <w:rStyle w:val="hps"/>
              </w:rPr>
              <w:t>the routes</w:t>
            </w:r>
            <w:r w:rsidRPr="008340BB">
              <w:t xml:space="preserve"> </w:t>
            </w:r>
            <w:r w:rsidRPr="008340BB">
              <w:rPr>
                <w:rStyle w:val="hps"/>
              </w:rPr>
              <w:t>Ruse - Varna</w:t>
            </w:r>
            <w:r w:rsidRPr="008340BB">
              <w:t xml:space="preserve">. </w:t>
            </w:r>
            <w:r w:rsidRPr="008340BB">
              <w:rPr>
                <w:rStyle w:val="hps"/>
              </w:rPr>
              <w:t>Much of the</w:t>
            </w:r>
            <w:r w:rsidRPr="008340BB">
              <w:t xml:space="preserve"> </w:t>
            </w:r>
            <w:r w:rsidRPr="008340BB">
              <w:rPr>
                <w:rStyle w:val="hps"/>
              </w:rPr>
              <w:t>security</w:t>
            </w:r>
            <w:r w:rsidRPr="008340BB">
              <w:t xml:space="preserve">, </w:t>
            </w:r>
            <w:r w:rsidRPr="008340BB">
              <w:rPr>
                <w:rStyle w:val="hps"/>
              </w:rPr>
              <w:t>telecommunications and</w:t>
            </w:r>
            <w:r w:rsidRPr="008340BB">
              <w:t xml:space="preserve"> </w:t>
            </w:r>
            <w:r w:rsidRPr="008340BB">
              <w:rPr>
                <w:rStyle w:val="hps"/>
              </w:rPr>
              <w:t>energy supply</w:t>
            </w:r>
            <w:r w:rsidRPr="008340BB">
              <w:t xml:space="preserve"> </w:t>
            </w:r>
            <w:r w:rsidRPr="008340BB">
              <w:rPr>
                <w:rStyle w:val="hps"/>
              </w:rPr>
              <w:t>systems</w:t>
            </w:r>
            <w:r w:rsidRPr="008340BB">
              <w:t xml:space="preserve"> </w:t>
            </w:r>
            <w:r w:rsidRPr="008340BB">
              <w:rPr>
                <w:rStyle w:val="hps"/>
              </w:rPr>
              <w:t>are outdated</w:t>
            </w:r>
            <w:r w:rsidRPr="008340BB">
              <w:t xml:space="preserve"> </w:t>
            </w:r>
            <w:r w:rsidRPr="008340BB">
              <w:rPr>
                <w:rStyle w:val="hps"/>
              </w:rPr>
              <w:t>(put into operation</w:t>
            </w:r>
            <w:r w:rsidRPr="008340BB">
              <w:t xml:space="preserve"> in the </w:t>
            </w:r>
            <w:r w:rsidRPr="008340BB">
              <w:rPr>
                <w:rStyle w:val="hps"/>
              </w:rPr>
              <w:t>period</w:t>
            </w:r>
            <w:r w:rsidRPr="008340BB">
              <w:t xml:space="preserve"> </w:t>
            </w:r>
            <w:r w:rsidRPr="008340BB">
              <w:rPr>
                <w:rStyle w:val="hps"/>
              </w:rPr>
              <w:t>1965-1985</w:t>
            </w:r>
            <w:r w:rsidRPr="008340BB">
              <w:t xml:space="preserve">) and </w:t>
            </w:r>
            <w:r w:rsidRPr="008340BB">
              <w:rPr>
                <w:rStyle w:val="hps"/>
              </w:rPr>
              <w:t>do not meet modern</w:t>
            </w:r>
            <w:r w:rsidRPr="008340BB">
              <w:t xml:space="preserve"> </w:t>
            </w:r>
            <w:r w:rsidRPr="008340BB">
              <w:rPr>
                <w:rStyle w:val="hps"/>
              </w:rPr>
              <w:t>requirements for</w:t>
            </w:r>
            <w:r w:rsidRPr="008340BB">
              <w:t xml:space="preserve"> </w:t>
            </w:r>
            <w:r w:rsidRPr="008340BB">
              <w:rPr>
                <w:rStyle w:val="hps"/>
              </w:rPr>
              <w:t xml:space="preserve">interoperability. </w:t>
            </w:r>
          </w:p>
          <w:p w14:paraId="636E66F8" w14:textId="77777777" w:rsidR="005C1418" w:rsidRDefault="00F1341F" w:rsidP="00435AC3">
            <w:pPr>
              <w:spacing w:before="0"/>
              <w:rPr>
                <w:i/>
              </w:rPr>
            </w:pPr>
            <w:r w:rsidRPr="008340BB">
              <w:rPr>
                <w:rStyle w:val="hps"/>
              </w:rPr>
              <w:lastRenderedPageBreak/>
              <w:t>In 2013,</w:t>
            </w:r>
            <w:r w:rsidRPr="008340BB">
              <w:t xml:space="preserve"> </w:t>
            </w:r>
            <w:r w:rsidR="00946544">
              <w:t>the</w:t>
            </w:r>
            <w:r w:rsidRPr="008340BB">
              <w:t xml:space="preserve"> </w:t>
            </w:r>
            <w:r w:rsidRPr="008340BB">
              <w:rPr>
                <w:rStyle w:val="hps"/>
              </w:rPr>
              <w:t>railway</w:t>
            </w:r>
            <w:r w:rsidRPr="008340BB">
              <w:t xml:space="preserve"> </w:t>
            </w:r>
            <w:r w:rsidRPr="008340BB">
              <w:rPr>
                <w:rStyle w:val="hps"/>
              </w:rPr>
              <w:t>carried</w:t>
            </w:r>
            <w:r w:rsidRPr="008340BB">
              <w:t xml:space="preserve"> </w:t>
            </w:r>
            <w:r w:rsidRPr="008340BB">
              <w:rPr>
                <w:rStyle w:val="hps"/>
              </w:rPr>
              <w:t>26 million</w:t>
            </w:r>
            <w:r w:rsidRPr="008340BB">
              <w:t xml:space="preserve"> </w:t>
            </w:r>
            <w:r w:rsidRPr="008340BB">
              <w:rPr>
                <w:rStyle w:val="hps"/>
              </w:rPr>
              <w:t>passengers</w:t>
            </w:r>
            <w:r w:rsidRPr="008340BB">
              <w:t xml:space="preserve"> </w:t>
            </w:r>
            <w:r w:rsidR="00B57A59">
              <w:t>(</w:t>
            </w:r>
            <w:r w:rsidRPr="008340BB">
              <w:rPr>
                <w:rStyle w:val="hps"/>
              </w:rPr>
              <w:t>mainly domestic traffic</w:t>
            </w:r>
            <w:r w:rsidR="00B57A59">
              <w:rPr>
                <w:rStyle w:val="hps"/>
              </w:rPr>
              <w:t>)</w:t>
            </w:r>
            <w:r w:rsidRPr="008340BB">
              <w:t xml:space="preserve"> </w:t>
            </w:r>
            <w:r w:rsidRPr="008340BB">
              <w:rPr>
                <w:rStyle w:val="hps"/>
              </w:rPr>
              <w:t>and</w:t>
            </w:r>
            <w:r w:rsidRPr="008340BB">
              <w:t xml:space="preserve"> </w:t>
            </w:r>
            <w:r w:rsidRPr="008340BB">
              <w:rPr>
                <w:rStyle w:val="hps"/>
              </w:rPr>
              <w:t>13</w:t>
            </w:r>
            <w:r w:rsidR="00BE357E" w:rsidRPr="008340BB">
              <w:rPr>
                <w:rStyle w:val="hps"/>
              </w:rPr>
              <w:t>,670,000</w:t>
            </w:r>
            <w:r w:rsidR="00BE357E" w:rsidRPr="008340BB">
              <w:t xml:space="preserve"> </w:t>
            </w:r>
            <w:r w:rsidRPr="008340BB">
              <w:rPr>
                <w:rStyle w:val="hps"/>
              </w:rPr>
              <w:t>tonnes of freight</w:t>
            </w:r>
            <w:r w:rsidRPr="008340BB">
              <w:t xml:space="preserve">, </w:t>
            </w:r>
            <w:r w:rsidR="002C37E8" w:rsidRPr="008340BB">
              <w:t>24.8</w:t>
            </w:r>
            <w:r w:rsidRPr="008340BB">
              <w:t xml:space="preserve">% </w:t>
            </w:r>
            <w:r w:rsidRPr="008340BB">
              <w:rPr>
                <w:rStyle w:val="hps"/>
              </w:rPr>
              <w:t>of which</w:t>
            </w:r>
            <w:r w:rsidRPr="008340BB">
              <w:t xml:space="preserve"> </w:t>
            </w:r>
            <w:r w:rsidR="00B57A59">
              <w:rPr>
                <w:rStyle w:val="hps"/>
              </w:rPr>
              <w:t>was</w:t>
            </w:r>
            <w:r w:rsidRPr="008340BB">
              <w:rPr>
                <w:rStyle w:val="hps"/>
              </w:rPr>
              <w:t xml:space="preserve"> international traffic</w:t>
            </w:r>
            <w:r w:rsidRPr="008340BB">
              <w:t xml:space="preserve">. </w:t>
            </w:r>
            <w:r w:rsidRPr="008340BB">
              <w:rPr>
                <w:rStyle w:val="hps"/>
              </w:rPr>
              <w:t>According to the results</w:t>
            </w:r>
            <w:r w:rsidRPr="008340BB">
              <w:t xml:space="preserve"> </w:t>
            </w:r>
            <w:r w:rsidRPr="008340BB">
              <w:rPr>
                <w:rStyle w:val="hps"/>
              </w:rPr>
              <w:t>of the updated</w:t>
            </w:r>
            <w:r w:rsidRPr="008340BB">
              <w:t xml:space="preserve"> </w:t>
            </w:r>
            <w:r w:rsidRPr="008340BB">
              <w:rPr>
                <w:rStyle w:val="hps"/>
              </w:rPr>
              <w:t>national</w:t>
            </w:r>
            <w:r w:rsidRPr="008340BB">
              <w:t xml:space="preserve"> </w:t>
            </w:r>
            <w:r w:rsidRPr="008340BB">
              <w:rPr>
                <w:rStyle w:val="hps"/>
              </w:rPr>
              <w:t>transport model</w:t>
            </w:r>
            <w:r w:rsidRPr="008340BB">
              <w:t xml:space="preserve">, the share of </w:t>
            </w:r>
            <w:r w:rsidRPr="008340BB">
              <w:rPr>
                <w:rStyle w:val="hps"/>
              </w:rPr>
              <w:t>passenger</w:t>
            </w:r>
            <w:r w:rsidRPr="008340BB">
              <w:t xml:space="preserve"> </w:t>
            </w:r>
            <w:r w:rsidRPr="008340BB">
              <w:rPr>
                <w:rStyle w:val="hps"/>
              </w:rPr>
              <w:t>trips</w:t>
            </w:r>
            <w:r w:rsidRPr="008340BB">
              <w:t xml:space="preserve"> </w:t>
            </w:r>
            <w:r w:rsidRPr="008340BB">
              <w:rPr>
                <w:rStyle w:val="hps"/>
              </w:rPr>
              <w:t>by railway</w:t>
            </w:r>
            <w:r w:rsidRPr="008340BB">
              <w:t xml:space="preserve"> </w:t>
            </w:r>
            <w:r w:rsidRPr="008340BB">
              <w:rPr>
                <w:rStyle w:val="hps"/>
              </w:rPr>
              <w:t>in 2011</w:t>
            </w:r>
            <w:r w:rsidRPr="008340BB">
              <w:t xml:space="preserve"> </w:t>
            </w:r>
            <w:r w:rsidRPr="008340BB">
              <w:rPr>
                <w:rStyle w:val="hps"/>
              </w:rPr>
              <w:t>constituted</w:t>
            </w:r>
            <w:r w:rsidRPr="008340BB">
              <w:t xml:space="preserve"> </w:t>
            </w:r>
            <w:r w:rsidRPr="008340BB">
              <w:rPr>
                <w:rStyle w:val="hps"/>
              </w:rPr>
              <w:t>11.9% of all trips</w:t>
            </w:r>
            <w:r w:rsidRPr="008340BB">
              <w:t xml:space="preserve">, and </w:t>
            </w:r>
            <w:r w:rsidRPr="008340BB">
              <w:rPr>
                <w:rStyle w:val="hps"/>
              </w:rPr>
              <w:t>the share of freight carried</w:t>
            </w:r>
            <w:r w:rsidRPr="008340BB">
              <w:t xml:space="preserve"> </w:t>
            </w:r>
            <w:r w:rsidRPr="008340BB">
              <w:rPr>
                <w:rStyle w:val="hps"/>
              </w:rPr>
              <w:t>by</w:t>
            </w:r>
            <w:r w:rsidRPr="008340BB">
              <w:t xml:space="preserve"> </w:t>
            </w:r>
            <w:r w:rsidRPr="008340BB">
              <w:rPr>
                <w:rStyle w:val="hps"/>
              </w:rPr>
              <w:t>railway</w:t>
            </w:r>
            <w:r w:rsidRPr="008340BB">
              <w:t xml:space="preserve"> </w:t>
            </w:r>
            <w:r w:rsidRPr="008340BB">
              <w:rPr>
                <w:rStyle w:val="hps"/>
              </w:rPr>
              <w:t>transport was</w:t>
            </w:r>
            <w:r w:rsidRPr="008340BB">
              <w:t xml:space="preserve"> </w:t>
            </w:r>
            <w:r w:rsidRPr="008340BB">
              <w:rPr>
                <w:rStyle w:val="hps"/>
              </w:rPr>
              <w:t>9.3%</w:t>
            </w:r>
            <w:r w:rsidRPr="008340BB">
              <w:t xml:space="preserve">. </w:t>
            </w:r>
            <w:r w:rsidRPr="008340BB">
              <w:rPr>
                <w:rStyle w:val="hps"/>
              </w:rPr>
              <w:t>Railway</w:t>
            </w:r>
            <w:r w:rsidRPr="008340BB">
              <w:t xml:space="preserve"> </w:t>
            </w:r>
            <w:r w:rsidRPr="008340BB">
              <w:rPr>
                <w:rStyle w:val="hps"/>
              </w:rPr>
              <w:t>transport</w:t>
            </w:r>
            <w:r w:rsidRPr="008340BB">
              <w:t xml:space="preserve"> </w:t>
            </w:r>
            <w:r w:rsidRPr="008340BB">
              <w:rPr>
                <w:rStyle w:val="hps"/>
              </w:rPr>
              <w:t>dominates</w:t>
            </w:r>
            <w:r w:rsidRPr="008340BB">
              <w:t xml:space="preserve"> </w:t>
            </w:r>
            <w:r w:rsidRPr="008340BB">
              <w:rPr>
                <w:rStyle w:val="hps"/>
              </w:rPr>
              <w:t>in</w:t>
            </w:r>
            <w:r w:rsidRPr="008340BB">
              <w:t xml:space="preserve"> carriages of </w:t>
            </w:r>
            <w:r w:rsidRPr="008340BB">
              <w:rPr>
                <w:rStyle w:val="hps"/>
              </w:rPr>
              <w:t>solid mineral</w:t>
            </w:r>
            <w:r w:rsidRPr="008340BB">
              <w:t xml:space="preserve"> </w:t>
            </w:r>
            <w:r w:rsidRPr="008340BB">
              <w:rPr>
                <w:rStyle w:val="hps"/>
              </w:rPr>
              <w:t>fuels (</w:t>
            </w:r>
            <w:r w:rsidRPr="008340BB">
              <w:t xml:space="preserve">48%) </w:t>
            </w:r>
            <w:r w:rsidRPr="008340BB">
              <w:rPr>
                <w:rStyle w:val="hps"/>
              </w:rPr>
              <w:t>and</w:t>
            </w:r>
            <w:r w:rsidRPr="008340BB">
              <w:t xml:space="preserve"> </w:t>
            </w:r>
            <w:r w:rsidRPr="008340BB">
              <w:rPr>
                <w:rStyle w:val="hps"/>
              </w:rPr>
              <w:t>ores, metal scrap and waste</w:t>
            </w:r>
            <w:r w:rsidRPr="008340BB">
              <w:t xml:space="preserve"> </w:t>
            </w:r>
            <w:r w:rsidRPr="008340BB">
              <w:rPr>
                <w:rStyle w:val="hps"/>
              </w:rPr>
              <w:t>(53</w:t>
            </w:r>
            <w:r w:rsidRPr="008340BB">
              <w:t>%).</w:t>
            </w:r>
          </w:p>
          <w:p w14:paraId="1D7129C3" w14:textId="77777777" w:rsidR="005C1418" w:rsidRDefault="00F1341F" w:rsidP="005C1418">
            <w:pPr>
              <w:spacing w:before="0" w:after="0"/>
              <w:rPr>
                <w:szCs w:val="24"/>
              </w:rPr>
            </w:pPr>
            <w:r w:rsidRPr="008340BB">
              <w:rPr>
                <w:i/>
              </w:rPr>
              <w:t xml:space="preserve">Road </w:t>
            </w:r>
          </w:p>
          <w:p w14:paraId="195BE660" w14:textId="4A4E555E" w:rsidR="00F1341F" w:rsidRPr="008340BB" w:rsidRDefault="00F1341F" w:rsidP="005C1418">
            <w:pPr>
              <w:spacing w:before="0" w:after="0"/>
              <w:rPr>
                <w:szCs w:val="24"/>
              </w:rPr>
            </w:pPr>
            <w:r w:rsidRPr="008340BB">
              <w:rPr>
                <w:szCs w:val="24"/>
              </w:rPr>
              <w:t xml:space="preserve">According to NSI data as of 31.12.2012, the total length of the national road network in Bulgaria, </w:t>
            </w:r>
            <w:r w:rsidR="007B45A9">
              <w:rPr>
                <w:szCs w:val="24"/>
              </w:rPr>
              <w:t>consisting of</w:t>
            </w:r>
            <w:r w:rsidRPr="008340BB">
              <w:rPr>
                <w:szCs w:val="24"/>
              </w:rPr>
              <w:t xml:space="preserve"> motorways, primary and secondary roads, tertiary roads and road connections at intersections and junctions is 19,602 km. Motorways account for only 2.8% of the total length and primary roads for 15.2%. Coverage of the country’s territory with motorways and first class roads is uneven. T</w:t>
            </w:r>
            <w:r w:rsidR="00B57A59">
              <w:rPr>
                <w:szCs w:val="24"/>
              </w:rPr>
              <w:t>he</w:t>
            </w:r>
            <w:r w:rsidRPr="008340BB">
              <w:rPr>
                <w:szCs w:val="24"/>
              </w:rPr>
              <w:t xml:space="preserve"> east - west </w:t>
            </w:r>
            <w:r w:rsidR="0038171A">
              <w:rPr>
                <w:szCs w:val="24"/>
              </w:rPr>
              <w:t xml:space="preserve">direction is </w:t>
            </w:r>
            <w:r w:rsidRPr="008340BB">
              <w:rPr>
                <w:szCs w:val="24"/>
              </w:rPr>
              <w:t xml:space="preserve">much better developed than the north - south direction, which is largely determined by the topography of the country. </w:t>
            </w:r>
            <w:r w:rsidRPr="00CD1188">
              <w:rPr>
                <w:szCs w:val="24"/>
              </w:rPr>
              <w:t xml:space="preserve">The </w:t>
            </w:r>
            <w:r w:rsidR="00B8453A" w:rsidRPr="00CD1188">
              <w:rPr>
                <w:szCs w:val="24"/>
              </w:rPr>
              <w:t>accessibility in the</w:t>
            </w:r>
            <w:r w:rsidRPr="00CD1188">
              <w:rPr>
                <w:szCs w:val="24"/>
              </w:rPr>
              <w:t xml:space="preserve"> North-East, South-West and South-East Region</w:t>
            </w:r>
            <w:r w:rsidR="007B45A9" w:rsidRPr="00CD1188">
              <w:rPr>
                <w:szCs w:val="24"/>
              </w:rPr>
              <w:t>s</w:t>
            </w:r>
            <w:r w:rsidRPr="00CD1188">
              <w:rPr>
                <w:szCs w:val="24"/>
              </w:rPr>
              <w:t xml:space="preserve"> </w:t>
            </w:r>
            <w:r w:rsidR="00B8453A" w:rsidRPr="00CD1188">
              <w:rPr>
                <w:szCs w:val="24"/>
              </w:rPr>
              <w:t>is</w:t>
            </w:r>
            <w:r w:rsidRPr="00CD1188">
              <w:rPr>
                <w:szCs w:val="24"/>
              </w:rPr>
              <w:t xml:space="preserve"> better </w:t>
            </w:r>
            <w:r w:rsidR="00B8453A">
              <w:rPr>
                <w:szCs w:val="24"/>
              </w:rPr>
              <w:t>than that in the other regions, because of the higher density of motorways and first class roads</w:t>
            </w:r>
            <w:r w:rsidR="004A3934">
              <w:rPr>
                <w:szCs w:val="24"/>
              </w:rPr>
              <w:t>.</w:t>
            </w:r>
            <w:r w:rsidRPr="008340BB">
              <w:rPr>
                <w:szCs w:val="24"/>
              </w:rPr>
              <w:t xml:space="preserve"> Despite the measures taken in recent years and </w:t>
            </w:r>
            <w:r w:rsidR="00F70FAE">
              <w:rPr>
                <w:szCs w:val="24"/>
              </w:rPr>
              <w:t xml:space="preserve">due to </w:t>
            </w:r>
            <w:r w:rsidRPr="008340BB">
              <w:rPr>
                <w:szCs w:val="24"/>
              </w:rPr>
              <w:t xml:space="preserve">the </w:t>
            </w:r>
            <w:r w:rsidR="00F70FAE" w:rsidRPr="008340BB">
              <w:rPr>
                <w:szCs w:val="24"/>
              </w:rPr>
              <w:t xml:space="preserve">insufficient </w:t>
            </w:r>
            <w:r w:rsidRPr="008340BB">
              <w:rPr>
                <w:szCs w:val="24"/>
              </w:rPr>
              <w:t xml:space="preserve">investments </w:t>
            </w:r>
            <w:r w:rsidR="00F70FAE">
              <w:rPr>
                <w:szCs w:val="24"/>
              </w:rPr>
              <w:t xml:space="preserve">compared </w:t>
            </w:r>
            <w:r w:rsidRPr="008340BB">
              <w:rPr>
                <w:szCs w:val="24"/>
              </w:rPr>
              <w:t xml:space="preserve">to the needs, there has been no significant improvement in the overall condition of the roads and no adequate road clearance in winter conditions has been provided along the north - south </w:t>
            </w:r>
            <w:r w:rsidR="00F70FAE">
              <w:rPr>
                <w:szCs w:val="24"/>
              </w:rPr>
              <w:t>directions</w:t>
            </w:r>
            <w:r w:rsidRPr="008340BB">
              <w:rPr>
                <w:szCs w:val="24"/>
              </w:rPr>
              <w:t xml:space="preserve">. Another major problem is the </w:t>
            </w:r>
            <w:r w:rsidR="00A53F4D">
              <w:rPr>
                <w:szCs w:val="24"/>
              </w:rPr>
              <w:t>missing</w:t>
            </w:r>
            <w:r w:rsidRPr="008340BB">
              <w:rPr>
                <w:szCs w:val="24"/>
              </w:rPr>
              <w:t xml:space="preserve"> completed motorways </w:t>
            </w:r>
            <w:r w:rsidR="009C01AF" w:rsidRPr="009C01AF">
              <w:rPr>
                <w:szCs w:val="24"/>
              </w:rPr>
              <w:t xml:space="preserve">and speed roads </w:t>
            </w:r>
            <w:r w:rsidRPr="008340BB">
              <w:rPr>
                <w:szCs w:val="24"/>
              </w:rPr>
              <w:t xml:space="preserve">along the </w:t>
            </w:r>
            <w:r w:rsidR="009C01AF" w:rsidRPr="009C01AF">
              <w:rPr>
                <w:szCs w:val="24"/>
              </w:rPr>
              <w:t xml:space="preserve">Kalotina – Sofia route and </w:t>
            </w:r>
            <w:r w:rsidRPr="008340BB">
              <w:rPr>
                <w:szCs w:val="24"/>
              </w:rPr>
              <w:t>Vidin - Sofia - Kulata route, which is part of the Orient/East-Mediterranean corridor</w:t>
            </w:r>
            <w:r w:rsidR="00FC617C">
              <w:rPr>
                <w:szCs w:val="24"/>
              </w:rPr>
              <w:t xml:space="preserve"> /OEM/</w:t>
            </w:r>
            <w:r w:rsidRPr="008340BB">
              <w:rPr>
                <w:szCs w:val="24"/>
              </w:rPr>
              <w:t>.</w:t>
            </w:r>
          </w:p>
          <w:p w14:paraId="75A19DC1" w14:textId="77777777" w:rsidR="000262DF" w:rsidRPr="008340BB" w:rsidRDefault="00F1341F" w:rsidP="000262DF">
            <w:pPr>
              <w:spacing w:after="0"/>
              <w:rPr>
                <w:szCs w:val="24"/>
              </w:rPr>
            </w:pPr>
            <w:r w:rsidRPr="008340BB">
              <w:rPr>
                <w:szCs w:val="24"/>
              </w:rPr>
              <w:t xml:space="preserve">Of particular importance to improving the state of the sector is to increase the load capacity of the road surface on the main international transport corridors that should be aligned with European requirements. Currently, the number of motor vehicles is two and a half times bigger compared to the period before 2007. </w:t>
            </w:r>
            <w:r w:rsidR="009722DD" w:rsidRPr="008340BB">
              <w:rPr>
                <w:szCs w:val="24"/>
              </w:rPr>
              <w:t>Together with the motorisation growth the t</w:t>
            </w:r>
            <w:r w:rsidR="000B6DA4" w:rsidRPr="008340BB">
              <w:rPr>
                <w:szCs w:val="24"/>
              </w:rPr>
              <w:t xml:space="preserve">raffic by road </w:t>
            </w:r>
            <w:r w:rsidR="009722DD" w:rsidRPr="008340BB">
              <w:rPr>
                <w:szCs w:val="24"/>
              </w:rPr>
              <w:t>is growing up</w:t>
            </w:r>
            <w:r w:rsidR="000B6DA4" w:rsidRPr="008340BB">
              <w:rPr>
                <w:szCs w:val="24"/>
              </w:rPr>
              <w:t xml:space="preserve">, which leads to higher risk of road accidents. Nevertheless, for the same period (2007 2013) the number of serious accidents (involving fatalities and casualties) on the </w:t>
            </w:r>
            <w:r w:rsidR="006837D5">
              <w:rPr>
                <w:szCs w:val="24"/>
              </w:rPr>
              <w:t>n</w:t>
            </w:r>
            <w:r w:rsidR="000B6DA4" w:rsidRPr="008340BB">
              <w:rPr>
                <w:szCs w:val="24"/>
              </w:rPr>
              <w:t xml:space="preserve">ational road network decreased by 14%, the number of </w:t>
            </w:r>
            <w:r w:rsidR="009722DD" w:rsidRPr="008340BB">
              <w:rPr>
                <w:szCs w:val="24"/>
              </w:rPr>
              <w:t>fatalities</w:t>
            </w:r>
            <w:r w:rsidR="000B6DA4" w:rsidRPr="008340BB">
              <w:rPr>
                <w:szCs w:val="24"/>
              </w:rPr>
              <w:t xml:space="preserve"> by 19%, and the number of casualties by 20%. To large extend this improvement can be attributed to </w:t>
            </w:r>
            <w:r w:rsidR="009722DD" w:rsidRPr="008340BB">
              <w:rPr>
                <w:szCs w:val="24"/>
              </w:rPr>
              <w:t xml:space="preserve">the </w:t>
            </w:r>
            <w:r w:rsidR="000B6DA4" w:rsidRPr="008340BB">
              <w:rPr>
                <w:szCs w:val="24"/>
              </w:rPr>
              <w:t xml:space="preserve">completion of new motorway sections, as well as to </w:t>
            </w:r>
            <w:r w:rsidR="009722DD" w:rsidRPr="008340BB">
              <w:rPr>
                <w:szCs w:val="24"/>
              </w:rPr>
              <w:t>the system for preventive safety audit of road transport infrastructure projects, implemented in this period</w:t>
            </w:r>
            <w:r w:rsidR="000262DF" w:rsidRPr="008340BB">
              <w:rPr>
                <w:szCs w:val="24"/>
              </w:rPr>
              <w:t>.</w:t>
            </w:r>
          </w:p>
          <w:p w14:paraId="542DEDBF" w14:textId="77777777" w:rsidR="00F1341F" w:rsidRPr="008340BB" w:rsidRDefault="001B756D" w:rsidP="0001431F">
            <w:r>
              <w:t xml:space="preserve">The </w:t>
            </w:r>
            <w:r w:rsidR="000262DF" w:rsidRPr="008340BB">
              <w:t xml:space="preserve">daily </w:t>
            </w:r>
            <w:r w:rsidR="00A23501">
              <w:t xml:space="preserve">average </w:t>
            </w:r>
            <w:r w:rsidR="000262DF" w:rsidRPr="008340BB">
              <w:t>traffic</w:t>
            </w:r>
            <w:r w:rsidR="00F1341F" w:rsidRPr="008340BB">
              <w:t xml:space="preserve"> </w:t>
            </w:r>
            <w:r w:rsidR="00A23501">
              <w:t xml:space="preserve">intensity </w:t>
            </w:r>
            <w:r w:rsidR="00A23501" w:rsidRPr="00A23501">
              <w:t xml:space="preserve">has been continuously increasing </w:t>
            </w:r>
            <w:r w:rsidR="00F1341F" w:rsidRPr="008340BB">
              <w:t xml:space="preserve">for all road categories. </w:t>
            </w:r>
            <w:r w:rsidR="008422EF">
              <w:t xml:space="preserve">From </w:t>
            </w:r>
            <w:r w:rsidR="008422EF" w:rsidRPr="00292FD4">
              <w:t xml:space="preserve">1990 </w:t>
            </w:r>
            <w:r w:rsidR="008422EF">
              <w:t xml:space="preserve">to 2010 traffic increased </w:t>
            </w:r>
            <w:r w:rsidR="008422EF" w:rsidRPr="00292FD4">
              <w:t xml:space="preserve">on </w:t>
            </w:r>
            <w:r w:rsidR="008422EF" w:rsidRPr="004C2599">
              <w:t xml:space="preserve">motorways </w:t>
            </w:r>
            <w:r w:rsidR="008422EF">
              <w:t>by</w:t>
            </w:r>
            <w:r w:rsidR="008422EF" w:rsidRPr="004C2599">
              <w:t xml:space="preserve"> 53</w:t>
            </w:r>
            <w:r w:rsidR="008422EF">
              <w:t>.</w:t>
            </w:r>
            <w:r w:rsidR="008422EF" w:rsidRPr="004C2599">
              <w:t xml:space="preserve">6%, on І class </w:t>
            </w:r>
            <w:r w:rsidR="008422EF">
              <w:t>roads by</w:t>
            </w:r>
            <w:r w:rsidR="008422EF" w:rsidRPr="004C2599">
              <w:t xml:space="preserve"> 110</w:t>
            </w:r>
            <w:r w:rsidR="008422EF">
              <w:t>.</w:t>
            </w:r>
            <w:r w:rsidR="008422EF" w:rsidRPr="004C2599">
              <w:t xml:space="preserve">5%, on ІІ class roads </w:t>
            </w:r>
            <w:r w:rsidR="008422EF">
              <w:t>by</w:t>
            </w:r>
            <w:r w:rsidR="008422EF" w:rsidRPr="004C2599">
              <w:t xml:space="preserve"> 73</w:t>
            </w:r>
            <w:r w:rsidR="008422EF">
              <w:t>.</w:t>
            </w:r>
            <w:r w:rsidR="008422EF" w:rsidRPr="004C2599">
              <w:t xml:space="preserve">3% and on ІІІ class roads </w:t>
            </w:r>
            <w:r w:rsidR="008422EF">
              <w:t>by</w:t>
            </w:r>
            <w:r w:rsidR="008422EF" w:rsidRPr="004C2599">
              <w:t xml:space="preserve"> 56</w:t>
            </w:r>
            <w:r w:rsidR="008422EF">
              <w:t>.</w:t>
            </w:r>
            <w:r w:rsidR="008422EF" w:rsidRPr="004C2599">
              <w:t xml:space="preserve">7%. </w:t>
            </w:r>
            <w:r w:rsidR="00F1341F" w:rsidRPr="008340BB">
              <w:rPr>
                <w:rStyle w:val="hps"/>
              </w:rPr>
              <w:t>According to the updated</w:t>
            </w:r>
            <w:r w:rsidR="00F1341F" w:rsidRPr="008340BB">
              <w:t xml:space="preserve"> </w:t>
            </w:r>
            <w:r w:rsidR="00F1341F" w:rsidRPr="008340BB">
              <w:rPr>
                <w:rStyle w:val="hps"/>
              </w:rPr>
              <w:t>national</w:t>
            </w:r>
            <w:r w:rsidR="00F1341F" w:rsidRPr="008340BB">
              <w:t xml:space="preserve"> </w:t>
            </w:r>
            <w:r w:rsidR="00F1341F" w:rsidRPr="008340BB">
              <w:rPr>
                <w:rStyle w:val="hps"/>
              </w:rPr>
              <w:t>transport model</w:t>
            </w:r>
            <w:r w:rsidR="00F1341F" w:rsidRPr="008340BB">
              <w:t xml:space="preserve">, the share of </w:t>
            </w:r>
            <w:r w:rsidR="00F1341F" w:rsidRPr="008340BB">
              <w:rPr>
                <w:rStyle w:val="hps"/>
              </w:rPr>
              <w:t>long-distance</w:t>
            </w:r>
            <w:r w:rsidR="00F1341F" w:rsidRPr="008340BB">
              <w:t xml:space="preserve"> </w:t>
            </w:r>
            <w:r w:rsidR="00F1341F" w:rsidRPr="008340BB">
              <w:rPr>
                <w:rStyle w:val="hps"/>
              </w:rPr>
              <w:t>passenger</w:t>
            </w:r>
            <w:r w:rsidR="00F1341F" w:rsidRPr="008340BB">
              <w:t xml:space="preserve"> </w:t>
            </w:r>
            <w:r w:rsidR="000262DF" w:rsidRPr="008340BB">
              <w:rPr>
                <w:rStyle w:val="hps"/>
              </w:rPr>
              <w:t>trips</w:t>
            </w:r>
            <w:r w:rsidR="000262DF" w:rsidRPr="008340BB">
              <w:t xml:space="preserve"> </w:t>
            </w:r>
            <w:r w:rsidR="00F1341F" w:rsidRPr="008340BB">
              <w:rPr>
                <w:rStyle w:val="hps"/>
              </w:rPr>
              <w:t>by car</w:t>
            </w:r>
            <w:r w:rsidR="000262DF" w:rsidRPr="008340BB">
              <w:rPr>
                <w:rStyle w:val="hps"/>
              </w:rPr>
              <w:t xml:space="preserve"> in </w:t>
            </w:r>
            <w:r w:rsidR="00F1341F" w:rsidRPr="008340BB">
              <w:rPr>
                <w:rStyle w:val="hps"/>
              </w:rPr>
              <w:t>2011 accounts for</w:t>
            </w:r>
            <w:r w:rsidR="00F1341F" w:rsidRPr="008340BB">
              <w:t xml:space="preserve"> </w:t>
            </w:r>
            <w:r w:rsidR="00F1341F" w:rsidRPr="008340BB">
              <w:rPr>
                <w:rStyle w:val="hps"/>
              </w:rPr>
              <w:t>72%</w:t>
            </w:r>
            <w:r w:rsidR="00F1341F" w:rsidRPr="008340BB">
              <w:t xml:space="preserve"> </w:t>
            </w:r>
            <w:r w:rsidR="00F1341F" w:rsidRPr="008340BB">
              <w:rPr>
                <w:rStyle w:val="hps"/>
              </w:rPr>
              <w:t>and the share of</w:t>
            </w:r>
            <w:r w:rsidR="00F1341F" w:rsidRPr="008340BB">
              <w:t xml:space="preserve"> </w:t>
            </w:r>
            <w:r w:rsidR="00F1341F" w:rsidRPr="008340BB">
              <w:rPr>
                <w:rStyle w:val="hps"/>
              </w:rPr>
              <w:t>long-distance</w:t>
            </w:r>
            <w:r w:rsidR="00F1341F" w:rsidRPr="008340BB">
              <w:t xml:space="preserve"> </w:t>
            </w:r>
            <w:r w:rsidR="000262DF" w:rsidRPr="008340BB">
              <w:rPr>
                <w:rStyle w:val="hps"/>
              </w:rPr>
              <w:t>trips</w:t>
            </w:r>
            <w:r w:rsidR="000262DF" w:rsidRPr="008340BB">
              <w:t xml:space="preserve"> </w:t>
            </w:r>
            <w:r w:rsidR="00F1341F" w:rsidRPr="008340BB">
              <w:rPr>
                <w:rStyle w:val="hps"/>
              </w:rPr>
              <w:t xml:space="preserve">by </w:t>
            </w:r>
            <w:r w:rsidR="000262DF" w:rsidRPr="008340BB">
              <w:rPr>
                <w:rStyle w:val="hps"/>
              </w:rPr>
              <w:t>coach</w:t>
            </w:r>
            <w:r w:rsidR="000262DF" w:rsidRPr="008340BB">
              <w:t xml:space="preserve"> </w:t>
            </w:r>
            <w:r w:rsidR="00F1341F" w:rsidRPr="008340BB">
              <w:rPr>
                <w:rStyle w:val="hps"/>
              </w:rPr>
              <w:t>transport accounts for</w:t>
            </w:r>
            <w:r w:rsidR="00F1341F" w:rsidRPr="008340BB">
              <w:t xml:space="preserve"> </w:t>
            </w:r>
            <w:r w:rsidR="00F1341F" w:rsidRPr="008340BB">
              <w:rPr>
                <w:rStyle w:val="hps"/>
              </w:rPr>
              <w:t>16%</w:t>
            </w:r>
            <w:r w:rsidR="00F1341F" w:rsidRPr="008340BB">
              <w:t xml:space="preserve"> </w:t>
            </w:r>
            <w:r w:rsidR="00F1341F" w:rsidRPr="008340BB">
              <w:rPr>
                <w:rStyle w:val="hps"/>
              </w:rPr>
              <w:t>of all trips</w:t>
            </w:r>
            <w:r w:rsidR="00F1341F" w:rsidRPr="008340BB">
              <w:t xml:space="preserve">. </w:t>
            </w:r>
            <w:r w:rsidR="00F1341F" w:rsidRPr="008340BB">
              <w:rPr>
                <w:rStyle w:val="hps"/>
              </w:rPr>
              <w:t>In 2013,</w:t>
            </w:r>
            <w:r w:rsidR="00F1341F" w:rsidRPr="008340BB">
              <w:t xml:space="preserve"> the </w:t>
            </w:r>
            <w:r w:rsidR="00F1341F" w:rsidRPr="008340BB">
              <w:rPr>
                <w:rStyle w:val="hps"/>
              </w:rPr>
              <w:t>Bulgarian</w:t>
            </w:r>
            <w:r w:rsidR="00F1341F" w:rsidRPr="008340BB">
              <w:t xml:space="preserve"> </w:t>
            </w:r>
            <w:r w:rsidR="000262DF" w:rsidRPr="008340BB">
              <w:rPr>
                <w:rStyle w:val="hps"/>
              </w:rPr>
              <w:t>road operators</w:t>
            </w:r>
            <w:r w:rsidR="000262DF" w:rsidRPr="008340BB">
              <w:t xml:space="preserve"> </w:t>
            </w:r>
            <w:r w:rsidR="00F1341F" w:rsidRPr="008340BB">
              <w:rPr>
                <w:rStyle w:val="hps"/>
              </w:rPr>
              <w:t>have carried</w:t>
            </w:r>
            <w:r w:rsidR="00F1341F" w:rsidRPr="008340BB">
              <w:t xml:space="preserve"> </w:t>
            </w:r>
            <w:r w:rsidR="00F1341F" w:rsidRPr="008340BB">
              <w:rPr>
                <w:rStyle w:val="hps"/>
              </w:rPr>
              <w:t>160 million</w:t>
            </w:r>
            <w:r w:rsidR="00F1341F" w:rsidRPr="008340BB">
              <w:t xml:space="preserve"> </w:t>
            </w:r>
            <w:r w:rsidR="00F1341F" w:rsidRPr="008340BB">
              <w:rPr>
                <w:rStyle w:val="hps"/>
              </w:rPr>
              <w:t>tonnes</w:t>
            </w:r>
            <w:r w:rsidR="00F1341F" w:rsidRPr="008340BB">
              <w:t xml:space="preserve"> of </w:t>
            </w:r>
            <w:r w:rsidR="000262DF" w:rsidRPr="008340BB">
              <w:t xml:space="preserve">goods </w:t>
            </w:r>
            <w:r w:rsidR="00F1341F" w:rsidRPr="008340BB">
              <w:rPr>
                <w:rStyle w:val="hps"/>
              </w:rPr>
              <w:t xml:space="preserve">(in total </w:t>
            </w:r>
            <w:r w:rsidR="00F1341F" w:rsidRPr="008340BB">
              <w:rPr>
                <w:iCs/>
              </w:rPr>
              <w:t>on their own account and for</w:t>
            </w:r>
            <w:r w:rsidR="00F1341F" w:rsidRPr="008340BB">
              <w:t xml:space="preserve"> </w:t>
            </w:r>
            <w:r w:rsidR="000262DF" w:rsidRPr="008340BB">
              <w:t>hire and reward</w:t>
            </w:r>
            <w:r w:rsidR="00F1341F" w:rsidRPr="008340BB">
              <w:t xml:space="preserve">), of which </w:t>
            </w:r>
            <w:r w:rsidR="00F1341F" w:rsidRPr="008340BB">
              <w:rPr>
                <w:rStyle w:val="hps"/>
              </w:rPr>
              <w:t>22.3</w:t>
            </w:r>
            <w:r w:rsidR="00F1341F" w:rsidRPr="008340BB">
              <w:t xml:space="preserve"> </w:t>
            </w:r>
            <w:r w:rsidR="00F1341F" w:rsidRPr="008340BB">
              <w:rPr>
                <w:rStyle w:val="hps"/>
              </w:rPr>
              <w:t>million</w:t>
            </w:r>
            <w:r w:rsidR="00F1341F" w:rsidRPr="008340BB">
              <w:t xml:space="preserve"> </w:t>
            </w:r>
            <w:r w:rsidR="00F1341F" w:rsidRPr="008340BB">
              <w:rPr>
                <w:rStyle w:val="hps"/>
              </w:rPr>
              <w:t>tonnes</w:t>
            </w:r>
            <w:r w:rsidR="00F1341F" w:rsidRPr="008340BB">
              <w:t xml:space="preserve"> </w:t>
            </w:r>
            <w:r w:rsidR="00F1341F" w:rsidRPr="008340BB">
              <w:rPr>
                <w:rStyle w:val="hps"/>
              </w:rPr>
              <w:t>international traffic</w:t>
            </w:r>
            <w:r w:rsidR="00F1341F" w:rsidRPr="008340BB">
              <w:t xml:space="preserve">. </w:t>
            </w:r>
            <w:r w:rsidR="00F1341F" w:rsidRPr="008340BB">
              <w:rPr>
                <w:rStyle w:val="hps"/>
              </w:rPr>
              <w:t>According to</w:t>
            </w:r>
            <w:r w:rsidR="00F1341F" w:rsidRPr="008340BB">
              <w:t xml:space="preserve"> </w:t>
            </w:r>
            <w:r w:rsidR="00F1341F" w:rsidRPr="008340BB">
              <w:rPr>
                <w:rStyle w:val="hps"/>
              </w:rPr>
              <w:t xml:space="preserve">the </w:t>
            </w:r>
            <w:r w:rsidR="000262DF" w:rsidRPr="008340BB">
              <w:rPr>
                <w:rStyle w:val="hps"/>
              </w:rPr>
              <w:t xml:space="preserve">2011 </w:t>
            </w:r>
            <w:r w:rsidR="00F1341F" w:rsidRPr="008340BB">
              <w:rPr>
                <w:rStyle w:val="hps"/>
              </w:rPr>
              <w:t>national transport</w:t>
            </w:r>
            <w:r w:rsidR="00F1341F" w:rsidRPr="008340BB">
              <w:t xml:space="preserve"> </w:t>
            </w:r>
            <w:r w:rsidR="00F1341F" w:rsidRPr="008340BB">
              <w:rPr>
                <w:rStyle w:val="hps"/>
              </w:rPr>
              <w:t>model the additional</w:t>
            </w:r>
            <w:r w:rsidR="00F1341F" w:rsidRPr="008340BB">
              <w:t xml:space="preserve"> </w:t>
            </w:r>
            <w:r w:rsidR="00F1341F" w:rsidRPr="008340BB">
              <w:rPr>
                <w:rStyle w:val="hps"/>
              </w:rPr>
              <w:t>international traffic</w:t>
            </w:r>
            <w:r w:rsidR="00F1341F" w:rsidRPr="008340BB">
              <w:t xml:space="preserve"> </w:t>
            </w:r>
            <w:r w:rsidR="00F1341F" w:rsidRPr="008340BB">
              <w:rPr>
                <w:rStyle w:val="hps"/>
              </w:rPr>
              <w:t>through</w:t>
            </w:r>
            <w:r w:rsidR="00F1341F" w:rsidRPr="008340BB">
              <w:t xml:space="preserve"> </w:t>
            </w:r>
            <w:r w:rsidR="00F1341F" w:rsidRPr="008340BB">
              <w:rPr>
                <w:rStyle w:val="hps"/>
              </w:rPr>
              <w:t>the country</w:t>
            </w:r>
            <w:r w:rsidR="00F1341F" w:rsidRPr="008340BB">
              <w:t xml:space="preserve"> </w:t>
            </w:r>
            <w:r w:rsidR="00F1341F" w:rsidRPr="008340BB">
              <w:rPr>
                <w:rStyle w:val="hps"/>
              </w:rPr>
              <w:t>(import,</w:t>
            </w:r>
            <w:r w:rsidR="00F1341F" w:rsidRPr="008340BB">
              <w:t xml:space="preserve"> </w:t>
            </w:r>
            <w:r w:rsidR="00F1341F" w:rsidRPr="008340BB">
              <w:rPr>
                <w:rStyle w:val="hps"/>
              </w:rPr>
              <w:t>export and transit</w:t>
            </w:r>
            <w:r w:rsidR="00F1341F" w:rsidRPr="008340BB">
              <w:t xml:space="preserve"> </w:t>
            </w:r>
            <w:r w:rsidR="000262DF" w:rsidRPr="008340BB">
              <w:rPr>
                <w:rStyle w:val="hps"/>
              </w:rPr>
              <w:t>transported by</w:t>
            </w:r>
            <w:r w:rsidR="00F1341F" w:rsidRPr="008340BB">
              <w:t xml:space="preserve"> </w:t>
            </w:r>
            <w:r w:rsidR="00F1341F" w:rsidRPr="008340BB">
              <w:rPr>
                <w:rStyle w:val="hps"/>
              </w:rPr>
              <w:t>foreign</w:t>
            </w:r>
            <w:r w:rsidR="00F1341F" w:rsidRPr="008340BB">
              <w:t xml:space="preserve"> </w:t>
            </w:r>
            <w:r w:rsidR="000262DF" w:rsidRPr="008340BB">
              <w:rPr>
                <w:rStyle w:val="hps"/>
              </w:rPr>
              <w:t>operators</w:t>
            </w:r>
            <w:r w:rsidR="00F1341F" w:rsidRPr="008340BB">
              <w:t xml:space="preserve">) </w:t>
            </w:r>
            <w:r w:rsidR="00F1341F" w:rsidRPr="008340BB">
              <w:rPr>
                <w:rStyle w:val="hps"/>
              </w:rPr>
              <w:t>is</w:t>
            </w:r>
            <w:r w:rsidR="00F1341F" w:rsidRPr="008340BB">
              <w:t xml:space="preserve"> </w:t>
            </w:r>
            <w:r w:rsidR="00F1341F" w:rsidRPr="008340BB">
              <w:rPr>
                <w:rStyle w:val="hps"/>
              </w:rPr>
              <w:t>estimated at</w:t>
            </w:r>
            <w:r w:rsidR="00F1341F" w:rsidRPr="008340BB">
              <w:t xml:space="preserve"> </w:t>
            </w:r>
            <w:r w:rsidR="00F1341F" w:rsidRPr="008340BB">
              <w:rPr>
                <w:rStyle w:val="hps"/>
              </w:rPr>
              <w:t>25 million tonnes</w:t>
            </w:r>
            <w:r w:rsidR="00F1341F" w:rsidRPr="008340BB">
              <w:t>.</w:t>
            </w:r>
          </w:p>
          <w:p w14:paraId="0106A350" w14:textId="77777777" w:rsidR="00493DB4" w:rsidRPr="0059267E" w:rsidRDefault="00F1341F" w:rsidP="00493DB4">
            <w:r w:rsidRPr="008340BB">
              <w:t xml:space="preserve">According to the </w:t>
            </w:r>
            <w:r w:rsidR="00493DB4">
              <w:t xml:space="preserve">forecasts traffic is expected to increase from 2010 to </w:t>
            </w:r>
            <w:r w:rsidR="000262DF" w:rsidRPr="008340BB">
              <w:t xml:space="preserve">2020 </w:t>
            </w:r>
            <w:r w:rsidRPr="008340BB">
              <w:t>on motorways</w:t>
            </w:r>
            <w:r w:rsidR="000262DF" w:rsidRPr="008340BB">
              <w:t xml:space="preserve"> and </w:t>
            </w:r>
            <w:r w:rsidR="00D348F6">
              <w:t xml:space="preserve">on roads </w:t>
            </w:r>
            <w:r w:rsidR="00D348F6" w:rsidRPr="0059267E">
              <w:t xml:space="preserve">І and ІІІ class by </w:t>
            </w:r>
            <w:r w:rsidRPr="008340BB">
              <w:t>approximately 40% and on roads</w:t>
            </w:r>
            <w:r w:rsidR="00D348F6" w:rsidRPr="0059267E">
              <w:t xml:space="preserve"> </w:t>
            </w:r>
            <w:r w:rsidR="00D348F6">
              <w:t>II class</w:t>
            </w:r>
            <w:r w:rsidR="00493FA9" w:rsidRPr="008340BB">
              <w:t xml:space="preserve"> </w:t>
            </w:r>
            <w:r w:rsidRPr="008340BB">
              <w:t>by 37.8%.</w:t>
            </w:r>
            <w:r w:rsidR="00493DB4" w:rsidRPr="0059267E">
              <w:t xml:space="preserve"> </w:t>
            </w:r>
          </w:p>
          <w:p w14:paraId="76B3EF41" w14:textId="77777777" w:rsidR="00F1341F" w:rsidRPr="008340BB" w:rsidRDefault="00F1341F" w:rsidP="00A26B6F">
            <w:pPr>
              <w:rPr>
                <w:i/>
              </w:rPr>
            </w:pPr>
            <w:r w:rsidRPr="008340BB">
              <w:rPr>
                <w:i/>
              </w:rPr>
              <w:t>Port infrastructure and inland waterways</w:t>
            </w:r>
          </w:p>
          <w:p w14:paraId="6FEE7D7C" w14:textId="77777777" w:rsidR="00F1341F" w:rsidRPr="008340BB" w:rsidRDefault="00F1341F" w:rsidP="00A26B6F">
            <w:r w:rsidRPr="008340BB">
              <w:lastRenderedPageBreak/>
              <w:t xml:space="preserve">The </w:t>
            </w:r>
            <w:r w:rsidR="00CA6F1A">
              <w:t>density</w:t>
            </w:r>
            <w:r w:rsidRPr="008340BB">
              <w:t xml:space="preserve"> of </w:t>
            </w:r>
            <w:r w:rsidR="00CA6F1A">
              <w:t xml:space="preserve">the existing </w:t>
            </w:r>
            <w:r w:rsidRPr="008340BB">
              <w:t xml:space="preserve">port infrastructure is high and there is </w:t>
            </w:r>
            <w:r w:rsidR="00CA6F1A">
              <w:t xml:space="preserve">available </w:t>
            </w:r>
            <w:r w:rsidRPr="008340BB">
              <w:t xml:space="preserve">free </w:t>
            </w:r>
            <w:r w:rsidR="00CA6F1A">
              <w:t xml:space="preserve">ports </w:t>
            </w:r>
            <w:r w:rsidRPr="008340BB">
              <w:t>capacity</w:t>
            </w:r>
            <w:r w:rsidR="00FC1EAE">
              <w:t xml:space="preserve">. </w:t>
            </w:r>
            <w:r w:rsidR="00493FA9" w:rsidRPr="00CD1188">
              <w:rPr>
                <w:rStyle w:val="hps"/>
              </w:rPr>
              <w:t>Most</w:t>
            </w:r>
            <w:r w:rsidRPr="00CD1188">
              <w:rPr>
                <w:rStyle w:val="hps"/>
              </w:rPr>
              <w:t xml:space="preserve"> of the</w:t>
            </w:r>
            <w:r w:rsidRPr="00CD1188">
              <w:t xml:space="preserve"> </w:t>
            </w:r>
            <w:r w:rsidRPr="00CD1188">
              <w:rPr>
                <w:rStyle w:val="hps"/>
              </w:rPr>
              <w:t>Bulgarian</w:t>
            </w:r>
            <w:r w:rsidRPr="00CD1188">
              <w:t xml:space="preserve"> </w:t>
            </w:r>
            <w:r w:rsidRPr="00CD1188">
              <w:rPr>
                <w:rStyle w:val="hps"/>
              </w:rPr>
              <w:t>ports</w:t>
            </w:r>
            <w:r w:rsidRPr="00CD1188">
              <w:t xml:space="preserve"> </w:t>
            </w:r>
            <w:r w:rsidRPr="00CD1188">
              <w:rPr>
                <w:rStyle w:val="hps"/>
              </w:rPr>
              <w:t>have been built</w:t>
            </w:r>
            <w:r w:rsidRPr="00CD1188">
              <w:t xml:space="preserve"> </w:t>
            </w:r>
            <w:r w:rsidRPr="00CD1188">
              <w:rPr>
                <w:rStyle w:val="hps"/>
              </w:rPr>
              <w:t>in the beginning of the past century</w:t>
            </w:r>
            <w:r w:rsidRPr="00CD1188">
              <w:t xml:space="preserve">  </w:t>
            </w:r>
            <w:r w:rsidR="009325C9" w:rsidRPr="00CD1188">
              <w:rPr>
                <w:rStyle w:val="hps"/>
              </w:rPr>
              <w:t>and</w:t>
            </w:r>
            <w:r w:rsidRPr="00CD1188">
              <w:t xml:space="preserve"> </w:t>
            </w:r>
            <w:r w:rsidRPr="00CD1188">
              <w:rPr>
                <w:rStyle w:val="hps"/>
              </w:rPr>
              <w:t>their</w:t>
            </w:r>
            <w:r w:rsidRPr="00CD1188">
              <w:t xml:space="preserve"> </w:t>
            </w:r>
            <w:r w:rsidR="009325C9" w:rsidRPr="00CD1188">
              <w:t xml:space="preserve">current </w:t>
            </w:r>
            <w:r w:rsidRPr="00CD1188">
              <w:t xml:space="preserve">technical </w:t>
            </w:r>
            <w:r w:rsidRPr="00CD1188">
              <w:rPr>
                <w:rStyle w:val="hps"/>
              </w:rPr>
              <w:t>condition</w:t>
            </w:r>
            <w:r w:rsidR="009325C9" w:rsidRPr="00CD1188">
              <w:rPr>
                <w:rStyle w:val="hps"/>
              </w:rPr>
              <w:t xml:space="preserve"> is unsatisfactory</w:t>
            </w:r>
            <w:r w:rsidRPr="00CD1188">
              <w:rPr>
                <w:rStyle w:val="hps"/>
              </w:rPr>
              <w:t>.</w:t>
            </w:r>
            <w:r w:rsidRPr="008340BB">
              <w:t xml:space="preserve"> </w:t>
            </w:r>
            <w:r w:rsidRPr="008340BB">
              <w:rPr>
                <w:rStyle w:val="hps"/>
              </w:rPr>
              <w:t>The main problems</w:t>
            </w:r>
            <w:r w:rsidRPr="008340BB">
              <w:t xml:space="preserve"> </w:t>
            </w:r>
            <w:r w:rsidR="00493FA9" w:rsidRPr="008340BB">
              <w:rPr>
                <w:rStyle w:val="hps"/>
              </w:rPr>
              <w:t>related to ports ‘</w:t>
            </w:r>
            <w:r w:rsidRPr="008340BB">
              <w:rPr>
                <w:rStyle w:val="hps"/>
              </w:rPr>
              <w:t xml:space="preserve">development </w:t>
            </w:r>
            <w:r w:rsidR="00493FA9" w:rsidRPr="008340BB">
              <w:rPr>
                <w:rStyle w:val="hps"/>
              </w:rPr>
              <w:t xml:space="preserve">are </w:t>
            </w:r>
            <w:r w:rsidRPr="008340BB">
              <w:rPr>
                <w:rStyle w:val="hps"/>
              </w:rPr>
              <w:t>lack of</w:t>
            </w:r>
            <w:r w:rsidRPr="008340BB">
              <w:t xml:space="preserve"> </w:t>
            </w:r>
            <w:r w:rsidRPr="008340BB">
              <w:rPr>
                <w:rStyle w:val="hps"/>
              </w:rPr>
              <w:t>investment for</w:t>
            </w:r>
            <w:r w:rsidRPr="008340BB">
              <w:t xml:space="preserve"> </w:t>
            </w:r>
            <w:r w:rsidRPr="008340BB">
              <w:rPr>
                <w:rStyle w:val="hps"/>
              </w:rPr>
              <w:t xml:space="preserve">maintenance and </w:t>
            </w:r>
            <w:r w:rsidR="00493FA9" w:rsidRPr="008340BB">
              <w:rPr>
                <w:rStyle w:val="hps"/>
              </w:rPr>
              <w:t xml:space="preserve">backlog in </w:t>
            </w:r>
            <w:r w:rsidRPr="008340BB">
              <w:rPr>
                <w:rStyle w:val="hps"/>
              </w:rPr>
              <w:t>development of</w:t>
            </w:r>
            <w:r w:rsidRPr="008340BB">
              <w:t xml:space="preserve"> </w:t>
            </w:r>
            <w:r w:rsidRPr="008340BB">
              <w:rPr>
                <w:rStyle w:val="hps"/>
              </w:rPr>
              <w:t>port infrastructure</w:t>
            </w:r>
            <w:r w:rsidRPr="008340BB">
              <w:t xml:space="preserve"> </w:t>
            </w:r>
            <w:r w:rsidRPr="008340BB">
              <w:rPr>
                <w:rStyle w:val="hps"/>
              </w:rPr>
              <w:t>in</w:t>
            </w:r>
            <w:r w:rsidRPr="008340BB">
              <w:t xml:space="preserve"> </w:t>
            </w:r>
            <w:r w:rsidR="00493FA9" w:rsidRPr="008340BB">
              <w:rPr>
                <w:rStyle w:val="hps"/>
              </w:rPr>
              <w:t>past periods</w:t>
            </w:r>
            <w:r w:rsidRPr="008340BB">
              <w:rPr>
                <w:rStyle w:val="hps"/>
              </w:rPr>
              <w:t>,</w:t>
            </w:r>
            <w:r w:rsidRPr="008340BB">
              <w:t xml:space="preserve"> </w:t>
            </w:r>
            <w:r w:rsidRPr="008340BB">
              <w:rPr>
                <w:rStyle w:val="hps"/>
              </w:rPr>
              <w:t>obsolete</w:t>
            </w:r>
            <w:r w:rsidRPr="008340BB">
              <w:t xml:space="preserve"> </w:t>
            </w:r>
            <w:r w:rsidRPr="008340BB">
              <w:rPr>
                <w:rStyle w:val="hps"/>
              </w:rPr>
              <w:t>basic mechanical</w:t>
            </w:r>
            <w:r w:rsidRPr="008340BB">
              <w:t xml:space="preserve"> </w:t>
            </w:r>
            <w:r w:rsidRPr="008340BB">
              <w:rPr>
                <w:rStyle w:val="hps"/>
              </w:rPr>
              <w:t>equipment</w:t>
            </w:r>
            <w:r w:rsidRPr="008340BB">
              <w:t xml:space="preserve"> </w:t>
            </w:r>
            <w:r w:rsidRPr="008340BB">
              <w:rPr>
                <w:rStyle w:val="hps"/>
              </w:rPr>
              <w:t>and facilities for</w:t>
            </w:r>
            <w:r w:rsidRPr="008340BB">
              <w:t xml:space="preserve"> </w:t>
            </w:r>
            <w:r w:rsidRPr="008340BB">
              <w:rPr>
                <w:rStyle w:val="hps"/>
              </w:rPr>
              <w:t>transhipment,</w:t>
            </w:r>
            <w:r w:rsidRPr="008340BB">
              <w:t xml:space="preserve"> </w:t>
            </w:r>
            <w:r w:rsidRPr="008340BB">
              <w:rPr>
                <w:rStyle w:val="hps"/>
              </w:rPr>
              <w:t>poor condition</w:t>
            </w:r>
            <w:r w:rsidRPr="008340BB">
              <w:t xml:space="preserve"> </w:t>
            </w:r>
            <w:r w:rsidRPr="008340BB">
              <w:rPr>
                <w:rStyle w:val="hps"/>
              </w:rPr>
              <w:t>of</w:t>
            </w:r>
            <w:r w:rsidRPr="008340BB">
              <w:t xml:space="preserve"> </w:t>
            </w:r>
            <w:r w:rsidRPr="008340BB">
              <w:rPr>
                <w:rStyle w:val="hps"/>
              </w:rPr>
              <w:t>the piers.</w:t>
            </w:r>
          </w:p>
          <w:p w14:paraId="2B50E094" w14:textId="77777777" w:rsidR="00F1341F" w:rsidRDefault="00F1341F" w:rsidP="00A26B6F">
            <w:r w:rsidRPr="008340BB">
              <w:t>The tendency towards developing the public river and seaports</w:t>
            </w:r>
            <w:r w:rsidR="008340BB">
              <w:t xml:space="preserve"> </w:t>
            </w:r>
            <w:r w:rsidRPr="008340BB">
              <w:t>of national importance is related to their granting on concession and the liberalization of port services while taking into account the needs to improve the technical conditions of port infrastruct</w:t>
            </w:r>
            <w:r w:rsidRPr="0067246B">
              <w:t xml:space="preserve">ures and aquatic territories. </w:t>
            </w:r>
          </w:p>
          <w:p w14:paraId="58C46235" w14:textId="77777777" w:rsidR="00114124" w:rsidRDefault="00114124" w:rsidP="00114124">
            <w:r w:rsidRPr="0059267E">
              <w:t xml:space="preserve">Modern logistic, navigational and information systems have been built over the past years for the Black Sea and the Danube River which </w:t>
            </w:r>
            <w:r>
              <w:t>have</w:t>
            </w:r>
            <w:r w:rsidRPr="0059267E">
              <w:t xml:space="preserve"> improve</w:t>
            </w:r>
            <w:r>
              <w:t>d</w:t>
            </w:r>
            <w:r w:rsidRPr="0059267E">
              <w:t xml:space="preserve"> navigation conditions and reduc</w:t>
            </w:r>
            <w:r>
              <w:t>ed</w:t>
            </w:r>
            <w:r w:rsidRPr="0059267E">
              <w:t xml:space="preserve"> the risk of incidents. Since 2003</w:t>
            </w:r>
            <w:r>
              <w:t>,</w:t>
            </w:r>
            <w:r w:rsidRPr="0059267E">
              <w:t xml:space="preserve"> </w:t>
            </w:r>
            <w:r>
              <w:t xml:space="preserve">a </w:t>
            </w:r>
            <w:r w:rsidRPr="00984F5B">
              <w:t xml:space="preserve">Vessel Traffic Managements Information System </w:t>
            </w:r>
            <w:r>
              <w:t>(</w:t>
            </w:r>
            <w:r w:rsidRPr="0059267E">
              <w:t>VTMIS</w:t>
            </w:r>
            <w:r>
              <w:t>)</w:t>
            </w:r>
            <w:r w:rsidRPr="0059267E">
              <w:t xml:space="preserve"> for harmonised information services to maritime transport</w:t>
            </w:r>
            <w:r>
              <w:t xml:space="preserve"> is in operation. This system improves </w:t>
            </w:r>
            <w:r w:rsidRPr="0059267E">
              <w:t xml:space="preserve">maritime safety in Bulgarian territorial waters </w:t>
            </w:r>
            <w:r>
              <w:t>by</w:t>
            </w:r>
            <w:r w:rsidRPr="0059267E">
              <w:t xml:space="preserve"> providing traffic management</w:t>
            </w:r>
            <w:r>
              <w:t xml:space="preserve"> services and</w:t>
            </w:r>
            <w:r w:rsidRPr="0059267E">
              <w:t xml:space="preserve"> support </w:t>
            </w:r>
            <w:r>
              <w:t>for</w:t>
            </w:r>
            <w:r w:rsidRPr="0059267E">
              <w:t xml:space="preserve"> search and rescue operations. Third phase of the </w:t>
            </w:r>
            <w:r>
              <w:t xml:space="preserve">VTMIS </w:t>
            </w:r>
            <w:r w:rsidRPr="0059267E">
              <w:t xml:space="preserve">project is financed under the </w:t>
            </w:r>
            <w:r>
              <w:t>OPT</w:t>
            </w:r>
            <w:r w:rsidRPr="0059267E">
              <w:t xml:space="preserve"> 2007-2013 and is currently </w:t>
            </w:r>
            <w:r>
              <w:t>being</w:t>
            </w:r>
            <w:r w:rsidRPr="0059267E">
              <w:t xml:space="preserve"> implement</w:t>
            </w:r>
            <w:r>
              <w:t>ed.</w:t>
            </w:r>
            <w:r w:rsidRPr="0059267E">
              <w:t xml:space="preserve"> </w:t>
            </w:r>
            <w:r>
              <w:t xml:space="preserve">Phase 3 includes further development of the VTMIS </w:t>
            </w:r>
            <w:r w:rsidRPr="00984F5B">
              <w:t>infrastructure</w:t>
            </w:r>
            <w:r>
              <w:t xml:space="preserve"> a</w:t>
            </w:r>
            <w:r w:rsidRPr="00984F5B">
              <w:t xml:space="preserve">nd </w:t>
            </w:r>
            <w:r>
              <w:t>e</w:t>
            </w:r>
            <w:r w:rsidRPr="00F72461">
              <w:t>x</w:t>
            </w:r>
            <w:r>
              <w:t>tending the service offered by the system to</w:t>
            </w:r>
            <w:r w:rsidRPr="00984F5B">
              <w:t xml:space="preserve"> </w:t>
            </w:r>
            <w:r>
              <w:t>cargo ships.</w:t>
            </w:r>
          </w:p>
          <w:p w14:paraId="00F8804C" w14:textId="77777777" w:rsidR="0029649A" w:rsidRPr="00B5130A" w:rsidRDefault="009A1EBD" w:rsidP="0029649A">
            <w:r>
              <w:t>Another project financed u</w:t>
            </w:r>
            <w:r w:rsidR="00F1341F" w:rsidRPr="00DC0475">
              <w:t>nder the OPT 2007-2013 is the "Creation of river information system in the Bulgarian part of the Danube" (BULRIS)</w:t>
            </w:r>
            <w:r w:rsidR="0029649A">
              <w:t>. BULRIS</w:t>
            </w:r>
            <w:r w:rsidR="00F1341F" w:rsidRPr="00DC0475">
              <w:t xml:space="preserve"> will provide information </w:t>
            </w:r>
            <w:r w:rsidR="0029649A">
              <w:t>t</w:t>
            </w:r>
            <w:r w:rsidR="00F1341F" w:rsidRPr="00B5130A">
              <w:t xml:space="preserve">o skippers </w:t>
            </w:r>
            <w:r w:rsidR="0029649A">
              <w:t xml:space="preserve">enabling them to </w:t>
            </w:r>
            <w:r w:rsidR="00F1341F" w:rsidRPr="00B5130A">
              <w:t>safe</w:t>
            </w:r>
            <w:r w:rsidR="0029649A">
              <w:t>ly</w:t>
            </w:r>
            <w:r w:rsidR="00F1341F" w:rsidRPr="00B5130A">
              <w:t xml:space="preserve"> navigat</w:t>
            </w:r>
            <w:r w:rsidR="0029649A">
              <w:t>e</w:t>
            </w:r>
            <w:r w:rsidR="00F1341F" w:rsidRPr="00B5130A">
              <w:t xml:space="preserve"> the Bulgarian section of Danube River. To</w:t>
            </w:r>
            <w:r w:rsidR="0029649A" w:rsidRPr="00930B87">
              <w:t xml:space="preserve"> enhance BULRIS </w:t>
            </w:r>
            <w:r w:rsidR="0029649A">
              <w:t xml:space="preserve">and to </w:t>
            </w:r>
            <w:r w:rsidR="0029649A" w:rsidRPr="0059267E">
              <w:t xml:space="preserve">ensure </w:t>
            </w:r>
            <w:r w:rsidR="0029649A">
              <w:t xml:space="preserve">compliance with Regulations </w:t>
            </w:r>
            <w:r w:rsidR="0029649A" w:rsidRPr="00435DC5">
              <w:t>(EC) No 219/2009</w:t>
            </w:r>
            <w:r w:rsidR="0029649A" w:rsidRPr="0059267E">
              <w:t xml:space="preserve"> it is </w:t>
            </w:r>
            <w:r w:rsidR="0029649A">
              <w:t>foreseen</w:t>
            </w:r>
            <w:r w:rsidR="0029649A" w:rsidRPr="0059267E">
              <w:t xml:space="preserve"> to further develop and upgrade </w:t>
            </w:r>
            <w:r w:rsidR="0029649A">
              <w:t>the</w:t>
            </w:r>
            <w:r w:rsidR="0029649A" w:rsidRPr="0059267E">
              <w:t xml:space="preserve"> navigation information systems</w:t>
            </w:r>
          </w:p>
          <w:p w14:paraId="585E8C72" w14:textId="77777777" w:rsidR="00F1341F" w:rsidRPr="00A828C5" w:rsidRDefault="00F1341F" w:rsidP="00510D8A">
            <w:pPr>
              <w:rPr>
                <w:i/>
              </w:rPr>
            </w:pPr>
            <w:r w:rsidRPr="00A828C5">
              <w:rPr>
                <w:i/>
              </w:rPr>
              <w:t>Air Transport</w:t>
            </w:r>
          </w:p>
          <w:p w14:paraId="3E3ECB08" w14:textId="77777777" w:rsidR="00F1341F" w:rsidRPr="008340BB" w:rsidRDefault="00F1341F" w:rsidP="00803D5B">
            <w:r w:rsidRPr="008340BB">
              <w:t>After accession of Bulgaria to the EU, the air travel markets demonstrated high growth due to the development of business and tourism industry. The strong demand is serviced mainly by the international airports in Sofia, Varna and Burgas, and to a lesser degree by the airports of Plovdiv and Gorna Oryahovitsa. As a result of targeted investment policy in recent years, the country's aircraft fleet is being updated at high pace and Bulgarian air carriers continuously improve their competitiveness both in the charter and passenger service on regularly scheduled international flights.</w:t>
            </w:r>
          </w:p>
          <w:p w14:paraId="09FFBA24" w14:textId="77777777" w:rsidR="00F1341F" w:rsidRPr="008340BB" w:rsidRDefault="00F1341F" w:rsidP="00A26B6F">
            <w:pPr>
              <w:rPr>
                <w:i/>
              </w:rPr>
            </w:pPr>
            <w:r w:rsidRPr="008340BB">
              <w:rPr>
                <w:i/>
              </w:rPr>
              <w:t>Intermodal transport and terminals</w:t>
            </w:r>
          </w:p>
          <w:p w14:paraId="3294AE74" w14:textId="77777777" w:rsidR="00F1341F" w:rsidRPr="008340BB" w:rsidRDefault="00F1341F" w:rsidP="007367F8">
            <w:r w:rsidRPr="008340BB">
              <w:t xml:space="preserve">The main routes for domestic and international intermodal transport coincide with the directions of the Bulgarian sections, included in the AGTC network and directions of core and comprehensive Trans-European Transport Network. Along these directions there are no limiting overall dimensions, associated with tunnels, bridges, etc., when using appropriate rolling stock. </w:t>
            </w:r>
            <w:r w:rsidRPr="008340BB">
              <w:rPr>
                <w:rStyle w:val="hps"/>
              </w:rPr>
              <w:t>Establishing effective combined transport chains is a key element of freight transport policy. One of the basic measures for a sustainable and balanced development of the transport system is promoting intermodality as an opportunity for modal shift of freights to more environmentally friendly modes of transport.</w:t>
            </w:r>
            <w:r w:rsidRPr="008340BB">
              <w:t xml:space="preserve"> </w:t>
            </w:r>
          </w:p>
          <w:p w14:paraId="0CF55489" w14:textId="77777777" w:rsidR="00F1341F" w:rsidRPr="008340BB" w:rsidRDefault="00F1341F" w:rsidP="00A26B6F">
            <w:pPr>
              <w:rPr>
                <w:i/>
              </w:rPr>
            </w:pPr>
            <w:r w:rsidRPr="008340BB">
              <w:rPr>
                <w:i/>
              </w:rPr>
              <w:t>Metro transport</w:t>
            </w:r>
          </w:p>
          <w:p w14:paraId="3AB8CEAE" w14:textId="77777777" w:rsidR="00F1341F" w:rsidRPr="008340BB" w:rsidRDefault="009338D2" w:rsidP="00A26B6F">
            <w:r>
              <w:t xml:space="preserve">Due to </w:t>
            </w:r>
            <w:r w:rsidR="00F1341F" w:rsidRPr="008340BB">
              <w:t xml:space="preserve">urbanisation  </w:t>
            </w:r>
            <w:r>
              <w:t>traffic</w:t>
            </w:r>
            <w:r w:rsidR="00F1341F" w:rsidRPr="008340BB">
              <w:t xml:space="preserve"> in the large agglomerations </w:t>
            </w:r>
            <w:r w:rsidR="009B1DD8" w:rsidRPr="00435AC3">
              <w:t xml:space="preserve">in particular in Sofia, is increasing. </w:t>
            </w:r>
            <w:r w:rsidR="00121C19">
              <w:t>This results in</w:t>
            </w:r>
            <w:r w:rsidR="00F1341F" w:rsidRPr="008340BB">
              <w:t xml:space="preserve"> traffic jams</w:t>
            </w:r>
            <w:r w:rsidR="0009401B">
              <w:t>, accidents</w:t>
            </w:r>
            <w:r w:rsidR="00F1341F" w:rsidRPr="008340BB">
              <w:t xml:space="preserve"> and harmful environmental impact. </w:t>
            </w:r>
            <w:r w:rsidR="00F1341F" w:rsidRPr="008340BB">
              <w:lastRenderedPageBreak/>
              <w:t xml:space="preserve">In this regard a need is defined for more effective organisation of urban transport and improving its accessibility, reliability, safety, security and overall quality. Currently </w:t>
            </w:r>
            <w:r w:rsidR="001D6BA8" w:rsidRPr="001D6BA8">
              <w:t xml:space="preserve">integrated urban transport projects are being implemented in the </w:t>
            </w:r>
            <w:r w:rsidR="00F1341F" w:rsidRPr="008340BB">
              <w:t>seven largest Bulgarian cities under the OPRD 2007-2013</w:t>
            </w:r>
            <w:r w:rsidR="001D6BA8">
              <w:t>.</w:t>
            </w:r>
            <w:r w:rsidR="00F1341F" w:rsidRPr="008340BB">
              <w:t xml:space="preserve"> </w:t>
            </w:r>
            <w:r w:rsidR="001D6BA8">
              <w:t>These projects</w:t>
            </w:r>
            <w:r w:rsidR="00F1341F" w:rsidRPr="008340BB">
              <w:t xml:space="preserve"> include purchase of environmentally friendly vehicles, optimisation of transport schemes,</w:t>
            </w:r>
            <w:r w:rsidR="001D6BA8">
              <w:t xml:space="preserve"> </w:t>
            </w:r>
            <w:r w:rsidR="001D6BA8" w:rsidRPr="001D6BA8">
              <w:t>introduction</w:t>
            </w:r>
            <w:r w:rsidR="00F1341F" w:rsidRPr="008340BB">
              <w:t xml:space="preserve"> of integrated fare collection systems and implementation of flexible fare policy, creation of conditions for non-motorized transport.</w:t>
            </w:r>
          </w:p>
          <w:p w14:paraId="5EDDCAEA" w14:textId="77777777" w:rsidR="00F1341F" w:rsidRDefault="00297033" w:rsidP="00943625">
            <w:r>
              <w:t xml:space="preserve">In </w:t>
            </w:r>
            <w:r w:rsidR="00637F5B" w:rsidRPr="00637F5B">
              <w:t xml:space="preserve">the capital city of </w:t>
            </w:r>
            <w:r w:rsidR="00F1341F" w:rsidRPr="008340BB">
              <w:t xml:space="preserve">Sofia </w:t>
            </w:r>
            <w:r w:rsidR="00637F5B">
              <w:t xml:space="preserve">the </w:t>
            </w:r>
            <w:r w:rsidR="00F1341F" w:rsidRPr="008340BB">
              <w:t>metro provides effective, fast and safe transportation, replacing a significant number of parallel lines of ground transport.</w:t>
            </w:r>
            <w:r>
              <w:t xml:space="preserve"> </w:t>
            </w:r>
            <w:r w:rsidRPr="00297033">
              <w:t>The carriage capacity of the metro is 50 thousand passengers per hour.</w:t>
            </w:r>
          </w:p>
          <w:p w14:paraId="7DBE6DD0" w14:textId="77777777" w:rsidR="006F034C" w:rsidRPr="008340BB" w:rsidRDefault="006F034C" w:rsidP="00943625"/>
          <w:p w14:paraId="0D87B99B" w14:textId="77777777" w:rsidR="00F1341F" w:rsidRPr="008340BB" w:rsidRDefault="00F1341F" w:rsidP="003170FC">
            <w:pPr>
              <w:rPr>
                <w:b/>
              </w:rPr>
            </w:pPr>
            <w:r w:rsidRPr="008340BB">
              <w:rPr>
                <w:b/>
              </w:rPr>
              <w:t>Identified problems</w:t>
            </w:r>
          </w:p>
          <w:p w14:paraId="2AE8184C" w14:textId="77777777" w:rsidR="00F1341F" w:rsidRPr="008340BB" w:rsidRDefault="00F1341F" w:rsidP="003170FC">
            <w:pPr>
              <w:spacing w:before="0" w:after="0"/>
              <w:rPr>
                <w:i/>
              </w:rPr>
            </w:pPr>
            <w:r w:rsidRPr="008340BB">
              <w:rPr>
                <w:i/>
              </w:rPr>
              <w:t xml:space="preserve">Railway </w:t>
            </w:r>
          </w:p>
          <w:p w14:paraId="24F8DCCD" w14:textId="77777777" w:rsidR="00F1341F" w:rsidRPr="008340BB" w:rsidRDefault="00F1341F" w:rsidP="003170FC">
            <w:pPr>
              <w:autoSpaceDE w:val="0"/>
              <w:autoSpaceDN w:val="0"/>
              <w:adjustRightInd w:val="0"/>
            </w:pPr>
            <w:r w:rsidRPr="008340BB">
              <w:t>The main identified problems in relation to development of railway transport are as follows:</w:t>
            </w:r>
          </w:p>
          <w:p w14:paraId="7A3B58FF" w14:textId="77777777" w:rsidR="00F1341F" w:rsidRPr="008340BB" w:rsidRDefault="00F1341F" w:rsidP="00AE6EAD">
            <w:pPr>
              <w:numPr>
                <w:ilvl w:val="0"/>
                <w:numId w:val="58"/>
              </w:numPr>
              <w:autoSpaceDE w:val="0"/>
              <w:autoSpaceDN w:val="0"/>
              <w:adjustRightInd w:val="0"/>
            </w:pPr>
            <w:r w:rsidRPr="008340BB">
              <w:t xml:space="preserve">Unsatisfactory condition of the railway infrastructure and </w:t>
            </w:r>
            <w:r w:rsidR="00AE6EAD">
              <w:t xml:space="preserve">of </w:t>
            </w:r>
            <w:r w:rsidRPr="008340BB">
              <w:t>the rolling stock</w:t>
            </w:r>
            <w:r w:rsidR="00AE6EAD">
              <w:t xml:space="preserve"> </w:t>
            </w:r>
            <w:r w:rsidR="00AE6EAD" w:rsidRPr="00AE6EAD">
              <w:t>which results</w:t>
            </w:r>
            <w:r w:rsidR="00AE6EAD">
              <w:t xml:space="preserve"> in</w:t>
            </w:r>
            <w:r w:rsidRPr="008340BB">
              <w:t xml:space="preserve"> relatively low average speed and </w:t>
            </w:r>
            <w:r w:rsidR="00DF0FEE">
              <w:t xml:space="preserve">low </w:t>
            </w:r>
            <w:r w:rsidRPr="008340BB">
              <w:t xml:space="preserve">level of service of passenger and freight transport; </w:t>
            </w:r>
          </w:p>
          <w:p w14:paraId="51D21523" w14:textId="77777777" w:rsidR="00F1341F" w:rsidRPr="008340BB" w:rsidRDefault="00F1341F" w:rsidP="003170FC">
            <w:pPr>
              <w:numPr>
                <w:ilvl w:val="0"/>
                <w:numId w:val="58"/>
              </w:numPr>
              <w:autoSpaceDE w:val="0"/>
              <w:autoSpaceDN w:val="0"/>
              <w:adjustRightInd w:val="0"/>
            </w:pPr>
            <w:r w:rsidRPr="008340BB">
              <w:t>Insufficient integration of the national railway network with the European railway network and need for achieving compliance of the technical characteristics of main directions with the requirements of Article 39 of the Regulation (EU) No 1315/2013;</w:t>
            </w:r>
          </w:p>
          <w:p w14:paraId="0381CC24" w14:textId="77777777" w:rsidR="00F1341F" w:rsidRPr="008340BB" w:rsidRDefault="00F1341F" w:rsidP="00865D79">
            <w:pPr>
              <w:numPr>
                <w:ilvl w:val="0"/>
                <w:numId w:val="58"/>
              </w:numPr>
              <w:autoSpaceDE w:val="0"/>
              <w:autoSpaceDN w:val="0"/>
              <w:adjustRightInd w:val="0"/>
            </w:pPr>
            <w:r w:rsidRPr="008340BB">
              <w:t>Lack of nation-wide modern signalling and communication systems: it is necessary to introduce an ERTMS system and to ma</w:t>
            </w:r>
            <w:r w:rsidR="008E5D12">
              <w:t>k</w:t>
            </w:r>
            <w:r w:rsidRPr="008340BB">
              <w:t xml:space="preserve">e frequency bands </w:t>
            </w:r>
            <w:r w:rsidR="00865D79" w:rsidRPr="00865D79">
              <w:t xml:space="preserve">available </w:t>
            </w:r>
            <w:r w:rsidRPr="008340BB">
              <w:t xml:space="preserve">to build a GSM-R network to ensure </w:t>
            </w:r>
            <w:r w:rsidRPr="008340BB">
              <w:rPr>
                <w:iCs/>
              </w:rPr>
              <w:t>interoperability</w:t>
            </w:r>
            <w:r w:rsidRPr="008340BB">
              <w:t xml:space="preserve"> and compatibility along the direction of the core and comprehensive trans-European railway network;</w:t>
            </w:r>
          </w:p>
          <w:p w14:paraId="25812E30" w14:textId="77777777" w:rsidR="00F1341F" w:rsidRPr="008340BB" w:rsidRDefault="00F1341F" w:rsidP="003170FC">
            <w:pPr>
              <w:numPr>
                <w:ilvl w:val="0"/>
                <w:numId w:val="58"/>
              </w:numPr>
              <w:autoSpaceDE w:val="0"/>
              <w:autoSpaceDN w:val="0"/>
              <w:adjustRightInd w:val="0"/>
            </w:pPr>
            <w:r w:rsidRPr="008340BB">
              <w:t>Insufficient connections of sea and inland waterway ports with the national railway network. It is necessary to be improved and developed connections of sea and inland waterway ports and airports with the national railway network, which will contribute to increased intermodality.</w:t>
            </w:r>
          </w:p>
          <w:p w14:paraId="67D5A840" w14:textId="77777777" w:rsidR="00E44D68" w:rsidRDefault="00F1341F" w:rsidP="003170FC">
            <w:pPr>
              <w:rPr>
                <w:i/>
              </w:rPr>
            </w:pPr>
            <w:r w:rsidRPr="008340BB">
              <w:rPr>
                <w:i/>
              </w:rPr>
              <w:t>Road</w:t>
            </w:r>
          </w:p>
          <w:p w14:paraId="0AA47DAA" w14:textId="77777777" w:rsidR="00F1341F" w:rsidRPr="008340BB" w:rsidRDefault="00F1341F" w:rsidP="003170FC">
            <w:r w:rsidRPr="008340BB">
              <w:t xml:space="preserve">The main problems of road transport development </w:t>
            </w:r>
            <w:r w:rsidR="00D73303" w:rsidRPr="008340BB">
              <w:t>are</w:t>
            </w:r>
            <w:r w:rsidRPr="008340BB">
              <w:t xml:space="preserve"> the poor condition of a large part of the road infrastructure and </w:t>
            </w:r>
            <w:r w:rsidR="00527187">
              <w:t xml:space="preserve">the </w:t>
            </w:r>
            <w:r w:rsidR="00E43902">
              <w:t xml:space="preserve">outdated and low-tech </w:t>
            </w:r>
            <w:r w:rsidRPr="008340BB">
              <w:rPr>
                <w:iCs/>
              </w:rPr>
              <w:t>vehicle fleet.</w:t>
            </w:r>
          </w:p>
          <w:p w14:paraId="63759123" w14:textId="77777777" w:rsidR="00F1341F" w:rsidRPr="008340BB" w:rsidRDefault="00F1341F" w:rsidP="003170FC">
            <w:r w:rsidRPr="008340BB">
              <w:t xml:space="preserve">With regard to the current state of the road infrastructure, the following problems can be defined: </w:t>
            </w:r>
          </w:p>
          <w:p w14:paraId="304DD644" w14:textId="77777777" w:rsidR="00F1341F" w:rsidRPr="008340BB" w:rsidRDefault="00F1341F" w:rsidP="003170FC">
            <w:pPr>
              <w:numPr>
                <w:ilvl w:val="0"/>
                <w:numId w:val="59"/>
              </w:numPr>
              <w:rPr>
                <w:spacing w:val="-1"/>
              </w:rPr>
            </w:pPr>
            <w:r w:rsidRPr="008340BB">
              <w:rPr>
                <w:spacing w:val="-1"/>
              </w:rPr>
              <w:t xml:space="preserve">High traffic </w:t>
            </w:r>
            <w:r w:rsidR="00D73303" w:rsidRPr="008340BB">
              <w:rPr>
                <w:spacing w:val="-1"/>
              </w:rPr>
              <w:t>by road</w:t>
            </w:r>
            <w:r w:rsidRPr="008340BB">
              <w:rPr>
                <w:spacing w:val="2"/>
              </w:rPr>
              <w:t xml:space="preserve"> compared to other </w:t>
            </w:r>
            <w:r w:rsidR="00D73303" w:rsidRPr="008340BB">
              <w:rPr>
                <w:spacing w:val="2"/>
              </w:rPr>
              <w:t xml:space="preserve">infrastructure </w:t>
            </w:r>
            <w:r w:rsidRPr="008340BB">
              <w:rPr>
                <w:spacing w:val="2"/>
              </w:rPr>
              <w:t xml:space="preserve">networks and </w:t>
            </w:r>
            <w:r w:rsidRPr="008340BB">
              <w:rPr>
                <w:spacing w:val="-1"/>
              </w:rPr>
              <w:t xml:space="preserve">a large number of road </w:t>
            </w:r>
            <w:r w:rsidRPr="008340BB">
              <w:rPr>
                <w:spacing w:val="2"/>
              </w:rPr>
              <w:t>sections with traffic levels close to the throughput capacity of the road</w:t>
            </w:r>
            <w:r w:rsidRPr="008340BB">
              <w:t>;</w:t>
            </w:r>
          </w:p>
          <w:p w14:paraId="3521AD6B" w14:textId="77777777" w:rsidR="00F1341F" w:rsidRPr="008340BB" w:rsidRDefault="00F1341F" w:rsidP="003170FC">
            <w:pPr>
              <w:numPr>
                <w:ilvl w:val="0"/>
                <w:numId w:val="59"/>
              </w:numPr>
              <w:rPr>
                <w:spacing w:val="-1"/>
              </w:rPr>
            </w:pPr>
            <w:r w:rsidRPr="008340BB">
              <w:rPr>
                <w:spacing w:val="-1"/>
              </w:rPr>
              <w:t>Uncompleted core network of motorways to ensure quality high-speed links between Bulgaria and the neighbouring countries, as well as between parts of the major populated centres in Bulgaria;</w:t>
            </w:r>
          </w:p>
          <w:p w14:paraId="6806BCFB" w14:textId="77777777" w:rsidR="00F1341F" w:rsidRPr="008340BB" w:rsidRDefault="00F1341F" w:rsidP="003170FC">
            <w:pPr>
              <w:numPr>
                <w:ilvl w:val="0"/>
                <w:numId w:val="59"/>
              </w:numPr>
              <w:rPr>
                <w:spacing w:val="-1"/>
              </w:rPr>
            </w:pPr>
            <w:r w:rsidRPr="008340BB">
              <w:rPr>
                <w:spacing w:val="2"/>
              </w:rPr>
              <w:t xml:space="preserve">Unsatisfactory condition of a </w:t>
            </w:r>
            <w:r w:rsidRPr="008340BB">
              <w:t xml:space="preserve">part of the </w:t>
            </w:r>
            <w:r w:rsidRPr="008340BB">
              <w:rPr>
                <w:spacing w:val="2"/>
              </w:rPr>
              <w:t>road infrastructure, which fails to meet the requisite conditions for continuous, comfortable and safe transport</w:t>
            </w:r>
            <w:r w:rsidRPr="008340BB">
              <w:t>;</w:t>
            </w:r>
          </w:p>
          <w:p w14:paraId="658CE497" w14:textId="77777777" w:rsidR="00F1341F" w:rsidRPr="008340BB" w:rsidRDefault="00F1341F" w:rsidP="003170FC">
            <w:pPr>
              <w:numPr>
                <w:ilvl w:val="0"/>
                <w:numId w:val="59"/>
              </w:numPr>
              <w:rPr>
                <w:spacing w:val="-1"/>
              </w:rPr>
            </w:pPr>
            <w:r w:rsidRPr="008340BB">
              <w:rPr>
                <w:spacing w:val="2"/>
              </w:rPr>
              <w:lastRenderedPageBreak/>
              <w:t xml:space="preserve">Absence of bypass roads in many populated areas, particularly where there is an intensive traffic of passenger cars and heavy-freight vehicles; </w:t>
            </w:r>
          </w:p>
          <w:p w14:paraId="692A54E9" w14:textId="77777777" w:rsidR="00F1341F" w:rsidRPr="008340BB" w:rsidRDefault="00F1341F" w:rsidP="003170FC">
            <w:pPr>
              <w:numPr>
                <w:ilvl w:val="0"/>
                <w:numId w:val="59"/>
              </w:numPr>
            </w:pPr>
            <w:r w:rsidRPr="008340BB">
              <w:t>Large number of road facilities need immediate repair or rehabilitation;</w:t>
            </w:r>
          </w:p>
          <w:p w14:paraId="1808699B" w14:textId="77777777" w:rsidR="00F1341F" w:rsidRPr="008340BB" w:rsidRDefault="00F1341F" w:rsidP="003170FC">
            <w:pPr>
              <w:numPr>
                <w:ilvl w:val="0"/>
                <w:numId w:val="59"/>
              </w:numPr>
            </w:pPr>
            <w:r w:rsidRPr="008340BB">
              <w:t>Low levels of road safety performance indicators compared to average EU levels.</w:t>
            </w:r>
          </w:p>
          <w:p w14:paraId="15C8158F" w14:textId="77777777" w:rsidR="00F1341F" w:rsidRPr="008340BB" w:rsidRDefault="00F1341F" w:rsidP="003170FC">
            <w:pPr>
              <w:rPr>
                <w:i/>
              </w:rPr>
            </w:pPr>
            <w:r w:rsidRPr="008340BB">
              <w:rPr>
                <w:i/>
              </w:rPr>
              <w:t>Port infrastructure and inland waterways</w:t>
            </w:r>
          </w:p>
          <w:p w14:paraId="1D7A534D" w14:textId="593FDBC1" w:rsidR="00CD0A76" w:rsidRPr="004E3262" w:rsidRDefault="00366F65" w:rsidP="003170FC">
            <w:pPr>
              <w:rPr>
                <w:rStyle w:val="hps"/>
                <w:lang w:val="en-US"/>
              </w:rPr>
            </w:pPr>
            <w:r>
              <w:t xml:space="preserve"> </w:t>
            </w:r>
            <w:r w:rsidRPr="00366F65">
              <w:rPr>
                <w:rStyle w:val="hps"/>
              </w:rPr>
              <w:t xml:space="preserve">For the development of "corridors of solidarity" with Ukraine after the Russian aggression, the modernization of terminals in the area of Burgas Port is necessary in order to provide new maneuvering areas for ships. At the moment, there are no berths for container ships with a depth of 15.50 m at the terminals in the area of the port of Burgas, as restrictive parameters for the draft and length of the </w:t>
            </w:r>
            <w:r>
              <w:rPr>
                <w:rStyle w:val="hps"/>
              </w:rPr>
              <w:t>ships have been establish</w:t>
            </w:r>
            <w:r w:rsidRPr="00366F65">
              <w:rPr>
                <w:rStyle w:val="hps"/>
              </w:rPr>
              <w:t>ed.</w:t>
            </w:r>
            <w:r>
              <w:rPr>
                <w:rStyle w:val="hps"/>
              </w:rPr>
              <w:t xml:space="preserve"> </w:t>
            </w:r>
          </w:p>
          <w:p w14:paraId="37EFD5E8" w14:textId="01DE6571" w:rsidR="00F1341F" w:rsidRPr="00AC1A03" w:rsidRDefault="00F1341F" w:rsidP="003170FC">
            <w:pPr>
              <w:rPr>
                <w:lang w:val="en-US"/>
              </w:rPr>
            </w:pPr>
            <w:r w:rsidRPr="008340BB">
              <w:rPr>
                <w:rStyle w:val="hps"/>
              </w:rPr>
              <w:t>The main risks</w:t>
            </w:r>
            <w:r w:rsidRPr="008340BB">
              <w:t xml:space="preserve"> </w:t>
            </w:r>
            <w:r w:rsidRPr="008340BB">
              <w:rPr>
                <w:rStyle w:val="hps"/>
              </w:rPr>
              <w:t>to the navigation along</w:t>
            </w:r>
            <w:r w:rsidRPr="008340BB">
              <w:t xml:space="preserve"> </w:t>
            </w:r>
            <w:r w:rsidRPr="008340BB">
              <w:rPr>
                <w:rStyle w:val="hps"/>
              </w:rPr>
              <w:t>the Danube River</w:t>
            </w:r>
            <w:r w:rsidRPr="008340BB">
              <w:t xml:space="preserve"> </w:t>
            </w:r>
            <w:r w:rsidRPr="008340BB">
              <w:rPr>
                <w:rStyle w:val="hps"/>
              </w:rPr>
              <w:t>are</w:t>
            </w:r>
            <w:r w:rsidRPr="008340BB">
              <w:t xml:space="preserve"> </w:t>
            </w:r>
            <w:r w:rsidRPr="008340BB">
              <w:rPr>
                <w:rStyle w:val="hps"/>
              </w:rPr>
              <w:t>unsatisfactory</w:t>
            </w:r>
            <w:r w:rsidRPr="008340BB">
              <w:t xml:space="preserve"> </w:t>
            </w:r>
            <w:r w:rsidRPr="008340BB">
              <w:rPr>
                <w:rStyle w:val="hps"/>
              </w:rPr>
              <w:t>parameters</w:t>
            </w:r>
            <w:r w:rsidRPr="008340BB">
              <w:t xml:space="preserve"> </w:t>
            </w:r>
            <w:r w:rsidRPr="008340BB">
              <w:rPr>
                <w:rStyle w:val="hps"/>
              </w:rPr>
              <w:t xml:space="preserve">of the </w:t>
            </w:r>
            <w:r w:rsidRPr="008340BB">
              <w:t xml:space="preserve">navigation waterway, poor </w:t>
            </w:r>
            <w:r w:rsidRPr="008340BB">
              <w:rPr>
                <w:rStyle w:val="hps"/>
              </w:rPr>
              <w:t>navigation</w:t>
            </w:r>
            <w:r w:rsidRPr="008340BB">
              <w:t xml:space="preserve"> </w:t>
            </w:r>
            <w:r w:rsidRPr="008340BB">
              <w:rPr>
                <w:rStyle w:val="hps"/>
              </w:rPr>
              <w:t>conditions (</w:t>
            </w:r>
            <w:r w:rsidRPr="008340BB">
              <w:t xml:space="preserve">fog, low </w:t>
            </w:r>
            <w:r w:rsidRPr="008340BB">
              <w:rPr>
                <w:rStyle w:val="hps"/>
              </w:rPr>
              <w:t>water levels</w:t>
            </w:r>
            <w:r w:rsidRPr="008340BB">
              <w:t xml:space="preserve">, </w:t>
            </w:r>
            <w:r w:rsidRPr="008340BB">
              <w:rPr>
                <w:rStyle w:val="hps"/>
              </w:rPr>
              <w:t>and other obstacles)</w:t>
            </w:r>
            <w:r w:rsidRPr="008340BB">
              <w:t xml:space="preserve">, </w:t>
            </w:r>
            <w:r w:rsidRPr="008340BB">
              <w:rPr>
                <w:rStyle w:val="hps"/>
              </w:rPr>
              <w:t>failure to</w:t>
            </w:r>
            <w:r w:rsidRPr="008340BB">
              <w:t xml:space="preserve"> observe the </w:t>
            </w:r>
            <w:r w:rsidRPr="008340BB">
              <w:rPr>
                <w:rStyle w:val="hps"/>
              </w:rPr>
              <w:t>shipping</w:t>
            </w:r>
            <w:r w:rsidRPr="008340BB">
              <w:t xml:space="preserve"> </w:t>
            </w:r>
            <w:r w:rsidRPr="008340BB">
              <w:rPr>
                <w:rStyle w:val="hps"/>
              </w:rPr>
              <w:t>restrictions,</w:t>
            </w:r>
            <w:r w:rsidRPr="008340BB">
              <w:t xml:space="preserve"> </w:t>
            </w:r>
            <w:r w:rsidRPr="008340BB">
              <w:rPr>
                <w:rStyle w:val="hps"/>
              </w:rPr>
              <w:t>imposed</w:t>
            </w:r>
            <w:r w:rsidRPr="008340BB">
              <w:t xml:space="preserve"> </w:t>
            </w:r>
            <w:r w:rsidRPr="008340BB">
              <w:rPr>
                <w:rStyle w:val="hps"/>
              </w:rPr>
              <w:t>due to low</w:t>
            </w:r>
            <w:r w:rsidRPr="008340BB">
              <w:t xml:space="preserve"> </w:t>
            </w:r>
            <w:r w:rsidRPr="008340BB">
              <w:rPr>
                <w:rStyle w:val="hps"/>
              </w:rPr>
              <w:t>water levels</w:t>
            </w:r>
            <w:r w:rsidRPr="008340BB">
              <w:t xml:space="preserve"> </w:t>
            </w:r>
            <w:r w:rsidRPr="008340BB">
              <w:rPr>
                <w:rStyle w:val="hps"/>
              </w:rPr>
              <w:t xml:space="preserve">or other reasons. </w:t>
            </w:r>
            <w:r w:rsidRPr="008340BB">
              <w:t xml:space="preserve">The problems are connected </w:t>
            </w:r>
            <w:r w:rsidR="00404E0D">
              <w:t xml:space="preserve">to </w:t>
            </w:r>
            <w:r w:rsidRPr="008340BB">
              <w:t xml:space="preserve">erosion of the banks and islands and low waters of particular sectors of the river, which results in reduction of its depths. </w:t>
            </w:r>
            <w:r w:rsidR="00E006DE">
              <w:t>W</w:t>
            </w:r>
            <w:r w:rsidR="00E006DE" w:rsidRPr="000A4A1D">
              <w:rPr>
                <w:rFonts w:eastAsia="Times New Roman"/>
                <w:szCs w:val="24"/>
                <w:lang w:eastAsia="bg-BG"/>
              </w:rPr>
              <w:t xml:space="preserve">ater </w:t>
            </w:r>
            <w:r w:rsidR="00E006DE">
              <w:rPr>
                <w:rFonts w:eastAsia="Times New Roman"/>
                <w:szCs w:val="24"/>
                <w:lang w:eastAsia="bg-BG"/>
              </w:rPr>
              <w:t xml:space="preserve">quality at the Bulgarian section </w:t>
            </w:r>
            <w:r w:rsidR="00E006DE" w:rsidRPr="000A4A1D">
              <w:rPr>
                <w:rFonts w:eastAsia="Times New Roman"/>
                <w:szCs w:val="24"/>
                <w:lang w:eastAsia="bg-BG"/>
              </w:rPr>
              <w:t xml:space="preserve">of the Danube is </w:t>
            </w:r>
            <w:r w:rsidR="00E006DE">
              <w:rPr>
                <w:rFonts w:eastAsia="Times New Roman"/>
                <w:szCs w:val="24"/>
                <w:lang w:eastAsia="bg-BG"/>
              </w:rPr>
              <w:t>a crucial issue</w:t>
            </w:r>
            <w:r w:rsidRPr="008340BB">
              <w:rPr>
                <w:szCs w:val="24"/>
                <w:lang w:eastAsia="bg-BG"/>
              </w:rPr>
              <w:t xml:space="preserve">. Both water body and bottom are contaminated with debris and sediments in many places.  </w:t>
            </w:r>
            <w:r w:rsidR="00E006DE">
              <w:rPr>
                <w:szCs w:val="24"/>
                <w:lang w:eastAsia="bg-BG"/>
              </w:rPr>
              <w:t>S</w:t>
            </w:r>
            <w:r w:rsidRPr="008340BB">
              <w:rPr>
                <w:szCs w:val="24"/>
                <w:lang w:eastAsia="bg-BG"/>
              </w:rPr>
              <w:t xml:space="preserve">mall depths in midstream (thalweg/fairway), especially during periods of low water,  can cause drift grounding and other incidents. This can lead to </w:t>
            </w:r>
            <w:r w:rsidR="00F1658A" w:rsidRPr="000A4A1D">
              <w:rPr>
                <w:rFonts w:eastAsia="Times New Roman"/>
                <w:szCs w:val="24"/>
                <w:lang w:eastAsia="bg-BG"/>
              </w:rPr>
              <w:t>polluti</w:t>
            </w:r>
            <w:r w:rsidR="00F1658A">
              <w:rPr>
                <w:rFonts w:eastAsia="Times New Roman"/>
                <w:szCs w:val="24"/>
                <w:lang w:eastAsia="bg-BG"/>
              </w:rPr>
              <w:t>on of</w:t>
            </w:r>
            <w:r w:rsidR="00F1658A" w:rsidRPr="000A4A1D">
              <w:rPr>
                <w:rFonts w:eastAsia="Times New Roman"/>
                <w:szCs w:val="24"/>
                <w:lang w:eastAsia="bg-BG"/>
              </w:rPr>
              <w:t xml:space="preserve"> the river </w:t>
            </w:r>
            <w:r w:rsidR="00F1658A">
              <w:rPr>
                <w:rFonts w:eastAsia="Times New Roman"/>
                <w:szCs w:val="24"/>
                <w:lang w:eastAsia="bg-BG"/>
              </w:rPr>
              <w:t>through</w:t>
            </w:r>
            <w:r w:rsidR="00F1658A" w:rsidRPr="008340BB">
              <w:rPr>
                <w:szCs w:val="24"/>
                <w:lang w:eastAsia="bg-BG"/>
              </w:rPr>
              <w:t xml:space="preserve"> </w:t>
            </w:r>
            <w:r w:rsidRPr="008340BB">
              <w:rPr>
                <w:szCs w:val="24"/>
                <w:lang w:eastAsia="bg-BG"/>
              </w:rPr>
              <w:t xml:space="preserve">the release of wastewater, contaminated with oil and/or bunker fuel. Improving the depths </w:t>
            </w:r>
            <w:r w:rsidR="007E2845">
              <w:rPr>
                <w:szCs w:val="24"/>
                <w:lang w:eastAsia="bg-BG"/>
              </w:rPr>
              <w:t>at</w:t>
            </w:r>
            <w:r w:rsidRPr="008340BB">
              <w:rPr>
                <w:szCs w:val="24"/>
                <w:lang w:eastAsia="bg-BG"/>
              </w:rPr>
              <w:t xml:space="preserve"> critical river sections will reduce the likelihood of </w:t>
            </w:r>
            <w:r w:rsidR="001E676E">
              <w:rPr>
                <w:szCs w:val="24"/>
                <w:lang w:eastAsia="bg-BG"/>
              </w:rPr>
              <w:t xml:space="preserve">such </w:t>
            </w:r>
            <w:r w:rsidRPr="008340BB">
              <w:rPr>
                <w:szCs w:val="24"/>
                <w:lang w:eastAsia="bg-BG"/>
              </w:rPr>
              <w:t xml:space="preserve">incidents. </w:t>
            </w:r>
            <w:r w:rsidRPr="008340BB">
              <w:t>Under such circumstances, it is necessary to take measures aimed at improving the parameters of the navigation waterway and doing the utmost to achieve the objective of reinforcing banks and islands.</w:t>
            </w:r>
          </w:p>
          <w:p w14:paraId="06EDFFA6" w14:textId="77777777" w:rsidR="00F1341F" w:rsidRPr="008340BB" w:rsidRDefault="00F1341F" w:rsidP="003170FC">
            <w:pPr>
              <w:rPr>
                <w:i/>
              </w:rPr>
            </w:pPr>
            <w:r w:rsidRPr="008340BB">
              <w:rPr>
                <w:i/>
              </w:rPr>
              <w:t>Intermodal transport and terminals</w:t>
            </w:r>
          </w:p>
          <w:p w14:paraId="73753907" w14:textId="77777777" w:rsidR="00F1341F" w:rsidRPr="008340BB" w:rsidRDefault="000C31A8" w:rsidP="003170FC">
            <w:r>
              <w:t>E</w:t>
            </w:r>
            <w:r w:rsidR="00F1341F" w:rsidRPr="008340BB">
              <w:t xml:space="preserve">xisting container shipping terminals were built in the 1970s and 1980s and do not meet the requirements of modern cargo transport services. </w:t>
            </w:r>
            <w:r w:rsidR="007846DC">
              <w:t>Out of the</w:t>
            </w:r>
            <w:r w:rsidR="00F1341F" w:rsidRPr="008340BB">
              <w:t xml:space="preserve"> </w:t>
            </w:r>
            <w:r w:rsidR="007846DC" w:rsidRPr="007846DC">
              <w:t>9</w:t>
            </w:r>
            <w:r w:rsidR="007846DC">
              <w:t xml:space="preserve"> </w:t>
            </w:r>
            <w:r w:rsidR="00F1341F" w:rsidRPr="008340BB">
              <w:t xml:space="preserve">existing  terminals for combined transport as of 1990, currently </w:t>
            </w:r>
            <w:r w:rsidR="007846DC" w:rsidRPr="007846DC">
              <w:t>only 3</w:t>
            </w:r>
            <w:r w:rsidR="007846DC">
              <w:t xml:space="preserve"> </w:t>
            </w:r>
            <w:r w:rsidR="00F1341F" w:rsidRPr="008340BB">
              <w:t>are operating - Sofia Freight Railway Station, Filipovo Railway Station and Stara Zagora Railway Station.</w:t>
            </w:r>
          </w:p>
          <w:p w14:paraId="7319A472" w14:textId="77777777" w:rsidR="00F1341F" w:rsidRDefault="007846DC" w:rsidP="003170FC">
            <w:r>
              <w:t xml:space="preserve">There is no </w:t>
            </w:r>
            <w:r w:rsidR="00F1341F" w:rsidRPr="008340BB">
              <w:t>national network of modern intermodal terminals meet</w:t>
            </w:r>
            <w:r w:rsidR="00752C70">
              <w:t>ing</w:t>
            </w:r>
            <w:r w:rsidR="00F1341F" w:rsidRPr="008340BB">
              <w:t xml:space="preserve"> the needs of railway and inland waterway freight transport</w:t>
            </w:r>
            <w:r w:rsidR="00752C70">
              <w:t>.</w:t>
            </w:r>
            <w:r w:rsidR="00752C70" w:rsidRPr="008340BB">
              <w:t xml:space="preserve"> </w:t>
            </w:r>
            <w:r w:rsidR="00752C70">
              <w:t>I</w:t>
            </w:r>
            <w:r w:rsidR="00F1341F" w:rsidRPr="008340BB">
              <w:t>ntermodal operators are not well equipped with specialised rolling stock and there are only a few direct operational/logistic intermodal connections.</w:t>
            </w:r>
          </w:p>
          <w:p w14:paraId="35E3EF2F" w14:textId="77777777" w:rsidR="00AC1A03" w:rsidRDefault="00AC1A03" w:rsidP="00AC1A03">
            <w:pPr>
              <w:rPr>
                <w:b/>
              </w:rPr>
            </w:pPr>
          </w:p>
          <w:p w14:paraId="2D733279" w14:textId="030019A1" w:rsidR="00AC1A03" w:rsidRPr="00406A4C" w:rsidRDefault="00AC1A03" w:rsidP="00AC1A03">
            <w:pPr>
              <w:rPr>
                <w:b/>
              </w:rPr>
            </w:pPr>
            <w:r w:rsidRPr="00406A4C">
              <w:rPr>
                <w:b/>
              </w:rPr>
              <w:t>Energy</w:t>
            </w:r>
          </w:p>
          <w:p w14:paraId="39C6A0A0" w14:textId="7DAB380C" w:rsidR="006F034C" w:rsidRPr="00406A4C" w:rsidRDefault="00AC1A03" w:rsidP="00AC1A03">
            <w:r w:rsidRPr="00406A4C">
              <w:t xml:space="preserve">In addition, Russia's military aggression against Ukraine, the sanctions imposed and the retaliatory measures taken have led to unprecedentedly high gas and electricity prices, well above the high levels seen in the period before the aggression. In the context of the EU's emergency intervention to address high energy prices as a result of Russia's war against Ukraine, the adoption of Regulation (EU) 2023/435 of 27.02.23 enabled member states to take targeted emergency temporary measures for the use of Cohesion Policy funds to support SMEs that are particularly affected by increases in energy prices, starting from 01.02.22 inclusive, according to the </w:t>
            </w:r>
            <w:r w:rsidRPr="00406A4C">
              <w:lastRenderedPageBreak/>
              <w:t>Cohesion Policy framework for the period 2014-2020, specified in Regulation (EU) No. 1303/2013.</w:t>
            </w:r>
          </w:p>
          <w:p w14:paraId="2C922649" w14:textId="1383F9B4" w:rsidR="000E09FA" w:rsidRPr="009E67B2" w:rsidRDefault="00AD315F" w:rsidP="00AC1A03">
            <w:pPr>
              <w:rPr>
                <w:lang w:val="en-US"/>
              </w:rPr>
            </w:pPr>
            <w:r w:rsidRPr="00406A4C">
              <w:t>In Bulgaria, all SMEs are particularly affected by increases in energy prices according to the eligibility criterion of final recipients, specified in item 2.4. from the Temporary Frame. The analysis of the average monthly price BGN/MWh achieved on the organized exchange market of electricity in the Republic of Belarus in 2022 compared to that for the reference period in 2021 shows that the price jump varied between 180%-380%. For this reason, within the framework of national programs, compensations have been provided to all non-domestic final customers of electricity, including of all SMEs.</w:t>
            </w:r>
          </w:p>
          <w:p w14:paraId="1F5B090D" w14:textId="77777777" w:rsidR="00F45BB9" w:rsidRDefault="00F45BB9" w:rsidP="003170FC">
            <w:pPr>
              <w:rPr>
                <w:b/>
              </w:rPr>
            </w:pPr>
          </w:p>
          <w:p w14:paraId="140CF3AB" w14:textId="00F0578A" w:rsidR="00F1341F" w:rsidRPr="008340BB" w:rsidRDefault="00F1341F" w:rsidP="003170FC">
            <w:pPr>
              <w:rPr>
                <w:b/>
              </w:rPr>
            </w:pPr>
            <w:r w:rsidRPr="008340BB">
              <w:rPr>
                <w:b/>
              </w:rPr>
              <w:t>Expected result</w:t>
            </w:r>
            <w:r w:rsidR="005E5738">
              <w:rPr>
                <w:b/>
              </w:rPr>
              <w:t>s</w:t>
            </w:r>
            <w:r w:rsidRPr="008340BB">
              <w:rPr>
                <w:b/>
              </w:rPr>
              <w:t xml:space="preserve"> </w:t>
            </w:r>
          </w:p>
          <w:p w14:paraId="4FEC9CEB" w14:textId="77777777" w:rsidR="00F1341F" w:rsidRPr="008340BB" w:rsidRDefault="000533CE" w:rsidP="003170FC">
            <w:pPr>
              <w:autoSpaceDE w:val="0"/>
              <w:autoSpaceDN w:val="0"/>
              <w:adjustRightInd w:val="0"/>
            </w:pPr>
            <w:r>
              <w:t xml:space="preserve">The following parameters </w:t>
            </w:r>
            <w:r w:rsidR="00F1341F" w:rsidRPr="008340BB">
              <w:t xml:space="preserve"> </w:t>
            </w:r>
            <w:r>
              <w:t xml:space="preserve">of </w:t>
            </w:r>
            <w:r w:rsidR="00F1341F" w:rsidRPr="008340BB">
              <w:t xml:space="preserve">the national transport system   </w:t>
            </w:r>
            <w:r>
              <w:t>should be improved:</w:t>
            </w:r>
            <w:r w:rsidR="00F1341F" w:rsidRPr="008340BB">
              <w:t xml:space="preserve"> characteristics of the transport network, existing capacity – physical and operational structure of the network and volumes that can be achieved depending on demand of transport services, as well as operation condition of the network and ability to provide reliable and safe transport services. </w:t>
            </w:r>
          </w:p>
          <w:p w14:paraId="434CCD3F" w14:textId="3A4A2FB1" w:rsidR="00F1341F" w:rsidRPr="008340BB" w:rsidRDefault="00F1341F" w:rsidP="003170FC">
            <w:r w:rsidRPr="008340BB">
              <w:t xml:space="preserve">Investments </w:t>
            </w:r>
            <w:r w:rsidR="008C1053">
              <w:t xml:space="preserve">will </w:t>
            </w:r>
            <w:r w:rsidRPr="008340BB">
              <w:t xml:space="preserve">be concentrated mainly on completion of priority railway and road directions and promotion of multimodal transport – improvement of ports and airports connections to the road and railway network. </w:t>
            </w:r>
            <w:r w:rsidR="000533CE">
              <w:t>A</w:t>
            </w:r>
            <w:r w:rsidR="000533CE" w:rsidRPr="008340BB">
              <w:t xml:space="preserve"> better integration of the national transport network into EU transport network and improved connections with neighbouring countries will be achieved</w:t>
            </w:r>
            <w:r w:rsidR="000533CE">
              <w:t xml:space="preserve"> g</w:t>
            </w:r>
            <w:r w:rsidRPr="008340BB">
              <w:t xml:space="preserve">radually completing the modernisation of the </w:t>
            </w:r>
            <w:r w:rsidR="000533CE">
              <w:t xml:space="preserve">sections </w:t>
            </w:r>
            <w:r w:rsidRPr="008340BB">
              <w:t xml:space="preserve">of Trans-European Transport Network </w:t>
            </w:r>
          </w:p>
          <w:p w14:paraId="746AB69C" w14:textId="77777777" w:rsidR="00F1341F" w:rsidRPr="008340BB" w:rsidRDefault="00492C85" w:rsidP="003170FC">
            <w:pPr>
              <w:autoSpaceDE w:val="0"/>
              <w:autoSpaceDN w:val="0"/>
              <w:adjustRightInd w:val="0"/>
            </w:pPr>
            <w:r>
              <w:t>T</w:t>
            </w:r>
            <w:r w:rsidR="00F1341F" w:rsidRPr="008340BB">
              <w:t xml:space="preserve">he transport model </w:t>
            </w:r>
            <w:r w:rsidRPr="00492C85">
              <w:t xml:space="preserve">updated </w:t>
            </w:r>
            <w:r w:rsidR="00F1341F" w:rsidRPr="008340BB">
              <w:t>in 2013</w:t>
            </w:r>
            <w:r>
              <w:t xml:space="preserve"> (</w:t>
            </w:r>
            <w:r w:rsidR="00F1341F" w:rsidRPr="008340BB">
              <w:t xml:space="preserve">part of </w:t>
            </w:r>
            <w:r>
              <w:t xml:space="preserve">the </w:t>
            </w:r>
            <w:r w:rsidR="00F1341F" w:rsidRPr="008340BB">
              <w:t>General Transport Master Plan</w:t>
            </w:r>
            <w:r>
              <w:t>)</w:t>
            </w:r>
            <w:r w:rsidR="00F1341F" w:rsidRPr="008340BB">
              <w:t xml:space="preserve">, </w:t>
            </w:r>
            <w:r>
              <w:t>identifies</w:t>
            </w:r>
            <w:r w:rsidR="00F1341F" w:rsidRPr="008340BB">
              <w:t xml:space="preserve"> main sections of the road and railway network with expected major traffic increase until 2020 and 2030</w:t>
            </w:r>
            <w:r w:rsidR="00F75839">
              <w:t xml:space="preserve"> </w:t>
            </w:r>
            <w:r>
              <w:t>and sections</w:t>
            </w:r>
            <w:r w:rsidR="00F1341F" w:rsidRPr="008340BB">
              <w:t xml:space="preserve"> where demand forecast is </w:t>
            </w:r>
            <w:r>
              <w:t xml:space="preserve">close </w:t>
            </w:r>
            <w:r w:rsidR="00F1341F" w:rsidRPr="008340BB">
              <w:t xml:space="preserve">to or </w:t>
            </w:r>
            <w:r>
              <w:t>above</w:t>
            </w:r>
            <w:r w:rsidR="00F1341F" w:rsidRPr="008340BB">
              <w:t xml:space="preserve"> existing capacity. Highest average annual daily traffic volume of road transport by 2020 is expected on the sections Sofia</w:t>
            </w:r>
            <w:r w:rsidR="009722DD" w:rsidRPr="008340BB">
              <w:t xml:space="preserve"> </w:t>
            </w:r>
            <w:r w:rsidR="00F1341F" w:rsidRPr="008340BB">
              <w:t>-</w:t>
            </w:r>
            <w:r w:rsidR="009722DD" w:rsidRPr="008340BB">
              <w:t xml:space="preserve"> </w:t>
            </w:r>
            <w:r w:rsidR="00F1341F" w:rsidRPr="008340BB">
              <w:t>Burgas, Sofia</w:t>
            </w:r>
            <w:r w:rsidR="009722DD" w:rsidRPr="008340BB">
              <w:t xml:space="preserve"> </w:t>
            </w:r>
            <w:r w:rsidR="00F1341F" w:rsidRPr="008340BB">
              <w:t>-</w:t>
            </w:r>
            <w:r w:rsidR="009722DD" w:rsidRPr="008340BB">
              <w:t xml:space="preserve"> </w:t>
            </w:r>
            <w:r w:rsidR="00F1341F" w:rsidRPr="008340BB">
              <w:t>Kulata, Sofia</w:t>
            </w:r>
            <w:r w:rsidR="009722DD" w:rsidRPr="008340BB">
              <w:t xml:space="preserve"> </w:t>
            </w:r>
            <w:r w:rsidR="00F1341F" w:rsidRPr="008340BB">
              <w:t>-</w:t>
            </w:r>
            <w:r w:rsidR="009722DD" w:rsidRPr="008340BB">
              <w:t xml:space="preserve"> </w:t>
            </w:r>
            <w:r w:rsidR="00F1341F" w:rsidRPr="008340BB">
              <w:t>Ruse, Sofia</w:t>
            </w:r>
            <w:r w:rsidR="009722DD" w:rsidRPr="008340BB">
              <w:t xml:space="preserve"> </w:t>
            </w:r>
            <w:r w:rsidR="00F1341F" w:rsidRPr="008340BB">
              <w:t>-</w:t>
            </w:r>
            <w:r w:rsidR="009722DD" w:rsidRPr="008340BB">
              <w:t xml:space="preserve"> </w:t>
            </w:r>
            <w:r w:rsidR="00F1341F" w:rsidRPr="008340BB">
              <w:t>Varna, Burgas</w:t>
            </w:r>
            <w:r w:rsidR="009722DD" w:rsidRPr="008340BB">
              <w:t xml:space="preserve"> </w:t>
            </w:r>
            <w:r w:rsidR="00F1341F" w:rsidRPr="008340BB">
              <w:t>-</w:t>
            </w:r>
            <w:r w:rsidR="009722DD" w:rsidRPr="008340BB">
              <w:t xml:space="preserve"> </w:t>
            </w:r>
            <w:r w:rsidR="00F1341F" w:rsidRPr="008340BB">
              <w:t>Varna and Ruse</w:t>
            </w:r>
            <w:r w:rsidR="009722DD" w:rsidRPr="008340BB">
              <w:t xml:space="preserve"> </w:t>
            </w:r>
            <w:r w:rsidR="00F1341F" w:rsidRPr="008340BB">
              <w:t>-</w:t>
            </w:r>
            <w:r w:rsidR="009722DD" w:rsidRPr="008340BB">
              <w:t xml:space="preserve"> </w:t>
            </w:r>
            <w:r w:rsidR="00F1341F" w:rsidRPr="008340BB">
              <w:t>Nova Zagora. Concerning railway network the traffic is concentrated on the sections Dragoman</w:t>
            </w:r>
            <w:r w:rsidR="009722DD" w:rsidRPr="008340BB">
              <w:t xml:space="preserve"> – </w:t>
            </w:r>
            <w:r w:rsidR="00F1341F" w:rsidRPr="008340BB">
              <w:t>Sofia</w:t>
            </w:r>
            <w:r w:rsidR="009722DD" w:rsidRPr="008340BB">
              <w:t xml:space="preserve"> – </w:t>
            </w:r>
            <w:r w:rsidR="00F1341F" w:rsidRPr="008340BB">
              <w:t>Plovdiv</w:t>
            </w:r>
            <w:r w:rsidR="009722DD" w:rsidRPr="008340BB">
              <w:t xml:space="preserve"> </w:t>
            </w:r>
            <w:r w:rsidR="00F1341F" w:rsidRPr="008340BB">
              <w:t>-</w:t>
            </w:r>
            <w:r w:rsidR="009722DD" w:rsidRPr="008340BB">
              <w:t xml:space="preserve"> </w:t>
            </w:r>
            <w:r w:rsidR="00F1341F" w:rsidRPr="008340BB">
              <w:t>Burgas/</w:t>
            </w:r>
            <w:r w:rsidR="009722DD" w:rsidRPr="008340BB">
              <w:t xml:space="preserve"> </w:t>
            </w:r>
            <w:r w:rsidR="00F1341F" w:rsidRPr="008340BB">
              <w:t>Svilengrad, Ruse</w:t>
            </w:r>
            <w:r w:rsidR="009722DD" w:rsidRPr="008340BB">
              <w:t xml:space="preserve"> </w:t>
            </w:r>
            <w:r w:rsidR="00F1341F" w:rsidRPr="008340BB">
              <w:t>-</w:t>
            </w:r>
            <w:r w:rsidR="009722DD" w:rsidRPr="008340BB">
              <w:t xml:space="preserve"> </w:t>
            </w:r>
            <w:r w:rsidR="00F1341F" w:rsidRPr="008340BB">
              <w:t>Varna, Vidin</w:t>
            </w:r>
            <w:r w:rsidR="009722DD" w:rsidRPr="008340BB">
              <w:t xml:space="preserve"> </w:t>
            </w:r>
            <w:r w:rsidR="00F1341F" w:rsidRPr="008340BB">
              <w:t>-</w:t>
            </w:r>
            <w:r w:rsidR="009722DD" w:rsidRPr="008340BB">
              <w:t xml:space="preserve"> </w:t>
            </w:r>
            <w:r w:rsidR="00F1341F" w:rsidRPr="008340BB">
              <w:t>Kulata, Sofia</w:t>
            </w:r>
            <w:r w:rsidR="009722DD" w:rsidRPr="008340BB">
              <w:t xml:space="preserve"> </w:t>
            </w:r>
            <w:r w:rsidR="00F1341F" w:rsidRPr="008340BB">
              <w:t>-</w:t>
            </w:r>
            <w:r w:rsidR="009722DD" w:rsidRPr="008340BB">
              <w:t xml:space="preserve"> </w:t>
            </w:r>
            <w:r w:rsidR="00F1341F" w:rsidRPr="008340BB">
              <w:t>Varna, Ruse</w:t>
            </w:r>
            <w:r w:rsidR="009722DD" w:rsidRPr="008340BB">
              <w:t xml:space="preserve"> </w:t>
            </w:r>
            <w:r w:rsidR="00F1341F" w:rsidRPr="008340BB">
              <w:t>-</w:t>
            </w:r>
            <w:r w:rsidR="009722DD" w:rsidRPr="008340BB">
              <w:t xml:space="preserve"> </w:t>
            </w:r>
            <w:r w:rsidR="00F1341F" w:rsidRPr="008340BB">
              <w:t xml:space="preserve">Stara Zagora. </w:t>
            </w:r>
          </w:p>
          <w:p w14:paraId="3CEC7EE0" w14:textId="77777777" w:rsidR="00F1341F" w:rsidRPr="008340BB" w:rsidRDefault="00D73303" w:rsidP="003170FC">
            <w:pPr>
              <w:rPr>
                <w:i/>
              </w:rPr>
            </w:pPr>
            <w:r w:rsidRPr="008340BB">
              <w:rPr>
                <w:i/>
              </w:rPr>
              <w:t>Railway</w:t>
            </w:r>
          </w:p>
          <w:p w14:paraId="57CC291F" w14:textId="77777777" w:rsidR="00F1341F" w:rsidRPr="008340BB" w:rsidRDefault="00F1341F" w:rsidP="003170FC">
            <w:pPr>
              <w:autoSpaceDE w:val="0"/>
              <w:autoSpaceDN w:val="0"/>
              <w:adjustRightInd w:val="0"/>
              <w:spacing w:before="0" w:after="0"/>
            </w:pPr>
            <w:r w:rsidRPr="008340BB">
              <w:rPr>
                <w:szCs w:val="24"/>
              </w:rPr>
              <w:t>Railway passenger transport has significant potential for growth, which largely depends on the modernisation of the railway network, rolling stock and management of the national railway operator.</w:t>
            </w:r>
          </w:p>
          <w:p w14:paraId="4E526A9E" w14:textId="77777777" w:rsidR="00F1341F" w:rsidRPr="008340BB" w:rsidRDefault="00F1341F" w:rsidP="003170FC">
            <w:r w:rsidRPr="008340BB">
              <w:rPr>
                <w:rStyle w:val="hps"/>
              </w:rPr>
              <w:t>Despite the</w:t>
            </w:r>
            <w:r w:rsidRPr="008340BB">
              <w:t xml:space="preserve"> </w:t>
            </w:r>
            <w:r w:rsidRPr="008340BB">
              <w:rPr>
                <w:rStyle w:val="hps"/>
              </w:rPr>
              <w:t>decline in demand for transport services by rail, registered in the period after 2008, partially due to</w:t>
            </w:r>
            <w:r w:rsidRPr="008340BB">
              <w:t xml:space="preserve"> </w:t>
            </w:r>
            <w:r w:rsidRPr="008340BB">
              <w:rPr>
                <w:rStyle w:val="hps"/>
              </w:rPr>
              <w:t>factors outside the sector (demographic and financial economic crisis), the future development of railway transport</w:t>
            </w:r>
            <w:r w:rsidRPr="008340BB">
              <w:t xml:space="preserve"> </w:t>
            </w:r>
            <w:r w:rsidRPr="008340BB">
              <w:rPr>
                <w:rStyle w:val="hps"/>
              </w:rPr>
              <w:t>is of utmost importance</w:t>
            </w:r>
            <w:r w:rsidRPr="008340BB">
              <w:t xml:space="preserve"> </w:t>
            </w:r>
            <w:r w:rsidRPr="008340BB">
              <w:rPr>
                <w:rStyle w:val="hps"/>
              </w:rPr>
              <w:t>due to various reasons, such as: congestion</w:t>
            </w:r>
            <w:r w:rsidRPr="008340BB">
              <w:t xml:space="preserve"> </w:t>
            </w:r>
            <w:r w:rsidRPr="008340BB">
              <w:rPr>
                <w:rStyle w:val="hps"/>
              </w:rPr>
              <w:t>of the road infrastructure</w:t>
            </w:r>
            <w:r w:rsidRPr="008340BB">
              <w:t xml:space="preserve">, </w:t>
            </w:r>
            <w:r w:rsidRPr="008340BB">
              <w:rPr>
                <w:rStyle w:val="hps"/>
              </w:rPr>
              <w:t>high vehicle fuel prices</w:t>
            </w:r>
            <w:r w:rsidRPr="008340BB">
              <w:t xml:space="preserve">, implementation of national policy of </w:t>
            </w:r>
            <w:r w:rsidRPr="008340BB">
              <w:rPr>
                <w:rStyle w:val="hps"/>
              </w:rPr>
              <w:t>environmental protection</w:t>
            </w:r>
            <w:r w:rsidRPr="008340BB">
              <w:t xml:space="preserve"> </w:t>
            </w:r>
            <w:r w:rsidRPr="008340BB">
              <w:rPr>
                <w:rStyle w:val="hps"/>
              </w:rPr>
              <w:t>and increased road safety</w:t>
            </w:r>
            <w:r w:rsidRPr="008340BB">
              <w:t xml:space="preserve">. </w:t>
            </w:r>
            <w:r w:rsidRPr="008340BB">
              <w:rPr>
                <w:rStyle w:val="hps"/>
              </w:rPr>
              <w:t xml:space="preserve">Improvement of the technical and </w:t>
            </w:r>
            <w:r w:rsidRPr="008340BB">
              <w:t xml:space="preserve">operation condition of the core </w:t>
            </w:r>
            <w:r w:rsidRPr="008340BB">
              <w:rPr>
                <w:rStyle w:val="hps"/>
              </w:rPr>
              <w:t>railway infrastructure will have a positive impact on effectiveness of</w:t>
            </w:r>
            <w:r w:rsidRPr="008340BB">
              <w:t xml:space="preserve"> the transport services and </w:t>
            </w:r>
            <w:r w:rsidRPr="008340BB">
              <w:rPr>
                <w:rStyle w:val="hps"/>
              </w:rPr>
              <w:t>in the coming years</w:t>
            </w:r>
            <w:r w:rsidRPr="008340BB">
              <w:t xml:space="preserve"> </w:t>
            </w:r>
            <w:r w:rsidRPr="008340BB">
              <w:rPr>
                <w:rStyle w:val="hps"/>
              </w:rPr>
              <w:t>is expected to</w:t>
            </w:r>
            <w:r w:rsidRPr="008340BB">
              <w:t xml:space="preserve"> </w:t>
            </w:r>
            <w:r w:rsidRPr="008340BB">
              <w:rPr>
                <w:rStyle w:val="hps"/>
              </w:rPr>
              <w:t>contribute to the</w:t>
            </w:r>
            <w:r w:rsidRPr="008340BB">
              <w:t xml:space="preserve"> </w:t>
            </w:r>
            <w:r w:rsidRPr="008340BB">
              <w:rPr>
                <w:rStyle w:val="hps"/>
              </w:rPr>
              <w:t>growth of</w:t>
            </w:r>
            <w:r w:rsidRPr="008340BB">
              <w:t xml:space="preserve"> domestic demand for </w:t>
            </w:r>
            <w:r w:rsidRPr="008340BB">
              <w:rPr>
                <w:rStyle w:val="hps"/>
              </w:rPr>
              <w:t>rail freight</w:t>
            </w:r>
            <w:r w:rsidRPr="008340BB">
              <w:t xml:space="preserve"> </w:t>
            </w:r>
            <w:r w:rsidRPr="008340BB">
              <w:rPr>
                <w:rStyle w:val="hps"/>
              </w:rPr>
              <w:t>and</w:t>
            </w:r>
            <w:r w:rsidRPr="008340BB">
              <w:t xml:space="preserve"> </w:t>
            </w:r>
            <w:r w:rsidRPr="008340BB">
              <w:rPr>
                <w:rStyle w:val="hps"/>
              </w:rPr>
              <w:t xml:space="preserve">passenger services, as well as to successful </w:t>
            </w:r>
            <w:r w:rsidRPr="008340BB">
              <w:t xml:space="preserve">integration of the Bulgarian transport system in the European transport system and </w:t>
            </w:r>
            <w:r w:rsidRPr="008340BB">
              <w:lastRenderedPageBreak/>
              <w:t>change in distribution of international transport flows through the country, by mode of transport in favour of sustainable railway transport.</w:t>
            </w:r>
          </w:p>
          <w:p w14:paraId="4AD11FDE" w14:textId="77777777" w:rsidR="00F1341F" w:rsidRPr="008340BB" w:rsidRDefault="00F1341F" w:rsidP="003170FC">
            <w:r w:rsidRPr="008340BB">
              <w:rPr>
                <w:rStyle w:val="hps"/>
              </w:rPr>
              <w:t>Increased</w:t>
            </w:r>
            <w:r w:rsidRPr="008340BB">
              <w:t xml:space="preserve"> </w:t>
            </w:r>
            <w:r w:rsidRPr="008340BB">
              <w:rPr>
                <w:rStyle w:val="hps"/>
              </w:rPr>
              <w:t>traffic</w:t>
            </w:r>
            <w:r w:rsidRPr="008340BB">
              <w:t xml:space="preserve"> </w:t>
            </w:r>
            <w:r w:rsidRPr="008340BB">
              <w:rPr>
                <w:rStyle w:val="hps"/>
              </w:rPr>
              <w:t>by rail</w:t>
            </w:r>
            <w:r w:rsidRPr="008340BB">
              <w:t xml:space="preserve"> </w:t>
            </w:r>
            <w:r w:rsidRPr="008340BB">
              <w:rPr>
                <w:rStyle w:val="hps"/>
              </w:rPr>
              <w:t>in turn will</w:t>
            </w:r>
            <w:r w:rsidRPr="008340BB">
              <w:t xml:space="preserve"> </w:t>
            </w:r>
            <w:r w:rsidRPr="008340BB">
              <w:rPr>
                <w:rStyle w:val="hps"/>
              </w:rPr>
              <w:t>have a positive effect</w:t>
            </w:r>
            <w:r w:rsidRPr="008340BB">
              <w:t xml:space="preserve"> </w:t>
            </w:r>
            <w:r w:rsidRPr="008340BB">
              <w:rPr>
                <w:rStyle w:val="hps"/>
              </w:rPr>
              <w:t>on the efficiency</w:t>
            </w:r>
            <w:r w:rsidRPr="008340BB">
              <w:t xml:space="preserve"> </w:t>
            </w:r>
            <w:r w:rsidRPr="008340BB">
              <w:rPr>
                <w:rStyle w:val="hps"/>
              </w:rPr>
              <w:t>of rail services</w:t>
            </w:r>
            <w:r w:rsidRPr="008340BB">
              <w:t xml:space="preserve"> </w:t>
            </w:r>
            <w:r w:rsidRPr="008340BB">
              <w:rPr>
                <w:rStyle w:val="hps"/>
              </w:rPr>
              <w:t>in general and in</w:t>
            </w:r>
            <w:r w:rsidRPr="008340BB">
              <w:t xml:space="preserve"> </w:t>
            </w:r>
            <w:r w:rsidRPr="008340BB">
              <w:rPr>
                <w:rStyle w:val="hps"/>
              </w:rPr>
              <w:t>particular</w:t>
            </w:r>
            <w:r w:rsidRPr="008340BB">
              <w:t xml:space="preserve"> </w:t>
            </w:r>
            <w:r w:rsidRPr="008340BB">
              <w:rPr>
                <w:rStyle w:val="hps"/>
              </w:rPr>
              <w:t>–</w:t>
            </w:r>
            <w:r w:rsidRPr="008340BB">
              <w:t xml:space="preserve"> on </w:t>
            </w:r>
            <w:r w:rsidRPr="008340BB">
              <w:rPr>
                <w:rStyle w:val="hps"/>
              </w:rPr>
              <w:t>the efficiency of</w:t>
            </w:r>
            <w:r w:rsidRPr="008340BB">
              <w:t xml:space="preserve"> </w:t>
            </w:r>
            <w:r w:rsidRPr="008340BB">
              <w:rPr>
                <w:rStyle w:val="hps"/>
              </w:rPr>
              <w:t>the railway network.</w:t>
            </w:r>
          </w:p>
          <w:p w14:paraId="53C053C6" w14:textId="77777777" w:rsidR="00F1341F" w:rsidRPr="008340BB" w:rsidRDefault="00F1341F" w:rsidP="003170FC">
            <w:pPr>
              <w:autoSpaceDE w:val="0"/>
              <w:autoSpaceDN w:val="0"/>
              <w:adjustRightInd w:val="0"/>
              <w:rPr>
                <w:color w:val="0D0D0D"/>
              </w:rPr>
            </w:pPr>
            <w:r w:rsidRPr="008340BB">
              <w:rPr>
                <w:color w:val="0D0D0D"/>
              </w:rPr>
              <w:t xml:space="preserve">To improve the functioning of the railway sector, implementation of a series of regulatory, management and investment measures will be required: a reviewing of the Public Services Contract with </w:t>
            </w:r>
            <w:r w:rsidRPr="008340BB">
              <w:t xml:space="preserve">„BDZ-Passenger services” EOOD in order to: </w:t>
            </w:r>
            <w:r w:rsidRPr="008340BB">
              <w:rPr>
                <w:rStyle w:val="hps"/>
              </w:rPr>
              <w:t>bring it</w:t>
            </w:r>
            <w:r w:rsidRPr="008340BB">
              <w:t xml:space="preserve"> </w:t>
            </w:r>
            <w:r w:rsidRPr="008340BB">
              <w:rPr>
                <w:rStyle w:val="hps"/>
              </w:rPr>
              <w:t>in line with European</w:t>
            </w:r>
            <w:r w:rsidRPr="008340BB">
              <w:t xml:space="preserve"> </w:t>
            </w:r>
            <w:r w:rsidRPr="008340BB">
              <w:rPr>
                <w:rStyle w:val="hps"/>
              </w:rPr>
              <w:t>rules on</w:t>
            </w:r>
            <w:r w:rsidRPr="008340BB">
              <w:t xml:space="preserve"> </w:t>
            </w:r>
            <w:r w:rsidRPr="008340BB">
              <w:rPr>
                <w:rStyle w:val="hps"/>
              </w:rPr>
              <w:t>public passenger transport services</w:t>
            </w:r>
            <w:r w:rsidRPr="008340BB">
              <w:t xml:space="preserve"> </w:t>
            </w:r>
            <w:r w:rsidRPr="008340BB">
              <w:rPr>
                <w:rStyle w:val="hps"/>
              </w:rPr>
              <w:t>by rail</w:t>
            </w:r>
            <w:r w:rsidRPr="008340BB">
              <w:t xml:space="preserve">, improving the quality </w:t>
            </w:r>
            <w:r w:rsidRPr="008340BB">
              <w:rPr>
                <w:rStyle w:val="hps"/>
              </w:rPr>
              <w:t>of the service</w:t>
            </w:r>
            <w:r w:rsidRPr="008340BB">
              <w:t xml:space="preserve"> </w:t>
            </w:r>
            <w:r w:rsidRPr="008340BB">
              <w:rPr>
                <w:rStyle w:val="hps"/>
              </w:rPr>
              <w:t>especially</w:t>
            </w:r>
            <w:r w:rsidRPr="008340BB">
              <w:t xml:space="preserve"> </w:t>
            </w:r>
            <w:r w:rsidRPr="008340BB">
              <w:rPr>
                <w:rStyle w:val="hps"/>
              </w:rPr>
              <w:t>along the directions</w:t>
            </w:r>
            <w:r w:rsidRPr="008340BB">
              <w:t xml:space="preserve"> </w:t>
            </w:r>
            <w:r w:rsidRPr="008340BB">
              <w:rPr>
                <w:rStyle w:val="hps"/>
              </w:rPr>
              <w:t>of modernised</w:t>
            </w:r>
            <w:r w:rsidRPr="008340BB">
              <w:t xml:space="preserve"> </w:t>
            </w:r>
            <w:r w:rsidRPr="008340BB">
              <w:rPr>
                <w:rStyle w:val="hps"/>
              </w:rPr>
              <w:t>or rehabilitated</w:t>
            </w:r>
            <w:r w:rsidRPr="008340BB">
              <w:t xml:space="preserve"> </w:t>
            </w:r>
            <w:r w:rsidRPr="008340BB">
              <w:rPr>
                <w:rStyle w:val="hps"/>
              </w:rPr>
              <w:t>railway lines and</w:t>
            </w:r>
            <w:r w:rsidRPr="008340BB">
              <w:t xml:space="preserve"> </w:t>
            </w:r>
            <w:r w:rsidRPr="008340BB">
              <w:rPr>
                <w:rStyle w:val="hps"/>
              </w:rPr>
              <w:t>optimizing</w:t>
            </w:r>
            <w:r w:rsidRPr="008340BB">
              <w:t xml:space="preserve"> </w:t>
            </w:r>
            <w:r w:rsidRPr="008340BB">
              <w:rPr>
                <w:rStyle w:val="hps"/>
              </w:rPr>
              <w:t>the scope of</w:t>
            </w:r>
            <w:r w:rsidRPr="008340BB">
              <w:t xml:space="preserve"> </w:t>
            </w:r>
            <w:r w:rsidRPr="008340BB">
              <w:rPr>
                <w:rStyle w:val="hps"/>
              </w:rPr>
              <w:t>mandatory</w:t>
            </w:r>
            <w:r w:rsidRPr="008340BB">
              <w:t xml:space="preserve"> </w:t>
            </w:r>
            <w:r w:rsidRPr="008340BB">
              <w:rPr>
                <w:rStyle w:val="hps"/>
              </w:rPr>
              <w:t>public services</w:t>
            </w:r>
            <w:r w:rsidRPr="008340BB">
              <w:t xml:space="preserve"> </w:t>
            </w:r>
            <w:r w:rsidRPr="008340BB">
              <w:rPr>
                <w:rStyle w:val="hps"/>
              </w:rPr>
              <w:t>to achieve a balance</w:t>
            </w:r>
            <w:r w:rsidRPr="008340BB">
              <w:t xml:space="preserve"> </w:t>
            </w:r>
            <w:r w:rsidRPr="008340BB">
              <w:rPr>
                <w:rStyle w:val="hps"/>
              </w:rPr>
              <w:t>between</w:t>
            </w:r>
            <w:r w:rsidRPr="008340BB">
              <w:t xml:space="preserve"> </w:t>
            </w:r>
            <w:r w:rsidRPr="008340BB">
              <w:rPr>
                <w:rStyle w:val="hps"/>
              </w:rPr>
              <w:t>the demand for such</w:t>
            </w:r>
            <w:r w:rsidRPr="008340BB">
              <w:t xml:space="preserve"> </w:t>
            </w:r>
            <w:r w:rsidRPr="008340BB">
              <w:rPr>
                <w:rStyle w:val="hps"/>
              </w:rPr>
              <w:t>trips and</w:t>
            </w:r>
            <w:r w:rsidRPr="008340BB">
              <w:t xml:space="preserve"> </w:t>
            </w:r>
            <w:r w:rsidRPr="008340BB">
              <w:rPr>
                <w:rStyle w:val="hps"/>
              </w:rPr>
              <w:t>capability of</w:t>
            </w:r>
            <w:r w:rsidRPr="008340BB">
              <w:t xml:space="preserve"> </w:t>
            </w:r>
            <w:r w:rsidRPr="008340BB">
              <w:rPr>
                <w:rStyle w:val="hps"/>
              </w:rPr>
              <w:t>state budget</w:t>
            </w:r>
            <w:r w:rsidRPr="008340BB">
              <w:t xml:space="preserve"> </w:t>
            </w:r>
            <w:r w:rsidRPr="008340BB">
              <w:rPr>
                <w:rStyle w:val="hps"/>
              </w:rPr>
              <w:t>to offset</w:t>
            </w:r>
            <w:r w:rsidRPr="008340BB">
              <w:t xml:space="preserve"> related </w:t>
            </w:r>
            <w:r w:rsidRPr="008340BB">
              <w:rPr>
                <w:rStyle w:val="hps"/>
              </w:rPr>
              <w:t>costs</w:t>
            </w:r>
            <w:r w:rsidRPr="008340BB">
              <w:rPr>
                <w:color w:val="0D0D0D"/>
              </w:rPr>
              <w:t xml:space="preserve">; </w:t>
            </w:r>
            <w:r w:rsidRPr="008340BB">
              <w:rPr>
                <w:rStyle w:val="hps"/>
              </w:rPr>
              <w:t>preparation of</w:t>
            </w:r>
            <w:r w:rsidRPr="008340BB">
              <w:t xml:space="preserve"> </w:t>
            </w:r>
            <w:r w:rsidRPr="008340BB">
              <w:rPr>
                <w:rStyle w:val="hps"/>
              </w:rPr>
              <w:t>a long-term strategy</w:t>
            </w:r>
            <w:r w:rsidRPr="008340BB">
              <w:t xml:space="preserve"> </w:t>
            </w:r>
            <w:r w:rsidRPr="008340BB">
              <w:rPr>
                <w:rStyle w:val="hps"/>
              </w:rPr>
              <w:t>for the development of</w:t>
            </w:r>
            <w:r w:rsidRPr="008340BB">
              <w:t xml:space="preserve"> </w:t>
            </w:r>
            <w:r w:rsidRPr="008340BB">
              <w:rPr>
                <w:rStyle w:val="hps"/>
              </w:rPr>
              <w:t>rail transport</w:t>
            </w:r>
            <w:r w:rsidRPr="008340BB">
              <w:t xml:space="preserve"> </w:t>
            </w:r>
            <w:r w:rsidRPr="008340BB">
              <w:rPr>
                <w:rStyle w:val="hps"/>
              </w:rPr>
              <w:t>and concentration of</w:t>
            </w:r>
            <w:r w:rsidRPr="008340BB">
              <w:t xml:space="preserve"> </w:t>
            </w:r>
            <w:r w:rsidRPr="008340BB">
              <w:rPr>
                <w:rStyle w:val="hps"/>
              </w:rPr>
              <w:t>public funding</w:t>
            </w:r>
            <w:r w:rsidRPr="008340BB">
              <w:t xml:space="preserve"> </w:t>
            </w:r>
            <w:r w:rsidRPr="008340BB">
              <w:rPr>
                <w:rStyle w:val="hps"/>
              </w:rPr>
              <w:t>in the sector</w:t>
            </w:r>
            <w:r w:rsidRPr="008340BB">
              <w:t xml:space="preserve"> </w:t>
            </w:r>
            <w:r w:rsidRPr="008340BB">
              <w:rPr>
                <w:rStyle w:val="hps"/>
              </w:rPr>
              <w:t>on the most important</w:t>
            </w:r>
            <w:r w:rsidRPr="008340BB">
              <w:t xml:space="preserve"> </w:t>
            </w:r>
            <w:r w:rsidRPr="008340BB">
              <w:rPr>
                <w:rStyle w:val="hps"/>
              </w:rPr>
              <w:t>and valuable</w:t>
            </w:r>
            <w:r w:rsidRPr="008340BB">
              <w:t xml:space="preserve"> </w:t>
            </w:r>
            <w:r w:rsidRPr="008340BB">
              <w:rPr>
                <w:rStyle w:val="hps"/>
              </w:rPr>
              <w:t>rail services;</w:t>
            </w:r>
            <w:r w:rsidRPr="008340BB">
              <w:t xml:space="preserve"> </w:t>
            </w:r>
            <w:r w:rsidRPr="008340BB">
              <w:rPr>
                <w:rStyle w:val="hps"/>
              </w:rPr>
              <w:t>reduction of</w:t>
            </w:r>
            <w:r w:rsidRPr="008340BB">
              <w:t xml:space="preserve"> </w:t>
            </w:r>
            <w:r w:rsidRPr="008340BB">
              <w:rPr>
                <w:rStyle w:val="hps"/>
              </w:rPr>
              <w:t>railway</w:t>
            </w:r>
            <w:r w:rsidRPr="008340BB">
              <w:t xml:space="preserve"> </w:t>
            </w:r>
            <w:r w:rsidRPr="008340BB">
              <w:rPr>
                <w:rStyle w:val="hps"/>
              </w:rPr>
              <w:t>network</w:t>
            </w:r>
            <w:r w:rsidRPr="008340BB">
              <w:t xml:space="preserve"> </w:t>
            </w:r>
            <w:r w:rsidRPr="008340BB">
              <w:rPr>
                <w:rStyle w:val="hps"/>
              </w:rPr>
              <w:t>to sustainable</w:t>
            </w:r>
            <w:r w:rsidRPr="008340BB">
              <w:t xml:space="preserve"> </w:t>
            </w:r>
            <w:r w:rsidRPr="008340BB">
              <w:rPr>
                <w:rStyle w:val="hps"/>
              </w:rPr>
              <w:t>sizes</w:t>
            </w:r>
            <w:r w:rsidRPr="008340BB">
              <w:t xml:space="preserve">; </w:t>
            </w:r>
            <w:r w:rsidRPr="008340BB">
              <w:rPr>
                <w:rStyle w:val="hps"/>
              </w:rPr>
              <w:t>modernisation and upgrading of</w:t>
            </w:r>
            <w:r w:rsidRPr="008340BB">
              <w:t xml:space="preserve"> </w:t>
            </w:r>
            <w:r w:rsidRPr="008340BB">
              <w:rPr>
                <w:rStyle w:val="hps"/>
              </w:rPr>
              <w:t>rail infrastructure</w:t>
            </w:r>
            <w:r w:rsidRPr="008340BB">
              <w:t xml:space="preserve">, thus </w:t>
            </w:r>
            <w:r w:rsidRPr="008340BB">
              <w:rPr>
                <w:rStyle w:val="hps"/>
              </w:rPr>
              <w:t>achieving EU</w:t>
            </w:r>
            <w:r w:rsidRPr="008340BB">
              <w:t xml:space="preserve"> </w:t>
            </w:r>
            <w:r w:rsidRPr="008340BB">
              <w:rPr>
                <w:rStyle w:val="hps"/>
              </w:rPr>
              <w:t>standards and</w:t>
            </w:r>
            <w:r w:rsidRPr="008340BB">
              <w:t xml:space="preserve"> </w:t>
            </w:r>
            <w:r w:rsidRPr="008340BB">
              <w:rPr>
                <w:rStyle w:val="hps"/>
              </w:rPr>
              <w:t>full interoperability</w:t>
            </w:r>
            <w:r w:rsidRPr="008340BB">
              <w:t xml:space="preserve"> </w:t>
            </w:r>
            <w:r w:rsidRPr="008340BB">
              <w:rPr>
                <w:rStyle w:val="hps"/>
              </w:rPr>
              <w:t>with the European</w:t>
            </w:r>
            <w:r w:rsidRPr="008340BB">
              <w:t xml:space="preserve"> </w:t>
            </w:r>
            <w:r w:rsidRPr="008340BB">
              <w:rPr>
                <w:rStyle w:val="hps"/>
              </w:rPr>
              <w:t>rail network</w:t>
            </w:r>
            <w:r w:rsidRPr="008340BB">
              <w:t xml:space="preserve">; </w:t>
            </w:r>
            <w:r w:rsidRPr="008340BB">
              <w:rPr>
                <w:rStyle w:val="hps"/>
              </w:rPr>
              <w:t>strengthening of institutional</w:t>
            </w:r>
            <w:r w:rsidRPr="008340BB">
              <w:t xml:space="preserve"> </w:t>
            </w:r>
            <w:r w:rsidRPr="008340BB">
              <w:rPr>
                <w:rStyle w:val="hps"/>
              </w:rPr>
              <w:t>capacity for management in</w:t>
            </w:r>
            <w:r w:rsidRPr="008340BB">
              <w:t xml:space="preserve"> </w:t>
            </w:r>
            <w:r w:rsidRPr="008340BB">
              <w:rPr>
                <w:rStyle w:val="hps"/>
              </w:rPr>
              <w:t xml:space="preserve">the sector, etc. </w:t>
            </w:r>
            <w:r w:rsidRPr="008340BB">
              <w:t>Key measures that are envisaged for the restructuring of BDZ Holding and NRIC are as follows: transition of BDZ Holding EAD and NRIC to commercially oriented structure and relieving BDZ Holding EAD of non-operating activities; stabilization of BDZ-Freight services EOOD, possibly followed by privatization of the company; optimization of the rolling stock of BDZ Holding EAD, including the purchase of new rolling stock for passenger transportation and reorganization of maintenance activities; strengthening the corporate management of NRIC and BDZ Holding EAD, implementing a Strategy for Human Resource Management, Staff Restructuring Program in BDZ Holding EAD and NRIC and Training Programme for middle and senior management level railway staff.</w:t>
            </w:r>
          </w:p>
          <w:p w14:paraId="145AC1C0" w14:textId="77777777" w:rsidR="00F1341F" w:rsidRPr="008340BB" w:rsidRDefault="00F1341F" w:rsidP="00FB6320">
            <w:pPr>
              <w:rPr>
                <w:i/>
              </w:rPr>
            </w:pPr>
            <w:r w:rsidRPr="008340BB">
              <w:rPr>
                <w:rStyle w:val="hps"/>
                <w:i/>
              </w:rPr>
              <w:t>Cross-border</w:t>
            </w:r>
            <w:r w:rsidRPr="008340BB">
              <w:rPr>
                <w:i/>
              </w:rPr>
              <w:t xml:space="preserve"> </w:t>
            </w:r>
            <w:r w:rsidRPr="008340BB">
              <w:rPr>
                <w:rStyle w:val="hps"/>
                <w:i/>
              </w:rPr>
              <w:t>links with neighbouring countries</w:t>
            </w:r>
            <w:r w:rsidRPr="008340BB">
              <w:rPr>
                <w:i/>
              </w:rPr>
              <w:t xml:space="preserve"> </w:t>
            </w:r>
          </w:p>
          <w:p w14:paraId="78C7AF06" w14:textId="77777777" w:rsidR="00F1341F" w:rsidRPr="008340BB" w:rsidRDefault="00F1341F" w:rsidP="00FB6320">
            <w:r w:rsidRPr="008340BB">
              <w:rPr>
                <w:rStyle w:val="hps"/>
              </w:rPr>
              <w:t>Development of</w:t>
            </w:r>
            <w:r w:rsidRPr="008340BB">
              <w:t xml:space="preserve"> </w:t>
            </w:r>
            <w:r w:rsidRPr="008340BB">
              <w:rPr>
                <w:rStyle w:val="hps"/>
              </w:rPr>
              <w:t>railway links</w:t>
            </w:r>
            <w:r w:rsidRPr="008340BB">
              <w:t xml:space="preserve"> </w:t>
            </w:r>
            <w:r w:rsidRPr="008340BB">
              <w:rPr>
                <w:rStyle w:val="hps"/>
              </w:rPr>
              <w:t>with neighbouring countries</w:t>
            </w:r>
            <w:r w:rsidRPr="008340BB">
              <w:t xml:space="preserve"> </w:t>
            </w:r>
            <w:r w:rsidRPr="008340BB">
              <w:rPr>
                <w:rStyle w:val="hps"/>
              </w:rPr>
              <w:t>is required in order to</w:t>
            </w:r>
            <w:r w:rsidRPr="008340BB">
              <w:t xml:space="preserve"> </w:t>
            </w:r>
            <w:r w:rsidRPr="008340BB">
              <w:rPr>
                <w:rStyle w:val="hps"/>
              </w:rPr>
              <w:t>establish</w:t>
            </w:r>
            <w:r w:rsidRPr="008340BB">
              <w:t xml:space="preserve"> </w:t>
            </w:r>
            <w:r w:rsidRPr="008340BB">
              <w:rPr>
                <w:rStyle w:val="hps"/>
              </w:rPr>
              <w:t>coherent</w:t>
            </w:r>
            <w:r w:rsidRPr="008340BB">
              <w:t xml:space="preserve"> </w:t>
            </w:r>
            <w:r w:rsidRPr="008340BB">
              <w:rPr>
                <w:rStyle w:val="hps"/>
              </w:rPr>
              <w:t>transport networks</w:t>
            </w:r>
            <w:r w:rsidRPr="008340BB">
              <w:t xml:space="preserve"> </w:t>
            </w:r>
            <w:r w:rsidRPr="008340BB">
              <w:rPr>
                <w:rStyle w:val="hps"/>
              </w:rPr>
              <w:t>with identical</w:t>
            </w:r>
            <w:r w:rsidRPr="008340BB">
              <w:t xml:space="preserve"> </w:t>
            </w:r>
            <w:r w:rsidRPr="008340BB">
              <w:rPr>
                <w:rStyle w:val="hps"/>
              </w:rPr>
              <w:t>operational characteristics, which</w:t>
            </w:r>
            <w:r w:rsidRPr="008340BB">
              <w:t xml:space="preserve"> </w:t>
            </w:r>
            <w:r w:rsidRPr="008340BB">
              <w:rPr>
                <w:rStyle w:val="hps"/>
              </w:rPr>
              <w:t>to</w:t>
            </w:r>
            <w:r w:rsidRPr="008340BB">
              <w:t xml:space="preserve"> </w:t>
            </w:r>
            <w:r w:rsidRPr="008340BB">
              <w:rPr>
                <w:rStyle w:val="hps"/>
              </w:rPr>
              <w:t>provide</w:t>
            </w:r>
            <w:r w:rsidRPr="008340BB">
              <w:t xml:space="preserve"> </w:t>
            </w:r>
            <w:r w:rsidRPr="008340BB">
              <w:rPr>
                <w:rStyle w:val="hps"/>
              </w:rPr>
              <w:t>fast and safe</w:t>
            </w:r>
            <w:r w:rsidRPr="008340BB">
              <w:t xml:space="preserve"> </w:t>
            </w:r>
            <w:r w:rsidRPr="008340BB">
              <w:rPr>
                <w:rStyle w:val="hps"/>
              </w:rPr>
              <w:t>transport</w:t>
            </w:r>
            <w:r w:rsidRPr="008340BB">
              <w:t xml:space="preserve"> </w:t>
            </w:r>
            <w:r w:rsidRPr="008340BB">
              <w:rPr>
                <w:rStyle w:val="hps"/>
              </w:rPr>
              <w:t>over long</w:t>
            </w:r>
            <w:r w:rsidRPr="008340BB">
              <w:t xml:space="preserve"> </w:t>
            </w:r>
            <w:r w:rsidRPr="008340BB">
              <w:rPr>
                <w:rStyle w:val="hps"/>
              </w:rPr>
              <w:t>distances</w:t>
            </w:r>
            <w:r w:rsidRPr="008340BB">
              <w:t xml:space="preserve"> </w:t>
            </w:r>
            <w:r w:rsidRPr="008340BB">
              <w:rPr>
                <w:rStyle w:val="hps"/>
              </w:rPr>
              <w:t>from and</w:t>
            </w:r>
            <w:r w:rsidRPr="008340BB">
              <w:t xml:space="preserve"> </w:t>
            </w:r>
            <w:r w:rsidRPr="008340BB">
              <w:rPr>
                <w:rStyle w:val="hps"/>
              </w:rPr>
              <w:t>through Bulgaria.</w:t>
            </w:r>
            <w:r w:rsidRPr="008340BB">
              <w:t xml:space="preserve"> </w:t>
            </w:r>
          </w:p>
          <w:p w14:paraId="1F9275F0" w14:textId="4BE649DC" w:rsidR="00F1341F" w:rsidRPr="008340BB" w:rsidRDefault="00F1341F" w:rsidP="00FB6320">
            <w:r w:rsidRPr="008340BB">
              <w:rPr>
                <w:rStyle w:val="hps"/>
              </w:rPr>
              <w:t>Following the completed reconstruction and electrification</w:t>
            </w:r>
            <w:r w:rsidRPr="008340BB">
              <w:t xml:space="preserve"> </w:t>
            </w:r>
            <w:r w:rsidRPr="008340BB">
              <w:rPr>
                <w:rStyle w:val="hps"/>
              </w:rPr>
              <w:t>of the section</w:t>
            </w:r>
            <w:r w:rsidRPr="008340BB">
              <w:t xml:space="preserve"> </w:t>
            </w:r>
            <w:r w:rsidRPr="008340BB">
              <w:rPr>
                <w:rStyle w:val="hps"/>
              </w:rPr>
              <w:t xml:space="preserve">Svilengrad </w:t>
            </w:r>
            <w:r w:rsidRPr="008340BB">
              <w:t xml:space="preserve">- Turkish </w:t>
            </w:r>
            <w:r w:rsidRPr="008340BB">
              <w:rPr>
                <w:rStyle w:val="hps"/>
              </w:rPr>
              <w:t>border,</w:t>
            </w:r>
            <w:r w:rsidRPr="008340BB">
              <w:t xml:space="preserve"> </w:t>
            </w:r>
            <w:r w:rsidRPr="008340BB">
              <w:rPr>
                <w:rStyle w:val="hps"/>
              </w:rPr>
              <w:t>with the completion of</w:t>
            </w:r>
            <w:r w:rsidRPr="008340BB">
              <w:t xml:space="preserve"> </w:t>
            </w:r>
            <w:r w:rsidRPr="008340BB">
              <w:rPr>
                <w:rStyle w:val="hps"/>
              </w:rPr>
              <w:t>the reconstruction and</w:t>
            </w:r>
            <w:r w:rsidRPr="008340BB">
              <w:t xml:space="preserve"> </w:t>
            </w:r>
            <w:r w:rsidRPr="008340BB">
              <w:rPr>
                <w:rStyle w:val="hps"/>
              </w:rPr>
              <w:t>electrification</w:t>
            </w:r>
            <w:r w:rsidRPr="008340BB">
              <w:t xml:space="preserve"> </w:t>
            </w:r>
            <w:r w:rsidRPr="008340BB">
              <w:rPr>
                <w:rStyle w:val="hps"/>
              </w:rPr>
              <w:t>of the entire</w:t>
            </w:r>
            <w:r w:rsidRPr="008340BB">
              <w:t xml:space="preserve"> </w:t>
            </w:r>
            <w:r w:rsidRPr="008340BB">
              <w:rPr>
                <w:rStyle w:val="hps"/>
              </w:rPr>
              <w:t xml:space="preserve">Plovdiv - </w:t>
            </w:r>
            <w:r w:rsidRPr="008340BB">
              <w:t xml:space="preserve">Svilengrad </w:t>
            </w:r>
            <w:r w:rsidRPr="008340BB">
              <w:rPr>
                <w:rStyle w:val="hps"/>
              </w:rPr>
              <w:t>railway line</w:t>
            </w:r>
            <w:r w:rsidRPr="008340BB">
              <w:t xml:space="preserve"> </w:t>
            </w:r>
            <w:r w:rsidRPr="008340BB">
              <w:rPr>
                <w:rStyle w:val="hps"/>
              </w:rPr>
              <w:t>and modernisation of</w:t>
            </w:r>
            <w:r w:rsidRPr="008340BB">
              <w:t xml:space="preserve"> </w:t>
            </w:r>
            <w:r w:rsidRPr="008340BB">
              <w:rPr>
                <w:rStyle w:val="hps"/>
              </w:rPr>
              <w:t>the Septem</w:t>
            </w:r>
            <w:r w:rsidR="0053769E">
              <w:rPr>
                <w:rStyle w:val="hps"/>
              </w:rPr>
              <w:t>vri</w:t>
            </w:r>
            <w:r w:rsidR="009E1E7B">
              <w:rPr>
                <w:rStyle w:val="hps"/>
              </w:rPr>
              <w:t>-</w:t>
            </w:r>
            <w:r w:rsidRPr="008340BB">
              <w:t xml:space="preserve"> </w:t>
            </w:r>
            <w:r w:rsidRPr="008340BB">
              <w:rPr>
                <w:rStyle w:val="hps"/>
              </w:rPr>
              <w:t>Plovdiv section</w:t>
            </w:r>
            <w:r w:rsidRPr="008340BB">
              <w:t xml:space="preserve"> </w:t>
            </w:r>
            <w:r w:rsidRPr="008340BB">
              <w:rPr>
                <w:rStyle w:val="hps"/>
              </w:rPr>
              <w:t>in</w:t>
            </w:r>
            <w:r w:rsidRPr="008340BB">
              <w:t xml:space="preserve"> </w:t>
            </w:r>
            <w:r w:rsidRPr="008340BB">
              <w:rPr>
                <w:rStyle w:val="hps"/>
              </w:rPr>
              <w:t>the 2007-2013 programming period</w:t>
            </w:r>
            <w:r w:rsidRPr="008340BB">
              <w:t xml:space="preserve">, much of </w:t>
            </w:r>
            <w:r w:rsidRPr="008340BB">
              <w:rPr>
                <w:rStyle w:val="hps"/>
              </w:rPr>
              <w:t>the route of the</w:t>
            </w:r>
            <w:r w:rsidRPr="008340BB">
              <w:t xml:space="preserve"> </w:t>
            </w:r>
            <w:r w:rsidR="00F24936">
              <w:t>OEM</w:t>
            </w:r>
            <w:r w:rsidRPr="008340BB">
              <w:rPr>
                <w:szCs w:val="24"/>
              </w:rPr>
              <w:t xml:space="preserve"> </w:t>
            </w:r>
            <w:r w:rsidR="00E542E9">
              <w:rPr>
                <w:szCs w:val="24"/>
              </w:rPr>
              <w:t>C</w:t>
            </w:r>
            <w:r w:rsidRPr="008340BB">
              <w:rPr>
                <w:szCs w:val="24"/>
              </w:rPr>
              <w:t>orridor</w:t>
            </w:r>
            <w:r w:rsidRPr="008340BB">
              <w:rPr>
                <w:rStyle w:val="hps"/>
              </w:rPr>
              <w:t xml:space="preserve"> </w:t>
            </w:r>
            <w:r w:rsidRPr="008340BB">
              <w:t xml:space="preserve">of the core </w:t>
            </w:r>
            <w:r w:rsidRPr="008340BB">
              <w:rPr>
                <w:rStyle w:val="hps"/>
              </w:rPr>
              <w:t>TEN-T</w:t>
            </w:r>
            <w:r w:rsidRPr="008340BB">
              <w:t xml:space="preserve"> </w:t>
            </w:r>
            <w:r w:rsidRPr="008340BB">
              <w:rPr>
                <w:rStyle w:val="hps"/>
              </w:rPr>
              <w:t>network to</w:t>
            </w:r>
            <w:r w:rsidRPr="008340BB">
              <w:t xml:space="preserve"> </w:t>
            </w:r>
            <w:r w:rsidRPr="008340BB">
              <w:rPr>
                <w:rStyle w:val="hps"/>
              </w:rPr>
              <w:t>Turkey</w:t>
            </w:r>
            <w:r w:rsidRPr="008340BB">
              <w:t xml:space="preserve"> </w:t>
            </w:r>
            <w:r w:rsidRPr="008340BB">
              <w:rPr>
                <w:rStyle w:val="hps"/>
              </w:rPr>
              <w:t>will be completed</w:t>
            </w:r>
            <w:r w:rsidRPr="008340BB">
              <w:t xml:space="preserve">, which will </w:t>
            </w:r>
            <w:r w:rsidRPr="008340BB">
              <w:rPr>
                <w:rStyle w:val="hps"/>
              </w:rPr>
              <w:t>provide greater</w:t>
            </w:r>
            <w:r w:rsidRPr="008340BB">
              <w:t xml:space="preserve"> </w:t>
            </w:r>
            <w:r w:rsidRPr="008340BB">
              <w:rPr>
                <w:rStyle w:val="hps"/>
              </w:rPr>
              <w:t>reliability and quality</w:t>
            </w:r>
            <w:r w:rsidRPr="008340BB">
              <w:t xml:space="preserve"> </w:t>
            </w:r>
            <w:r w:rsidRPr="008340BB">
              <w:rPr>
                <w:rStyle w:val="hps"/>
              </w:rPr>
              <w:t>of transport services</w:t>
            </w:r>
            <w:r w:rsidRPr="008340BB">
              <w:t xml:space="preserve"> </w:t>
            </w:r>
            <w:r w:rsidRPr="008340BB">
              <w:rPr>
                <w:rStyle w:val="hps"/>
              </w:rPr>
              <w:t>along the route</w:t>
            </w:r>
            <w:r w:rsidRPr="008340BB">
              <w:t xml:space="preserve"> </w:t>
            </w:r>
            <w:r w:rsidRPr="008340BB">
              <w:rPr>
                <w:rStyle w:val="hps"/>
              </w:rPr>
              <w:t>Sofia-</w:t>
            </w:r>
            <w:r w:rsidRPr="008340BB">
              <w:rPr>
                <w:rStyle w:val="atn"/>
              </w:rPr>
              <w:t>Plovdiv-</w:t>
            </w:r>
            <w:r w:rsidRPr="008340BB">
              <w:t xml:space="preserve">Istanbul. </w:t>
            </w:r>
            <w:r w:rsidRPr="008340BB">
              <w:rPr>
                <w:rStyle w:val="hps"/>
              </w:rPr>
              <w:t>In</w:t>
            </w:r>
            <w:r w:rsidRPr="008340BB">
              <w:t xml:space="preserve"> </w:t>
            </w:r>
            <w:r w:rsidRPr="008340BB">
              <w:rPr>
                <w:rStyle w:val="hps"/>
              </w:rPr>
              <w:t>the period 2014-2020</w:t>
            </w:r>
            <w:r w:rsidRPr="008340BB">
              <w:t xml:space="preserve"> </w:t>
            </w:r>
            <w:r w:rsidRPr="008340BB">
              <w:rPr>
                <w:rStyle w:val="hps"/>
              </w:rPr>
              <w:t>will continue</w:t>
            </w:r>
            <w:r w:rsidRPr="008340BB">
              <w:t xml:space="preserve"> the </w:t>
            </w:r>
            <w:r w:rsidRPr="008340BB">
              <w:rPr>
                <w:rStyle w:val="hps"/>
              </w:rPr>
              <w:t>activities</w:t>
            </w:r>
            <w:r w:rsidRPr="008340BB">
              <w:t xml:space="preserve"> aimed at </w:t>
            </w:r>
            <w:r w:rsidRPr="008340BB">
              <w:rPr>
                <w:rStyle w:val="hps"/>
              </w:rPr>
              <w:t>completion of this</w:t>
            </w:r>
            <w:r w:rsidRPr="008340BB">
              <w:t xml:space="preserve"> </w:t>
            </w:r>
            <w:r w:rsidRPr="008340BB">
              <w:rPr>
                <w:rStyle w:val="hps"/>
              </w:rPr>
              <w:t>part of the corridor</w:t>
            </w:r>
            <w:r w:rsidRPr="008340BB">
              <w:t xml:space="preserve"> </w:t>
            </w:r>
            <w:r w:rsidRPr="008340BB">
              <w:rPr>
                <w:rStyle w:val="hps"/>
              </w:rPr>
              <w:t>through modernisation of</w:t>
            </w:r>
            <w:r w:rsidRPr="008340BB">
              <w:t xml:space="preserve"> </w:t>
            </w:r>
            <w:r w:rsidRPr="008340BB">
              <w:rPr>
                <w:rStyle w:val="hps"/>
              </w:rPr>
              <w:t>sections along</w:t>
            </w:r>
            <w:r w:rsidRPr="008340BB">
              <w:t xml:space="preserve"> </w:t>
            </w:r>
            <w:r w:rsidRPr="008340BB">
              <w:rPr>
                <w:rStyle w:val="hps"/>
              </w:rPr>
              <w:t>the Sofia</w:t>
            </w:r>
            <w:r w:rsidRPr="008340BB">
              <w:t>-Septem</w:t>
            </w:r>
            <w:r w:rsidR="00492C85">
              <w:t>v</w:t>
            </w:r>
            <w:r w:rsidRPr="008340BB">
              <w:t>r</w:t>
            </w:r>
            <w:r w:rsidR="00492C85">
              <w:t>i</w:t>
            </w:r>
            <w:r w:rsidRPr="008340BB">
              <w:rPr>
                <w:rStyle w:val="hps"/>
              </w:rPr>
              <w:t xml:space="preserve"> railway line</w:t>
            </w:r>
            <w:r w:rsidRPr="008340BB">
              <w:t xml:space="preserve">. </w:t>
            </w:r>
            <w:r w:rsidRPr="008340BB">
              <w:br/>
            </w:r>
            <w:r w:rsidRPr="008340BB">
              <w:rPr>
                <w:rStyle w:val="hps"/>
              </w:rPr>
              <w:t>Cross-border</w:t>
            </w:r>
            <w:r w:rsidRPr="008340BB">
              <w:t xml:space="preserve"> </w:t>
            </w:r>
            <w:r w:rsidRPr="008340BB">
              <w:rPr>
                <w:rStyle w:val="hps"/>
              </w:rPr>
              <w:t>links to</w:t>
            </w:r>
            <w:r w:rsidRPr="008340BB">
              <w:t xml:space="preserve"> </w:t>
            </w:r>
            <w:r w:rsidRPr="008340BB">
              <w:rPr>
                <w:rStyle w:val="hps"/>
              </w:rPr>
              <w:t>Romania will</w:t>
            </w:r>
            <w:r w:rsidRPr="008340BB">
              <w:t xml:space="preserve"> </w:t>
            </w:r>
            <w:r w:rsidRPr="008340BB">
              <w:rPr>
                <w:rStyle w:val="hps"/>
              </w:rPr>
              <w:t>be significantly improved</w:t>
            </w:r>
            <w:r w:rsidR="00740DEF">
              <w:rPr>
                <w:rStyle w:val="hps"/>
              </w:rPr>
              <w:t>.</w:t>
            </w:r>
            <w:r w:rsidRPr="008340BB">
              <w:t xml:space="preserve"> </w:t>
            </w:r>
            <w:r w:rsidR="00740DEF" w:rsidRPr="00740DEF">
              <w:rPr>
                <w:rStyle w:val="hps"/>
              </w:rPr>
              <w:t xml:space="preserve">Danube Bridge 2 </w:t>
            </w:r>
            <w:r w:rsidR="00810B85">
              <w:rPr>
                <w:rStyle w:val="hps"/>
                <w:lang w:val="en-US"/>
              </w:rPr>
              <w:t xml:space="preserve">(Vidin-Calafat) </w:t>
            </w:r>
            <w:r w:rsidR="00740DEF">
              <w:rPr>
                <w:rStyle w:val="hps"/>
              </w:rPr>
              <w:t xml:space="preserve">is </w:t>
            </w:r>
            <w:r w:rsidR="00810B85">
              <w:rPr>
                <w:rStyle w:val="hps"/>
              </w:rPr>
              <w:t xml:space="preserve">now operational and attracts higher traffic volumes than expected. </w:t>
            </w:r>
            <w:r w:rsidR="00740DEF">
              <w:t xml:space="preserve">The next step </w:t>
            </w:r>
            <w:r w:rsidR="00EA35E3">
              <w:rPr>
                <w:rStyle w:val="hps"/>
                <w:lang w:val="en-US"/>
              </w:rPr>
              <w:t>is</w:t>
            </w:r>
            <w:r w:rsidR="00740DEF">
              <w:rPr>
                <w:rStyle w:val="hps"/>
              </w:rPr>
              <w:t xml:space="preserve"> </w:t>
            </w:r>
            <w:r w:rsidR="003B073B">
              <w:rPr>
                <w:rStyle w:val="hps"/>
              </w:rPr>
              <w:t xml:space="preserve">the </w:t>
            </w:r>
            <w:r w:rsidRPr="008340BB">
              <w:rPr>
                <w:rStyle w:val="hps"/>
              </w:rPr>
              <w:t>coordinated</w:t>
            </w:r>
            <w:r w:rsidRPr="008340BB">
              <w:t xml:space="preserve"> </w:t>
            </w:r>
            <w:r w:rsidRPr="008340BB">
              <w:rPr>
                <w:rStyle w:val="hps"/>
              </w:rPr>
              <w:t>construction of</w:t>
            </w:r>
            <w:r w:rsidRPr="008340BB">
              <w:t xml:space="preserve"> </w:t>
            </w:r>
            <w:r w:rsidRPr="008340BB">
              <w:rPr>
                <w:rStyle w:val="hps"/>
              </w:rPr>
              <w:t>the Craiova</w:t>
            </w:r>
            <w:r w:rsidRPr="008340BB">
              <w:rPr>
                <w:rStyle w:val="atn"/>
              </w:rPr>
              <w:t>-</w:t>
            </w:r>
            <w:r w:rsidRPr="008340BB">
              <w:t xml:space="preserve">Calafat </w:t>
            </w:r>
            <w:r w:rsidRPr="008340BB">
              <w:rPr>
                <w:rStyle w:val="hps"/>
              </w:rPr>
              <w:t>railway section</w:t>
            </w:r>
            <w:r w:rsidRPr="008340BB">
              <w:t xml:space="preserve"> </w:t>
            </w:r>
            <w:r w:rsidRPr="008340BB">
              <w:rPr>
                <w:rStyle w:val="hps"/>
              </w:rPr>
              <w:t>in Romania.</w:t>
            </w:r>
            <w:r w:rsidRPr="008340BB">
              <w:t xml:space="preserve"> A </w:t>
            </w:r>
            <w:r w:rsidRPr="008340BB">
              <w:rPr>
                <w:rStyle w:val="hps"/>
              </w:rPr>
              <w:t>potential for future development</w:t>
            </w:r>
            <w:r w:rsidRPr="008340BB">
              <w:t xml:space="preserve"> </w:t>
            </w:r>
            <w:r w:rsidRPr="008340BB">
              <w:rPr>
                <w:rStyle w:val="hps"/>
              </w:rPr>
              <w:t>has</w:t>
            </w:r>
            <w:r w:rsidRPr="008340BB">
              <w:t xml:space="preserve"> </w:t>
            </w:r>
            <w:r w:rsidRPr="008340BB">
              <w:rPr>
                <w:rStyle w:val="hps"/>
              </w:rPr>
              <w:t>the Ruse</w:t>
            </w:r>
            <w:r w:rsidRPr="008340BB">
              <w:rPr>
                <w:rStyle w:val="atn"/>
              </w:rPr>
              <w:t>-</w:t>
            </w:r>
            <w:r w:rsidRPr="008340BB">
              <w:t>Giurgiu</w:t>
            </w:r>
            <w:r w:rsidRPr="008340BB">
              <w:rPr>
                <w:rStyle w:val="hps"/>
              </w:rPr>
              <w:t xml:space="preserve"> railway link</w:t>
            </w:r>
            <w:r w:rsidRPr="008340BB">
              <w:t xml:space="preserve">, following the expressed </w:t>
            </w:r>
            <w:r w:rsidRPr="008340BB">
              <w:rPr>
                <w:rStyle w:val="hps"/>
              </w:rPr>
              <w:t>joint</w:t>
            </w:r>
            <w:r w:rsidRPr="008340BB">
              <w:t xml:space="preserve"> </w:t>
            </w:r>
            <w:r w:rsidRPr="008340BB">
              <w:rPr>
                <w:rStyle w:val="hps"/>
              </w:rPr>
              <w:t>intention at the</w:t>
            </w:r>
            <w:r w:rsidRPr="008340BB">
              <w:t xml:space="preserve"> </w:t>
            </w:r>
            <w:r w:rsidRPr="008340BB">
              <w:rPr>
                <w:rStyle w:val="hps"/>
              </w:rPr>
              <w:t>meeting of the Bulgarian</w:t>
            </w:r>
            <w:r w:rsidRPr="008340BB">
              <w:t xml:space="preserve">-Romanian </w:t>
            </w:r>
            <w:r w:rsidRPr="008340BB">
              <w:rPr>
                <w:rStyle w:val="hps"/>
              </w:rPr>
              <w:t>Committee</w:t>
            </w:r>
            <w:r w:rsidRPr="008340BB">
              <w:t xml:space="preserve"> </w:t>
            </w:r>
            <w:r w:rsidRPr="008340BB">
              <w:rPr>
                <w:rStyle w:val="hps"/>
              </w:rPr>
              <w:t>for conducting a study</w:t>
            </w:r>
            <w:r w:rsidRPr="008340BB">
              <w:t xml:space="preserve"> </w:t>
            </w:r>
            <w:r w:rsidRPr="008340BB">
              <w:rPr>
                <w:rStyle w:val="hps"/>
              </w:rPr>
              <w:t>on the rehabilitation of</w:t>
            </w:r>
            <w:r w:rsidRPr="008340BB">
              <w:t xml:space="preserve"> </w:t>
            </w:r>
            <w:r w:rsidRPr="008340BB">
              <w:rPr>
                <w:rStyle w:val="hps"/>
              </w:rPr>
              <w:t>the Bucharest</w:t>
            </w:r>
            <w:r w:rsidRPr="008340BB">
              <w:rPr>
                <w:rStyle w:val="atn"/>
              </w:rPr>
              <w:t>-</w:t>
            </w:r>
            <w:r w:rsidRPr="008340BB">
              <w:t>Giurgiu</w:t>
            </w:r>
            <w:r w:rsidRPr="008340BB">
              <w:rPr>
                <w:rStyle w:val="atn"/>
              </w:rPr>
              <w:t>-</w:t>
            </w:r>
            <w:r w:rsidRPr="008340BB">
              <w:lastRenderedPageBreak/>
              <w:t xml:space="preserve">Ruse-Gorna </w:t>
            </w:r>
            <w:r w:rsidRPr="008340BB">
              <w:rPr>
                <w:rStyle w:val="hps"/>
              </w:rPr>
              <w:t>Oryahovitsa railway line,</w:t>
            </w:r>
            <w:r w:rsidRPr="008340BB">
              <w:t xml:space="preserve"> </w:t>
            </w:r>
            <w:r w:rsidRPr="008340BB">
              <w:rPr>
                <w:rStyle w:val="hps"/>
              </w:rPr>
              <w:t>as</w:t>
            </w:r>
            <w:r w:rsidRPr="008340BB">
              <w:t xml:space="preserve"> the </w:t>
            </w:r>
            <w:r w:rsidRPr="008340BB">
              <w:rPr>
                <w:rStyle w:val="hps"/>
              </w:rPr>
              <w:t>discussions on</w:t>
            </w:r>
            <w:r w:rsidRPr="008340BB">
              <w:t xml:space="preserve"> </w:t>
            </w:r>
            <w:r w:rsidRPr="008340BB">
              <w:rPr>
                <w:rStyle w:val="hps"/>
              </w:rPr>
              <w:t>planning</w:t>
            </w:r>
            <w:r w:rsidRPr="008340BB">
              <w:t xml:space="preserve"> </w:t>
            </w:r>
            <w:r w:rsidRPr="008340BB">
              <w:rPr>
                <w:rStyle w:val="hps"/>
              </w:rPr>
              <w:t>and defining the</w:t>
            </w:r>
            <w:r w:rsidRPr="008340BB">
              <w:t xml:space="preserve"> </w:t>
            </w:r>
            <w:r w:rsidRPr="008340BB">
              <w:rPr>
                <w:rStyle w:val="hps"/>
              </w:rPr>
              <w:t>technical parameters</w:t>
            </w:r>
            <w:r w:rsidRPr="008340BB">
              <w:t xml:space="preserve"> </w:t>
            </w:r>
            <w:r w:rsidRPr="008340BB">
              <w:rPr>
                <w:rStyle w:val="hps"/>
              </w:rPr>
              <w:t>will continue.</w:t>
            </w:r>
            <w:r w:rsidRPr="008340BB">
              <w:t xml:space="preserve"> </w:t>
            </w:r>
          </w:p>
          <w:p w14:paraId="50C33C4C" w14:textId="01EA3938" w:rsidR="00F1341F" w:rsidRPr="008340BB" w:rsidRDefault="00F1341F" w:rsidP="00FB6320">
            <w:r w:rsidRPr="008340BB">
              <w:rPr>
                <w:rStyle w:val="hps"/>
              </w:rPr>
              <w:t>Contribution to improving the</w:t>
            </w:r>
            <w:r w:rsidRPr="008340BB">
              <w:t xml:space="preserve"> </w:t>
            </w:r>
            <w:r w:rsidRPr="008340BB">
              <w:rPr>
                <w:rStyle w:val="hps"/>
              </w:rPr>
              <w:t>cross-border</w:t>
            </w:r>
            <w:r w:rsidRPr="008340BB">
              <w:t xml:space="preserve"> </w:t>
            </w:r>
            <w:r w:rsidRPr="008340BB">
              <w:rPr>
                <w:rStyle w:val="hps"/>
              </w:rPr>
              <w:t>relationship</w:t>
            </w:r>
            <w:r w:rsidRPr="008340BB">
              <w:t xml:space="preserve"> </w:t>
            </w:r>
            <w:r w:rsidRPr="008340BB">
              <w:rPr>
                <w:rStyle w:val="hps"/>
              </w:rPr>
              <w:t>with Serbia</w:t>
            </w:r>
            <w:r w:rsidRPr="008340BB">
              <w:t xml:space="preserve"> </w:t>
            </w:r>
            <w:r w:rsidRPr="008340BB">
              <w:rPr>
                <w:rStyle w:val="hps"/>
              </w:rPr>
              <w:t>is the implementation</w:t>
            </w:r>
            <w:r w:rsidRPr="008340BB">
              <w:t xml:space="preserve"> </w:t>
            </w:r>
            <w:r w:rsidRPr="008340BB">
              <w:rPr>
                <w:rStyle w:val="hps"/>
              </w:rPr>
              <w:t>of the project "</w:t>
            </w:r>
            <w:r w:rsidRPr="008340BB">
              <w:t xml:space="preserve">Modernisation </w:t>
            </w:r>
            <w:r w:rsidRPr="008340BB">
              <w:rPr>
                <w:rStyle w:val="hps"/>
              </w:rPr>
              <w:t>of Sofia -</w:t>
            </w:r>
            <w:r w:rsidRPr="008340BB">
              <w:t xml:space="preserve"> </w:t>
            </w:r>
            <w:r w:rsidRPr="008340BB">
              <w:rPr>
                <w:rStyle w:val="hps"/>
              </w:rPr>
              <w:t>Dragoman Railway Line</w:t>
            </w:r>
            <w:r w:rsidRPr="008340BB">
              <w:t xml:space="preserve">", where </w:t>
            </w:r>
            <w:r w:rsidRPr="008340BB">
              <w:rPr>
                <w:rStyle w:val="hps"/>
              </w:rPr>
              <w:t>feasibility studies have been carried out,</w:t>
            </w:r>
            <w:r w:rsidRPr="008340BB">
              <w:t xml:space="preserve"> </w:t>
            </w:r>
            <w:r w:rsidRPr="008340BB">
              <w:rPr>
                <w:rStyle w:val="hps"/>
              </w:rPr>
              <w:t>conceptual designs</w:t>
            </w:r>
            <w:r w:rsidRPr="008340BB">
              <w:t xml:space="preserve"> </w:t>
            </w:r>
            <w:r w:rsidRPr="008340BB">
              <w:rPr>
                <w:rStyle w:val="hps"/>
              </w:rPr>
              <w:t>have been developed</w:t>
            </w:r>
            <w:r w:rsidRPr="008340BB">
              <w:t xml:space="preserve"> </w:t>
            </w:r>
            <w:r w:rsidRPr="008340BB">
              <w:rPr>
                <w:rStyle w:val="hps"/>
              </w:rPr>
              <w:t>and</w:t>
            </w:r>
            <w:r w:rsidRPr="008340BB">
              <w:t xml:space="preserve"> the </w:t>
            </w:r>
            <w:r w:rsidRPr="008340BB">
              <w:rPr>
                <w:rStyle w:val="hps"/>
              </w:rPr>
              <w:t>respective Cost benefit analysis (CBA) has been made</w:t>
            </w:r>
            <w:r w:rsidRPr="008340BB">
              <w:t xml:space="preserve">. </w:t>
            </w:r>
            <w:r w:rsidR="00703DC5" w:rsidRPr="00703DC5">
              <w:t>Preparatory activities where funded under the OPT 2007-2013</w:t>
            </w:r>
            <w:r w:rsidR="00D86341">
              <w:rPr>
                <w:lang w:val="en-US"/>
              </w:rPr>
              <w:t xml:space="preserve"> and OPTTI 2014-2020</w:t>
            </w:r>
            <w:r w:rsidR="00703DC5" w:rsidRPr="00703DC5">
              <w:t>.  Construction of section Voluyak – Dragoman</w:t>
            </w:r>
            <w:r w:rsidR="00FB477B">
              <w:t>, phase</w:t>
            </w:r>
            <w:r w:rsidR="00703DC5" w:rsidRPr="00703DC5">
              <w:t xml:space="preserve"> </w:t>
            </w:r>
            <w:r w:rsidR="00FB477B" w:rsidRPr="00FB477B">
              <w:t>1</w:t>
            </w:r>
            <w:r w:rsidR="00703DC5" w:rsidRPr="00703DC5">
              <w:t xml:space="preserve"> is envisaged for funding under OPTTI 2014-2020.   </w:t>
            </w:r>
          </w:p>
          <w:p w14:paraId="6CED0DB8" w14:textId="49316360" w:rsidR="00F1341F" w:rsidRPr="008340BB" w:rsidRDefault="00F1341F" w:rsidP="003A503A">
            <w:r w:rsidRPr="008340BB">
              <w:rPr>
                <w:rStyle w:val="hps"/>
              </w:rPr>
              <w:t>Through the implementation</w:t>
            </w:r>
            <w:r w:rsidRPr="008340BB">
              <w:t xml:space="preserve"> </w:t>
            </w:r>
            <w:r w:rsidRPr="008340BB">
              <w:rPr>
                <w:rStyle w:val="hps"/>
              </w:rPr>
              <w:t>of projects</w:t>
            </w:r>
            <w:r w:rsidRPr="008340BB">
              <w:t xml:space="preserve"> </w:t>
            </w:r>
            <w:r w:rsidRPr="008340BB">
              <w:rPr>
                <w:rStyle w:val="hps"/>
              </w:rPr>
              <w:t>for the modernisation of</w:t>
            </w:r>
            <w:r w:rsidRPr="008340BB">
              <w:t xml:space="preserve"> </w:t>
            </w:r>
            <w:r w:rsidRPr="008340BB">
              <w:rPr>
                <w:rStyle w:val="hps"/>
              </w:rPr>
              <w:t>the Sofia</w:t>
            </w:r>
            <w:r w:rsidRPr="008340BB">
              <w:t xml:space="preserve"> </w:t>
            </w:r>
            <w:r w:rsidRPr="008340BB">
              <w:rPr>
                <w:rStyle w:val="hps"/>
              </w:rPr>
              <w:t>-</w:t>
            </w:r>
            <w:r w:rsidRPr="008340BB">
              <w:t xml:space="preserve"> </w:t>
            </w:r>
            <w:r w:rsidRPr="008340BB">
              <w:rPr>
                <w:rStyle w:val="hps"/>
              </w:rPr>
              <w:t>Kulata railway line (</w:t>
            </w:r>
            <w:r w:rsidRPr="008340BB">
              <w:t xml:space="preserve">in </w:t>
            </w:r>
            <w:r w:rsidRPr="008340BB">
              <w:rPr>
                <w:rStyle w:val="hps"/>
              </w:rPr>
              <w:t>Sofia -</w:t>
            </w:r>
            <w:r w:rsidRPr="008340BB">
              <w:t xml:space="preserve"> </w:t>
            </w:r>
            <w:r w:rsidRPr="008340BB">
              <w:rPr>
                <w:rStyle w:val="hps"/>
              </w:rPr>
              <w:t>Pernik</w:t>
            </w:r>
            <w:r w:rsidRPr="008340BB">
              <w:t xml:space="preserve"> </w:t>
            </w:r>
            <w:r w:rsidR="002308AA" w:rsidRPr="008340BB">
              <w:rPr>
                <w:rStyle w:val="hps"/>
              </w:rPr>
              <w:t>-</w:t>
            </w:r>
            <w:r w:rsidRPr="008340BB">
              <w:t xml:space="preserve"> </w:t>
            </w:r>
            <w:r w:rsidRPr="008340BB">
              <w:rPr>
                <w:rStyle w:val="hps"/>
              </w:rPr>
              <w:t xml:space="preserve">Radomir section, </w:t>
            </w:r>
            <w:r w:rsidRPr="008340BB">
              <w:t xml:space="preserve">and </w:t>
            </w:r>
            <w:r w:rsidRPr="008340BB">
              <w:rPr>
                <w:rStyle w:val="hps"/>
              </w:rPr>
              <w:t>Radomir</w:t>
            </w:r>
            <w:r w:rsidRPr="008340BB">
              <w:t xml:space="preserve"> </w:t>
            </w:r>
            <w:r w:rsidR="002308AA" w:rsidRPr="008340BB">
              <w:rPr>
                <w:rStyle w:val="hps"/>
              </w:rPr>
              <w:t>-</w:t>
            </w:r>
            <w:r w:rsidRPr="008340BB">
              <w:t xml:space="preserve"> </w:t>
            </w:r>
            <w:r w:rsidRPr="008340BB">
              <w:rPr>
                <w:rStyle w:val="hps"/>
              </w:rPr>
              <w:t>Kulata section</w:t>
            </w:r>
            <w:r w:rsidRPr="008340BB">
              <w:t xml:space="preserve">) as part of </w:t>
            </w:r>
            <w:r w:rsidRPr="008340BB">
              <w:rPr>
                <w:rStyle w:val="hps"/>
              </w:rPr>
              <w:t>the construction of</w:t>
            </w:r>
            <w:r w:rsidRPr="008340BB">
              <w:t xml:space="preserve"> </w:t>
            </w:r>
            <w:r w:rsidRPr="008340BB">
              <w:rPr>
                <w:rStyle w:val="hps"/>
              </w:rPr>
              <w:t>Priority project 22,</w:t>
            </w:r>
            <w:r w:rsidRPr="008340BB">
              <w:t xml:space="preserve"> </w:t>
            </w:r>
            <w:r w:rsidRPr="008340BB">
              <w:rPr>
                <w:rStyle w:val="hps"/>
              </w:rPr>
              <w:t>which coincides</w:t>
            </w:r>
            <w:r w:rsidRPr="008340BB">
              <w:t xml:space="preserve"> </w:t>
            </w:r>
            <w:r w:rsidRPr="008340BB">
              <w:rPr>
                <w:rStyle w:val="hps"/>
              </w:rPr>
              <w:t xml:space="preserve">with </w:t>
            </w:r>
            <w:r w:rsidR="00DC3084">
              <w:rPr>
                <w:rStyle w:val="hps"/>
              </w:rPr>
              <w:t>OEM</w:t>
            </w:r>
            <w:r w:rsidRPr="008340BB">
              <w:t xml:space="preserve"> </w:t>
            </w:r>
            <w:r w:rsidR="007E0E61">
              <w:rPr>
                <w:rStyle w:val="hps"/>
              </w:rPr>
              <w:t>C</w:t>
            </w:r>
            <w:r w:rsidRPr="008340BB">
              <w:rPr>
                <w:rStyle w:val="hps"/>
              </w:rPr>
              <w:t>orridor</w:t>
            </w:r>
            <w:r w:rsidRPr="008340BB">
              <w:t xml:space="preserve"> </w:t>
            </w:r>
            <w:r w:rsidRPr="008340BB">
              <w:rPr>
                <w:rStyle w:val="hps"/>
              </w:rPr>
              <w:t>of the core</w:t>
            </w:r>
            <w:r w:rsidRPr="008340BB">
              <w:t xml:space="preserve"> </w:t>
            </w:r>
            <w:r w:rsidRPr="008340BB">
              <w:rPr>
                <w:rStyle w:val="hps"/>
              </w:rPr>
              <w:t>network</w:t>
            </w:r>
            <w:r w:rsidRPr="008340BB">
              <w:t xml:space="preserve">, the </w:t>
            </w:r>
            <w:r w:rsidRPr="008340BB">
              <w:rPr>
                <w:rStyle w:val="hps"/>
              </w:rPr>
              <w:t>cross-border links</w:t>
            </w:r>
            <w:r w:rsidRPr="008340BB">
              <w:t xml:space="preserve"> </w:t>
            </w:r>
            <w:r w:rsidRPr="008340BB">
              <w:rPr>
                <w:rStyle w:val="hps"/>
              </w:rPr>
              <w:t>with Greece</w:t>
            </w:r>
            <w:r w:rsidRPr="008340BB">
              <w:t xml:space="preserve"> </w:t>
            </w:r>
            <w:r w:rsidRPr="008340BB">
              <w:rPr>
                <w:rStyle w:val="hps"/>
              </w:rPr>
              <w:t>will be significantly</w:t>
            </w:r>
            <w:r w:rsidRPr="008340BB">
              <w:t xml:space="preserve"> </w:t>
            </w:r>
            <w:r w:rsidRPr="008340BB">
              <w:rPr>
                <w:rStyle w:val="hps"/>
              </w:rPr>
              <w:t>improved.</w:t>
            </w:r>
            <w:r w:rsidRPr="008340BB">
              <w:t xml:space="preserve"> </w:t>
            </w:r>
            <w:r w:rsidR="00BF2708" w:rsidRPr="00BF2708">
              <w:t xml:space="preserve">Construction of section </w:t>
            </w:r>
            <w:r w:rsidR="00BF08E0">
              <w:t xml:space="preserve">Sofia </w:t>
            </w:r>
            <w:r w:rsidR="00BF08E0" w:rsidRPr="00BF08E0">
              <w:t>–</w:t>
            </w:r>
            <w:r w:rsidR="00BF08E0">
              <w:t xml:space="preserve"> </w:t>
            </w:r>
            <w:r w:rsidR="00BF2708" w:rsidRPr="00BF2708">
              <w:t xml:space="preserve">Pernik – Radomir is envisaged for funding under </w:t>
            </w:r>
            <w:r w:rsidR="00A02492">
              <w:rPr>
                <w:lang w:val="en-US"/>
              </w:rPr>
              <w:t>programming period</w:t>
            </w:r>
            <w:r w:rsidR="00BF2708" w:rsidRPr="00BF2708">
              <w:t xml:space="preserve"> 20</w:t>
            </w:r>
            <w:r w:rsidR="00A02492">
              <w:t>2</w:t>
            </w:r>
            <w:r w:rsidR="00BF2708" w:rsidRPr="00BF2708">
              <w:t>1-202</w:t>
            </w:r>
            <w:r w:rsidR="00A02492">
              <w:t>7</w:t>
            </w:r>
            <w:r w:rsidR="00BF2708" w:rsidRPr="00BF2708">
              <w:t xml:space="preserve">. </w:t>
            </w:r>
            <w:r w:rsidRPr="006D53A0">
              <w:t xml:space="preserve">The project for Technical assistance for modernisation of Radomir </w:t>
            </w:r>
            <w:r w:rsidR="002308AA" w:rsidRPr="006D53A0">
              <w:t>-</w:t>
            </w:r>
            <w:r w:rsidRPr="006D53A0">
              <w:t xml:space="preserve"> Kulata railway line is </w:t>
            </w:r>
            <w:r w:rsidR="00405A2B" w:rsidRPr="006D53A0">
              <w:t>completed.</w:t>
            </w:r>
            <w:r w:rsidRPr="006D53A0">
              <w:t xml:space="preserve">. Preliminary design and CBA are </w:t>
            </w:r>
            <w:r w:rsidR="004B1996" w:rsidRPr="006D53A0">
              <w:rPr>
                <w:lang w:val="en-US"/>
              </w:rPr>
              <w:t>prepared</w:t>
            </w:r>
            <w:r w:rsidRPr="006D53A0">
              <w:t>.</w:t>
            </w:r>
            <w:r w:rsidRPr="008340BB">
              <w:t xml:space="preserve"> The construction works will be scheduled in conjunction to the development initiatives at Greek side, so to provide for synchronised technical characteristics of the entire cross border section.</w:t>
            </w:r>
          </w:p>
          <w:p w14:paraId="5D342B13" w14:textId="1FBF52CA" w:rsidR="00F1341F" w:rsidRPr="008340BB" w:rsidRDefault="00F1341F" w:rsidP="00FB6320">
            <w:r w:rsidRPr="008340BB">
              <w:rPr>
                <w:rStyle w:val="hps"/>
              </w:rPr>
              <w:t xml:space="preserve">The Radomir </w:t>
            </w:r>
            <w:r w:rsidRPr="008340BB">
              <w:t xml:space="preserve">- </w:t>
            </w:r>
            <w:r w:rsidRPr="008340BB">
              <w:rPr>
                <w:rStyle w:val="hps"/>
              </w:rPr>
              <w:t>Gueshevo</w:t>
            </w:r>
            <w:r w:rsidRPr="008340BB">
              <w:t xml:space="preserve"> </w:t>
            </w:r>
            <w:r w:rsidRPr="008340BB">
              <w:rPr>
                <w:rStyle w:val="hps"/>
              </w:rPr>
              <w:t>railway line</w:t>
            </w:r>
            <w:r w:rsidRPr="008340BB">
              <w:t xml:space="preserve"> </w:t>
            </w:r>
            <w:r w:rsidRPr="008340BB">
              <w:rPr>
                <w:rStyle w:val="hps"/>
              </w:rPr>
              <w:t>is part of</w:t>
            </w:r>
            <w:r w:rsidRPr="008340BB">
              <w:t xml:space="preserve"> </w:t>
            </w:r>
            <w:r w:rsidRPr="008340BB">
              <w:rPr>
                <w:rStyle w:val="hps"/>
              </w:rPr>
              <w:t>a main transport connection</w:t>
            </w:r>
            <w:r w:rsidRPr="008340BB">
              <w:t xml:space="preserve"> </w:t>
            </w:r>
            <w:r w:rsidRPr="008340BB">
              <w:rPr>
                <w:rStyle w:val="hps"/>
              </w:rPr>
              <w:t>to</w:t>
            </w:r>
            <w:r w:rsidRPr="008340BB">
              <w:t xml:space="preserve"> </w:t>
            </w:r>
            <w:r w:rsidR="00810B85">
              <w:t xml:space="preserve">Republic of </w:t>
            </w:r>
            <w:r w:rsidR="00C66FEF">
              <w:t xml:space="preserve">North </w:t>
            </w:r>
            <w:r w:rsidRPr="008340BB">
              <w:rPr>
                <w:rStyle w:val="hps"/>
              </w:rPr>
              <w:t>Macedonia</w:t>
            </w:r>
            <w:r w:rsidR="009A64D4">
              <w:t xml:space="preserve"> </w:t>
            </w:r>
            <w:r w:rsidR="009A64D4" w:rsidRPr="009A64D4">
              <w:rPr>
                <w:rStyle w:val="hps"/>
              </w:rPr>
              <w:t>hereinafter referred to as North Macedonia</w:t>
            </w:r>
            <w:r w:rsidRPr="008340BB">
              <w:rPr>
                <w:rStyle w:val="hps"/>
              </w:rPr>
              <w:t>.</w:t>
            </w:r>
            <w:r w:rsidRPr="008340BB">
              <w:t xml:space="preserve"> </w:t>
            </w:r>
            <w:r w:rsidR="00FF285D" w:rsidRPr="00FF285D">
              <w:t xml:space="preserve">Preparatory activities are also planned. </w:t>
            </w:r>
            <w:r w:rsidRPr="008340BB">
              <w:rPr>
                <w:rStyle w:val="hps"/>
              </w:rPr>
              <w:t>It is envisaged in</w:t>
            </w:r>
            <w:r w:rsidRPr="008340BB">
              <w:t xml:space="preserve"> </w:t>
            </w:r>
            <w:r w:rsidRPr="008340BB">
              <w:rPr>
                <w:rStyle w:val="hps"/>
              </w:rPr>
              <w:t>the 2014-2020</w:t>
            </w:r>
            <w:r w:rsidRPr="008340BB">
              <w:t xml:space="preserve"> </w:t>
            </w:r>
            <w:r w:rsidRPr="008340BB">
              <w:rPr>
                <w:rStyle w:val="hps"/>
              </w:rPr>
              <w:t>period to carr</w:t>
            </w:r>
            <w:r w:rsidR="003F537C">
              <w:rPr>
                <w:rStyle w:val="hps"/>
              </w:rPr>
              <w:t>y</w:t>
            </w:r>
            <w:r w:rsidRPr="008340BB">
              <w:rPr>
                <w:rStyle w:val="hps"/>
              </w:rPr>
              <w:t xml:space="preserve"> out work</w:t>
            </w:r>
            <w:r w:rsidRPr="008340BB">
              <w:t xml:space="preserve"> on </w:t>
            </w:r>
            <w:r w:rsidRPr="008340BB">
              <w:rPr>
                <w:rStyle w:val="hps"/>
              </w:rPr>
              <w:t>preparing the</w:t>
            </w:r>
            <w:r w:rsidRPr="008340BB">
              <w:t xml:space="preserve"> </w:t>
            </w:r>
            <w:r w:rsidRPr="008340BB">
              <w:rPr>
                <w:rStyle w:val="hps"/>
              </w:rPr>
              <w:t>project "</w:t>
            </w:r>
            <w:r w:rsidRPr="008340BB">
              <w:t xml:space="preserve">Modernisation </w:t>
            </w:r>
            <w:r w:rsidRPr="008340BB">
              <w:rPr>
                <w:rStyle w:val="hps"/>
              </w:rPr>
              <w:t xml:space="preserve">of the </w:t>
            </w:r>
            <w:r w:rsidR="003300E2">
              <w:rPr>
                <w:rStyle w:val="hps"/>
                <w:lang w:val="en-US"/>
              </w:rPr>
              <w:t xml:space="preserve">Sofia – Pernik - </w:t>
            </w:r>
            <w:r w:rsidRPr="008340BB">
              <w:rPr>
                <w:rStyle w:val="hps"/>
              </w:rPr>
              <w:t xml:space="preserve">Radomir </w:t>
            </w:r>
            <w:r w:rsidRPr="008340BB">
              <w:t xml:space="preserve">- </w:t>
            </w:r>
            <w:r w:rsidRPr="008340BB">
              <w:rPr>
                <w:rStyle w:val="hps"/>
              </w:rPr>
              <w:t xml:space="preserve">Gueshevo </w:t>
            </w:r>
            <w:r w:rsidR="003300E2">
              <w:rPr>
                <w:rStyle w:val="hps"/>
              </w:rPr>
              <w:t xml:space="preserve">– </w:t>
            </w:r>
            <w:r w:rsidR="00C66FEF">
              <w:rPr>
                <w:rStyle w:val="hps"/>
              </w:rPr>
              <w:t xml:space="preserve">Border of </w:t>
            </w:r>
            <w:r w:rsidR="00C66FEF">
              <w:rPr>
                <w:rStyle w:val="hps"/>
                <w:lang w:val="en-US"/>
              </w:rPr>
              <w:t xml:space="preserve">North </w:t>
            </w:r>
            <w:r w:rsidR="003300E2">
              <w:rPr>
                <w:rStyle w:val="hps"/>
                <w:lang w:val="en-US"/>
              </w:rPr>
              <w:t xml:space="preserve">Macedonia </w:t>
            </w:r>
            <w:r w:rsidRPr="008340BB">
              <w:rPr>
                <w:rStyle w:val="hps"/>
              </w:rPr>
              <w:t>Railway Line</w:t>
            </w:r>
            <w:r w:rsidRPr="008340BB">
              <w:t xml:space="preserve">", including </w:t>
            </w:r>
            <w:r w:rsidRPr="008340BB">
              <w:rPr>
                <w:rStyle w:val="hps"/>
              </w:rPr>
              <w:t>technical designs</w:t>
            </w:r>
            <w:r w:rsidRPr="008340BB">
              <w:t xml:space="preserve"> </w:t>
            </w:r>
            <w:r w:rsidR="00A02044">
              <w:t xml:space="preserve">and detailed development plan for </w:t>
            </w:r>
            <w:r w:rsidR="00CF7FDA">
              <w:t>modernisation of Sofia-Pernik-Radomir section</w:t>
            </w:r>
            <w:r w:rsidR="008E6698">
              <w:t>,</w:t>
            </w:r>
            <w:r w:rsidR="00CF7FDA">
              <w:t xml:space="preserve"> </w:t>
            </w:r>
            <w:r w:rsidRPr="008340BB">
              <w:rPr>
                <w:rStyle w:val="hps"/>
              </w:rPr>
              <w:t xml:space="preserve">updates </w:t>
            </w:r>
            <w:r w:rsidR="008E6698">
              <w:rPr>
                <w:rStyle w:val="hps"/>
              </w:rPr>
              <w:t>and optimisation of the conceptual design for Radomir-Gueshevo section, detailed design and detailed development plan for Radomir</w:t>
            </w:r>
            <w:r w:rsidR="00887CA5">
              <w:rPr>
                <w:rStyle w:val="hps"/>
              </w:rPr>
              <w:t xml:space="preserve"> </w:t>
            </w:r>
            <w:r w:rsidR="008E6698">
              <w:rPr>
                <w:rStyle w:val="hps"/>
              </w:rPr>
              <w:t>-</w:t>
            </w:r>
            <w:r w:rsidR="00887CA5" w:rsidRPr="00887CA5">
              <w:t xml:space="preserve"> Border of </w:t>
            </w:r>
            <w:r w:rsidR="00887CA5" w:rsidRPr="00887CA5">
              <w:rPr>
                <w:lang w:val="en-US"/>
              </w:rPr>
              <w:t xml:space="preserve">North </w:t>
            </w:r>
            <w:r w:rsidR="008E6698">
              <w:rPr>
                <w:rStyle w:val="hps"/>
              </w:rPr>
              <w:t xml:space="preserve">Macedonia section, </w:t>
            </w:r>
            <w:r w:rsidR="00C509C5">
              <w:rPr>
                <w:rStyle w:val="hps"/>
                <w:lang w:val="en-US"/>
              </w:rPr>
              <w:t>assessment of interoperability and compliance assessment under the Law on Spatial Planning.</w:t>
            </w:r>
          </w:p>
          <w:p w14:paraId="35657303" w14:textId="77777777" w:rsidR="00F1341F" w:rsidRPr="008340BB" w:rsidRDefault="00F1341F" w:rsidP="00FB6320">
            <w:pPr>
              <w:rPr>
                <w:i/>
              </w:rPr>
            </w:pPr>
            <w:r w:rsidRPr="008340BB">
              <w:rPr>
                <w:rStyle w:val="hps"/>
                <w:i/>
              </w:rPr>
              <w:t>Road</w:t>
            </w:r>
            <w:r w:rsidR="00B91FF2" w:rsidRPr="008340BB">
              <w:rPr>
                <w:rStyle w:val="hps"/>
                <w:i/>
              </w:rPr>
              <w:t>s</w:t>
            </w:r>
          </w:p>
          <w:p w14:paraId="0FF9FE47" w14:textId="70CE58AB" w:rsidR="00F1341F" w:rsidRPr="008340BB" w:rsidRDefault="00F1341F" w:rsidP="00FB6320">
            <w:pPr>
              <w:rPr>
                <w:b/>
              </w:rPr>
            </w:pPr>
            <w:r w:rsidRPr="008340BB">
              <w:rPr>
                <w:rStyle w:val="hps"/>
              </w:rPr>
              <w:t>In order to</w:t>
            </w:r>
            <w:r w:rsidRPr="008340BB">
              <w:t xml:space="preserve"> </w:t>
            </w:r>
            <w:r w:rsidRPr="008340BB">
              <w:rPr>
                <w:rStyle w:val="hps"/>
              </w:rPr>
              <w:t>integrate</w:t>
            </w:r>
            <w:r w:rsidRPr="008340BB">
              <w:t xml:space="preserve"> </w:t>
            </w:r>
            <w:r w:rsidRPr="008340BB">
              <w:rPr>
                <w:rStyle w:val="hps"/>
              </w:rPr>
              <w:t>the national road</w:t>
            </w:r>
            <w:r w:rsidRPr="008340BB">
              <w:t xml:space="preserve"> </w:t>
            </w:r>
            <w:r w:rsidRPr="008340BB">
              <w:rPr>
                <w:rStyle w:val="hps"/>
              </w:rPr>
              <w:t>network in</w:t>
            </w:r>
            <w:r w:rsidRPr="008340BB">
              <w:t xml:space="preserve"> </w:t>
            </w:r>
            <w:r w:rsidRPr="008340BB">
              <w:rPr>
                <w:rStyle w:val="hps"/>
              </w:rPr>
              <w:t>the EU transport network</w:t>
            </w:r>
            <w:r w:rsidRPr="008340BB">
              <w:t xml:space="preserve"> </w:t>
            </w:r>
            <w:r w:rsidRPr="008340BB">
              <w:rPr>
                <w:rStyle w:val="hps"/>
              </w:rPr>
              <w:t>it must be developed</w:t>
            </w:r>
            <w:r w:rsidRPr="008340BB">
              <w:t xml:space="preserve"> </w:t>
            </w:r>
            <w:r w:rsidRPr="008340BB">
              <w:rPr>
                <w:rStyle w:val="hps"/>
              </w:rPr>
              <w:t>"</w:t>
            </w:r>
            <w:r w:rsidRPr="008340BB">
              <w:t>core</w:t>
            </w:r>
            <w:r w:rsidRPr="008340BB">
              <w:rPr>
                <w:rStyle w:val="atn"/>
              </w:rPr>
              <w:t>" and "</w:t>
            </w:r>
            <w:r w:rsidRPr="008340BB">
              <w:t xml:space="preserve">comprehensive" </w:t>
            </w:r>
            <w:r w:rsidR="00AA25E6" w:rsidRPr="00AA25E6">
              <w:t xml:space="preserve">TEN-T </w:t>
            </w:r>
            <w:r w:rsidRPr="008340BB">
              <w:t xml:space="preserve"> </w:t>
            </w:r>
            <w:r w:rsidRPr="008340BB">
              <w:rPr>
                <w:rStyle w:val="hps"/>
              </w:rPr>
              <w:t>in the country</w:t>
            </w:r>
            <w:r w:rsidRPr="008340BB">
              <w:t xml:space="preserve">, as well as </w:t>
            </w:r>
            <w:r w:rsidRPr="008340BB">
              <w:rPr>
                <w:rStyle w:val="hps"/>
              </w:rPr>
              <w:t>key domestic</w:t>
            </w:r>
            <w:r w:rsidRPr="008340BB">
              <w:t xml:space="preserve"> </w:t>
            </w:r>
            <w:r w:rsidRPr="008340BB">
              <w:rPr>
                <w:rStyle w:val="hps"/>
              </w:rPr>
              <w:t>transport links to the</w:t>
            </w:r>
            <w:r w:rsidRPr="008340BB">
              <w:t xml:space="preserve"> </w:t>
            </w:r>
            <w:r w:rsidRPr="008340BB">
              <w:rPr>
                <w:rStyle w:val="hps"/>
              </w:rPr>
              <w:t>TEN-T</w:t>
            </w:r>
            <w:r w:rsidRPr="008340BB">
              <w:t xml:space="preserve"> </w:t>
            </w:r>
            <w:r w:rsidRPr="008340BB">
              <w:rPr>
                <w:rStyle w:val="hps"/>
              </w:rPr>
              <w:t>network.</w:t>
            </w:r>
            <w:r w:rsidRPr="008340BB">
              <w:t xml:space="preserve"> </w:t>
            </w:r>
            <w:r w:rsidRPr="008340BB">
              <w:rPr>
                <w:rStyle w:val="hps"/>
              </w:rPr>
              <w:t>It is expected that</w:t>
            </w:r>
            <w:r w:rsidRPr="008340BB">
              <w:t xml:space="preserve"> </w:t>
            </w:r>
            <w:r w:rsidRPr="008340BB">
              <w:rPr>
                <w:rStyle w:val="hps"/>
              </w:rPr>
              <w:t>through the implementation</w:t>
            </w:r>
            <w:r w:rsidRPr="008340BB">
              <w:t xml:space="preserve"> </w:t>
            </w:r>
            <w:r w:rsidRPr="008340BB">
              <w:rPr>
                <w:rStyle w:val="hps"/>
              </w:rPr>
              <w:t>of measures envisaged</w:t>
            </w:r>
            <w:r w:rsidRPr="008340BB">
              <w:t xml:space="preserve"> </w:t>
            </w:r>
            <w:r w:rsidRPr="008340BB">
              <w:rPr>
                <w:rStyle w:val="hps"/>
              </w:rPr>
              <w:t>for the sector</w:t>
            </w:r>
            <w:r w:rsidRPr="008340BB">
              <w:t xml:space="preserve"> </w:t>
            </w:r>
            <w:r w:rsidRPr="008340BB">
              <w:rPr>
                <w:rStyle w:val="hps"/>
              </w:rPr>
              <w:t>the identified</w:t>
            </w:r>
            <w:r w:rsidRPr="008340BB">
              <w:t xml:space="preserve"> </w:t>
            </w:r>
            <w:r w:rsidRPr="008340BB">
              <w:rPr>
                <w:rStyle w:val="hps"/>
              </w:rPr>
              <w:t>"bottlenecks</w:t>
            </w:r>
            <w:r w:rsidRPr="008340BB">
              <w:t xml:space="preserve">" will be effectively </w:t>
            </w:r>
            <w:r w:rsidRPr="008340BB">
              <w:rPr>
                <w:rStyle w:val="hps"/>
              </w:rPr>
              <w:t xml:space="preserve">removed. </w:t>
            </w:r>
            <w:r w:rsidR="00145A3C" w:rsidRPr="00145A3C">
              <w:t xml:space="preserve">Of paramount importance </w:t>
            </w:r>
            <w:r w:rsidR="00145A3C" w:rsidRPr="00145A3C">
              <w:rPr>
                <w:lang w:val="en-US"/>
              </w:rPr>
              <w:t>are</w:t>
            </w:r>
            <w:r w:rsidR="00145A3C" w:rsidRPr="00145A3C">
              <w:t xml:space="preserve"> the projects for road sections from Blagoevgrad to Sandanski along the Struma Motorway in the direction of the </w:t>
            </w:r>
            <w:r w:rsidR="00FA1AB5">
              <w:t>OEM</w:t>
            </w:r>
            <w:r w:rsidR="00145A3C" w:rsidRPr="00145A3C">
              <w:t xml:space="preserve"> corridor of the TEN-T network. </w:t>
            </w:r>
            <w:r w:rsidR="00145A3C" w:rsidRPr="00145A3C">
              <w:rPr>
                <w:lang w:val="en-US"/>
              </w:rPr>
              <w:t>Implementation of project for construction of</w:t>
            </w:r>
            <w:r w:rsidR="00145A3C" w:rsidRPr="00145A3C">
              <w:rPr>
                <w:b/>
                <w:lang w:val="bg-BG"/>
              </w:rPr>
              <w:t xml:space="preserve"> </w:t>
            </w:r>
            <w:r w:rsidR="00145A3C" w:rsidRPr="00145A3C">
              <w:rPr>
                <w:lang w:val="en-US"/>
              </w:rPr>
              <w:t xml:space="preserve">Europa MW /along road </w:t>
            </w:r>
            <w:r w:rsidR="00145A3C" w:rsidRPr="00145A3C">
              <w:rPr>
                <w:lang w:val="bg-BG"/>
              </w:rPr>
              <w:t>I-8</w:t>
            </w:r>
            <w:r w:rsidR="00145A3C" w:rsidRPr="00145A3C">
              <w:rPr>
                <w:lang w:val="en-US"/>
              </w:rPr>
              <w:t xml:space="preserve">/ from km 15+500 to km </w:t>
            </w:r>
            <w:r w:rsidR="00D374B1" w:rsidRPr="00D374B1">
              <w:rPr>
                <w:lang w:val="bg-BG"/>
              </w:rPr>
              <w:t>48+903</w:t>
            </w:r>
            <w:r w:rsidR="00D374B1" w:rsidRPr="00D374B1">
              <w:rPr>
                <w:lang w:val="en-US"/>
              </w:rPr>
              <w:t xml:space="preserve"> </w:t>
            </w:r>
            <w:r w:rsidR="00C464B6">
              <w:rPr>
                <w:lang w:val="en-US"/>
              </w:rPr>
              <w:t>is</w:t>
            </w:r>
            <w:r w:rsidR="00145A3C" w:rsidRPr="00145A3C">
              <w:rPr>
                <w:lang w:val="en-US"/>
              </w:rPr>
              <w:t xml:space="preserve"> also envisaged under OPTTI 2014-2020.</w:t>
            </w:r>
            <w:r w:rsidR="00145A3C" w:rsidRPr="00145A3C">
              <w:rPr>
                <w:b/>
                <w:lang w:val="en-US"/>
              </w:rPr>
              <w:t xml:space="preserve"> </w:t>
            </w:r>
            <w:r w:rsidR="00145A3C" w:rsidRPr="00145A3C">
              <w:rPr>
                <w:lang w:val="en-US"/>
              </w:rPr>
              <w:t>Road</w:t>
            </w:r>
            <w:r w:rsidR="00145A3C" w:rsidRPr="00145A3C">
              <w:rPr>
                <w:lang w:val="bg-BG"/>
              </w:rPr>
              <w:t xml:space="preserve"> I-8 “</w:t>
            </w:r>
            <w:r w:rsidR="00145A3C" w:rsidRPr="00145A3C">
              <w:rPr>
                <w:lang w:val="en-US"/>
              </w:rPr>
              <w:t>Kalotina</w:t>
            </w:r>
            <w:r w:rsidR="00145A3C" w:rsidRPr="00145A3C">
              <w:rPr>
                <w:lang w:val="bg-BG"/>
              </w:rPr>
              <w:t xml:space="preserve"> – </w:t>
            </w:r>
            <w:r w:rsidR="00145A3C" w:rsidRPr="00145A3C">
              <w:rPr>
                <w:lang w:val="en-US"/>
              </w:rPr>
              <w:t>Sofia Ring Road</w:t>
            </w:r>
            <w:r w:rsidR="00145A3C" w:rsidRPr="00145A3C">
              <w:rPr>
                <w:lang w:val="bg-BG"/>
              </w:rPr>
              <w:t xml:space="preserve">” </w:t>
            </w:r>
            <w:r w:rsidR="00145A3C" w:rsidRPr="00145A3C">
              <w:rPr>
                <w:lang w:val="en-US"/>
              </w:rPr>
              <w:t>is located in west direction</w:t>
            </w:r>
            <w:r w:rsidR="00145A3C" w:rsidRPr="00145A3C">
              <w:rPr>
                <w:lang w:val="bg-BG"/>
              </w:rPr>
              <w:t xml:space="preserve"> </w:t>
            </w:r>
            <w:r w:rsidR="00145A3C" w:rsidRPr="00145A3C">
              <w:rPr>
                <w:lang w:val="en-US"/>
              </w:rPr>
              <w:t>from</w:t>
            </w:r>
            <w:r w:rsidR="00145A3C" w:rsidRPr="00145A3C">
              <w:rPr>
                <w:lang w:val="bg-BG"/>
              </w:rPr>
              <w:t xml:space="preserve"> </w:t>
            </w:r>
            <w:r w:rsidR="00145A3C" w:rsidRPr="00145A3C">
              <w:rPr>
                <w:lang w:val="en-US"/>
              </w:rPr>
              <w:t>Sofia</w:t>
            </w:r>
            <w:r w:rsidR="00145A3C" w:rsidRPr="00145A3C">
              <w:rPr>
                <w:lang w:val="bg-BG"/>
              </w:rPr>
              <w:t xml:space="preserve">. </w:t>
            </w:r>
            <w:r w:rsidR="00145A3C" w:rsidRPr="00145A3C">
              <w:rPr>
                <w:lang w:val="en-US"/>
              </w:rPr>
              <w:t>The route is part from the</w:t>
            </w:r>
            <w:r w:rsidR="00145A3C" w:rsidRPr="00145A3C">
              <w:rPr>
                <w:lang w:val="bg-BG"/>
              </w:rPr>
              <w:t xml:space="preserve"> </w:t>
            </w:r>
            <w:r w:rsidR="00145A3C" w:rsidRPr="00145A3C">
              <w:rPr>
                <w:lang w:val="en-US"/>
              </w:rPr>
              <w:t xml:space="preserve">“core” </w:t>
            </w:r>
            <w:r w:rsidR="00054F14">
              <w:rPr>
                <w:lang w:val="en-US"/>
              </w:rPr>
              <w:t>TEN-T</w:t>
            </w:r>
            <w:r w:rsidR="00145A3C" w:rsidRPr="00145A3C">
              <w:rPr>
                <w:lang w:val="bg-BG"/>
              </w:rPr>
              <w:t xml:space="preserve"> </w:t>
            </w:r>
            <w:r w:rsidR="00145A3C" w:rsidRPr="00145A3C">
              <w:rPr>
                <w:lang w:val="en-US"/>
              </w:rPr>
              <w:t>and represents an important</w:t>
            </w:r>
            <w:r w:rsidR="00145A3C" w:rsidRPr="00145A3C">
              <w:rPr>
                <w:lang w:val="bg-BG"/>
              </w:rPr>
              <w:t xml:space="preserve"> </w:t>
            </w:r>
            <w:r w:rsidR="00145A3C" w:rsidRPr="00145A3C">
              <w:rPr>
                <w:lang w:val="en-US"/>
              </w:rPr>
              <w:t>link</w:t>
            </w:r>
            <w:r w:rsidR="00145A3C" w:rsidRPr="00145A3C">
              <w:rPr>
                <w:lang w:val="bg-BG"/>
              </w:rPr>
              <w:t xml:space="preserve"> </w:t>
            </w:r>
            <w:r w:rsidR="00145A3C" w:rsidRPr="00145A3C">
              <w:rPr>
                <w:lang w:val="en-US"/>
              </w:rPr>
              <w:t>to</w:t>
            </w:r>
            <w:r w:rsidR="00145A3C" w:rsidRPr="00145A3C">
              <w:rPr>
                <w:lang w:val="bg-BG"/>
              </w:rPr>
              <w:t xml:space="preserve"> </w:t>
            </w:r>
            <w:r w:rsidR="00145A3C" w:rsidRPr="00145A3C">
              <w:rPr>
                <w:lang w:val="en-US"/>
              </w:rPr>
              <w:t>corridor</w:t>
            </w:r>
            <w:r w:rsidR="00054F14">
              <w:rPr>
                <w:lang w:val="en-US"/>
              </w:rPr>
              <w:t xml:space="preserve"> OEM</w:t>
            </w:r>
            <w:r w:rsidR="00145A3C" w:rsidRPr="00145A3C">
              <w:rPr>
                <w:lang w:val="bg-BG"/>
              </w:rPr>
              <w:t xml:space="preserve">. </w:t>
            </w:r>
            <w:r w:rsidR="00145A3C" w:rsidRPr="00145A3C">
              <w:rPr>
                <w:lang w:val="en-US"/>
              </w:rPr>
              <w:t xml:space="preserve">Another important project envisaged for funding </w:t>
            </w:r>
            <w:r w:rsidR="00B24468">
              <w:rPr>
                <w:lang w:val="en-US"/>
              </w:rPr>
              <w:t>with national funds</w:t>
            </w:r>
            <w:r w:rsidR="00145A3C" w:rsidRPr="00145A3C">
              <w:rPr>
                <w:lang w:val="en-US"/>
              </w:rPr>
              <w:t>, is the project for construction of Road E-79, section Ruzhintsi – Montana.</w:t>
            </w:r>
            <w:r w:rsidR="00145A3C" w:rsidRPr="00145A3C" w:rsidDel="00AA74AB">
              <w:rPr>
                <w:lang w:val="en-US"/>
              </w:rPr>
              <w:t xml:space="preserve"> </w:t>
            </w:r>
            <w:r w:rsidR="00145A3C" w:rsidRPr="00145A3C">
              <w:rPr>
                <w:lang w:val="bg-BG"/>
              </w:rPr>
              <w:t xml:space="preserve"> </w:t>
            </w:r>
            <w:r w:rsidR="00145A3C" w:rsidRPr="00145A3C">
              <w:rPr>
                <w:lang w:val="en-US"/>
              </w:rPr>
              <w:t>The road is located in north-west Bulgaria</w:t>
            </w:r>
            <w:r w:rsidR="00145A3C" w:rsidRPr="00145A3C">
              <w:t xml:space="preserve"> and represents a part of the </w:t>
            </w:r>
            <w:r w:rsidR="001E2C03">
              <w:t>TEN-T</w:t>
            </w:r>
            <w:r w:rsidR="00145A3C" w:rsidRPr="00145A3C">
              <w:t xml:space="preserve"> corridor </w:t>
            </w:r>
            <w:r w:rsidR="001E2C03">
              <w:t>OEM</w:t>
            </w:r>
            <w:r w:rsidR="00145A3C" w:rsidRPr="00145A3C">
              <w:rPr>
                <w:lang w:val="en-US"/>
              </w:rPr>
              <w:t xml:space="preserve">. </w:t>
            </w:r>
            <w:r w:rsidR="00145A3C" w:rsidRPr="00145A3C">
              <w:t>The projects for completion the sections of the Hemus Motorway are under construction with national funding. The tunnel under Shipka Peak, which represents the second phase of the project for construction of bypass road of the town of Gabrovo, implemented under OPT 2007 – 2013 is planned for funding in  programming period</w:t>
            </w:r>
            <w:r w:rsidR="00B238A2">
              <w:t xml:space="preserve"> 2021-2027</w:t>
            </w:r>
            <w:r w:rsidR="00145A3C" w:rsidRPr="00145A3C">
              <w:t xml:space="preserve">. </w:t>
            </w:r>
            <w:r w:rsidRPr="008340BB">
              <w:rPr>
                <w:rStyle w:val="hps"/>
              </w:rPr>
              <w:t>These</w:t>
            </w:r>
            <w:r w:rsidRPr="008340BB">
              <w:t xml:space="preserve"> </w:t>
            </w:r>
            <w:r w:rsidRPr="008340BB">
              <w:rPr>
                <w:rStyle w:val="hps"/>
              </w:rPr>
              <w:t>projects</w:t>
            </w:r>
            <w:r w:rsidRPr="008340BB">
              <w:t xml:space="preserve"> </w:t>
            </w:r>
            <w:r w:rsidRPr="008340BB">
              <w:rPr>
                <w:rStyle w:val="hps"/>
              </w:rPr>
              <w:t xml:space="preserve">for construction of new </w:t>
            </w:r>
            <w:r w:rsidRPr="008340BB">
              <w:rPr>
                <w:rStyle w:val="hps"/>
              </w:rPr>
              <w:lastRenderedPageBreak/>
              <w:t>infrastructure</w:t>
            </w:r>
            <w:r w:rsidRPr="008340BB">
              <w:t xml:space="preserve"> </w:t>
            </w:r>
            <w:r w:rsidRPr="008340BB">
              <w:rPr>
                <w:rStyle w:val="hps"/>
              </w:rPr>
              <w:t>will be implemented</w:t>
            </w:r>
            <w:r w:rsidRPr="008340BB">
              <w:t xml:space="preserve"> </w:t>
            </w:r>
            <w:r w:rsidRPr="008340BB">
              <w:rPr>
                <w:rStyle w:val="hps"/>
              </w:rPr>
              <w:t>in parallel with</w:t>
            </w:r>
            <w:r w:rsidRPr="008340BB">
              <w:t xml:space="preserve"> </w:t>
            </w:r>
            <w:r w:rsidRPr="008340BB">
              <w:rPr>
                <w:rStyle w:val="hps"/>
              </w:rPr>
              <w:t>the introduction of modern</w:t>
            </w:r>
            <w:r w:rsidRPr="008340BB">
              <w:t xml:space="preserve"> </w:t>
            </w:r>
            <w:r w:rsidRPr="008340BB">
              <w:rPr>
                <w:rStyle w:val="hps"/>
              </w:rPr>
              <w:t>planning processes and</w:t>
            </w:r>
            <w:r w:rsidRPr="008340BB">
              <w:t xml:space="preserve"> </w:t>
            </w:r>
            <w:r w:rsidRPr="008340BB">
              <w:rPr>
                <w:rStyle w:val="hps"/>
              </w:rPr>
              <w:t>ensuring</w:t>
            </w:r>
            <w:r w:rsidRPr="008340BB">
              <w:t xml:space="preserve"> </w:t>
            </w:r>
            <w:r w:rsidRPr="008340BB">
              <w:rPr>
                <w:rStyle w:val="hps"/>
              </w:rPr>
              <w:t>effective</w:t>
            </w:r>
            <w:r w:rsidRPr="008340BB">
              <w:t xml:space="preserve"> </w:t>
            </w:r>
            <w:r w:rsidRPr="008340BB">
              <w:rPr>
                <w:rStyle w:val="hps"/>
              </w:rPr>
              <w:t>maintenance of the</w:t>
            </w:r>
            <w:r w:rsidRPr="008340BB">
              <w:t xml:space="preserve"> </w:t>
            </w:r>
            <w:r w:rsidRPr="008340BB">
              <w:rPr>
                <w:rStyle w:val="hps"/>
              </w:rPr>
              <w:t>road infrastructure</w:t>
            </w:r>
            <w:r w:rsidRPr="008340BB">
              <w:t xml:space="preserve">, generating </w:t>
            </w:r>
            <w:r w:rsidRPr="008340BB">
              <w:rPr>
                <w:rStyle w:val="hps"/>
              </w:rPr>
              <w:t>financial</w:t>
            </w:r>
            <w:r w:rsidRPr="008340BB">
              <w:t xml:space="preserve"> </w:t>
            </w:r>
            <w:r w:rsidRPr="008340BB">
              <w:rPr>
                <w:rStyle w:val="hps"/>
              </w:rPr>
              <w:t>resources through</w:t>
            </w:r>
            <w:r w:rsidRPr="008340BB">
              <w:t xml:space="preserve"> </w:t>
            </w:r>
            <w:r w:rsidRPr="008340BB">
              <w:rPr>
                <w:rStyle w:val="hps"/>
              </w:rPr>
              <w:t>modern</w:t>
            </w:r>
            <w:r w:rsidRPr="008340BB">
              <w:t xml:space="preserve"> </w:t>
            </w:r>
            <w:r w:rsidRPr="008340BB">
              <w:rPr>
                <w:rStyle w:val="hps"/>
              </w:rPr>
              <w:t>tolling system</w:t>
            </w:r>
            <w:r w:rsidRPr="008340BB">
              <w:t xml:space="preserve">, achieving </w:t>
            </w:r>
            <w:r w:rsidRPr="008340BB">
              <w:rPr>
                <w:rStyle w:val="hps"/>
              </w:rPr>
              <w:t>compliance</w:t>
            </w:r>
            <w:r w:rsidRPr="008340BB">
              <w:t xml:space="preserve"> </w:t>
            </w:r>
            <w:r w:rsidRPr="008340BB">
              <w:rPr>
                <w:rStyle w:val="hps"/>
              </w:rPr>
              <w:t>the technical</w:t>
            </w:r>
            <w:r w:rsidRPr="008340BB">
              <w:t xml:space="preserve"> </w:t>
            </w:r>
            <w:r w:rsidRPr="008340BB">
              <w:rPr>
                <w:rStyle w:val="hps"/>
              </w:rPr>
              <w:t>and operational</w:t>
            </w:r>
            <w:r w:rsidRPr="008340BB">
              <w:t xml:space="preserve"> </w:t>
            </w:r>
            <w:r w:rsidRPr="008340BB">
              <w:rPr>
                <w:rStyle w:val="hps"/>
              </w:rPr>
              <w:t>parameters of the road</w:t>
            </w:r>
            <w:r w:rsidRPr="008340BB">
              <w:t xml:space="preserve"> </w:t>
            </w:r>
            <w:r w:rsidRPr="008340BB">
              <w:rPr>
                <w:rStyle w:val="hps"/>
              </w:rPr>
              <w:t>infrastructure with European</w:t>
            </w:r>
            <w:r w:rsidRPr="008340BB">
              <w:t xml:space="preserve"> </w:t>
            </w:r>
            <w:r w:rsidRPr="008340BB">
              <w:rPr>
                <w:rStyle w:val="hps"/>
              </w:rPr>
              <w:t>technical standards</w:t>
            </w:r>
            <w:r w:rsidRPr="008340BB">
              <w:t xml:space="preserve"> </w:t>
            </w:r>
            <w:r w:rsidRPr="008340BB">
              <w:rPr>
                <w:rStyle w:val="hps"/>
              </w:rPr>
              <w:t>to provide</w:t>
            </w:r>
            <w:r w:rsidRPr="008340BB">
              <w:t xml:space="preserve"> </w:t>
            </w:r>
            <w:r w:rsidRPr="008340BB">
              <w:rPr>
                <w:rStyle w:val="hps"/>
              </w:rPr>
              <w:t>safety and comfort</w:t>
            </w:r>
            <w:r w:rsidRPr="008340BB">
              <w:t xml:space="preserve"> </w:t>
            </w:r>
            <w:r w:rsidRPr="008340BB">
              <w:rPr>
                <w:rStyle w:val="hps"/>
              </w:rPr>
              <w:t>of the road transport in the country.</w:t>
            </w:r>
            <w:r w:rsidRPr="008340BB">
              <w:t xml:space="preserve"> </w:t>
            </w:r>
            <w:r w:rsidRPr="008340BB">
              <w:rPr>
                <w:rStyle w:val="hps"/>
              </w:rPr>
              <w:t>To improve the efficiency</w:t>
            </w:r>
            <w:r w:rsidRPr="008340BB">
              <w:t xml:space="preserve"> </w:t>
            </w:r>
            <w:r w:rsidRPr="008340BB">
              <w:rPr>
                <w:rStyle w:val="hps"/>
              </w:rPr>
              <w:t>and safety of</w:t>
            </w:r>
            <w:r w:rsidRPr="008340BB">
              <w:t xml:space="preserve"> </w:t>
            </w:r>
            <w:r w:rsidRPr="008340BB">
              <w:rPr>
                <w:rStyle w:val="hps"/>
              </w:rPr>
              <w:t>road transport</w:t>
            </w:r>
            <w:r w:rsidRPr="008340BB">
              <w:t xml:space="preserve"> is </w:t>
            </w:r>
            <w:r w:rsidRPr="008340BB">
              <w:rPr>
                <w:rStyle w:val="hps"/>
              </w:rPr>
              <w:t>required</w:t>
            </w:r>
            <w:r w:rsidRPr="008340BB">
              <w:t xml:space="preserve"> </w:t>
            </w:r>
            <w:r w:rsidRPr="008340BB">
              <w:rPr>
                <w:rStyle w:val="hps"/>
              </w:rPr>
              <w:t>the introduction of</w:t>
            </w:r>
            <w:r w:rsidRPr="008340BB">
              <w:t xml:space="preserve"> advanced </w:t>
            </w:r>
            <w:r w:rsidRPr="008340BB">
              <w:rPr>
                <w:rStyle w:val="hps"/>
              </w:rPr>
              <w:t>applications and services</w:t>
            </w:r>
            <w:r w:rsidRPr="008340BB">
              <w:t xml:space="preserve"> </w:t>
            </w:r>
            <w:r w:rsidRPr="008340BB">
              <w:rPr>
                <w:rStyle w:val="hps"/>
              </w:rPr>
              <w:t>for management, monitoring</w:t>
            </w:r>
            <w:r w:rsidRPr="008340BB">
              <w:t xml:space="preserve"> </w:t>
            </w:r>
            <w:r w:rsidRPr="008340BB">
              <w:rPr>
                <w:rStyle w:val="hps"/>
              </w:rPr>
              <w:t>and control of</w:t>
            </w:r>
            <w:r w:rsidRPr="008340BB">
              <w:t xml:space="preserve"> the </w:t>
            </w:r>
            <w:r w:rsidRPr="008340BB">
              <w:rPr>
                <w:rStyle w:val="hps"/>
              </w:rPr>
              <w:t>traffic</w:t>
            </w:r>
            <w:r w:rsidRPr="008340BB">
              <w:t xml:space="preserve"> </w:t>
            </w:r>
            <w:r w:rsidRPr="008340BB">
              <w:rPr>
                <w:rStyle w:val="hps"/>
              </w:rPr>
              <w:t>in populated areas</w:t>
            </w:r>
            <w:r w:rsidRPr="008340BB">
              <w:t xml:space="preserve"> and on </w:t>
            </w:r>
            <w:r w:rsidRPr="008340BB">
              <w:rPr>
                <w:rStyle w:val="hps"/>
              </w:rPr>
              <w:t>motorways,</w:t>
            </w:r>
            <w:r w:rsidRPr="008340BB">
              <w:t xml:space="preserve"> </w:t>
            </w:r>
            <w:r w:rsidRPr="008340BB">
              <w:rPr>
                <w:rStyle w:val="hps"/>
              </w:rPr>
              <w:t>vehicle safety</w:t>
            </w:r>
            <w:r w:rsidRPr="008340BB">
              <w:t xml:space="preserve"> </w:t>
            </w:r>
            <w:r w:rsidRPr="008340BB">
              <w:rPr>
                <w:rStyle w:val="hps"/>
              </w:rPr>
              <w:t>systems</w:t>
            </w:r>
            <w:r w:rsidRPr="008340BB">
              <w:t xml:space="preserve"> </w:t>
            </w:r>
            <w:r w:rsidRPr="008340BB">
              <w:rPr>
                <w:rStyle w:val="hps"/>
              </w:rPr>
              <w:t>and electronic</w:t>
            </w:r>
            <w:r w:rsidRPr="008340BB">
              <w:t xml:space="preserve"> </w:t>
            </w:r>
            <w:r w:rsidRPr="008340BB">
              <w:rPr>
                <w:rStyle w:val="hps"/>
              </w:rPr>
              <w:t>toll collection</w:t>
            </w:r>
            <w:r w:rsidRPr="008340BB">
              <w:t xml:space="preserve"> systems</w:t>
            </w:r>
            <w:r w:rsidR="0064144A">
              <w:t xml:space="preserve">, </w:t>
            </w:r>
            <w:r w:rsidR="0064144A" w:rsidRPr="0064144A">
              <w:t>as well as the construction of bypass roads providing a connection to the TEN-T. Funding is planned for the bypass road of the city of Burgas, connecting  "Trakia"</w:t>
            </w:r>
            <w:r w:rsidR="0064144A">
              <w:t xml:space="preserve"> Motorway, which is part of the OEM</w:t>
            </w:r>
            <w:r w:rsidR="0064144A" w:rsidRPr="0064144A">
              <w:t xml:space="preserve"> corridor and road I-9 Burgas</w:t>
            </w:r>
            <w:r w:rsidR="0064144A">
              <w:t xml:space="preserve"> - Varna - part of the "comprehensive</w:t>
            </w:r>
            <w:r w:rsidR="0064144A" w:rsidRPr="0064144A">
              <w:t>" TEN-T.</w:t>
            </w:r>
          </w:p>
          <w:p w14:paraId="049CA883" w14:textId="77777777" w:rsidR="00F1341F" w:rsidRPr="008340BB" w:rsidRDefault="00F1341F" w:rsidP="00676CD2">
            <w:pPr>
              <w:rPr>
                <w:i/>
              </w:rPr>
            </w:pPr>
            <w:r w:rsidRPr="008340BB">
              <w:rPr>
                <w:i/>
              </w:rPr>
              <w:t>Port infrastructure and inland waterways</w:t>
            </w:r>
          </w:p>
          <w:p w14:paraId="08F95E58" w14:textId="77777777" w:rsidR="00F1341F" w:rsidRPr="008340BB" w:rsidRDefault="00F1341F" w:rsidP="00676CD2">
            <w:r w:rsidRPr="008340BB">
              <w:rPr>
                <w:lang w:eastAsia="bg-BG"/>
              </w:rPr>
              <w:t>An important issue for Bulgaria is the full implementation in practice of requirements of Directive 2000/59/EC of the European Parliament and of the Council of 27 November 2000 on port reception facilities for ship-generated waste and cargo residues. The amendments and supplements to the “</w:t>
            </w:r>
            <w:r w:rsidRPr="008340BB">
              <w:rPr>
                <w:iCs/>
              </w:rPr>
              <w:t>International Convention for the Prevention of Pollution from Ships</w:t>
            </w:r>
            <w:r w:rsidRPr="008340BB">
              <w:t xml:space="preserve"> (MARPOL)” pose new obligations of the State Parties to the Convention for establishment of adequate port </w:t>
            </w:r>
            <w:r w:rsidRPr="008340BB">
              <w:rPr>
                <w:lang w:eastAsia="bg-BG"/>
              </w:rPr>
              <w:t xml:space="preserve">reception facilities </w:t>
            </w:r>
            <w:r w:rsidRPr="008340BB">
              <w:t>(new categories of wastes).</w:t>
            </w:r>
          </w:p>
          <w:p w14:paraId="61A504A6" w14:textId="575668D9" w:rsidR="00F1341F" w:rsidRPr="008340BB" w:rsidRDefault="00F1341F" w:rsidP="00676CD2">
            <w:pPr>
              <w:rPr>
                <w:b/>
              </w:rPr>
            </w:pPr>
            <w:r w:rsidRPr="008340BB">
              <w:t xml:space="preserve">Republic of Bulgaria will seek to increase freight and passenger traffic and to promote water transport in accordance with the transport policy of the </w:t>
            </w:r>
            <w:r w:rsidR="0060703F">
              <w:t>EU</w:t>
            </w:r>
            <w:r w:rsidRPr="008340BB">
              <w:t>. The policy is aimed at improving navigation conditions along the Danube River and the maritime spaces of the Republic of Bulgaria, for improvement of maritime and inland waterways safety and environmental protection in accordance with European Community policy for strengthening the maritime transport and inland waterways transport network</w:t>
            </w:r>
            <w:r w:rsidR="00BA38E0">
              <w:t xml:space="preserve">, </w:t>
            </w:r>
            <w:r w:rsidR="00BA38E0" w:rsidRPr="00BA38E0">
              <w:t>as well as to improve transport links with Ukraine and develop "solidarity</w:t>
            </w:r>
            <w:r w:rsidR="00BA38E0">
              <w:t xml:space="preserve"> lines</w:t>
            </w:r>
            <w:r w:rsidR="00BA38E0" w:rsidRPr="00BA38E0">
              <w:t>" after the Russian aggression through the modernization of port infrastructure</w:t>
            </w:r>
            <w:r w:rsidRPr="008340BB">
              <w:t xml:space="preserve">. The </w:t>
            </w:r>
            <w:r w:rsidRPr="008340BB">
              <w:rPr>
                <w:rStyle w:val="hps"/>
              </w:rPr>
              <w:t>implementation of</w:t>
            </w:r>
            <w:r w:rsidRPr="008340BB">
              <w:t xml:space="preserve"> </w:t>
            </w:r>
            <w:r w:rsidRPr="008340BB">
              <w:rPr>
                <w:rStyle w:val="hps"/>
              </w:rPr>
              <w:t>measures to achieve</w:t>
            </w:r>
            <w:r w:rsidRPr="008340BB">
              <w:t xml:space="preserve"> </w:t>
            </w:r>
            <w:r w:rsidRPr="008340BB">
              <w:rPr>
                <w:rStyle w:val="hps"/>
              </w:rPr>
              <w:t>the expectations</w:t>
            </w:r>
            <w:r w:rsidRPr="008340BB">
              <w:t xml:space="preserve"> </w:t>
            </w:r>
            <w:r w:rsidRPr="008340BB">
              <w:rPr>
                <w:rStyle w:val="hps"/>
              </w:rPr>
              <w:t>can be</w:t>
            </w:r>
            <w:r w:rsidRPr="008340BB">
              <w:t xml:space="preserve"> </w:t>
            </w:r>
            <w:r w:rsidRPr="008340BB">
              <w:rPr>
                <w:rStyle w:val="hps"/>
              </w:rPr>
              <w:t>financed by</w:t>
            </w:r>
            <w:r w:rsidRPr="008340BB">
              <w:t xml:space="preserve"> </w:t>
            </w:r>
            <w:r w:rsidRPr="008340BB">
              <w:rPr>
                <w:rStyle w:val="hps"/>
              </w:rPr>
              <w:t>the Operational Programme,</w:t>
            </w:r>
            <w:r w:rsidRPr="008340BB">
              <w:t xml:space="preserve"> </w:t>
            </w:r>
            <w:r w:rsidRPr="008340BB">
              <w:rPr>
                <w:rStyle w:val="hps"/>
              </w:rPr>
              <w:t>since the main</w:t>
            </w:r>
            <w:r w:rsidRPr="008340BB">
              <w:t xml:space="preserve"> </w:t>
            </w:r>
            <w:r w:rsidRPr="008340BB">
              <w:rPr>
                <w:rStyle w:val="hps"/>
              </w:rPr>
              <w:t>seaports are</w:t>
            </w:r>
            <w:r w:rsidRPr="008340BB">
              <w:t xml:space="preserve"> </w:t>
            </w:r>
            <w:r w:rsidRPr="008340BB">
              <w:rPr>
                <w:rStyle w:val="hps"/>
              </w:rPr>
              <w:t>included</w:t>
            </w:r>
            <w:r w:rsidRPr="008340BB">
              <w:t xml:space="preserve"> </w:t>
            </w:r>
            <w:r w:rsidRPr="008340BB">
              <w:rPr>
                <w:rStyle w:val="hps"/>
              </w:rPr>
              <w:t>in the development concept of</w:t>
            </w:r>
            <w:r w:rsidRPr="008340BB">
              <w:t xml:space="preserve"> </w:t>
            </w:r>
            <w:r w:rsidRPr="008340BB">
              <w:rPr>
                <w:rStyle w:val="hps"/>
              </w:rPr>
              <w:t>the</w:t>
            </w:r>
            <w:r w:rsidRPr="008340BB">
              <w:t xml:space="preserve"> </w:t>
            </w:r>
            <w:r w:rsidRPr="008340BB">
              <w:rPr>
                <w:rStyle w:val="hps"/>
              </w:rPr>
              <w:t>TEN</w:t>
            </w:r>
            <w:r w:rsidRPr="008340BB">
              <w:t xml:space="preserve">-T </w:t>
            </w:r>
            <w:r w:rsidRPr="008340BB">
              <w:rPr>
                <w:rStyle w:val="hps"/>
              </w:rPr>
              <w:t>network</w:t>
            </w:r>
            <w:r w:rsidRPr="008340BB">
              <w:t xml:space="preserve">: </w:t>
            </w:r>
            <w:r w:rsidRPr="008340BB">
              <w:rPr>
                <w:rStyle w:val="hps"/>
              </w:rPr>
              <w:t>Port of Burgas</w:t>
            </w:r>
            <w:r w:rsidRPr="008340BB">
              <w:t xml:space="preserve"> </w:t>
            </w:r>
            <w:r w:rsidRPr="008340BB">
              <w:rPr>
                <w:rStyle w:val="hps"/>
              </w:rPr>
              <w:t>is</w:t>
            </w:r>
            <w:r w:rsidRPr="008340BB">
              <w:t xml:space="preserve"> </w:t>
            </w:r>
            <w:r w:rsidRPr="008340BB">
              <w:rPr>
                <w:rStyle w:val="hps"/>
              </w:rPr>
              <w:t>part of the "</w:t>
            </w:r>
            <w:r w:rsidRPr="008340BB">
              <w:t xml:space="preserve">core network" and the </w:t>
            </w:r>
            <w:r w:rsidRPr="008340BB">
              <w:rPr>
                <w:rStyle w:val="hps"/>
              </w:rPr>
              <w:t>Port</w:t>
            </w:r>
            <w:r w:rsidRPr="008340BB">
              <w:t xml:space="preserve"> </w:t>
            </w:r>
            <w:r w:rsidRPr="008340BB">
              <w:rPr>
                <w:rStyle w:val="hps"/>
              </w:rPr>
              <w:t>of</w:t>
            </w:r>
            <w:r w:rsidRPr="008340BB">
              <w:t xml:space="preserve"> </w:t>
            </w:r>
            <w:r w:rsidRPr="008340BB">
              <w:rPr>
                <w:rStyle w:val="hps"/>
              </w:rPr>
              <w:t>Varna</w:t>
            </w:r>
            <w:r w:rsidRPr="008340BB">
              <w:t xml:space="preserve"> </w:t>
            </w:r>
            <w:r w:rsidRPr="008340BB">
              <w:rPr>
                <w:rStyle w:val="hps"/>
              </w:rPr>
              <w:t>is</w:t>
            </w:r>
            <w:r w:rsidRPr="008340BB">
              <w:t xml:space="preserve"> </w:t>
            </w:r>
            <w:r w:rsidRPr="008340BB">
              <w:rPr>
                <w:rStyle w:val="hps"/>
              </w:rPr>
              <w:t>part of the "</w:t>
            </w:r>
            <w:r w:rsidRPr="008340BB">
              <w:rPr>
                <w:rStyle w:val="alt-edited"/>
              </w:rPr>
              <w:t>comprehensive</w:t>
            </w:r>
            <w:r w:rsidRPr="008340BB">
              <w:t xml:space="preserve">" </w:t>
            </w:r>
            <w:r w:rsidRPr="008340BB">
              <w:rPr>
                <w:rStyle w:val="hps"/>
              </w:rPr>
              <w:t>TEN</w:t>
            </w:r>
            <w:r w:rsidRPr="008340BB">
              <w:t xml:space="preserve">-T </w:t>
            </w:r>
            <w:r w:rsidRPr="008340BB">
              <w:rPr>
                <w:rStyle w:val="hps"/>
              </w:rPr>
              <w:t>network.</w:t>
            </w:r>
          </w:p>
          <w:p w14:paraId="12B0345E" w14:textId="77777777" w:rsidR="00F1341F" w:rsidRPr="008340BB" w:rsidRDefault="00F1341F" w:rsidP="00F447B9">
            <w:pPr>
              <w:rPr>
                <w:i/>
              </w:rPr>
            </w:pPr>
            <w:r w:rsidRPr="008340BB">
              <w:rPr>
                <w:i/>
              </w:rPr>
              <w:t>Intermodal transport and terminals</w:t>
            </w:r>
          </w:p>
          <w:p w14:paraId="0CD5A862" w14:textId="77777777" w:rsidR="00F1341F" w:rsidRPr="008340BB" w:rsidRDefault="003D02A5" w:rsidP="00F447B9">
            <w:pPr>
              <w:rPr>
                <w:i/>
              </w:rPr>
            </w:pPr>
            <w:r>
              <w:rPr>
                <w:rStyle w:val="hps"/>
              </w:rPr>
              <w:t>T</w:t>
            </w:r>
            <w:r w:rsidR="00F1341F" w:rsidRPr="008340BB">
              <w:rPr>
                <w:rStyle w:val="hps"/>
              </w:rPr>
              <w:t>he planned measures</w:t>
            </w:r>
            <w:r w:rsidR="00F1341F" w:rsidRPr="008340BB">
              <w:t xml:space="preserve"> </w:t>
            </w:r>
            <w:r w:rsidR="00F1341F" w:rsidRPr="008340BB">
              <w:rPr>
                <w:rStyle w:val="hps"/>
              </w:rPr>
              <w:t>are expected</w:t>
            </w:r>
            <w:r w:rsidR="00F1341F" w:rsidRPr="008340BB">
              <w:t xml:space="preserve"> </w:t>
            </w:r>
            <w:r w:rsidR="00F1341F" w:rsidRPr="008340BB">
              <w:rPr>
                <w:rStyle w:val="hps"/>
              </w:rPr>
              <w:t>to address</w:t>
            </w:r>
            <w:r w:rsidR="00F1341F" w:rsidRPr="008340BB">
              <w:t xml:space="preserve"> </w:t>
            </w:r>
            <w:r w:rsidR="00F1341F" w:rsidRPr="008340BB">
              <w:rPr>
                <w:rStyle w:val="hps"/>
              </w:rPr>
              <w:t xml:space="preserve">the </w:t>
            </w:r>
            <w:r>
              <w:rPr>
                <w:rStyle w:val="hps"/>
              </w:rPr>
              <w:t xml:space="preserve">following </w:t>
            </w:r>
            <w:r w:rsidR="00F1341F" w:rsidRPr="008340BB">
              <w:rPr>
                <w:rStyle w:val="hps"/>
              </w:rPr>
              <w:t>needs</w:t>
            </w:r>
            <w:r w:rsidR="00F1341F" w:rsidRPr="008340BB">
              <w:t xml:space="preserve"> </w:t>
            </w:r>
            <w:r w:rsidR="00F1341F" w:rsidRPr="008340BB">
              <w:rPr>
                <w:rStyle w:val="hps"/>
              </w:rPr>
              <w:t>of the sector:</w:t>
            </w:r>
          </w:p>
          <w:p w14:paraId="7BA96DD9" w14:textId="41E37FBE" w:rsidR="00F1341F" w:rsidRPr="008340BB" w:rsidRDefault="00954CCA" w:rsidP="00D5124F">
            <w:pPr>
              <w:numPr>
                <w:ilvl w:val="0"/>
                <w:numId w:val="60"/>
              </w:numPr>
            </w:pPr>
            <w:r>
              <w:t>E</w:t>
            </w:r>
            <w:r w:rsidR="00F1341F" w:rsidRPr="008340BB">
              <w:t xml:space="preserve">nsuring of better coordination between individual modes of transport in relation to the intermodal services development, and establishment of reliable and fast railway connections between terminals. </w:t>
            </w:r>
            <w:r w:rsidR="00D5124F">
              <w:t xml:space="preserve">Preparation of </w:t>
            </w:r>
            <w:r w:rsidR="00D5124F" w:rsidRPr="00D5124F">
              <w:t>"Study for development of North-South railway direction"</w:t>
            </w:r>
            <w:r w:rsidR="00D5124F">
              <w:t xml:space="preserve"> </w:t>
            </w:r>
            <w:r w:rsidR="00D5124F" w:rsidRPr="00D5124F">
              <w:t>identifying the necessary intermodal terminals network</w:t>
            </w:r>
            <w:r w:rsidR="00D5124F">
              <w:t>.</w:t>
            </w:r>
            <w:r w:rsidR="00D5124F" w:rsidRPr="00D5124F" w:rsidDel="00765CC4">
              <w:t xml:space="preserve"> </w:t>
            </w:r>
          </w:p>
          <w:p w14:paraId="2DE80B27" w14:textId="4FA886CC" w:rsidR="00F1341F" w:rsidRPr="008340BB" w:rsidRDefault="00F1341F" w:rsidP="006F7C76">
            <w:pPr>
              <w:numPr>
                <w:ilvl w:val="0"/>
                <w:numId w:val="60"/>
              </w:numPr>
            </w:pPr>
            <w:r w:rsidRPr="008340BB">
              <w:t>Development of intermodal connections between ports and railway network, with regard to the promotion of potential growth in trade and transit transportations</w:t>
            </w:r>
            <w:r w:rsidR="00954CCA">
              <w:t>.</w:t>
            </w:r>
            <w:r w:rsidRPr="008340BB">
              <w:t xml:space="preserve"> </w:t>
            </w:r>
          </w:p>
          <w:p w14:paraId="3A00B19B" w14:textId="6B11FEBD" w:rsidR="00F1341F" w:rsidRPr="008340BB" w:rsidRDefault="00F1341F" w:rsidP="008B3BFD">
            <w:pPr>
              <w:ind w:left="360"/>
            </w:pPr>
          </w:p>
          <w:p w14:paraId="6FBF5091" w14:textId="4197FF4C" w:rsidR="00F1341F" w:rsidRDefault="00F1341F" w:rsidP="00FB6320"/>
          <w:p w14:paraId="45FE6E14" w14:textId="4CD1C883" w:rsidR="00BC1939" w:rsidRDefault="00BC1939" w:rsidP="00FB6320">
            <w:pPr>
              <w:rPr>
                <w:i/>
              </w:rPr>
            </w:pPr>
            <w:r w:rsidRPr="00BC1939">
              <w:rPr>
                <w:i/>
              </w:rPr>
              <w:t>Air transport</w:t>
            </w:r>
          </w:p>
          <w:p w14:paraId="3F6C7087" w14:textId="77777777" w:rsidR="008B3BFD" w:rsidRDefault="00E3798C" w:rsidP="004C2599">
            <w:pPr>
              <w:rPr>
                <w:szCs w:val="24"/>
              </w:rPr>
            </w:pPr>
            <w:r w:rsidRPr="00E3798C">
              <w:rPr>
                <w:szCs w:val="24"/>
              </w:rPr>
              <w:t xml:space="preserve">Air transport in the country contributes to increasing the mobility of the population and developing intermodality. Support is needed to manage the aviation sector, </w:t>
            </w:r>
            <w:r w:rsidRPr="00E3798C">
              <w:rPr>
                <w:szCs w:val="24"/>
              </w:rPr>
              <w:lastRenderedPageBreak/>
              <w:t xml:space="preserve">including attracting </w:t>
            </w:r>
            <w:r>
              <w:rPr>
                <w:szCs w:val="24"/>
                <w:lang w:val="en-US"/>
              </w:rPr>
              <w:t>of</w:t>
            </w:r>
            <w:r>
              <w:rPr>
                <w:szCs w:val="24"/>
                <w:lang w:val="bg-BG"/>
              </w:rPr>
              <w:t xml:space="preserve"> </w:t>
            </w:r>
            <w:r w:rsidRPr="00E3798C">
              <w:rPr>
                <w:szCs w:val="24"/>
              </w:rPr>
              <w:t xml:space="preserve">private investors. For this purpose, it is envisaged to </w:t>
            </w:r>
            <w:r w:rsidR="00214745" w:rsidRPr="00E3798C">
              <w:rPr>
                <w:szCs w:val="24"/>
              </w:rPr>
              <w:t>analyse</w:t>
            </w:r>
            <w:r w:rsidRPr="00E3798C">
              <w:rPr>
                <w:szCs w:val="24"/>
              </w:rPr>
              <w:t xml:space="preserve"> and identify effective solutions for improv</w:t>
            </w:r>
            <w:r>
              <w:rPr>
                <w:szCs w:val="24"/>
              </w:rPr>
              <w:t>ement of</w:t>
            </w:r>
            <w:r w:rsidRPr="00E3798C">
              <w:rPr>
                <w:szCs w:val="24"/>
              </w:rPr>
              <w:t xml:space="preserve"> transport services.</w:t>
            </w:r>
            <w:r w:rsidR="00874BE2">
              <w:rPr>
                <w:szCs w:val="24"/>
              </w:rPr>
              <w:t xml:space="preserve"> </w:t>
            </w:r>
          </w:p>
          <w:p w14:paraId="1982C244" w14:textId="44139CA0" w:rsidR="00F1341F" w:rsidRPr="008340BB" w:rsidRDefault="00F1341F" w:rsidP="004C2599">
            <w:pPr>
              <w:rPr>
                <w:i/>
              </w:rPr>
            </w:pPr>
            <w:r w:rsidRPr="008340BB">
              <w:rPr>
                <w:i/>
              </w:rPr>
              <w:t>Metro</w:t>
            </w:r>
          </w:p>
          <w:p w14:paraId="48635A48" w14:textId="77777777" w:rsidR="00F1341F" w:rsidRDefault="00F1341F" w:rsidP="00FB6320">
            <w:r w:rsidRPr="008340BB">
              <w:t>The</w:t>
            </w:r>
            <w:r w:rsidRPr="008340BB">
              <w:rPr>
                <w:b/>
              </w:rPr>
              <w:t xml:space="preserve"> </w:t>
            </w:r>
            <w:r w:rsidRPr="008340BB">
              <w:t xml:space="preserve">growing demand for </w:t>
            </w:r>
            <w:r w:rsidR="0085074B">
              <w:t xml:space="preserve">public </w:t>
            </w:r>
            <w:r w:rsidRPr="008340BB">
              <w:t xml:space="preserve">transport services </w:t>
            </w:r>
            <w:r w:rsidR="0085074B">
              <w:t xml:space="preserve">requires </w:t>
            </w:r>
            <w:r w:rsidRPr="008340BB">
              <w:t xml:space="preserve">the subsequent development of the </w:t>
            </w:r>
            <w:r w:rsidR="0085074B">
              <w:t xml:space="preserve">Sofia </w:t>
            </w:r>
            <w:r w:rsidRPr="008340BB">
              <w:t xml:space="preserve">metro system. </w:t>
            </w:r>
            <w:r w:rsidR="00E00AF7">
              <w:t>C</w:t>
            </w:r>
            <w:r w:rsidRPr="008340BB">
              <w:t>onstruction of sections along the direction Botevgradsko Shosse – Vladimir Vazov Blvd. – Central City Area– Ovcha Kupel Residential Area will enable the public transport system in the capital city to expand its coverage and meet the growing demand for combined transport services</w:t>
            </w:r>
            <w:r w:rsidR="000D4A6D">
              <w:t>.</w:t>
            </w:r>
            <w:r w:rsidRPr="008340BB">
              <w:t xml:space="preserve"> </w:t>
            </w:r>
            <w:r w:rsidR="000D4A6D" w:rsidRPr="000D4A6D">
              <w:t>Development of the metro system</w:t>
            </w:r>
            <w:r w:rsidRPr="008340BB">
              <w:t xml:space="preserve"> will also contribute to improving air quality in the capital city and reducing greenhouse gas</w:t>
            </w:r>
            <w:r w:rsidR="007B6534">
              <w:t xml:space="preserve"> emi</w:t>
            </w:r>
            <w:r w:rsidRPr="008340BB">
              <w:t>s</w:t>
            </w:r>
            <w:r w:rsidR="007B6534">
              <w:t>sions</w:t>
            </w:r>
            <w:r w:rsidRPr="008340BB">
              <w:t>.</w:t>
            </w:r>
            <w:r w:rsidR="007B6534">
              <w:t xml:space="preserve"> </w:t>
            </w:r>
          </w:p>
          <w:p w14:paraId="268B631C" w14:textId="77777777" w:rsidR="009229BF" w:rsidRPr="008340BB" w:rsidRDefault="009229BF" w:rsidP="00FB6320"/>
          <w:p w14:paraId="3386172B" w14:textId="6E2904EE" w:rsidR="007A763E" w:rsidRPr="007A763E" w:rsidRDefault="007A763E" w:rsidP="00243777">
            <w:r w:rsidRPr="007A763E">
              <w:t>In addition, preparatory activities will be carried out for the ex</w:t>
            </w:r>
            <w:r w:rsidR="001B3879">
              <w:t>tension of Line 3, section "</w:t>
            </w:r>
            <w:r w:rsidRPr="007A763E">
              <w:t xml:space="preserve">Shipka </w:t>
            </w:r>
            <w:r w:rsidR="001B3879">
              <w:rPr>
                <w:lang w:val="en-US"/>
              </w:rPr>
              <w:t xml:space="preserve">Str. </w:t>
            </w:r>
            <w:r w:rsidRPr="007A763E">
              <w:t>- Geo Milev district - residential area Slatina - Hall Arena Armeets/Tech Park Sofia - Tsarigradsko Shose Blvd.</w:t>
            </w:r>
          </w:p>
          <w:p w14:paraId="0C132CE1" w14:textId="2FCF5885" w:rsidR="007A763E" w:rsidRDefault="007A763E" w:rsidP="00243777">
            <w:pPr>
              <w:rPr>
                <w:b/>
              </w:rPr>
            </w:pPr>
          </w:p>
          <w:p w14:paraId="7F59F1DE" w14:textId="77777777" w:rsidR="00E11EA7" w:rsidRPr="00274299" w:rsidRDefault="00E11EA7" w:rsidP="00E11EA7">
            <w:pPr>
              <w:rPr>
                <w:b/>
              </w:rPr>
            </w:pPr>
            <w:r w:rsidRPr="00274299">
              <w:rPr>
                <w:b/>
              </w:rPr>
              <w:t>SMEs</w:t>
            </w:r>
          </w:p>
          <w:p w14:paraId="4083A974" w14:textId="1C256718" w:rsidR="00E11EA7" w:rsidRPr="00E11EA7" w:rsidRDefault="00E11EA7" w:rsidP="00E11EA7">
            <w:r w:rsidRPr="00274299">
              <w:t>Within the priority axis created for the purpose, support will be provided to mitigate the consequences of the energy crisis through operations to recover funds already paid to compensate SMEs for their increased electricity costs. The funds were disbursed within the framework of a National measure for compensating non-domestic end-customers of electricity, approved by a decision of the Council of Ministers and implemented by the Electricity System Security Fund. Support under the priority axis will be provided by reimbursing eligible costs for compensating SMEs for their increased electricity costs for the period 01 February - 30 September 2022.</w:t>
            </w:r>
          </w:p>
          <w:p w14:paraId="0A5FA880" w14:textId="77777777" w:rsidR="00E11EA7" w:rsidRDefault="00E11EA7" w:rsidP="00E11EA7">
            <w:pPr>
              <w:rPr>
                <w:b/>
              </w:rPr>
            </w:pPr>
          </w:p>
          <w:p w14:paraId="4C65F2AD" w14:textId="6772A08C" w:rsidR="00F1341F" w:rsidRPr="00435AC3" w:rsidRDefault="00F1341F" w:rsidP="00243777">
            <w:pPr>
              <w:rPr>
                <w:b/>
              </w:rPr>
            </w:pPr>
            <w:r w:rsidRPr="00435AC3">
              <w:rPr>
                <w:b/>
              </w:rPr>
              <w:t>Maintenance of transport infrastructure</w:t>
            </w:r>
          </w:p>
          <w:p w14:paraId="7E1BB7F4" w14:textId="77777777" w:rsidR="00F1341F" w:rsidRDefault="00F1341F" w:rsidP="00435AC3">
            <w:pPr>
              <w:autoSpaceDE w:val="0"/>
              <w:autoSpaceDN w:val="0"/>
              <w:adjustRightInd w:val="0"/>
              <w:spacing w:before="0"/>
            </w:pPr>
            <w:r w:rsidRPr="008340BB">
              <w:t xml:space="preserve">The maintenance of the transport infrastructure will be ensured by financial </w:t>
            </w:r>
            <w:r w:rsidR="00B91FF2" w:rsidRPr="008340BB">
              <w:t xml:space="preserve">sources different than </w:t>
            </w:r>
            <w:r w:rsidRPr="008340BB">
              <w:t xml:space="preserve">the OPTTI, in accordance with the Bulgarian </w:t>
            </w:r>
            <w:r w:rsidR="00B91FF2" w:rsidRPr="008340BB">
              <w:t xml:space="preserve">legislation in force </w:t>
            </w:r>
            <w:r w:rsidRPr="008340BB">
              <w:t>and as described in the Partnership Agreement, as follows:</w:t>
            </w:r>
          </w:p>
          <w:p w14:paraId="086CF512" w14:textId="77777777" w:rsidR="00793831" w:rsidRPr="00435AC3" w:rsidRDefault="00793831" w:rsidP="00243777">
            <w:pPr>
              <w:autoSpaceDE w:val="0"/>
              <w:autoSpaceDN w:val="0"/>
              <w:adjustRightInd w:val="0"/>
              <w:spacing w:before="0" w:after="0"/>
              <w:rPr>
                <w:i/>
              </w:rPr>
            </w:pPr>
            <w:r w:rsidRPr="00435AC3">
              <w:rPr>
                <w:i/>
              </w:rPr>
              <w:t>Railway</w:t>
            </w:r>
          </w:p>
          <w:p w14:paraId="57025688" w14:textId="04FAB824" w:rsidR="00F1341F" w:rsidRPr="008340BB" w:rsidRDefault="00F1341F" w:rsidP="00B91FF2">
            <w:pPr>
              <w:pStyle w:val="ListParagraph"/>
              <w:spacing w:before="120" w:after="0"/>
              <w:ind w:left="0"/>
              <w:contextualSpacing/>
            </w:pPr>
            <w:r w:rsidRPr="008340BB">
              <w:t xml:space="preserve">In accordance with the provisions of Article 26, Paragraph 1 of the Railway Transport Act, the activities related to the current maintenance and operation of the railway infrastructure shall be financed out of the state budget, revenues from infrastructure charges collected by the carriers and own revenues from other services and leases. The procedure for planning and spending on cash funds for maintenance provided by the budget is clearly set forth in the Act and covers all aspects of maintenance, planning, design, construction, rehabilitation and other activities related to ensuring the normal operation of the railway infrastructure. For this purpose NRIC shall signed a long-term five-year contract with the State, represented by the Minister of Transport and </w:t>
            </w:r>
            <w:r w:rsidR="00B21C8A">
              <w:t>Communications</w:t>
            </w:r>
            <w:r w:rsidRPr="008340BB">
              <w:t xml:space="preserve"> and by the Minister of Finance. In this contract, the cash funds intended for maintenance and operation, to be obtained by the state budget, shall be planned by three-year budget framework under the State Budget Act, and the allocation of cash funds for the respective year in a specific amount shall be included in the State Budget Act for the respective year.</w:t>
            </w:r>
          </w:p>
          <w:p w14:paraId="0FBE7294" w14:textId="77777777" w:rsidR="00F1341F" w:rsidRPr="008340BB" w:rsidRDefault="00F1341F" w:rsidP="00215A5A">
            <w:pPr>
              <w:pStyle w:val="ListParagraph"/>
              <w:spacing w:before="120" w:after="0"/>
              <w:ind w:left="0"/>
            </w:pPr>
            <w:r w:rsidRPr="008340BB">
              <w:rPr>
                <w:rStyle w:val="hps"/>
              </w:rPr>
              <w:lastRenderedPageBreak/>
              <w:t>To preserve</w:t>
            </w:r>
            <w:r w:rsidRPr="008340BB">
              <w:t xml:space="preserve"> </w:t>
            </w:r>
            <w:r w:rsidRPr="008340BB">
              <w:rPr>
                <w:rStyle w:val="hps"/>
              </w:rPr>
              <w:t xml:space="preserve">the </w:t>
            </w:r>
            <w:r w:rsidR="00215A5A" w:rsidRPr="008340BB">
              <w:rPr>
                <w:rStyle w:val="hps"/>
              </w:rPr>
              <w:t xml:space="preserve">quality </w:t>
            </w:r>
            <w:r w:rsidRPr="008340BB">
              <w:rPr>
                <w:rStyle w:val="hps"/>
              </w:rPr>
              <w:t xml:space="preserve">of </w:t>
            </w:r>
            <w:r w:rsidR="00215A5A" w:rsidRPr="008340BB">
              <w:rPr>
                <w:rStyle w:val="hps"/>
              </w:rPr>
              <w:t>the</w:t>
            </w:r>
            <w:r w:rsidRPr="008340BB">
              <w:t xml:space="preserve"> </w:t>
            </w:r>
            <w:r w:rsidRPr="008340BB">
              <w:rPr>
                <w:rStyle w:val="hps"/>
              </w:rPr>
              <w:t>newly built/upgraded</w:t>
            </w:r>
            <w:r w:rsidRPr="008340BB">
              <w:t xml:space="preserve"> </w:t>
            </w:r>
            <w:r w:rsidRPr="008340BB">
              <w:rPr>
                <w:rStyle w:val="hps"/>
              </w:rPr>
              <w:t>railway infrastructure</w:t>
            </w:r>
            <w:r w:rsidRPr="008340BB">
              <w:t xml:space="preserve"> </w:t>
            </w:r>
            <w:r w:rsidRPr="008340BB">
              <w:rPr>
                <w:rStyle w:val="hps"/>
              </w:rPr>
              <w:t>over the</w:t>
            </w:r>
            <w:r w:rsidRPr="008340BB">
              <w:t xml:space="preserve"> entire </w:t>
            </w:r>
            <w:r w:rsidR="00215A5A" w:rsidRPr="008340BB">
              <w:t xml:space="preserve">life cycle </w:t>
            </w:r>
            <w:r w:rsidRPr="008340BB">
              <w:rPr>
                <w:rStyle w:val="hps"/>
              </w:rPr>
              <w:t>period is planned to improve</w:t>
            </w:r>
            <w:r w:rsidRPr="008340BB">
              <w:t xml:space="preserve"> the </w:t>
            </w:r>
            <w:r w:rsidRPr="008340BB">
              <w:rPr>
                <w:rStyle w:val="hps"/>
              </w:rPr>
              <w:t>system</w:t>
            </w:r>
            <w:r w:rsidRPr="008340BB">
              <w:t xml:space="preserve"> </w:t>
            </w:r>
            <w:r w:rsidRPr="008340BB">
              <w:rPr>
                <w:rStyle w:val="hps"/>
              </w:rPr>
              <w:t xml:space="preserve">of </w:t>
            </w:r>
            <w:r w:rsidRPr="008340BB">
              <w:t xml:space="preserve">maintenance </w:t>
            </w:r>
            <w:r w:rsidRPr="008340BB">
              <w:rPr>
                <w:rStyle w:val="hps"/>
              </w:rPr>
              <w:t>in order to optimise</w:t>
            </w:r>
            <w:r w:rsidRPr="008340BB">
              <w:t xml:space="preserve"> </w:t>
            </w:r>
            <w:r w:rsidRPr="008340BB">
              <w:rPr>
                <w:rStyle w:val="hps"/>
              </w:rPr>
              <w:t>the operation and maintenance costs.</w:t>
            </w:r>
          </w:p>
          <w:p w14:paraId="183E6312" w14:textId="2176F4D4" w:rsidR="00F1341F" w:rsidRPr="008340BB" w:rsidRDefault="00F1341F" w:rsidP="00215A5A">
            <w:pPr>
              <w:pStyle w:val="ListParagraph"/>
              <w:spacing w:before="120" w:after="0"/>
              <w:ind w:left="0"/>
            </w:pPr>
            <w:r w:rsidRPr="008340BB">
              <w:t>The successful implementation of the recommendations of a new model for maintenance of NRIC is directly dependent on the procurement of light, medium and heavy machinery and equipment for use by mobile groups, covered by adequate</w:t>
            </w:r>
            <w:r w:rsidRPr="008340BB">
              <w:rPr>
                <w:szCs w:val="24"/>
              </w:rPr>
              <w:t xml:space="preserve"> financing.</w:t>
            </w:r>
          </w:p>
          <w:p w14:paraId="2C6B7212" w14:textId="6B9B21E2" w:rsidR="00F1341F" w:rsidRPr="00586219" w:rsidRDefault="00F1341F" w:rsidP="00215A5A">
            <w:pPr>
              <w:spacing w:after="0"/>
              <w:rPr>
                <w:szCs w:val="24"/>
                <w:lang w:val="en-US"/>
              </w:rPr>
            </w:pPr>
            <w:r w:rsidRPr="008340BB">
              <w:rPr>
                <w:szCs w:val="24"/>
              </w:rPr>
              <w:t xml:space="preserve">The emphasis in the Multiannual Maintenance plan, being developed within </w:t>
            </w:r>
            <w:r w:rsidRPr="008340BB">
              <w:t>SE NRIC (</w:t>
            </w:r>
            <w:r w:rsidRPr="008340BB">
              <w:rPr>
                <w:rStyle w:val="hps"/>
                <w:szCs w:val="24"/>
              </w:rPr>
              <w:t>Costs model for Multiannual Maintenance Plan, prepared by EVD financing in 2010)</w:t>
            </w:r>
            <w:r w:rsidRPr="008340BB">
              <w:t>,</w:t>
            </w:r>
            <w:r w:rsidRPr="008340BB">
              <w:rPr>
                <w:szCs w:val="24"/>
              </w:rPr>
              <w:t xml:space="preserve"> will be on optimizing and increasing the efficiency of the maintenance of the railway infrastructure in the Republic of Bulgaria through long-term planning of maintenance resources based on prioritisation of the repair works. </w:t>
            </w:r>
            <w:r w:rsidRPr="008340BB">
              <w:rPr>
                <w:rStyle w:val="hps"/>
                <w:szCs w:val="24"/>
              </w:rPr>
              <w:t xml:space="preserve">The NRIC’s budget in the past grew very rapidly, given the failure to ensure funds and from </w:t>
            </w:r>
            <w:r w:rsidR="00215A5A" w:rsidRPr="008340BB">
              <w:rPr>
                <w:rStyle w:val="hps"/>
                <w:szCs w:val="24"/>
              </w:rPr>
              <w:t xml:space="preserve">BGN </w:t>
            </w:r>
            <w:r w:rsidRPr="008340BB">
              <w:rPr>
                <w:rStyle w:val="hps"/>
                <w:szCs w:val="24"/>
              </w:rPr>
              <w:t xml:space="preserve">20 million in 2002 reached </w:t>
            </w:r>
            <w:r w:rsidR="00215A5A" w:rsidRPr="008340BB">
              <w:rPr>
                <w:rStyle w:val="hps"/>
                <w:szCs w:val="24"/>
              </w:rPr>
              <w:t xml:space="preserve">BGN </w:t>
            </w:r>
            <w:r w:rsidRPr="008340BB">
              <w:rPr>
                <w:rStyle w:val="hps"/>
                <w:szCs w:val="24"/>
              </w:rPr>
              <w:t xml:space="preserve">220-240 million in recent years, this amount is relatively constant since the entry into force of the planning costs with MAP. According to the latest updated “Programme for development and operation of the railway infrastructure” (5-year programme which is an integral part of the Contract of NRIC with the State) for the period 2015 – 2019 the annual amount of funding is estimated at </w:t>
            </w:r>
            <w:r w:rsidR="00215A5A" w:rsidRPr="008340BB">
              <w:rPr>
                <w:rStyle w:val="hps"/>
                <w:szCs w:val="24"/>
              </w:rPr>
              <w:t xml:space="preserve">BGN </w:t>
            </w:r>
            <w:r w:rsidRPr="008340BB">
              <w:rPr>
                <w:rStyle w:val="hps"/>
                <w:szCs w:val="24"/>
              </w:rPr>
              <w:t>260-275 million.</w:t>
            </w:r>
          </w:p>
          <w:p w14:paraId="3103EFC9" w14:textId="77777777" w:rsidR="00F1341F" w:rsidRPr="008340BB" w:rsidRDefault="00F1341F" w:rsidP="00215A5A">
            <w:pPr>
              <w:tabs>
                <w:tab w:val="num" w:pos="1134"/>
              </w:tabs>
              <w:spacing w:after="0"/>
              <w:rPr>
                <w:rStyle w:val="hps"/>
                <w:szCs w:val="24"/>
              </w:rPr>
            </w:pPr>
            <w:r w:rsidRPr="008340BB">
              <w:rPr>
                <w:rStyle w:val="hps"/>
                <w:szCs w:val="24"/>
              </w:rPr>
              <w:t xml:space="preserve">To increase the efficiency of the railway infrastructure operation and maintenance, including the built with co-financing from the Structural and Cohesion Funds, the following measures will contribute: </w:t>
            </w:r>
          </w:p>
          <w:p w14:paraId="7F12C44A" w14:textId="77777777" w:rsidR="00F1341F" w:rsidRPr="008340BB" w:rsidRDefault="00F1341F" w:rsidP="002308AA">
            <w:pPr>
              <w:pStyle w:val="ListParagraph"/>
              <w:numPr>
                <w:ilvl w:val="0"/>
                <w:numId w:val="77"/>
              </w:numPr>
              <w:spacing w:before="120" w:after="0"/>
              <w:rPr>
                <w:bCs/>
                <w:i/>
                <w:szCs w:val="24"/>
              </w:rPr>
            </w:pPr>
            <w:r w:rsidRPr="008340BB">
              <w:t xml:space="preserve">Formulation and implementation of the new tariff policy in NRIC and preparation of market-oriented methodology for calculating the charges for access and use of railway infrastructure. A Project Implementation Support Service Agreement for consultancy services has been signed between NRIC and EIB for project "Technical assistance for the formation of tariff policy for access to and use of the railway infrastructure in NRIC as a Beneficiary of OPT 2007 – 2013. A contract was signed between the EIB and the selected contractor with commencement date 01.09.2014. The main objective of the project is to improve the efficiency of resource management of the company by the formation of a new tariff policy on railway infrastructure in NRIC. </w:t>
            </w:r>
          </w:p>
          <w:p w14:paraId="0E0135A9" w14:textId="77777777" w:rsidR="00F1341F" w:rsidRPr="008340BB" w:rsidRDefault="00F1341F" w:rsidP="002308AA">
            <w:pPr>
              <w:pStyle w:val="ListParagraph"/>
              <w:numPr>
                <w:ilvl w:val="0"/>
                <w:numId w:val="77"/>
              </w:numPr>
              <w:spacing w:before="120" w:after="0"/>
              <w:rPr>
                <w:bCs/>
                <w:i/>
                <w:szCs w:val="24"/>
              </w:rPr>
            </w:pPr>
            <w:r w:rsidRPr="008340BB">
              <w:t>Completion of the project "Design and implementation of an Enterprise Resource Planning (ERP) system in NRIC", which covers the main business processes of NRIC related to the management and planning of resources, including management of railway infrastructure maintenance.</w:t>
            </w:r>
          </w:p>
          <w:p w14:paraId="5F7441B9" w14:textId="77777777" w:rsidR="00621602" w:rsidRPr="00435AC3" w:rsidRDefault="00621602" w:rsidP="00621602">
            <w:pPr>
              <w:pStyle w:val="ListParagraph"/>
              <w:spacing w:before="120" w:after="0"/>
              <w:ind w:left="0"/>
              <w:rPr>
                <w:rStyle w:val="hps"/>
                <w:i/>
                <w:szCs w:val="24"/>
              </w:rPr>
            </w:pPr>
            <w:r w:rsidRPr="00435AC3">
              <w:rPr>
                <w:rStyle w:val="hps"/>
                <w:i/>
                <w:szCs w:val="24"/>
              </w:rPr>
              <w:t>Road</w:t>
            </w:r>
          </w:p>
          <w:p w14:paraId="0A0A524B" w14:textId="729B63FB" w:rsidR="00F1341F" w:rsidRPr="008340BB" w:rsidRDefault="00DA173F" w:rsidP="002308AA">
            <w:pPr>
              <w:pStyle w:val="ListParagraph"/>
              <w:spacing w:before="120" w:after="0"/>
              <w:ind w:left="0"/>
            </w:pPr>
            <w:r>
              <w:t>T</w:t>
            </w:r>
            <w:r w:rsidR="00F1341F" w:rsidRPr="008340BB">
              <w:t xml:space="preserve">he financing of the activities related to the current maintenance of the roads, subject of the OPTTI, </w:t>
            </w:r>
            <w:r w:rsidR="00B06A17">
              <w:rPr>
                <w:lang w:val="en-US"/>
              </w:rPr>
              <w:t>wa</w:t>
            </w:r>
            <w:r w:rsidR="00A43A0D">
              <w:t>s</w:t>
            </w:r>
            <w:r w:rsidR="00A43A0D" w:rsidRPr="008340BB">
              <w:t xml:space="preserve"> </w:t>
            </w:r>
            <w:r w:rsidR="00F1341F" w:rsidRPr="008340BB">
              <w:t xml:space="preserve">regulated in two articles of the Roads Act.  Article 44, Paragraph 1 of the </w:t>
            </w:r>
            <w:r w:rsidR="00A43A0D" w:rsidRPr="00A43A0D">
              <w:t xml:space="preserve">Roads </w:t>
            </w:r>
            <w:r w:rsidR="00F1341F" w:rsidRPr="008340BB">
              <w:t>Act stipulate</w:t>
            </w:r>
            <w:r w:rsidR="00FF7D73">
              <w:t>d</w:t>
            </w:r>
            <w:r w:rsidR="00F1341F" w:rsidRPr="008340BB">
              <w:t xml:space="preserve"> that the sources of funding </w:t>
            </w:r>
            <w:r w:rsidR="00CA687B">
              <w:t xml:space="preserve">for RIA </w:t>
            </w:r>
            <w:r w:rsidR="00F1341F" w:rsidRPr="008340BB">
              <w:t xml:space="preserve">shall be subsidies from the state budget and cash transfers, included annually in the State Budget Act of the Republic of Bulgaria for the respective year, and in Paragraph 2 of the same article </w:t>
            </w:r>
            <w:r w:rsidR="00FF7D73">
              <w:t>wa</w:t>
            </w:r>
            <w:r w:rsidR="00F1341F" w:rsidRPr="008340BB">
              <w:t xml:space="preserve">s stipulated that such funds shall be used for the operation, maintenance, repair and reconstruction of the national roads. </w:t>
            </w:r>
            <w:r w:rsidR="00CA687B">
              <w:t>F</w:t>
            </w:r>
            <w:r w:rsidR="00F1341F" w:rsidRPr="008340BB">
              <w:t xml:space="preserve">or </w:t>
            </w:r>
            <w:r w:rsidR="00586219">
              <w:t xml:space="preserve">the </w:t>
            </w:r>
            <w:r w:rsidR="00586219" w:rsidRPr="00586219">
              <w:t>state enterprise National Company "Strategic Infrastructure Projects"</w:t>
            </w:r>
            <w:r w:rsidR="00586219">
              <w:t xml:space="preserve"> /</w:t>
            </w:r>
            <w:r w:rsidR="00F1341F" w:rsidRPr="008340BB">
              <w:rPr>
                <w:rFonts w:cs="Arial"/>
              </w:rPr>
              <w:t>NCSIP</w:t>
            </w:r>
            <w:r w:rsidR="00586219">
              <w:rPr>
                <w:rFonts w:cs="Arial"/>
              </w:rPr>
              <w:t>/</w:t>
            </w:r>
            <w:r w:rsidR="00F1341F" w:rsidRPr="008340BB">
              <w:t xml:space="preserve">, which </w:t>
            </w:r>
            <w:r w:rsidR="00910D0F">
              <w:t>wa</w:t>
            </w:r>
            <w:r w:rsidR="00F1341F" w:rsidRPr="008340BB">
              <w:t xml:space="preserve">s in charge for the separately listed motorways (Struma, Hemus and Cherno More), the funding of maintenance </w:t>
            </w:r>
            <w:r w:rsidR="00910D0F">
              <w:t>wa</w:t>
            </w:r>
            <w:r w:rsidR="00F1341F" w:rsidRPr="008340BB">
              <w:t xml:space="preserve">s regulated in Article 28c, Paragraph 1, of the </w:t>
            </w:r>
            <w:r w:rsidR="00D7614B">
              <w:t xml:space="preserve">Roads </w:t>
            </w:r>
            <w:r w:rsidR="00F1341F" w:rsidRPr="008340BB">
              <w:t xml:space="preserve">Act, which </w:t>
            </w:r>
            <w:r w:rsidR="00F1341F" w:rsidRPr="008340BB">
              <w:lastRenderedPageBreak/>
              <w:t>stipulate</w:t>
            </w:r>
            <w:r w:rsidR="00B658E6">
              <w:t>d</w:t>
            </w:r>
            <w:r w:rsidR="00F1341F" w:rsidRPr="008340BB">
              <w:t xml:space="preserve"> that the activities of </w:t>
            </w:r>
            <w:r w:rsidR="00F1341F" w:rsidRPr="008340BB">
              <w:rPr>
                <w:rFonts w:cs="Arial"/>
              </w:rPr>
              <w:t>NCSIP</w:t>
            </w:r>
            <w:r w:rsidR="00F1341F" w:rsidRPr="008340BB">
              <w:t xml:space="preserve"> shall be financed out of the state budget through the budget of the Ministry of Regional Development</w:t>
            </w:r>
            <w:r w:rsidR="00013817">
              <w:t xml:space="preserve"> and Public Works</w:t>
            </w:r>
            <w:r w:rsidR="00F1341F" w:rsidRPr="008340BB">
              <w:t>, as well as by the revenues from vignette charges and tolls, if any.</w:t>
            </w:r>
          </w:p>
          <w:p w14:paraId="4903B2EE" w14:textId="7806719E" w:rsidR="003D3EA5" w:rsidRDefault="003D3EA5" w:rsidP="002308AA">
            <w:pPr>
              <w:pStyle w:val="ListParagraph"/>
              <w:spacing w:before="120" w:after="0"/>
              <w:ind w:left="0"/>
              <w:rPr>
                <w:rStyle w:val="hps"/>
                <w:szCs w:val="24"/>
              </w:rPr>
            </w:pPr>
            <w:r>
              <w:rPr>
                <w:rStyle w:val="hps"/>
                <w:szCs w:val="24"/>
              </w:rPr>
              <w:t>According to the amendment of the</w:t>
            </w:r>
            <w:r w:rsidRPr="003D3EA5">
              <w:rPr>
                <w:rStyle w:val="hps"/>
                <w:szCs w:val="24"/>
              </w:rPr>
              <w:t xml:space="preserve"> </w:t>
            </w:r>
            <w:r>
              <w:rPr>
                <w:rStyle w:val="hps"/>
                <w:szCs w:val="24"/>
              </w:rPr>
              <w:t>Roads Act</w:t>
            </w:r>
            <w:r w:rsidRPr="003D3EA5">
              <w:rPr>
                <w:rStyle w:val="hps"/>
                <w:szCs w:val="24"/>
              </w:rPr>
              <w:t xml:space="preserve">, </w:t>
            </w:r>
            <w:r>
              <w:rPr>
                <w:rStyle w:val="hps"/>
                <w:szCs w:val="24"/>
              </w:rPr>
              <w:t>adopted</w:t>
            </w:r>
            <w:r w:rsidRPr="003D3EA5">
              <w:rPr>
                <w:rStyle w:val="hps"/>
                <w:szCs w:val="24"/>
              </w:rPr>
              <w:t xml:space="preserve"> </w:t>
            </w:r>
            <w:r>
              <w:rPr>
                <w:rStyle w:val="hps"/>
                <w:szCs w:val="24"/>
              </w:rPr>
              <w:t>on</w:t>
            </w:r>
            <w:r w:rsidRPr="003D3EA5">
              <w:rPr>
                <w:rStyle w:val="hps"/>
                <w:szCs w:val="24"/>
              </w:rPr>
              <w:t xml:space="preserve"> 07.04.2016, </w:t>
            </w:r>
            <w:r>
              <w:rPr>
                <w:rStyle w:val="hps"/>
                <w:szCs w:val="24"/>
              </w:rPr>
              <w:t>the activity of</w:t>
            </w:r>
            <w:r w:rsidRPr="003D3EA5">
              <w:rPr>
                <w:rStyle w:val="hps"/>
                <w:szCs w:val="24"/>
              </w:rPr>
              <w:t xml:space="preserve"> </w:t>
            </w:r>
            <w:r>
              <w:rPr>
                <w:rStyle w:val="hps"/>
                <w:szCs w:val="24"/>
              </w:rPr>
              <w:t>state</w:t>
            </w:r>
            <w:r w:rsidRPr="003D3EA5">
              <w:rPr>
                <w:rStyle w:val="hps"/>
                <w:szCs w:val="24"/>
              </w:rPr>
              <w:t xml:space="preserve"> </w:t>
            </w:r>
            <w:r>
              <w:rPr>
                <w:rStyle w:val="hps"/>
                <w:szCs w:val="24"/>
              </w:rPr>
              <w:t>enterprise</w:t>
            </w:r>
            <w:r w:rsidRPr="003D3EA5">
              <w:rPr>
                <w:rStyle w:val="hps"/>
                <w:szCs w:val="24"/>
              </w:rPr>
              <w:t xml:space="preserve"> </w:t>
            </w:r>
            <w:r>
              <w:rPr>
                <w:rStyle w:val="hps"/>
                <w:szCs w:val="24"/>
              </w:rPr>
              <w:t>N</w:t>
            </w:r>
            <w:r w:rsidR="00F2775C">
              <w:rPr>
                <w:rStyle w:val="hps"/>
                <w:szCs w:val="24"/>
              </w:rPr>
              <w:t>CSIP</w:t>
            </w:r>
            <w:r w:rsidR="00676688">
              <w:rPr>
                <w:rStyle w:val="hps"/>
                <w:szCs w:val="24"/>
              </w:rPr>
              <w:t xml:space="preserve"> was</w:t>
            </w:r>
            <w:r>
              <w:rPr>
                <w:rStyle w:val="hps"/>
                <w:szCs w:val="24"/>
              </w:rPr>
              <w:t xml:space="preserve"> terminated</w:t>
            </w:r>
            <w:r w:rsidRPr="003D3EA5">
              <w:rPr>
                <w:rStyle w:val="hps"/>
                <w:szCs w:val="24"/>
              </w:rPr>
              <w:t xml:space="preserve">. </w:t>
            </w:r>
            <w:r>
              <w:rPr>
                <w:rStyle w:val="hps"/>
                <w:szCs w:val="24"/>
              </w:rPr>
              <w:t>All</w:t>
            </w:r>
            <w:r w:rsidRPr="003D3EA5">
              <w:rPr>
                <w:rStyle w:val="hps"/>
                <w:szCs w:val="24"/>
              </w:rPr>
              <w:t xml:space="preserve"> </w:t>
            </w:r>
            <w:r>
              <w:rPr>
                <w:rStyle w:val="hps"/>
                <w:szCs w:val="24"/>
              </w:rPr>
              <w:t>the assets</w:t>
            </w:r>
            <w:r w:rsidRPr="003D3EA5">
              <w:rPr>
                <w:rStyle w:val="hps"/>
                <w:szCs w:val="24"/>
              </w:rPr>
              <w:t xml:space="preserve">, </w:t>
            </w:r>
            <w:r>
              <w:rPr>
                <w:rStyle w:val="hps"/>
                <w:szCs w:val="24"/>
              </w:rPr>
              <w:t>passives</w:t>
            </w:r>
            <w:r w:rsidRPr="003D3EA5">
              <w:rPr>
                <w:rStyle w:val="hps"/>
                <w:szCs w:val="24"/>
              </w:rPr>
              <w:t xml:space="preserve">, </w:t>
            </w:r>
            <w:r w:rsidR="00FF04F0">
              <w:rPr>
                <w:rStyle w:val="hps"/>
                <w:szCs w:val="24"/>
              </w:rPr>
              <w:t>records</w:t>
            </w:r>
            <w:r w:rsidRPr="003D3EA5">
              <w:rPr>
                <w:rStyle w:val="hps"/>
                <w:szCs w:val="24"/>
              </w:rPr>
              <w:t xml:space="preserve"> </w:t>
            </w:r>
            <w:r w:rsidR="00FF04F0">
              <w:rPr>
                <w:rStyle w:val="hps"/>
                <w:szCs w:val="24"/>
              </w:rPr>
              <w:t>and</w:t>
            </w:r>
            <w:r w:rsidRPr="003D3EA5">
              <w:rPr>
                <w:rStyle w:val="hps"/>
                <w:szCs w:val="24"/>
              </w:rPr>
              <w:t xml:space="preserve"> </w:t>
            </w:r>
            <w:r w:rsidR="00FF04F0">
              <w:rPr>
                <w:rStyle w:val="hps"/>
                <w:szCs w:val="24"/>
              </w:rPr>
              <w:t>other</w:t>
            </w:r>
            <w:r w:rsidRPr="003D3EA5">
              <w:rPr>
                <w:rStyle w:val="hps"/>
                <w:szCs w:val="24"/>
              </w:rPr>
              <w:t xml:space="preserve"> </w:t>
            </w:r>
            <w:r w:rsidR="0013595E">
              <w:rPr>
                <w:rStyle w:val="hps"/>
                <w:szCs w:val="24"/>
              </w:rPr>
              <w:t>rights</w:t>
            </w:r>
            <w:r w:rsidRPr="003D3EA5">
              <w:rPr>
                <w:rStyle w:val="hps"/>
                <w:szCs w:val="24"/>
              </w:rPr>
              <w:t xml:space="preserve"> </w:t>
            </w:r>
            <w:r w:rsidR="0013595E">
              <w:rPr>
                <w:rStyle w:val="hps"/>
                <w:szCs w:val="24"/>
              </w:rPr>
              <w:t>and</w:t>
            </w:r>
            <w:r w:rsidRPr="003D3EA5">
              <w:rPr>
                <w:rStyle w:val="hps"/>
                <w:szCs w:val="24"/>
              </w:rPr>
              <w:t xml:space="preserve"> </w:t>
            </w:r>
            <w:r w:rsidR="0013595E">
              <w:rPr>
                <w:rStyle w:val="hps"/>
                <w:szCs w:val="24"/>
              </w:rPr>
              <w:t>obligations</w:t>
            </w:r>
            <w:r w:rsidRPr="003D3EA5">
              <w:rPr>
                <w:rStyle w:val="hps"/>
                <w:szCs w:val="24"/>
              </w:rPr>
              <w:t xml:space="preserve"> </w:t>
            </w:r>
            <w:r w:rsidR="0013595E">
              <w:rPr>
                <w:rStyle w:val="hps"/>
                <w:szCs w:val="24"/>
              </w:rPr>
              <w:t>of the enterprise</w:t>
            </w:r>
            <w:r w:rsidRPr="003D3EA5">
              <w:rPr>
                <w:rStyle w:val="hps"/>
                <w:szCs w:val="24"/>
              </w:rPr>
              <w:t xml:space="preserve"> </w:t>
            </w:r>
            <w:r w:rsidR="0013595E">
              <w:rPr>
                <w:rStyle w:val="hps"/>
                <w:szCs w:val="24"/>
              </w:rPr>
              <w:t>are transferred to</w:t>
            </w:r>
            <w:r w:rsidRPr="003D3EA5">
              <w:rPr>
                <w:rStyle w:val="hps"/>
                <w:szCs w:val="24"/>
              </w:rPr>
              <w:t xml:space="preserve"> </w:t>
            </w:r>
            <w:r w:rsidR="008F4678">
              <w:rPr>
                <w:rStyle w:val="hps"/>
                <w:szCs w:val="24"/>
              </w:rPr>
              <w:t xml:space="preserve">the </w:t>
            </w:r>
            <w:r w:rsidR="0013595E">
              <w:rPr>
                <w:rStyle w:val="hps"/>
                <w:szCs w:val="24"/>
              </w:rPr>
              <w:t>“Road</w:t>
            </w:r>
            <w:r w:rsidRPr="003D3EA5">
              <w:rPr>
                <w:rStyle w:val="hps"/>
                <w:szCs w:val="24"/>
              </w:rPr>
              <w:t xml:space="preserve"> </w:t>
            </w:r>
            <w:r w:rsidR="004425B2">
              <w:rPr>
                <w:rStyle w:val="hps"/>
                <w:szCs w:val="24"/>
              </w:rPr>
              <w:t>Infrastructure</w:t>
            </w:r>
            <w:r w:rsidR="004425B2" w:rsidRPr="003D3EA5">
              <w:rPr>
                <w:rStyle w:val="hps"/>
                <w:szCs w:val="24"/>
              </w:rPr>
              <w:t>“</w:t>
            </w:r>
            <w:r w:rsidR="004425B2">
              <w:rPr>
                <w:rStyle w:val="hps"/>
                <w:szCs w:val="24"/>
              </w:rPr>
              <w:t xml:space="preserve"> Agency</w:t>
            </w:r>
            <w:r w:rsidRPr="003D3EA5">
              <w:rPr>
                <w:rStyle w:val="hps"/>
                <w:szCs w:val="24"/>
              </w:rPr>
              <w:t>.</w:t>
            </w:r>
            <w:r w:rsidR="0013595E">
              <w:rPr>
                <w:rStyle w:val="hps"/>
                <w:szCs w:val="24"/>
              </w:rPr>
              <w:t xml:space="preserve"> </w:t>
            </w:r>
          </w:p>
          <w:p w14:paraId="2DF42A55" w14:textId="77777777" w:rsidR="00F1341F" w:rsidRPr="008340BB" w:rsidRDefault="00F1341F" w:rsidP="002308AA">
            <w:pPr>
              <w:pStyle w:val="ListParagraph"/>
              <w:spacing w:before="120" w:after="0"/>
              <w:ind w:left="0"/>
            </w:pPr>
            <w:r w:rsidRPr="008340BB">
              <w:rPr>
                <w:rStyle w:val="hps"/>
                <w:szCs w:val="24"/>
              </w:rPr>
              <w:t xml:space="preserve">To increase the efficiency of the road infrastructure maintenance, including the newly built one with co-financing from the Structural and Cohesion Funds, it is envisaged a study for development of new maintenance policy on road infrastructure, including introduction of toll charges to be elaborated. </w:t>
            </w:r>
          </w:p>
          <w:p w14:paraId="0B08B881" w14:textId="77777777" w:rsidR="00202645" w:rsidRPr="00435AC3" w:rsidRDefault="009B1DD8" w:rsidP="00202645">
            <w:pPr>
              <w:pStyle w:val="Heading5"/>
              <w:rPr>
                <w:rStyle w:val="Emphasis"/>
                <w:rFonts w:ascii="Times New Roman" w:hAnsi="Times New Roman"/>
                <w:sz w:val="24"/>
                <w:szCs w:val="24"/>
              </w:rPr>
            </w:pPr>
            <w:r w:rsidRPr="00435AC3">
              <w:rPr>
                <w:rStyle w:val="Emphasis"/>
                <w:rFonts w:ascii="Times New Roman" w:hAnsi="Times New Roman"/>
                <w:sz w:val="24"/>
                <w:szCs w:val="24"/>
              </w:rPr>
              <w:t>Metro</w:t>
            </w:r>
          </w:p>
          <w:p w14:paraId="689AD420" w14:textId="77777777" w:rsidR="00F1341F" w:rsidRDefault="00F1341F" w:rsidP="002308AA">
            <w:pPr>
              <w:pStyle w:val="ListParagraph"/>
              <w:spacing w:before="120" w:after="0"/>
              <w:ind w:left="0"/>
            </w:pPr>
            <w:r w:rsidRPr="008340BB">
              <w:t>The funds for operation costs of Metropolitan EAD, as a municipal company, established to operate the Sofia Metropolitan shall be ensured by the budget of the Sofia Municipality.</w:t>
            </w:r>
          </w:p>
          <w:p w14:paraId="16C8B05C" w14:textId="77777777" w:rsidR="00BC7E0D" w:rsidRPr="00435AC3" w:rsidRDefault="009B1DD8" w:rsidP="00BC7E0D">
            <w:pPr>
              <w:pStyle w:val="Heading5"/>
              <w:rPr>
                <w:rFonts w:ascii="Times New Roman" w:hAnsi="Times New Roman"/>
                <w:i/>
                <w:sz w:val="24"/>
                <w:szCs w:val="24"/>
              </w:rPr>
            </w:pPr>
            <w:r w:rsidRPr="00435AC3">
              <w:rPr>
                <w:rStyle w:val="Emphasis"/>
                <w:rFonts w:ascii="Times New Roman" w:hAnsi="Times New Roman"/>
                <w:sz w:val="24"/>
                <w:szCs w:val="24"/>
              </w:rPr>
              <w:t>Port infrastructure and inland waterways</w:t>
            </w:r>
          </w:p>
          <w:p w14:paraId="2C228002" w14:textId="77777777" w:rsidR="00F1341F" w:rsidRDefault="00BC7E0D" w:rsidP="002308AA">
            <w:pPr>
              <w:spacing w:after="0"/>
              <w:rPr>
                <w:szCs w:val="24"/>
              </w:rPr>
            </w:pPr>
            <w:r>
              <w:rPr>
                <w:szCs w:val="24"/>
              </w:rPr>
              <w:t>T</w:t>
            </w:r>
            <w:r w:rsidR="00F1341F" w:rsidRPr="008340BB">
              <w:rPr>
                <w:szCs w:val="24"/>
              </w:rPr>
              <w:t xml:space="preserve">he current maintenance of the navigation waterway, including the navigation conditions along the Danube River, is carried out by the Executive Agency for the Exploration and Maintenance of the Danube River (EA EMDR) according to the rules of the </w:t>
            </w:r>
            <w:r w:rsidR="00F1341F" w:rsidRPr="008340BB">
              <w:rPr>
                <w:rStyle w:val="Emphasis"/>
                <w:i w:val="0"/>
                <w:iCs/>
              </w:rPr>
              <w:t>Convention Regarding the Regime of Navigation on the Danube</w:t>
            </w:r>
            <w:r w:rsidR="00F1341F" w:rsidRPr="008340BB">
              <w:rPr>
                <w:szCs w:val="24"/>
              </w:rPr>
              <w:t xml:space="preserve"> (SG, No. 112/1949) and the provisions of the Agreement between the Governments of the Republic of Bulgaria and Romania from 1955, in pursuance of Article 39 of the Convention and in accordance with Articles 77, 82 and 83, paragraph 2 of the </w:t>
            </w:r>
            <w:r w:rsidR="00F1341F" w:rsidRPr="008340BB">
              <w:t xml:space="preserve">Maritime Space, </w:t>
            </w:r>
            <w:r w:rsidR="00F1341F" w:rsidRPr="008340BB">
              <w:rPr>
                <w:iCs/>
              </w:rPr>
              <w:t>Inland Waterways and Ports of the Republic</w:t>
            </w:r>
            <w:r w:rsidR="00F1341F" w:rsidRPr="008340BB">
              <w:t xml:space="preserve"> of. </w:t>
            </w:r>
            <w:r w:rsidR="00F1341F" w:rsidRPr="008340BB">
              <w:rPr>
                <w:iCs/>
              </w:rPr>
              <w:t>Bulgaria</w:t>
            </w:r>
            <w:r w:rsidR="00F1341F" w:rsidRPr="008340BB">
              <w:t xml:space="preserve"> Act</w:t>
            </w:r>
            <w:r w:rsidR="00F1341F" w:rsidRPr="008340BB">
              <w:rPr>
                <w:szCs w:val="24"/>
              </w:rPr>
              <w:t>. According to the Convention  the transit of ships</w:t>
            </w:r>
            <w:r w:rsidR="002F2A24">
              <w:t xml:space="preserve"> </w:t>
            </w:r>
            <w:r w:rsidR="002F2A24" w:rsidRPr="002F2A24">
              <w:rPr>
                <w:szCs w:val="24"/>
              </w:rPr>
              <w:t>should be free of charges</w:t>
            </w:r>
            <w:r w:rsidR="00F1341F" w:rsidRPr="008340BB">
              <w:rPr>
                <w:szCs w:val="24"/>
              </w:rPr>
              <w:t xml:space="preserve"> and the maintenance costs shall be funded by the state budget.</w:t>
            </w:r>
          </w:p>
          <w:p w14:paraId="42958440" w14:textId="77777777" w:rsidR="009229BF" w:rsidRPr="008340BB" w:rsidRDefault="009229BF" w:rsidP="002308AA">
            <w:pPr>
              <w:spacing w:after="0"/>
              <w:rPr>
                <w:szCs w:val="24"/>
              </w:rPr>
            </w:pPr>
          </w:p>
          <w:p w14:paraId="7CFF5593" w14:textId="77777777" w:rsidR="00F1341F" w:rsidRPr="008340BB" w:rsidRDefault="00F1341F" w:rsidP="00FB6320">
            <w:pPr>
              <w:rPr>
                <w:b/>
              </w:rPr>
            </w:pPr>
            <w:r w:rsidRPr="008340BB">
              <w:rPr>
                <w:b/>
              </w:rPr>
              <w:t>Administrative capacity in the transport sector</w:t>
            </w:r>
          </w:p>
          <w:p w14:paraId="6A82EFCC" w14:textId="77777777" w:rsidR="00F1341F" w:rsidRPr="008340BB" w:rsidRDefault="00F1341F" w:rsidP="00E9350E">
            <w:pPr>
              <w:spacing w:before="0" w:after="0"/>
              <w:rPr>
                <w:color w:val="0D0D0D"/>
              </w:rPr>
            </w:pPr>
            <w:r w:rsidRPr="008340BB">
              <w:rPr>
                <w:color w:val="0D0D0D"/>
              </w:rPr>
              <w:t>In the first half of the 2007-2013 programming period, the main challenges in the creation and storage of administrative capacity of MA, and especially of the beneficiaries, were related to the lack of human resources with the necessary level of competence, the high turnover of staff, lack of sufficient training, incentives and technical conditions for the work of staff whose duties are directly related to the preparation, implementation and monitoring of projects in the OPT 2007-2013.</w:t>
            </w:r>
          </w:p>
          <w:p w14:paraId="3C3647A4" w14:textId="77777777" w:rsidR="00F1341F" w:rsidRPr="008340BB" w:rsidRDefault="00F1341F" w:rsidP="004F0D97">
            <w:pPr>
              <w:spacing w:after="0"/>
              <w:rPr>
                <w:szCs w:val="24"/>
              </w:rPr>
            </w:pPr>
            <w:r w:rsidRPr="008340BB">
              <w:rPr>
                <w:szCs w:val="24"/>
              </w:rPr>
              <w:t xml:space="preserve">According to the interim evaluation, carried out in 2011, all beneficiaries </w:t>
            </w:r>
            <w:r w:rsidRPr="008340BB">
              <w:t xml:space="preserve">excluding Metropolitan </w:t>
            </w:r>
            <w:r w:rsidRPr="008340BB">
              <w:rPr>
                <w:szCs w:val="24"/>
              </w:rPr>
              <w:t xml:space="preserve">EAD reported difficulties faced </w:t>
            </w:r>
            <w:r w:rsidRPr="008340BB">
              <w:t>with respect to their administrative capacity for the preparation, management</w:t>
            </w:r>
            <w:r w:rsidRPr="008340BB">
              <w:rPr>
                <w:szCs w:val="24"/>
              </w:rPr>
              <w:t xml:space="preserve">, implementation, monitoring, control and reporting of projects under OPT 2007-2013: "complicated procedures for management and control (RIA and </w:t>
            </w:r>
            <w:r w:rsidRPr="008340BB">
              <w:t>NCRI</w:t>
            </w:r>
            <w:r w:rsidRPr="008340BB">
              <w:rPr>
                <w:szCs w:val="24"/>
              </w:rPr>
              <w:t>), incompatibility between the management and control systems and the requirements of the OPT, and ineffective application of the developed procedures (EA EMDR); overlapping of functions within the respective administrative units (</w:t>
            </w:r>
            <w:r w:rsidRPr="008340BB">
              <w:t xml:space="preserve">NCRI </w:t>
            </w:r>
            <w:r w:rsidRPr="008340BB">
              <w:rPr>
                <w:szCs w:val="24"/>
              </w:rPr>
              <w:t>and BPIC); low efficiency level (</w:t>
            </w:r>
            <w:r w:rsidRPr="008340BB">
              <w:t>NCRI</w:t>
            </w:r>
            <w:r w:rsidRPr="008340BB">
              <w:rPr>
                <w:szCs w:val="24"/>
              </w:rPr>
              <w:t>, RIA and BPIC), low (</w:t>
            </w:r>
            <w:r w:rsidRPr="008340BB">
              <w:t xml:space="preserve">NCRI </w:t>
            </w:r>
            <w:r w:rsidRPr="008340BB">
              <w:rPr>
                <w:szCs w:val="24"/>
              </w:rPr>
              <w:t xml:space="preserve">and RIA) or unsatisfactory (BPIC and EA EMDR) degree of implementation of the different phases of the projects." The problems of administrative capacity in the rail and road sector are invariably listed in the </w:t>
            </w:r>
            <w:r w:rsidRPr="008340BB">
              <w:rPr>
                <w:szCs w:val="24"/>
              </w:rPr>
              <w:lastRenderedPageBreak/>
              <w:t>Recommendations of the Council on NRP 2012 and 2013, as well as position of the Commission Services on the development of the Partnership Agreement and programmes for the 2014-2020 programming period.</w:t>
            </w:r>
          </w:p>
          <w:p w14:paraId="096732F3" w14:textId="77777777" w:rsidR="00F1341F" w:rsidRPr="008340BB" w:rsidRDefault="00F1341F" w:rsidP="004F0D97">
            <w:pPr>
              <w:spacing w:after="0"/>
              <w:rPr>
                <w:rStyle w:val="hps"/>
                <w:szCs w:val="24"/>
              </w:rPr>
            </w:pPr>
            <w:r w:rsidRPr="008340BB">
              <w:rPr>
                <w:rStyle w:val="hps"/>
              </w:rPr>
              <w:t>The analysis of the strengths</w:t>
            </w:r>
            <w:r w:rsidRPr="008340BB">
              <w:t xml:space="preserve">, weaknesses, </w:t>
            </w:r>
            <w:r w:rsidRPr="008340BB">
              <w:rPr>
                <w:rStyle w:val="hps"/>
              </w:rPr>
              <w:t>opportunities and threats</w:t>
            </w:r>
            <w:r w:rsidRPr="008340BB">
              <w:t xml:space="preserve"> </w:t>
            </w:r>
            <w:r w:rsidRPr="008340BB">
              <w:rPr>
                <w:rStyle w:val="hps"/>
              </w:rPr>
              <w:t>(SWOT</w:t>
            </w:r>
            <w:r w:rsidRPr="008340BB">
              <w:t xml:space="preserve"> </w:t>
            </w:r>
            <w:r w:rsidRPr="008340BB">
              <w:rPr>
                <w:rStyle w:val="hps"/>
              </w:rPr>
              <w:t>analysis)</w:t>
            </w:r>
            <w:r w:rsidRPr="008340BB">
              <w:t xml:space="preserve"> </w:t>
            </w:r>
            <w:r w:rsidRPr="008340BB">
              <w:rPr>
                <w:rStyle w:val="hps"/>
              </w:rPr>
              <w:t>of the transport system</w:t>
            </w:r>
            <w:r w:rsidRPr="008340BB">
              <w:t xml:space="preserve"> </w:t>
            </w:r>
            <w:r w:rsidRPr="008340BB">
              <w:rPr>
                <w:rStyle w:val="hps"/>
              </w:rPr>
              <w:t>and the transport modes, developed by the Working Group on preparation of</w:t>
            </w:r>
            <w:r w:rsidRPr="008340BB">
              <w:t xml:space="preserve"> </w:t>
            </w:r>
            <w:r w:rsidRPr="008340BB">
              <w:rPr>
                <w:rStyle w:val="hps"/>
              </w:rPr>
              <w:t>the</w:t>
            </w:r>
            <w:r w:rsidRPr="008340BB">
              <w:t xml:space="preserve"> </w:t>
            </w:r>
            <w:r w:rsidRPr="008340BB">
              <w:rPr>
                <w:rStyle w:val="hps"/>
              </w:rPr>
              <w:t>OPTTI</w:t>
            </w:r>
            <w:r w:rsidRPr="008340BB">
              <w:t xml:space="preserve"> </w:t>
            </w:r>
            <w:r w:rsidRPr="008340BB">
              <w:rPr>
                <w:rStyle w:val="hps"/>
              </w:rPr>
              <w:t>2014-2020, in the process of preparation of the Programme Strategy,</w:t>
            </w:r>
            <w:r w:rsidRPr="008340BB">
              <w:t xml:space="preserve"> </w:t>
            </w:r>
            <w:r w:rsidRPr="008340BB">
              <w:rPr>
                <w:rStyle w:val="hps"/>
              </w:rPr>
              <w:t>shows that,</w:t>
            </w:r>
            <w:r w:rsidRPr="008340BB">
              <w:t xml:space="preserve"> </w:t>
            </w:r>
            <w:r w:rsidRPr="008340BB">
              <w:rPr>
                <w:rStyle w:val="hps"/>
              </w:rPr>
              <w:t>at present,</w:t>
            </w:r>
            <w:r w:rsidRPr="008340BB">
              <w:t xml:space="preserve"> </w:t>
            </w:r>
            <w:r w:rsidRPr="008340BB">
              <w:rPr>
                <w:rStyle w:val="hps"/>
              </w:rPr>
              <w:t>some of the major</w:t>
            </w:r>
            <w:r w:rsidRPr="008340BB">
              <w:t xml:space="preserve"> </w:t>
            </w:r>
            <w:r w:rsidRPr="008340BB">
              <w:rPr>
                <w:rStyle w:val="hps"/>
              </w:rPr>
              <w:t>challenges</w:t>
            </w:r>
            <w:r w:rsidRPr="008340BB">
              <w:t xml:space="preserve"> </w:t>
            </w:r>
            <w:r w:rsidRPr="008340BB">
              <w:rPr>
                <w:rStyle w:val="hps"/>
              </w:rPr>
              <w:t>were overcome</w:t>
            </w:r>
            <w:r w:rsidRPr="008340BB">
              <w:t xml:space="preserve"> </w:t>
            </w:r>
            <w:r w:rsidRPr="008340BB">
              <w:rPr>
                <w:rStyle w:val="hps"/>
              </w:rPr>
              <w:t>to a significant</w:t>
            </w:r>
            <w:r w:rsidRPr="008340BB">
              <w:t xml:space="preserve"> </w:t>
            </w:r>
            <w:r w:rsidRPr="008340BB">
              <w:rPr>
                <w:rStyle w:val="hps"/>
              </w:rPr>
              <w:t>degree. The main results</w:t>
            </w:r>
            <w:r w:rsidRPr="008340BB">
              <w:t xml:space="preserve"> </w:t>
            </w:r>
            <w:r w:rsidRPr="008340BB">
              <w:rPr>
                <w:rStyle w:val="hps"/>
              </w:rPr>
              <w:t>are achieved by</w:t>
            </w:r>
            <w:r w:rsidRPr="008340BB">
              <w:t xml:space="preserve"> </w:t>
            </w:r>
            <w:r w:rsidRPr="008340BB">
              <w:rPr>
                <w:rStyle w:val="hps"/>
              </w:rPr>
              <w:t>implementation of a number of measures (projects)</w:t>
            </w:r>
            <w:r w:rsidRPr="008340BB">
              <w:t xml:space="preserve"> </w:t>
            </w:r>
            <w:r w:rsidRPr="008340BB">
              <w:rPr>
                <w:rStyle w:val="hps"/>
              </w:rPr>
              <w:t>under the OPT</w:t>
            </w:r>
            <w:r w:rsidRPr="008340BB">
              <w:t xml:space="preserve"> </w:t>
            </w:r>
            <w:r w:rsidRPr="008340BB">
              <w:rPr>
                <w:rStyle w:val="hps"/>
              </w:rPr>
              <w:t>2007-2013 (</w:t>
            </w:r>
            <w:r w:rsidRPr="008340BB">
              <w:t xml:space="preserve">under </w:t>
            </w:r>
            <w:r w:rsidR="00CF6269">
              <w:t>p</w:t>
            </w:r>
            <w:r w:rsidRPr="008340BB">
              <w:rPr>
                <w:szCs w:val="24"/>
              </w:rPr>
              <w:t>riority axis 5</w:t>
            </w:r>
            <w:r w:rsidRPr="008340BB">
              <w:t xml:space="preserve"> "Technical </w:t>
            </w:r>
            <w:r w:rsidRPr="008340BB">
              <w:rPr>
                <w:rStyle w:val="hps"/>
              </w:rPr>
              <w:t>Assistance"</w:t>
            </w:r>
            <w:r w:rsidRPr="008340BB">
              <w:t>), and provision of external expertise (</w:t>
            </w:r>
            <w:r w:rsidRPr="008340BB">
              <w:rPr>
                <w:rStyle w:val="hps"/>
              </w:rPr>
              <w:t xml:space="preserve">JASPERS </w:t>
            </w:r>
            <w:r w:rsidRPr="008340BB">
              <w:rPr>
                <w:szCs w:val="24"/>
              </w:rPr>
              <w:t>initiative of the EIB, other IFIs</w:t>
            </w:r>
            <w:r w:rsidRPr="008340BB">
              <w:t>)</w:t>
            </w:r>
            <w:r w:rsidRPr="008340BB">
              <w:rPr>
                <w:rStyle w:val="hps"/>
              </w:rPr>
              <w:t>, namely:</w:t>
            </w:r>
          </w:p>
          <w:p w14:paraId="571A5BFC" w14:textId="2A41C1A5" w:rsidR="00F1341F" w:rsidRPr="008340BB" w:rsidRDefault="00F1341F" w:rsidP="004F0D97">
            <w:pPr>
              <w:pStyle w:val="ListParagraph"/>
              <w:numPr>
                <w:ilvl w:val="0"/>
                <w:numId w:val="67"/>
              </w:numPr>
              <w:spacing w:before="120" w:after="0"/>
              <w:ind w:left="425" w:hanging="357"/>
              <w:rPr>
                <w:color w:val="0D0D0D"/>
              </w:rPr>
            </w:pPr>
            <w:r w:rsidRPr="008340BB">
              <w:rPr>
                <w:color w:val="0D0D0D"/>
              </w:rPr>
              <w:t xml:space="preserve">Developed and implemented in the railway sector were models for business processes; methodology for project management, including institutional arrangements for its implementation; strategic guidance for the development and optimization of human resources and processes associated with the introduction of new models for operation and maintenance of the rail track. The "Provision of Advisory Services" project was completed at the end of January 2014, in connection with the restructuring of the railway sector in the Republic of Bulgaria, with beneficiary MA of OPT 2007-2013.  </w:t>
            </w:r>
            <w:r w:rsidR="003F110C">
              <w:rPr>
                <w:color w:val="0D0D0D"/>
              </w:rPr>
              <w:t>I</w:t>
            </w:r>
            <w:r w:rsidRPr="008340BB">
              <w:rPr>
                <w:color w:val="0D0D0D"/>
              </w:rPr>
              <w:t>mplement</w:t>
            </w:r>
            <w:r w:rsidR="003F110C">
              <w:rPr>
                <w:color w:val="0D0D0D"/>
              </w:rPr>
              <w:t>ed</w:t>
            </w:r>
            <w:r w:rsidRPr="008340BB">
              <w:rPr>
                <w:color w:val="0D0D0D"/>
              </w:rPr>
              <w:t xml:space="preserve">, with beneficiary </w:t>
            </w:r>
            <w:r w:rsidR="00F2775C">
              <w:rPr>
                <w:color w:val="0D0D0D"/>
              </w:rPr>
              <w:t>NRIC</w:t>
            </w:r>
            <w:r w:rsidRPr="008340BB">
              <w:rPr>
                <w:color w:val="0D0D0D"/>
              </w:rPr>
              <w:t xml:space="preserve">, are projects for improvement of the material and technical base, for covering the costs associated with training and development of human resources and for the design and implementation of a system for planning and resource management in the company; </w:t>
            </w:r>
          </w:p>
          <w:p w14:paraId="2947A5DE" w14:textId="57E232B5" w:rsidR="00F1341F" w:rsidRPr="008340BB" w:rsidRDefault="00F1341F" w:rsidP="004F0D97">
            <w:pPr>
              <w:pStyle w:val="ListParagraph"/>
              <w:numPr>
                <w:ilvl w:val="0"/>
                <w:numId w:val="67"/>
              </w:numPr>
              <w:spacing w:before="120" w:after="0"/>
              <w:ind w:left="425" w:hanging="357"/>
              <w:rPr>
                <w:color w:val="0D0D0D"/>
              </w:rPr>
            </w:pPr>
            <w:r w:rsidRPr="008340BB">
              <w:rPr>
                <w:color w:val="0D0D0D"/>
              </w:rPr>
              <w:t xml:space="preserve">A RIA strategic business plan and </w:t>
            </w:r>
            <w:r w:rsidR="00C10861">
              <w:rPr>
                <w:color w:val="0D0D0D"/>
              </w:rPr>
              <w:t xml:space="preserve">a </w:t>
            </w:r>
            <w:r w:rsidRPr="008340BB">
              <w:rPr>
                <w:color w:val="0D0D0D"/>
              </w:rPr>
              <w:t xml:space="preserve">business model </w:t>
            </w:r>
            <w:r w:rsidR="002162EA" w:rsidRPr="008340BB">
              <w:rPr>
                <w:color w:val="0D0D0D"/>
              </w:rPr>
              <w:t xml:space="preserve">for the operation of the </w:t>
            </w:r>
            <w:r w:rsidR="00D56C1C">
              <w:rPr>
                <w:color w:val="0D0D0D"/>
              </w:rPr>
              <w:t>NCSIP</w:t>
            </w:r>
            <w:r w:rsidR="002162EA" w:rsidRPr="008340BB">
              <w:rPr>
                <w:color w:val="0D0D0D"/>
              </w:rPr>
              <w:t xml:space="preserve"> </w:t>
            </w:r>
            <w:r w:rsidRPr="008340BB">
              <w:rPr>
                <w:color w:val="0D0D0D"/>
              </w:rPr>
              <w:t>w</w:t>
            </w:r>
            <w:r w:rsidR="002162EA">
              <w:rPr>
                <w:color w:val="0D0D0D"/>
              </w:rPr>
              <w:t>ere</w:t>
            </w:r>
            <w:r w:rsidRPr="008340BB">
              <w:rPr>
                <w:color w:val="0D0D0D"/>
              </w:rPr>
              <w:t xml:space="preserve"> developed in the road sector. Implement</w:t>
            </w:r>
            <w:r w:rsidR="0022491C">
              <w:rPr>
                <w:color w:val="0D0D0D"/>
              </w:rPr>
              <w:t>ed</w:t>
            </w:r>
            <w:r w:rsidRPr="008340BB">
              <w:rPr>
                <w:color w:val="0D0D0D"/>
              </w:rPr>
              <w:t xml:space="preserve"> are projects with RIA as the end beneficiary for improving the efficiency of the road sector in the Republic of Bulgaria, for improving the material and technical base, and for covering the costs for staff training and seminars for the employees, directly engaged in the preparation, implementation and monitoring of projects under OPT 2007-2013. The project for improving the material and technical base was completed, </w:t>
            </w:r>
            <w:r w:rsidR="0086174D">
              <w:rPr>
                <w:color w:val="0D0D0D"/>
              </w:rPr>
              <w:t>as well as the</w:t>
            </w:r>
            <w:r w:rsidRPr="008340BB">
              <w:rPr>
                <w:color w:val="0D0D0D"/>
              </w:rPr>
              <w:t xml:space="preserve"> projects for external expertise of the EIB in the development of major road projects with beneficiary NCSIP.</w:t>
            </w:r>
            <w:r w:rsidR="0058745D">
              <w:rPr>
                <w:color w:val="0D0D0D"/>
              </w:rPr>
              <w:t xml:space="preserve">   </w:t>
            </w:r>
          </w:p>
          <w:p w14:paraId="3CB30EE3" w14:textId="77777777" w:rsidR="00F1341F" w:rsidRPr="008340BB" w:rsidRDefault="00F1341F" w:rsidP="004F0D97">
            <w:pPr>
              <w:pStyle w:val="ListParagraph"/>
              <w:numPr>
                <w:ilvl w:val="0"/>
                <w:numId w:val="67"/>
              </w:numPr>
              <w:spacing w:before="120" w:after="0"/>
              <w:ind w:left="425" w:hanging="357"/>
              <w:rPr>
                <w:color w:val="0D0D0D"/>
              </w:rPr>
            </w:pPr>
            <w:r w:rsidRPr="008340BB">
              <w:rPr>
                <w:rStyle w:val="hps"/>
              </w:rPr>
              <w:t>In</w:t>
            </w:r>
            <w:r w:rsidRPr="008340BB">
              <w:t xml:space="preserve"> </w:t>
            </w:r>
            <w:r w:rsidRPr="008340BB">
              <w:rPr>
                <w:rStyle w:val="hps"/>
              </w:rPr>
              <w:t>February 2014,</w:t>
            </w:r>
            <w:r w:rsidRPr="008340BB">
              <w:t xml:space="preserve"> </w:t>
            </w:r>
            <w:r w:rsidRPr="008340BB">
              <w:rPr>
                <w:rStyle w:val="hps"/>
              </w:rPr>
              <w:t>the project "</w:t>
            </w:r>
            <w:r w:rsidRPr="008340BB">
              <w:t xml:space="preserve">Strengthening the administrative capacity </w:t>
            </w:r>
            <w:r w:rsidRPr="008340BB">
              <w:rPr>
                <w:rStyle w:val="hps"/>
              </w:rPr>
              <w:t>of</w:t>
            </w:r>
            <w:r w:rsidRPr="008340BB">
              <w:t xml:space="preserve"> </w:t>
            </w:r>
            <w:r w:rsidRPr="008340BB">
              <w:rPr>
                <w:szCs w:val="24"/>
              </w:rPr>
              <w:t xml:space="preserve">BPIC </w:t>
            </w:r>
            <w:r w:rsidRPr="008340BB">
              <w:t>for p</w:t>
            </w:r>
            <w:r w:rsidRPr="008340BB">
              <w:rPr>
                <w:rStyle w:val="hps"/>
              </w:rPr>
              <w:t>roject implementation</w:t>
            </w:r>
            <w:r w:rsidRPr="008340BB">
              <w:t xml:space="preserve"> under </w:t>
            </w:r>
            <w:r w:rsidRPr="008340BB">
              <w:rPr>
                <w:rStyle w:val="hps"/>
              </w:rPr>
              <w:t>OPT</w:t>
            </w:r>
            <w:r w:rsidRPr="008340BB">
              <w:t xml:space="preserve"> </w:t>
            </w:r>
            <w:r w:rsidRPr="008340BB">
              <w:rPr>
                <w:rStyle w:val="hps"/>
              </w:rPr>
              <w:t>2007-2013" was completed</w:t>
            </w:r>
            <w:r w:rsidRPr="008340BB">
              <w:t xml:space="preserve">, </w:t>
            </w:r>
            <w:r w:rsidRPr="008340BB">
              <w:rPr>
                <w:rStyle w:val="hps"/>
              </w:rPr>
              <w:t>funded</w:t>
            </w:r>
            <w:r w:rsidRPr="008340BB">
              <w:t xml:space="preserve"> </w:t>
            </w:r>
            <w:r w:rsidRPr="008340BB">
              <w:rPr>
                <w:rStyle w:val="hps"/>
              </w:rPr>
              <w:t>by</w:t>
            </w:r>
            <w:r w:rsidRPr="008340BB">
              <w:t xml:space="preserve"> </w:t>
            </w:r>
            <w:r w:rsidRPr="008340BB">
              <w:rPr>
                <w:rStyle w:val="hps"/>
              </w:rPr>
              <w:t>the Priority Axis "Technical Assistance</w:t>
            </w:r>
            <w:r w:rsidRPr="008340BB">
              <w:t xml:space="preserve">", </w:t>
            </w:r>
            <w:r w:rsidR="006079CB">
              <w:t xml:space="preserve">as well as </w:t>
            </w:r>
            <w:r w:rsidRPr="008340BB">
              <w:t xml:space="preserve">the </w:t>
            </w:r>
            <w:r w:rsidRPr="008340BB">
              <w:rPr>
                <w:rStyle w:val="hps"/>
              </w:rPr>
              <w:t>project</w:t>
            </w:r>
            <w:r w:rsidRPr="008340BB">
              <w:t xml:space="preserve"> </w:t>
            </w:r>
            <w:r w:rsidRPr="008340BB">
              <w:rPr>
                <w:rStyle w:val="hps"/>
              </w:rPr>
              <w:t>"</w:t>
            </w:r>
            <w:r w:rsidRPr="008340BB">
              <w:t xml:space="preserve">Improvement of the material and </w:t>
            </w:r>
            <w:r w:rsidRPr="008340BB">
              <w:rPr>
                <w:rStyle w:val="hps"/>
              </w:rPr>
              <w:t>technical</w:t>
            </w:r>
            <w:r w:rsidRPr="008340BB">
              <w:t xml:space="preserve"> </w:t>
            </w:r>
            <w:r w:rsidRPr="008340BB">
              <w:rPr>
                <w:rStyle w:val="hps"/>
              </w:rPr>
              <w:t>conditions</w:t>
            </w:r>
            <w:r w:rsidRPr="008340BB">
              <w:t xml:space="preserve"> </w:t>
            </w:r>
            <w:r w:rsidRPr="008340BB">
              <w:rPr>
                <w:rStyle w:val="hps"/>
              </w:rPr>
              <w:t xml:space="preserve">of </w:t>
            </w:r>
            <w:r w:rsidRPr="008340BB">
              <w:rPr>
                <w:szCs w:val="24"/>
              </w:rPr>
              <w:t>BPIC</w:t>
            </w:r>
            <w:r w:rsidRPr="008340BB">
              <w:t xml:space="preserve">, </w:t>
            </w:r>
            <w:r w:rsidRPr="008340BB">
              <w:rPr>
                <w:rStyle w:val="hps"/>
              </w:rPr>
              <w:t>in its capacity as</w:t>
            </w:r>
            <w:r w:rsidRPr="008340BB">
              <w:t xml:space="preserve"> </w:t>
            </w:r>
            <w:r w:rsidRPr="008340BB">
              <w:rPr>
                <w:rStyle w:val="hps"/>
              </w:rPr>
              <w:t>a specific beneficiary under</w:t>
            </w:r>
            <w:r w:rsidRPr="008340BB">
              <w:t xml:space="preserve"> </w:t>
            </w:r>
            <w:r w:rsidRPr="008340BB">
              <w:rPr>
                <w:rStyle w:val="hps"/>
              </w:rPr>
              <w:t>OPT</w:t>
            </w:r>
            <w:r w:rsidRPr="008340BB">
              <w:t xml:space="preserve"> </w:t>
            </w:r>
            <w:r w:rsidRPr="008340BB">
              <w:rPr>
                <w:rStyle w:val="hps"/>
              </w:rPr>
              <w:t xml:space="preserve">2007-2013." </w:t>
            </w:r>
          </w:p>
          <w:p w14:paraId="3C4F011E" w14:textId="127D1DE4" w:rsidR="00F1341F" w:rsidRPr="008340BB" w:rsidRDefault="00F1341F" w:rsidP="00C640A0">
            <w:pPr>
              <w:pStyle w:val="ListParagraph"/>
              <w:spacing w:before="120" w:after="120"/>
              <w:ind w:left="68"/>
            </w:pPr>
            <w:r w:rsidRPr="008340BB">
              <w:t>In the last three years, the tendency persists towards low staff turnover. Depending on their functions under the job description, remuneration of employees in MA and those in the beneficiaries involved in the preparation and monitoring of projects is being paid fully or partially under Priority Axis "Technical Assistance" of OPT 2007-2013, and of those employed in the units for implementation (and management) of infrastructure projects - from the budget of the specific project.</w:t>
            </w:r>
          </w:p>
          <w:p w14:paraId="3DEAAFE5" w14:textId="617B941B" w:rsidR="00F1341F" w:rsidRPr="008340BB" w:rsidRDefault="00F1341F" w:rsidP="00C640A0">
            <w:pPr>
              <w:pStyle w:val="ListParagraph"/>
              <w:spacing w:before="120" w:after="120"/>
              <w:ind w:left="68"/>
              <w:rPr>
                <w:color w:val="0D0D0D"/>
              </w:rPr>
            </w:pPr>
            <w:r w:rsidRPr="008340BB">
              <w:rPr>
                <w:color w:val="0D0D0D"/>
              </w:rPr>
              <w:t xml:space="preserve">During the 2014-2020 programming period, it will be necessary to take measures to ensure the sustainability of the results achieved in terms of improving and upgrading the administrative capacity of the MA and beneficiaries under OPT 2007-2013, both through the use of Priority Axis 5 "Technical Assistance" of OPTTI 2014-2020 and </w:t>
            </w:r>
            <w:r w:rsidRPr="008340BB">
              <w:rPr>
                <w:color w:val="0D0D0D"/>
              </w:rPr>
              <w:lastRenderedPageBreak/>
              <w:t>through the continued implementation of the JASPERS initiative and by attracting the expertise of the IFIs - the World Bank, EBRD, EIB, etc.</w:t>
            </w:r>
          </w:p>
          <w:p w14:paraId="6F6AAF6B" w14:textId="77777777" w:rsidR="00F1341F" w:rsidRPr="008340BB" w:rsidRDefault="00F1341F" w:rsidP="00243777">
            <w:pPr>
              <w:pStyle w:val="ListParagraph"/>
              <w:spacing w:before="120" w:after="120"/>
              <w:ind w:left="0"/>
              <w:rPr>
                <w:szCs w:val="24"/>
                <w:lang w:eastAsia="bg-BG"/>
              </w:rPr>
            </w:pPr>
            <w:r w:rsidRPr="008340BB">
              <w:rPr>
                <w:szCs w:val="24"/>
                <w:lang w:eastAsia="bg-BG"/>
              </w:rPr>
              <w:t>In view of the fact that until the completion of the preparation of the OPTTI 2014-2020 the draft of the new State Aid Act, which introduces a provision for maintaining the administrative capacity of all administrators of such state aid, including the Managing Authorities of the Operational Programmes, has not been approved yet, in order to ensure implementation of Article 5 of the General Provisions - "State aid" the obligation of the Managing Authority of the OPTTI 2014-2020 shall be to build and maintain administrative capacity in the field of state aid.</w:t>
            </w:r>
          </w:p>
          <w:p w14:paraId="6AD883CB" w14:textId="5C31DC5B" w:rsidR="00F1341F" w:rsidRPr="008340BB" w:rsidRDefault="00F1341F" w:rsidP="00787E0F">
            <w:r w:rsidRPr="008340BB">
              <w:rPr>
                <w:rStyle w:val="hps"/>
              </w:rPr>
              <w:t>The identified</w:t>
            </w:r>
            <w:r w:rsidRPr="008340BB">
              <w:t xml:space="preserve"> </w:t>
            </w:r>
            <w:r w:rsidRPr="008340BB">
              <w:rPr>
                <w:rStyle w:val="hps"/>
              </w:rPr>
              <w:t>problems</w:t>
            </w:r>
            <w:r w:rsidRPr="008340BB">
              <w:t xml:space="preserve"> with delays </w:t>
            </w:r>
            <w:r w:rsidRPr="008340BB">
              <w:rPr>
                <w:rStyle w:val="hps"/>
              </w:rPr>
              <w:t>in the implementation of</w:t>
            </w:r>
            <w:r w:rsidRPr="008340BB">
              <w:t xml:space="preserve"> </w:t>
            </w:r>
            <w:r w:rsidRPr="008340BB">
              <w:rPr>
                <w:rStyle w:val="hps"/>
              </w:rPr>
              <w:t>public procurement procedures</w:t>
            </w:r>
            <w:r w:rsidRPr="008340BB">
              <w:t xml:space="preserve"> </w:t>
            </w:r>
            <w:r w:rsidRPr="008340BB">
              <w:rPr>
                <w:rStyle w:val="hps"/>
              </w:rPr>
              <w:t>for selection of contractors</w:t>
            </w:r>
            <w:r w:rsidRPr="008340BB">
              <w:t xml:space="preserve"> have been </w:t>
            </w:r>
            <w:r w:rsidRPr="008340BB">
              <w:rPr>
                <w:rStyle w:val="hps"/>
              </w:rPr>
              <w:t>also</w:t>
            </w:r>
            <w:r w:rsidRPr="008340BB">
              <w:t xml:space="preserve"> </w:t>
            </w:r>
            <w:r w:rsidRPr="008340BB">
              <w:rPr>
                <w:rStyle w:val="hps"/>
              </w:rPr>
              <w:t>taken</w:t>
            </w:r>
            <w:r w:rsidRPr="008340BB">
              <w:t xml:space="preserve"> </w:t>
            </w:r>
            <w:r w:rsidRPr="008340BB">
              <w:rPr>
                <w:rStyle w:val="hps"/>
              </w:rPr>
              <w:t>into account during</w:t>
            </w:r>
            <w:r w:rsidRPr="008340BB">
              <w:t xml:space="preserve"> </w:t>
            </w:r>
            <w:r w:rsidRPr="008340BB">
              <w:rPr>
                <w:rStyle w:val="hps"/>
              </w:rPr>
              <w:t>the development of</w:t>
            </w:r>
            <w:r w:rsidRPr="008340BB">
              <w:t xml:space="preserve"> </w:t>
            </w:r>
            <w:r w:rsidRPr="008340BB">
              <w:rPr>
                <w:rStyle w:val="hps"/>
              </w:rPr>
              <w:t>OPTTI</w:t>
            </w:r>
            <w:r w:rsidRPr="008340BB">
              <w:t xml:space="preserve"> </w:t>
            </w:r>
            <w:r w:rsidRPr="008340BB">
              <w:rPr>
                <w:rStyle w:val="hps"/>
              </w:rPr>
              <w:t>2014-2020</w:t>
            </w:r>
            <w:r w:rsidRPr="008340BB">
              <w:t xml:space="preserve">. </w:t>
            </w:r>
            <w:r w:rsidRPr="008340BB">
              <w:rPr>
                <w:rStyle w:val="hps"/>
              </w:rPr>
              <w:t>In order to</w:t>
            </w:r>
            <w:r w:rsidRPr="008340BB">
              <w:t xml:space="preserve"> </w:t>
            </w:r>
            <w:r w:rsidRPr="008340BB">
              <w:rPr>
                <w:rStyle w:val="hps"/>
              </w:rPr>
              <w:t>minimize</w:t>
            </w:r>
            <w:r w:rsidRPr="008340BB">
              <w:t xml:space="preserve"> </w:t>
            </w:r>
            <w:r w:rsidRPr="008340BB">
              <w:rPr>
                <w:rStyle w:val="hps"/>
              </w:rPr>
              <w:t>the risk with regard to</w:t>
            </w:r>
            <w:r w:rsidRPr="008340BB">
              <w:t xml:space="preserve"> </w:t>
            </w:r>
            <w:r w:rsidRPr="008340BB">
              <w:rPr>
                <w:rStyle w:val="hps"/>
              </w:rPr>
              <w:t>completion of projects</w:t>
            </w:r>
            <w:r w:rsidRPr="008340BB">
              <w:t xml:space="preserve"> </w:t>
            </w:r>
            <w:r w:rsidRPr="008340BB">
              <w:rPr>
                <w:rStyle w:val="hps"/>
              </w:rPr>
              <w:t>within the</w:t>
            </w:r>
            <w:r w:rsidRPr="008340BB">
              <w:t xml:space="preserve"> </w:t>
            </w:r>
            <w:r w:rsidRPr="008340BB">
              <w:rPr>
                <w:rStyle w:val="hps"/>
              </w:rPr>
              <w:t>eligibility period</w:t>
            </w:r>
            <w:r w:rsidRPr="008340BB">
              <w:t xml:space="preserve"> </w:t>
            </w:r>
            <w:r w:rsidRPr="008340BB">
              <w:rPr>
                <w:rStyle w:val="hps"/>
              </w:rPr>
              <w:t>of the programme,</w:t>
            </w:r>
            <w:r w:rsidRPr="008340BB">
              <w:t xml:space="preserve"> the </w:t>
            </w:r>
            <w:r w:rsidRPr="008340BB">
              <w:rPr>
                <w:rStyle w:val="hps"/>
              </w:rPr>
              <w:t>efforts are focused on</w:t>
            </w:r>
            <w:r w:rsidRPr="008340BB">
              <w:t xml:space="preserve"> conducting the </w:t>
            </w:r>
            <w:r w:rsidRPr="008340BB">
              <w:rPr>
                <w:rStyle w:val="hps"/>
              </w:rPr>
              <w:t>public procurement</w:t>
            </w:r>
            <w:r w:rsidRPr="008340BB">
              <w:t xml:space="preserve"> </w:t>
            </w:r>
            <w:r w:rsidRPr="008340BB">
              <w:rPr>
                <w:rStyle w:val="hps"/>
              </w:rPr>
              <w:t>procedures</w:t>
            </w:r>
            <w:r w:rsidRPr="008340BB">
              <w:t xml:space="preserve"> </w:t>
            </w:r>
            <w:r w:rsidRPr="008340BB">
              <w:rPr>
                <w:rStyle w:val="hps"/>
              </w:rPr>
              <w:t>for selection of contractors</w:t>
            </w:r>
            <w:r w:rsidRPr="008340BB">
              <w:t xml:space="preserve"> </w:t>
            </w:r>
            <w:r w:rsidRPr="008340BB">
              <w:rPr>
                <w:rStyle w:val="hps"/>
              </w:rPr>
              <w:t>in</w:t>
            </w:r>
            <w:r w:rsidRPr="008340BB">
              <w:t xml:space="preserve"> </w:t>
            </w:r>
            <w:r w:rsidRPr="008340BB">
              <w:rPr>
                <w:rStyle w:val="hps"/>
              </w:rPr>
              <w:t>its first</w:t>
            </w:r>
            <w:r w:rsidRPr="008340BB">
              <w:t xml:space="preserve"> </w:t>
            </w:r>
            <w:r w:rsidRPr="008340BB">
              <w:rPr>
                <w:rStyle w:val="hps"/>
              </w:rPr>
              <w:t>half</w:t>
            </w:r>
            <w:r w:rsidRPr="008340BB">
              <w:t xml:space="preserve"> </w:t>
            </w:r>
            <w:r w:rsidRPr="008340BB">
              <w:rPr>
                <w:rStyle w:val="hps"/>
              </w:rPr>
              <w:t>-</w:t>
            </w:r>
            <w:r w:rsidRPr="008340BB">
              <w:t xml:space="preserve"> </w:t>
            </w:r>
            <w:r w:rsidRPr="008340BB">
              <w:rPr>
                <w:rStyle w:val="hps"/>
              </w:rPr>
              <w:t>until mid-</w:t>
            </w:r>
            <w:r w:rsidRPr="008340BB">
              <w:t>2018</w:t>
            </w:r>
            <w:r w:rsidRPr="008340BB">
              <w:rPr>
                <w:rStyle w:val="hps"/>
              </w:rPr>
              <w:t xml:space="preserve">. </w:t>
            </w:r>
            <w:r w:rsidRPr="008340BB">
              <w:rPr>
                <w:iCs/>
                <w:szCs w:val="24"/>
                <w:lang w:eastAsia="bg-BG"/>
              </w:rPr>
              <w:t>Considering one of the main problems - appeal procedures and the suspension of execution for the period of rule by the competent authorities - measures have been taken in NRIC to improve the process of preparing documentation for procurement by clear and transparent criteria for the selection and removal of candidates as well as the evaluation committees’ proceedings. Based on analysis of the main problems that depend on the NRIC as an Employer, since 01.08.2014 new “Internal Rules for procurement and control of implementation of contracts in NRIC” are introduced.</w:t>
            </w:r>
          </w:p>
          <w:p w14:paraId="0F45008E" w14:textId="77777777" w:rsidR="00F1341F" w:rsidRPr="008340BB" w:rsidRDefault="00F1341F" w:rsidP="00787E0F">
            <w:r w:rsidRPr="008340BB">
              <w:t xml:space="preserve">Within Road Infrastructure Agency the main measures for overcoming and non-admission of violations at the award and the conduct of the public procurements are based on the results from the verifications and the recommendations given within the framework of the audits of the operations by the auditing authority, the Bulgarian National Audit Office, EC, </w:t>
            </w:r>
            <w:r w:rsidR="004F0D97" w:rsidRPr="008340BB">
              <w:t>Audit</w:t>
            </w:r>
            <w:r w:rsidRPr="008340BB">
              <w:t xml:space="preserve"> of EU Funds </w:t>
            </w:r>
            <w:r w:rsidR="004F0D97" w:rsidRPr="008340BB">
              <w:t>Executive</w:t>
            </w:r>
            <w:r w:rsidRPr="008340BB">
              <w:t xml:space="preserve"> </w:t>
            </w:r>
            <w:r w:rsidR="004F0D97" w:rsidRPr="008340BB">
              <w:t>Agency</w:t>
            </w:r>
            <w:r w:rsidRPr="008340BB">
              <w:t xml:space="preserve">, etc. Mainly the problems stated related to the award of public procurements can be separated in two groups: at the opening of the procedures and such admitted at the conduct of the procedures, and the following measures were undertaken for their overcoming: </w:t>
            </w:r>
          </w:p>
          <w:p w14:paraId="6532FA29" w14:textId="77777777" w:rsidR="00F1341F" w:rsidRPr="008340BB" w:rsidRDefault="00F1341F" w:rsidP="004F4795">
            <w:pPr>
              <w:widowControl w:val="0"/>
              <w:numPr>
                <w:ilvl w:val="0"/>
                <w:numId w:val="78"/>
              </w:numPr>
              <w:shd w:val="clear" w:color="auto" w:fill="FFFFFF"/>
              <w:autoSpaceDE w:val="0"/>
              <w:autoSpaceDN w:val="0"/>
              <w:adjustRightInd w:val="0"/>
              <w:ind w:left="459" w:hanging="284"/>
            </w:pPr>
            <w:r w:rsidRPr="008340BB">
              <w:t>The „</w:t>
            </w:r>
            <w:r w:rsidRPr="008340BB">
              <w:rPr>
                <w:b/>
              </w:rPr>
              <w:t>Internal Rules</w:t>
            </w:r>
            <w:r w:rsidRPr="008340BB">
              <w:t xml:space="preserve"> for the conduct of procedures and award of public procurements in Road Infrastructure Agency” were updated and brought in compliance with the amendments of the Public Procurement Act (promulgated State Gazette (SG), issue 40 of 13 May 2014) </w:t>
            </w:r>
          </w:p>
          <w:p w14:paraId="6FB3E809" w14:textId="77777777" w:rsidR="00F1341F" w:rsidRPr="008340BB" w:rsidRDefault="00F1341F" w:rsidP="004F4795">
            <w:pPr>
              <w:widowControl w:val="0"/>
              <w:numPr>
                <w:ilvl w:val="0"/>
                <w:numId w:val="78"/>
              </w:numPr>
              <w:shd w:val="clear" w:color="auto" w:fill="FFFFFF"/>
              <w:autoSpaceDE w:val="0"/>
              <w:autoSpaceDN w:val="0"/>
              <w:adjustRightInd w:val="0"/>
              <w:ind w:left="459" w:hanging="284"/>
              <w:rPr>
                <w:rFonts w:ascii="Times New Roman CYR" w:hAnsi="Times New Roman CYR" w:cs="Times New Roman CYR"/>
              </w:rPr>
            </w:pPr>
            <w:r w:rsidRPr="008340BB">
              <w:t>At the preparation of the documentations for participation in the procedures along with the attachments and the templates, the same were</w:t>
            </w:r>
            <w:r w:rsidRPr="008340BB">
              <w:rPr>
                <w:rFonts w:ascii="Times New Roman CYR" w:hAnsi="Times New Roman CYR" w:cs="Times New Roman CYR"/>
              </w:rPr>
              <w:t xml:space="preserve"> </w:t>
            </w:r>
            <w:r w:rsidRPr="008340BB">
              <w:rPr>
                <w:rFonts w:ascii="Times New Roman CYR" w:hAnsi="Times New Roman CYR" w:cs="Times New Roman CYR"/>
                <w:b/>
              </w:rPr>
              <w:t>fully conformed to the Public Procurement Act</w:t>
            </w:r>
            <w:r w:rsidRPr="008340BB">
              <w:rPr>
                <w:rFonts w:ascii="Times New Roman CYR" w:hAnsi="Times New Roman CYR" w:cs="Times New Roman CYR"/>
              </w:rPr>
              <w:t>, from July 2014.</w:t>
            </w:r>
          </w:p>
          <w:p w14:paraId="63D985BF" w14:textId="77777777" w:rsidR="00F1341F" w:rsidRPr="008340BB" w:rsidRDefault="00F1341F" w:rsidP="004F4795">
            <w:pPr>
              <w:widowControl w:val="0"/>
              <w:numPr>
                <w:ilvl w:val="0"/>
                <w:numId w:val="78"/>
              </w:numPr>
              <w:autoSpaceDE w:val="0"/>
              <w:autoSpaceDN w:val="0"/>
              <w:adjustRightInd w:val="0"/>
              <w:ind w:left="459" w:hanging="284"/>
              <w:rPr>
                <w:rFonts w:ascii="Times New Roman CYR" w:hAnsi="Times New Roman CYR" w:cs="Times New Roman CYR"/>
              </w:rPr>
            </w:pPr>
            <w:r w:rsidRPr="008340BB">
              <w:rPr>
                <w:rFonts w:ascii="Times New Roman CYR" w:hAnsi="Times New Roman CYR" w:cs="Times New Roman CYR"/>
              </w:rPr>
              <w:t xml:space="preserve">In compliance with the new Public Procurement Act, the </w:t>
            </w:r>
            <w:r w:rsidRPr="008340BB">
              <w:t>Road Infrastructure Agency in its capacity of a classical Contracting Authority</w:t>
            </w:r>
            <w:r w:rsidRPr="008340BB">
              <w:rPr>
                <w:rFonts w:ascii="Times New Roman CYR" w:hAnsi="Times New Roman CYR" w:cs="Times New Roman CYR"/>
              </w:rPr>
              <w:t xml:space="preserve">, </w:t>
            </w:r>
            <w:r w:rsidRPr="008340BB">
              <w:rPr>
                <w:rFonts w:ascii="Times New Roman CYR" w:hAnsi="Times New Roman CYR" w:cs="Times New Roman CYR"/>
                <w:b/>
              </w:rPr>
              <w:t>maintains a Profile of the Buyer on the official website of the Contracting Authority</w:t>
            </w:r>
            <w:r w:rsidRPr="008340BB">
              <w:rPr>
                <w:rFonts w:ascii="Times New Roman CYR" w:hAnsi="Times New Roman CYR" w:cs="Times New Roman CYR"/>
              </w:rPr>
              <w:t xml:space="preserve">, and through the public access to the documents for award of public procurements full publicity and transparency and possibility for the exercise of public control will be provided as well. </w:t>
            </w:r>
          </w:p>
          <w:p w14:paraId="2AECE08E" w14:textId="77777777" w:rsidR="00F1341F" w:rsidRPr="008340BB" w:rsidRDefault="00F1341F" w:rsidP="004F4795">
            <w:pPr>
              <w:pStyle w:val="ListParagraph"/>
              <w:numPr>
                <w:ilvl w:val="0"/>
                <w:numId w:val="78"/>
              </w:numPr>
              <w:spacing w:before="120" w:after="120"/>
              <w:ind w:left="459" w:hanging="284"/>
              <w:rPr>
                <w:rStyle w:val="hps"/>
              </w:rPr>
            </w:pPr>
            <w:r w:rsidRPr="008340BB">
              <w:t xml:space="preserve">Increase of the administrative capacity of the employees, upgrading of the acquired knowledge and skills and continuous enhancement of the qualification of the employees through participation in specialized </w:t>
            </w:r>
            <w:r w:rsidRPr="008340BB">
              <w:rPr>
                <w:b/>
              </w:rPr>
              <w:t>trainings and workshops</w:t>
            </w:r>
            <w:r w:rsidRPr="008340BB">
              <w:t xml:space="preserve"> </w:t>
            </w:r>
            <w:r w:rsidRPr="008340BB">
              <w:lastRenderedPageBreak/>
              <w:t>in the sphere of the public procurements organized both by Bulgarian and international institutions.</w:t>
            </w:r>
          </w:p>
          <w:p w14:paraId="5C6F7E34" w14:textId="77777777" w:rsidR="00F1341F" w:rsidRPr="008340BB" w:rsidRDefault="00F1341F" w:rsidP="00243777">
            <w:pPr>
              <w:pStyle w:val="ListParagraph"/>
              <w:spacing w:before="120" w:after="120"/>
              <w:ind w:left="0"/>
              <w:rPr>
                <w:szCs w:val="24"/>
                <w:lang w:eastAsia="bg-BG"/>
              </w:rPr>
            </w:pPr>
            <w:r w:rsidRPr="008340BB">
              <w:rPr>
                <w:szCs w:val="24"/>
                <w:lang w:eastAsia="bg-BG"/>
              </w:rPr>
              <w:t xml:space="preserve">At national level on 09.07.2014 a “National strategy for development of public procurement in Bulgaria for the period 2014-2020” was adopted by the Council of Ministers. The implementation of the Strategy will contribute to the elaboration of the legal and institutional framework in the public procurement area, increase in the publicity and transparency in the process of contracts assignment. </w:t>
            </w:r>
          </w:p>
          <w:p w14:paraId="3C4969D5" w14:textId="77777777" w:rsidR="00F1341F" w:rsidRPr="008340BB" w:rsidRDefault="00F1341F" w:rsidP="00262123">
            <w:pPr>
              <w:pStyle w:val="ListParagraph"/>
              <w:spacing w:before="120" w:after="120"/>
              <w:ind w:left="0"/>
            </w:pPr>
            <w:r w:rsidRPr="008340BB">
              <w:t>In developing the overall OPTTI 2014-2020, the following applicable elements in the Position of the Commission Services on the drafting of partnership agreement and programmes in Bulgaria for the period 2014-2020 have been taken into account and reflected:</w:t>
            </w:r>
          </w:p>
          <w:p w14:paraId="676DDB28" w14:textId="77777777" w:rsidR="00F1341F" w:rsidRPr="008340BB" w:rsidRDefault="00F1341F" w:rsidP="004F4795">
            <w:pPr>
              <w:pStyle w:val="ListParagraph"/>
              <w:numPr>
                <w:ilvl w:val="0"/>
                <w:numId w:val="68"/>
              </w:numPr>
              <w:spacing w:before="120" w:after="0"/>
              <w:ind w:left="357" w:hanging="357"/>
            </w:pPr>
            <w:r w:rsidRPr="008340BB">
              <w:t>The identified as major challenges underdevelopment of infrastructure (not very good connectivity and insufficient maintenance and reconstruction of the national and Trans-European Transport Network; low international availability of the "core" TEN-T, including rail, road, inland waterway and maritime transport; the poor technical condition of railway infrastructure, the problems of beneficiaries under OPT 2007-2013 (excluding Metropolitan EAD) with respect to their administrative capacity for the preparation and management of projects and the need for comprehensive reforms in the road and railway sector;</w:t>
            </w:r>
          </w:p>
          <w:p w14:paraId="7C7D7202" w14:textId="77777777" w:rsidR="00F1341F" w:rsidRPr="008340BB" w:rsidRDefault="00F1341F" w:rsidP="004F4795">
            <w:pPr>
              <w:pStyle w:val="ListParagraph"/>
              <w:numPr>
                <w:ilvl w:val="0"/>
                <w:numId w:val="68"/>
              </w:numPr>
              <w:spacing w:before="120" w:after="0"/>
              <w:ind w:left="357" w:hanging="357"/>
            </w:pPr>
            <w:r w:rsidRPr="008340BB">
              <w:rPr>
                <w:rStyle w:val="hps"/>
              </w:rPr>
              <w:t>All recommendations</w:t>
            </w:r>
            <w:r w:rsidRPr="008340BB">
              <w:t xml:space="preserve"> </w:t>
            </w:r>
            <w:r w:rsidRPr="008340BB">
              <w:rPr>
                <w:rStyle w:val="hps"/>
              </w:rPr>
              <w:t>for directing</w:t>
            </w:r>
            <w:r w:rsidRPr="008340BB">
              <w:t xml:space="preserve"> </w:t>
            </w:r>
            <w:r w:rsidRPr="008340BB">
              <w:rPr>
                <w:rStyle w:val="hps"/>
              </w:rPr>
              <w:t>and redirecting</w:t>
            </w:r>
            <w:r w:rsidRPr="008340BB">
              <w:t xml:space="preserve"> </w:t>
            </w:r>
            <w:r w:rsidRPr="008340BB">
              <w:rPr>
                <w:rStyle w:val="hps"/>
              </w:rPr>
              <w:t>investments</w:t>
            </w:r>
            <w:r w:rsidRPr="008340BB">
              <w:t xml:space="preserve"> </w:t>
            </w:r>
            <w:r w:rsidRPr="008340BB">
              <w:rPr>
                <w:rStyle w:val="hps"/>
              </w:rPr>
              <w:t>on</w:t>
            </w:r>
            <w:r w:rsidRPr="008340BB">
              <w:t xml:space="preserve"> </w:t>
            </w:r>
            <w:r w:rsidRPr="008340BB">
              <w:rPr>
                <w:rStyle w:val="hps"/>
              </w:rPr>
              <w:t>financial</w:t>
            </w:r>
            <w:r w:rsidRPr="008340BB">
              <w:t xml:space="preserve"> </w:t>
            </w:r>
            <w:r w:rsidRPr="008340BB">
              <w:rPr>
                <w:rStyle w:val="hps"/>
              </w:rPr>
              <w:t>priorities</w:t>
            </w:r>
            <w:r w:rsidRPr="008340BB">
              <w:t xml:space="preserve"> </w:t>
            </w:r>
            <w:r w:rsidRPr="008340BB">
              <w:rPr>
                <w:rStyle w:val="hps"/>
              </w:rPr>
              <w:t>"</w:t>
            </w:r>
            <w:r w:rsidRPr="008340BB">
              <w:t>Modern Infrastructure F</w:t>
            </w:r>
            <w:r w:rsidRPr="008340BB">
              <w:rPr>
                <w:rStyle w:val="hps"/>
              </w:rPr>
              <w:t>or Growth and</w:t>
            </w:r>
            <w:r w:rsidRPr="008340BB">
              <w:t xml:space="preserve"> J</w:t>
            </w:r>
            <w:r w:rsidRPr="008340BB">
              <w:rPr>
                <w:rStyle w:val="hps"/>
              </w:rPr>
              <w:t>obs</w:t>
            </w:r>
            <w:r w:rsidRPr="008340BB">
              <w:rPr>
                <w:rStyle w:val="atn"/>
              </w:rPr>
              <w:t>" and "G</w:t>
            </w:r>
            <w:r w:rsidRPr="008340BB">
              <w:t xml:space="preserve">reen Economy </w:t>
            </w:r>
            <w:r w:rsidRPr="008340BB">
              <w:rPr>
                <w:rStyle w:val="hps"/>
              </w:rPr>
              <w:t>with</w:t>
            </w:r>
            <w:r w:rsidRPr="008340BB">
              <w:t xml:space="preserve"> E</w:t>
            </w:r>
            <w:r w:rsidRPr="008340BB">
              <w:rPr>
                <w:rStyle w:val="hps"/>
              </w:rPr>
              <w:t>fficient Use of Resources</w:t>
            </w:r>
            <w:r w:rsidRPr="008340BB">
              <w:t>",</w:t>
            </w:r>
            <w:r w:rsidRPr="008340BB">
              <w:rPr>
                <w:rStyle w:val="hps"/>
              </w:rPr>
              <w:t xml:space="preserve"> defined by the Commission</w:t>
            </w:r>
            <w:r w:rsidRPr="008340BB">
              <w:t>;</w:t>
            </w:r>
          </w:p>
          <w:p w14:paraId="738BA6D1" w14:textId="77777777" w:rsidR="00F1341F" w:rsidRPr="008340BB" w:rsidRDefault="00F1341F" w:rsidP="004F4795">
            <w:pPr>
              <w:pStyle w:val="ListParagraph"/>
              <w:numPr>
                <w:ilvl w:val="0"/>
                <w:numId w:val="68"/>
              </w:numPr>
              <w:spacing w:before="120" w:after="0"/>
              <w:ind w:left="357" w:hanging="357"/>
            </w:pPr>
            <w:r w:rsidRPr="008340BB">
              <w:t>The specific preconditions that are critical to the successful implementation of the above priority for funding, including the need for a comprehensive national transport plan with explicit chapter on development of railway transport, including appropriate prioritization of investments in the "core" and "comprehensive" TEN-T and in the secondary network (including public transport at regional and local level);</w:t>
            </w:r>
          </w:p>
          <w:p w14:paraId="4F8B95F0" w14:textId="77777777" w:rsidR="00F1341F" w:rsidRPr="008340BB" w:rsidRDefault="00F1341F" w:rsidP="004F4795">
            <w:pPr>
              <w:pStyle w:val="ListParagraph"/>
              <w:numPr>
                <w:ilvl w:val="0"/>
                <w:numId w:val="68"/>
              </w:numPr>
              <w:spacing w:before="120" w:after="0"/>
              <w:ind w:left="357" w:hanging="357"/>
            </w:pPr>
            <w:r w:rsidRPr="008340BB">
              <w:t>The priorities for European Territorial Cooperation and especially the requirement to include the objectives of the EU Strategy for the Danube Region (EUSDR), where investment priorities of utmost importance for EUSDR in Bulgaria are the connections to the Trans-European Transport Network and improvement of navigation on the Danube River;</w:t>
            </w:r>
          </w:p>
          <w:p w14:paraId="3903F553" w14:textId="77777777" w:rsidR="00F1341F" w:rsidRPr="008340BB" w:rsidRDefault="00F1341F" w:rsidP="004F4795">
            <w:pPr>
              <w:pStyle w:val="ListParagraph"/>
              <w:numPr>
                <w:ilvl w:val="0"/>
                <w:numId w:val="68"/>
              </w:numPr>
              <w:spacing w:before="120" w:after="0"/>
              <w:ind w:left="357" w:hanging="357"/>
            </w:pPr>
            <w:r w:rsidRPr="008340BB">
              <w:t>Opportunities for complementarity with other EU instruments, in particular the Connecting Europe Facility (to finance projects related to the "core" TEN-T, as well as building systems for traffic management or connections between the different types of transport) and the relevant financial instruments for attracting private funds for the construction of transport infrastructure. The possibility of funding the financial shortfall of projects under OPTTI by EIB through leveraged funds has also been considered.</w:t>
            </w:r>
          </w:p>
          <w:p w14:paraId="67E74286" w14:textId="77777777" w:rsidR="00F1341F" w:rsidRPr="008340BB" w:rsidRDefault="00F1341F" w:rsidP="004F4795">
            <w:pPr>
              <w:pStyle w:val="ListParagraph"/>
              <w:numPr>
                <w:ilvl w:val="0"/>
                <w:numId w:val="68"/>
              </w:numPr>
              <w:spacing w:before="120" w:after="0"/>
              <w:ind w:left="357" w:hanging="357"/>
            </w:pPr>
            <w:r w:rsidRPr="008340BB">
              <w:t>Provisions for effective programming and implementation of programmes</w:t>
            </w:r>
            <w:r w:rsidRPr="008340BB">
              <w:rPr>
                <w:szCs w:val="24"/>
                <w:lang w:eastAsia="en-US"/>
              </w:rPr>
              <w:t>;</w:t>
            </w:r>
          </w:p>
          <w:p w14:paraId="2DEFF28F" w14:textId="77777777" w:rsidR="00F1341F" w:rsidRPr="008340BB" w:rsidRDefault="00F1341F" w:rsidP="004F4795">
            <w:pPr>
              <w:pStyle w:val="ListParagraph"/>
              <w:numPr>
                <w:ilvl w:val="0"/>
                <w:numId w:val="68"/>
              </w:numPr>
              <w:spacing w:before="120" w:after="0"/>
              <w:ind w:left="357" w:hanging="357"/>
            </w:pPr>
            <w:r w:rsidRPr="008340BB">
              <w:t>The assessment of funding needs in relation to the thematic objectives</w:t>
            </w:r>
            <w:r w:rsidR="00B038CB">
              <w:t xml:space="preserve"> (TO)</w:t>
            </w:r>
            <w:r w:rsidRPr="008340BB">
              <w:t>;</w:t>
            </w:r>
          </w:p>
          <w:p w14:paraId="693936A8" w14:textId="77777777" w:rsidR="00F1341F" w:rsidRDefault="00F1341F" w:rsidP="004F4795">
            <w:pPr>
              <w:pStyle w:val="ListParagraph"/>
              <w:numPr>
                <w:ilvl w:val="0"/>
                <w:numId w:val="68"/>
              </w:numPr>
              <w:spacing w:before="120" w:after="0"/>
              <w:ind w:left="357" w:hanging="357"/>
            </w:pPr>
            <w:r w:rsidRPr="008340BB">
              <w:t>Regulations concerning the administrative capacity, human resources, management and monitoring systems, the effectiveness of procedures, stakeholder involvement and partnership.</w:t>
            </w:r>
          </w:p>
          <w:p w14:paraId="52F2BBA6" w14:textId="77777777" w:rsidR="009229BF" w:rsidRPr="008340BB" w:rsidRDefault="009229BF" w:rsidP="00435AC3">
            <w:pPr>
              <w:spacing w:after="0"/>
            </w:pPr>
          </w:p>
          <w:p w14:paraId="4515A95E" w14:textId="77777777" w:rsidR="00F1341F" w:rsidRPr="008340BB" w:rsidRDefault="00F1341F" w:rsidP="00FB6320">
            <w:pPr>
              <w:rPr>
                <w:b/>
              </w:rPr>
            </w:pPr>
            <w:r w:rsidRPr="008340BB">
              <w:rPr>
                <w:b/>
              </w:rPr>
              <w:lastRenderedPageBreak/>
              <w:t xml:space="preserve">Strategy </w:t>
            </w:r>
          </w:p>
          <w:p w14:paraId="6B0F61B9" w14:textId="77777777" w:rsidR="00F1341F" w:rsidRPr="008340BB" w:rsidRDefault="00F1341F" w:rsidP="00FB6320">
            <w:r w:rsidRPr="008340BB">
              <w:t xml:space="preserve">The strategy of the </w:t>
            </w:r>
            <w:r w:rsidR="003B44F8">
              <w:t xml:space="preserve">OPTTI </w:t>
            </w:r>
            <w:r w:rsidRPr="008340BB">
              <w:t xml:space="preserve">2014-2020 is developed and based on a number of relevant documents in line with the relevant </w:t>
            </w:r>
            <w:r w:rsidR="00D10E36">
              <w:rPr>
                <w:iCs/>
              </w:rPr>
              <w:t xml:space="preserve">EU </w:t>
            </w:r>
            <w:r w:rsidRPr="008340BB">
              <w:rPr>
                <w:iCs/>
              </w:rPr>
              <w:t xml:space="preserve">and national strategies and policies. It is </w:t>
            </w:r>
            <w:r w:rsidRPr="008340BB">
              <w:t xml:space="preserve">developed on the basis of the needs, defined in the analysis of the current situation in the transport sector, elaborated for the programme’s purposes. </w:t>
            </w:r>
          </w:p>
          <w:p w14:paraId="4824E999" w14:textId="77777777" w:rsidR="00F1341F" w:rsidRPr="008340BB" w:rsidRDefault="00F1341F" w:rsidP="00FB6320">
            <w:pPr>
              <w:rPr>
                <w:szCs w:val="24"/>
              </w:rPr>
            </w:pPr>
            <w:r w:rsidRPr="008340BB">
              <w:rPr>
                <w:rStyle w:val="hps"/>
                <w:szCs w:val="24"/>
              </w:rPr>
              <w:t>The strategy</w:t>
            </w:r>
            <w:r w:rsidRPr="008340BB">
              <w:rPr>
                <w:szCs w:val="24"/>
              </w:rPr>
              <w:t xml:space="preserve"> of the </w:t>
            </w:r>
            <w:r w:rsidRPr="008340BB">
              <w:rPr>
                <w:rStyle w:val="hps"/>
                <w:szCs w:val="24"/>
              </w:rPr>
              <w:t>OPTTI</w:t>
            </w:r>
            <w:r w:rsidRPr="008340BB">
              <w:rPr>
                <w:szCs w:val="24"/>
              </w:rPr>
              <w:t xml:space="preserve"> </w:t>
            </w:r>
            <w:r w:rsidRPr="008340BB">
              <w:rPr>
                <w:rStyle w:val="hps"/>
                <w:szCs w:val="24"/>
              </w:rPr>
              <w:t>provides for</w:t>
            </w:r>
            <w:r w:rsidRPr="008340BB">
              <w:rPr>
                <w:szCs w:val="24"/>
              </w:rPr>
              <w:t xml:space="preserve"> </w:t>
            </w:r>
            <w:r w:rsidRPr="008340BB">
              <w:rPr>
                <w:rStyle w:val="hps"/>
                <w:szCs w:val="24"/>
              </w:rPr>
              <w:t>the completion of</w:t>
            </w:r>
            <w:r w:rsidRPr="008340BB">
              <w:rPr>
                <w:szCs w:val="24"/>
              </w:rPr>
              <w:t xml:space="preserve"> </w:t>
            </w:r>
            <w:r w:rsidRPr="008340BB">
              <w:rPr>
                <w:rStyle w:val="hps"/>
                <w:szCs w:val="24"/>
              </w:rPr>
              <w:t>major national</w:t>
            </w:r>
            <w:r w:rsidRPr="008340BB">
              <w:rPr>
                <w:szCs w:val="24"/>
              </w:rPr>
              <w:t xml:space="preserve"> </w:t>
            </w:r>
            <w:r w:rsidRPr="008340BB">
              <w:rPr>
                <w:rStyle w:val="hps"/>
                <w:szCs w:val="24"/>
              </w:rPr>
              <w:t>and</w:t>
            </w:r>
            <w:r w:rsidRPr="008340BB">
              <w:rPr>
                <w:szCs w:val="24"/>
              </w:rPr>
              <w:t xml:space="preserve"> </w:t>
            </w:r>
            <w:r w:rsidRPr="008340BB">
              <w:rPr>
                <w:rStyle w:val="hps"/>
                <w:szCs w:val="24"/>
              </w:rPr>
              <w:t>Pan-European</w:t>
            </w:r>
            <w:r w:rsidRPr="008340BB">
              <w:rPr>
                <w:szCs w:val="24"/>
              </w:rPr>
              <w:t xml:space="preserve"> </w:t>
            </w:r>
            <w:r w:rsidRPr="008340BB">
              <w:rPr>
                <w:rStyle w:val="hps"/>
                <w:szCs w:val="24"/>
              </w:rPr>
              <w:t>transport routes</w:t>
            </w:r>
            <w:r w:rsidRPr="008340BB">
              <w:rPr>
                <w:szCs w:val="24"/>
              </w:rPr>
              <w:t xml:space="preserve"> </w:t>
            </w:r>
            <w:r w:rsidRPr="008340BB">
              <w:rPr>
                <w:rStyle w:val="hps"/>
                <w:szCs w:val="24"/>
              </w:rPr>
              <w:t>on the territory of the country</w:t>
            </w:r>
            <w:r w:rsidRPr="008340BB">
              <w:rPr>
                <w:szCs w:val="24"/>
              </w:rPr>
              <w:t xml:space="preserve">. </w:t>
            </w:r>
            <w:r w:rsidRPr="008340BB">
              <w:rPr>
                <w:rStyle w:val="hps"/>
                <w:szCs w:val="24"/>
              </w:rPr>
              <w:t>The main investments</w:t>
            </w:r>
            <w:r w:rsidRPr="008340BB">
              <w:rPr>
                <w:szCs w:val="24"/>
              </w:rPr>
              <w:t xml:space="preserve"> </w:t>
            </w:r>
            <w:r w:rsidRPr="008340BB">
              <w:rPr>
                <w:rStyle w:val="hps"/>
                <w:szCs w:val="24"/>
              </w:rPr>
              <w:t>are concentrated on</w:t>
            </w:r>
            <w:r w:rsidRPr="008340BB">
              <w:rPr>
                <w:szCs w:val="24"/>
              </w:rPr>
              <w:t xml:space="preserve"> </w:t>
            </w:r>
            <w:r w:rsidRPr="008340BB">
              <w:rPr>
                <w:rStyle w:val="hps"/>
                <w:szCs w:val="24"/>
              </w:rPr>
              <w:t>directions</w:t>
            </w:r>
            <w:r w:rsidRPr="008340BB">
              <w:rPr>
                <w:szCs w:val="24"/>
              </w:rPr>
              <w:t xml:space="preserve"> </w:t>
            </w:r>
            <w:r w:rsidRPr="008340BB">
              <w:rPr>
                <w:rStyle w:val="hps"/>
                <w:szCs w:val="24"/>
              </w:rPr>
              <w:t>with</w:t>
            </w:r>
            <w:r w:rsidRPr="008340BB">
              <w:rPr>
                <w:szCs w:val="24"/>
              </w:rPr>
              <w:t xml:space="preserve"> </w:t>
            </w:r>
            <w:r w:rsidRPr="008340BB">
              <w:rPr>
                <w:rStyle w:val="hps"/>
                <w:szCs w:val="24"/>
              </w:rPr>
              <w:t>an advanced degree</w:t>
            </w:r>
            <w:r w:rsidRPr="008340BB">
              <w:rPr>
                <w:szCs w:val="24"/>
              </w:rPr>
              <w:t xml:space="preserve"> </w:t>
            </w:r>
            <w:r w:rsidRPr="008340BB">
              <w:rPr>
                <w:rStyle w:val="hps"/>
                <w:szCs w:val="24"/>
              </w:rPr>
              <w:t>of implementation</w:t>
            </w:r>
            <w:r w:rsidRPr="008340BB">
              <w:rPr>
                <w:szCs w:val="24"/>
              </w:rPr>
              <w:t xml:space="preserve">, mainly </w:t>
            </w:r>
            <w:r w:rsidRPr="008340BB">
              <w:rPr>
                <w:rStyle w:val="hps"/>
                <w:szCs w:val="24"/>
              </w:rPr>
              <w:t>funded</w:t>
            </w:r>
            <w:r w:rsidRPr="008340BB">
              <w:rPr>
                <w:szCs w:val="24"/>
              </w:rPr>
              <w:t xml:space="preserve"> under </w:t>
            </w:r>
            <w:r w:rsidRPr="008340BB">
              <w:rPr>
                <w:rStyle w:val="hps"/>
                <w:szCs w:val="24"/>
              </w:rPr>
              <w:t>OPT</w:t>
            </w:r>
            <w:r w:rsidRPr="008340BB">
              <w:rPr>
                <w:szCs w:val="24"/>
              </w:rPr>
              <w:t xml:space="preserve"> </w:t>
            </w:r>
            <w:r w:rsidRPr="008340BB">
              <w:rPr>
                <w:rStyle w:val="hps"/>
                <w:szCs w:val="24"/>
              </w:rPr>
              <w:t>2007-2013</w:t>
            </w:r>
            <w:r w:rsidRPr="008340BB">
              <w:rPr>
                <w:szCs w:val="24"/>
              </w:rPr>
              <w:t xml:space="preserve"> </w:t>
            </w:r>
            <w:r w:rsidRPr="008340BB">
              <w:rPr>
                <w:rStyle w:val="hps"/>
                <w:szCs w:val="24"/>
              </w:rPr>
              <w:t>aimed at</w:t>
            </w:r>
            <w:r w:rsidRPr="008340BB">
              <w:rPr>
                <w:szCs w:val="24"/>
              </w:rPr>
              <w:t xml:space="preserve"> </w:t>
            </w:r>
            <w:r w:rsidRPr="008340BB">
              <w:rPr>
                <w:rStyle w:val="hps"/>
                <w:szCs w:val="24"/>
              </w:rPr>
              <w:t xml:space="preserve">their modernisation    </w:t>
            </w:r>
            <w:r w:rsidRPr="008340BB">
              <w:rPr>
                <w:szCs w:val="24"/>
              </w:rPr>
              <w:t xml:space="preserve"> </w:t>
            </w:r>
            <w:r w:rsidRPr="008340BB">
              <w:rPr>
                <w:rStyle w:val="hps"/>
                <w:szCs w:val="24"/>
              </w:rPr>
              <w:t>or</w:t>
            </w:r>
            <w:r w:rsidRPr="008340BB">
              <w:rPr>
                <w:szCs w:val="24"/>
              </w:rPr>
              <w:t xml:space="preserve"> </w:t>
            </w:r>
            <w:r w:rsidRPr="008340BB">
              <w:rPr>
                <w:rStyle w:val="hps"/>
                <w:szCs w:val="24"/>
              </w:rPr>
              <w:t>completion</w:t>
            </w:r>
            <w:r w:rsidRPr="008340BB">
              <w:rPr>
                <w:szCs w:val="24"/>
              </w:rPr>
              <w:t xml:space="preserve">. </w:t>
            </w:r>
          </w:p>
          <w:p w14:paraId="0B20590B" w14:textId="3BCD4E70" w:rsidR="00596FA8" w:rsidRPr="00596FA8" w:rsidRDefault="00F1341F" w:rsidP="00596FA8">
            <w:pPr>
              <w:rPr>
                <w:szCs w:val="24"/>
              </w:rPr>
            </w:pPr>
            <w:r w:rsidRPr="008340BB">
              <w:rPr>
                <w:rStyle w:val="hps"/>
                <w:szCs w:val="24"/>
              </w:rPr>
              <w:t>Regarding railway infrastructure</w:t>
            </w:r>
            <w:r w:rsidRPr="008340BB">
              <w:rPr>
                <w:szCs w:val="24"/>
              </w:rPr>
              <w:t xml:space="preserve"> this </w:t>
            </w:r>
            <w:r w:rsidRPr="008340BB">
              <w:rPr>
                <w:rStyle w:val="hps"/>
                <w:szCs w:val="24"/>
              </w:rPr>
              <w:t>is</w:t>
            </w:r>
            <w:r w:rsidRPr="008340BB">
              <w:rPr>
                <w:szCs w:val="24"/>
              </w:rPr>
              <w:t xml:space="preserve"> the </w:t>
            </w:r>
            <w:r w:rsidRPr="008340BB">
              <w:rPr>
                <w:rStyle w:val="hps"/>
                <w:szCs w:val="24"/>
              </w:rPr>
              <w:t>direction</w:t>
            </w:r>
            <w:r w:rsidRPr="008340BB">
              <w:rPr>
                <w:szCs w:val="24"/>
              </w:rPr>
              <w:t xml:space="preserve"> </w:t>
            </w:r>
            <w:r w:rsidRPr="008340BB">
              <w:rPr>
                <w:rStyle w:val="hps"/>
                <w:szCs w:val="24"/>
              </w:rPr>
              <w:t>Dragoman</w:t>
            </w:r>
            <w:r w:rsidR="004F4795" w:rsidRPr="008340BB">
              <w:rPr>
                <w:rStyle w:val="hps"/>
                <w:szCs w:val="24"/>
              </w:rPr>
              <w:t xml:space="preserve"> </w:t>
            </w:r>
            <w:r w:rsidR="004F4795" w:rsidRPr="008340BB">
              <w:rPr>
                <w:rStyle w:val="atn"/>
                <w:szCs w:val="24"/>
              </w:rPr>
              <w:t xml:space="preserve">– </w:t>
            </w:r>
            <w:r w:rsidRPr="008340BB">
              <w:rPr>
                <w:rStyle w:val="atn"/>
                <w:szCs w:val="24"/>
              </w:rPr>
              <w:t>Sofia</w:t>
            </w:r>
            <w:r w:rsidR="004F4795" w:rsidRPr="008340BB">
              <w:rPr>
                <w:rStyle w:val="atn"/>
                <w:szCs w:val="24"/>
              </w:rPr>
              <w:t xml:space="preserve"> – </w:t>
            </w:r>
            <w:r w:rsidRPr="008340BB">
              <w:rPr>
                <w:rStyle w:val="atn"/>
                <w:szCs w:val="24"/>
              </w:rPr>
              <w:t>Plovdiv</w:t>
            </w:r>
            <w:r w:rsidR="004F4795" w:rsidRPr="008340BB">
              <w:rPr>
                <w:rStyle w:val="atn"/>
                <w:szCs w:val="24"/>
              </w:rPr>
              <w:t xml:space="preserve"> </w:t>
            </w:r>
            <w:r w:rsidRPr="008340BB">
              <w:rPr>
                <w:rStyle w:val="atn"/>
                <w:szCs w:val="24"/>
              </w:rPr>
              <w:t>-</w:t>
            </w:r>
            <w:r w:rsidR="004F4795" w:rsidRPr="008340BB">
              <w:rPr>
                <w:rStyle w:val="atn"/>
                <w:szCs w:val="24"/>
              </w:rPr>
              <w:t xml:space="preserve"> </w:t>
            </w:r>
            <w:r w:rsidRPr="008340BB">
              <w:rPr>
                <w:szCs w:val="24"/>
              </w:rPr>
              <w:t xml:space="preserve">Burgas. </w:t>
            </w:r>
            <w:r w:rsidRPr="008340BB">
              <w:rPr>
                <w:rStyle w:val="hps"/>
                <w:szCs w:val="24"/>
              </w:rPr>
              <w:t>Within</w:t>
            </w:r>
            <w:r w:rsidRPr="008340BB">
              <w:rPr>
                <w:szCs w:val="24"/>
              </w:rPr>
              <w:t xml:space="preserve"> the framework of the </w:t>
            </w:r>
            <w:r w:rsidRPr="008340BB">
              <w:rPr>
                <w:rStyle w:val="hps"/>
                <w:szCs w:val="24"/>
              </w:rPr>
              <w:t>OPT</w:t>
            </w:r>
            <w:r w:rsidRPr="008340BB">
              <w:rPr>
                <w:szCs w:val="24"/>
              </w:rPr>
              <w:t xml:space="preserve"> </w:t>
            </w:r>
            <w:r w:rsidRPr="008340BB">
              <w:rPr>
                <w:rStyle w:val="hps"/>
                <w:szCs w:val="24"/>
              </w:rPr>
              <w:t>2007-2013</w:t>
            </w:r>
            <w:r w:rsidRPr="008340BB">
              <w:rPr>
                <w:szCs w:val="24"/>
              </w:rPr>
              <w:t xml:space="preserve"> there </w:t>
            </w:r>
            <w:r w:rsidRPr="008340BB">
              <w:rPr>
                <w:rStyle w:val="hps"/>
                <w:szCs w:val="24"/>
              </w:rPr>
              <w:t>were funded</w:t>
            </w:r>
            <w:r w:rsidRPr="008340BB">
              <w:rPr>
                <w:szCs w:val="24"/>
              </w:rPr>
              <w:t xml:space="preserve"> </w:t>
            </w:r>
            <w:r w:rsidRPr="008340BB">
              <w:rPr>
                <w:rStyle w:val="hps"/>
                <w:szCs w:val="24"/>
              </w:rPr>
              <w:t>and</w:t>
            </w:r>
            <w:r w:rsidRPr="008340BB">
              <w:rPr>
                <w:szCs w:val="24"/>
              </w:rPr>
              <w:t xml:space="preserve"> </w:t>
            </w:r>
            <w:r w:rsidR="00457F5B" w:rsidRPr="00457F5B">
              <w:rPr>
                <w:szCs w:val="24"/>
              </w:rPr>
              <w:t xml:space="preserve">completed </w:t>
            </w:r>
            <w:r w:rsidRPr="008340BB">
              <w:rPr>
                <w:rStyle w:val="hps"/>
                <w:szCs w:val="24"/>
              </w:rPr>
              <w:t>investment projects</w:t>
            </w:r>
            <w:r w:rsidRPr="008340BB">
              <w:rPr>
                <w:szCs w:val="24"/>
              </w:rPr>
              <w:t xml:space="preserve"> </w:t>
            </w:r>
            <w:r w:rsidRPr="008340BB">
              <w:rPr>
                <w:rStyle w:val="hps"/>
                <w:szCs w:val="24"/>
              </w:rPr>
              <w:t>by sections of</w:t>
            </w:r>
            <w:r w:rsidRPr="008340BB">
              <w:rPr>
                <w:szCs w:val="24"/>
              </w:rPr>
              <w:t xml:space="preserve"> the </w:t>
            </w:r>
            <w:r w:rsidRPr="008340BB">
              <w:rPr>
                <w:rStyle w:val="hps"/>
                <w:szCs w:val="24"/>
              </w:rPr>
              <w:t>railway</w:t>
            </w:r>
            <w:r w:rsidRPr="008340BB">
              <w:rPr>
                <w:szCs w:val="24"/>
              </w:rPr>
              <w:t xml:space="preserve"> </w:t>
            </w:r>
            <w:r w:rsidRPr="008340BB">
              <w:rPr>
                <w:rStyle w:val="hps"/>
                <w:szCs w:val="24"/>
              </w:rPr>
              <w:t>lines</w:t>
            </w:r>
            <w:r w:rsidRPr="008340BB">
              <w:rPr>
                <w:szCs w:val="24"/>
              </w:rPr>
              <w:t xml:space="preserve"> </w:t>
            </w:r>
            <w:r w:rsidRPr="008340BB">
              <w:rPr>
                <w:rStyle w:val="hps"/>
                <w:szCs w:val="24"/>
              </w:rPr>
              <w:t>Sofia</w:t>
            </w:r>
            <w:r w:rsidR="004F4795" w:rsidRPr="008340BB">
              <w:rPr>
                <w:rStyle w:val="hps"/>
                <w:szCs w:val="24"/>
              </w:rPr>
              <w:t xml:space="preserve"> </w:t>
            </w:r>
            <w:r w:rsidRPr="008340BB">
              <w:rPr>
                <w:rStyle w:val="hps"/>
                <w:szCs w:val="24"/>
              </w:rPr>
              <w:t>-</w:t>
            </w:r>
            <w:r w:rsidR="004F4795" w:rsidRPr="008340BB">
              <w:rPr>
                <w:rStyle w:val="hps"/>
                <w:szCs w:val="24"/>
              </w:rPr>
              <w:t xml:space="preserve"> </w:t>
            </w:r>
            <w:r w:rsidRPr="008340BB">
              <w:rPr>
                <w:rStyle w:val="atn"/>
                <w:szCs w:val="24"/>
              </w:rPr>
              <w:t>Plovdiv (</w:t>
            </w:r>
            <w:r w:rsidRPr="008340BB">
              <w:rPr>
                <w:rStyle w:val="hps"/>
                <w:szCs w:val="24"/>
              </w:rPr>
              <w:t xml:space="preserve">Septemvri - </w:t>
            </w:r>
            <w:r w:rsidRPr="008340BB">
              <w:rPr>
                <w:szCs w:val="24"/>
              </w:rPr>
              <w:t xml:space="preserve">Plovdiv section) and Plovdiv </w:t>
            </w:r>
            <w:r w:rsidRPr="008340BB">
              <w:rPr>
                <w:rStyle w:val="atn"/>
                <w:szCs w:val="24"/>
              </w:rPr>
              <w:t xml:space="preserve">- </w:t>
            </w:r>
            <w:r w:rsidRPr="008340BB">
              <w:rPr>
                <w:szCs w:val="24"/>
              </w:rPr>
              <w:t xml:space="preserve">Burgas </w:t>
            </w:r>
            <w:r w:rsidRPr="008340BB">
              <w:rPr>
                <w:rStyle w:val="hps"/>
                <w:szCs w:val="24"/>
              </w:rPr>
              <w:t>(</w:t>
            </w:r>
            <w:r w:rsidRPr="008340BB">
              <w:rPr>
                <w:szCs w:val="24"/>
              </w:rPr>
              <w:t xml:space="preserve">sections </w:t>
            </w:r>
            <w:r w:rsidRPr="008340BB">
              <w:rPr>
                <w:rStyle w:val="hps"/>
                <w:szCs w:val="24"/>
              </w:rPr>
              <w:t xml:space="preserve">Mihaylovo </w:t>
            </w:r>
            <w:r w:rsidRPr="008340BB">
              <w:rPr>
                <w:rStyle w:val="atn"/>
                <w:szCs w:val="24"/>
              </w:rPr>
              <w:t xml:space="preserve">- </w:t>
            </w:r>
            <w:r w:rsidRPr="008340BB">
              <w:rPr>
                <w:szCs w:val="24"/>
              </w:rPr>
              <w:t xml:space="preserve">Kaloyanovets, Stara Zagora - Zimnica </w:t>
            </w:r>
            <w:r w:rsidRPr="008340BB">
              <w:rPr>
                <w:rStyle w:val="hps"/>
                <w:szCs w:val="24"/>
              </w:rPr>
              <w:t>and</w:t>
            </w:r>
            <w:r w:rsidRPr="008340BB">
              <w:rPr>
                <w:szCs w:val="24"/>
              </w:rPr>
              <w:t xml:space="preserve"> </w:t>
            </w:r>
            <w:r w:rsidRPr="008340BB">
              <w:rPr>
                <w:rStyle w:val="hps"/>
                <w:szCs w:val="24"/>
              </w:rPr>
              <w:t>Tserkovski -</w:t>
            </w:r>
            <w:r w:rsidRPr="008340BB">
              <w:rPr>
                <w:szCs w:val="24"/>
              </w:rPr>
              <w:t xml:space="preserve"> </w:t>
            </w:r>
            <w:r w:rsidRPr="008340BB">
              <w:rPr>
                <w:rStyle w:val="hps"/>
                <w:szCs w:val="24"/>
              </w:rPr>
              <w:t>Burgas</w:t>
            </w:r>
            <w:r w:rsidRPr="008340BB">
              <w:rPr>
                <w:szCs w:val="24"/>
              </w:rPr>
              <w:t>)</w:t>
            </w:r>
            <w:r w:rsidRPr="008340BB">
              <w:rPr>
                <w:rStyle w:val="hps"/>
                <w:szCs w:val="24"/>
              </w:rPr>
              <w:t>.</w:t>
            </w:r>
            <w:r w:rsidRPr="008340BB">
              <w:rPr>
                <w:szCs w:val="24"/>
              </w:rPr>
              <w:t xml:space="preserve"> </w:t>
            </w:r>
            <w:r w:rsidRPr="008340BB">
              <w:rPr>
                <w:rStyle w:val="hps"/>
                <w:szCs w:val="24"/>
              </w:rPr>
              <w:t>Also</w:t>
            </w:r>
            <w:r w:rsidRPr="008340BB">
              <w:rPr>
                <w:szCs w:val="24"/>
              </w:rPr>
              <w:t xml:space="preserve"> </w:t>
            </w:r>
            <w:r w:rsidRPr="008340BB">
              <w:rPr>
                <w:rStyle w:val="hps"/>
                <w:szCs w:val="24"/>
              </w:rPr>
              <w:t xml:space="preserve">within the </w:t>
            </w:r>
            <w:r w:rsidRPr="008340BB">
              <w:rPr>
                <w:szCs w:val="24"/>
              </w:rPr>
              <w:t xml:space="preserve">framework of the </w:t>
            </w:r>
            <w:r w:rsidRPr="008340BB">
              <w:rPr>
                <w:rStyle w:val="hps"/>
                <w:szCs w:val="24"/>
              </w:rPr>
              <w:t>OPT</w:t>
            </w:r>
            <w:r w:rsidRPr="008340BB">
              <w:rPr>
                <w:szCs w:val="24"/>
              </w:rPr>
              <w:t xml:space="preserve"> </w:t>
            </w:r>
            <w:r w:rsidRPr="008340BB">
              <w:rPr>
                <w:rStyle w:val="hps"/>
                <w:szCs w:val="24"/>
              </w:rPr>
              <w:t>2007-2013</w:t>
            </w:r>
            <w:r w:rsidRPr="008340BB">
              <w:rPr>
                <w:szCs w:val="24"/>
              </w:rPr>
              <w:t xml:space="preserve"> </w:t>
            </w:r>
            <w:r w:rsidRPr="008340BB">
              <w:rPr>
                <w:rStyle w:val="hps"/>
                <w:szCs w:val="24"/>
              </w:rPr>
              <w:t>were funded</w:t>
            </w:r>
            <w:r w:rsidRPr="008340BB">
              <w:rPr>
                <w:szCs w:val="24"/>
              </w:rPr>
              <w:t xml:space="preserve"> </w:t>
            </w:r>
            <w:r w:rsidRPr="008340BB">
              <w:rPr>
                <w:rStyle w:val="hps"/>
                <w:szCs w:val="24"/>
              </w:rPr>
              <w:t>projects for</w:t>
            </w:r>
            <w:r w:rsidRPr="008340BB">
              <w:rPr>
                <w:szCs w:val="24"/>
              </w:rPr>
              <w:t xml:space="preserve"> </w:t>
            </w:r>
            <w:r w:rsidRPr="008340BB">
              <w:rPr>
                <w:rStyle w:val="hps"/>
                <w:szCs w:val="24"/>
              </w:rPr>
              <w:t>preparation</w:t>
            </w:r>
            <w:r w:rsidRPr="008340BB">
              <w:rPr>
                <w:szCs w:val="24"/>
              </w:rPr>
              <w:t xml:space="preserve"> </w:t>
            </w:r>
            <w:r w:rsidRPr="008340BB">
              <w:rPr>
                <w:rStyle w:val="hps"/>
                <w:szCs w:val="24"/>
              </w:rPr>
              <w:t>of construction</w:t>
            </w:r>
            <w:r w:rsidRPr="008340BB">
              <w:rPr>
                <w:szCs w:val="24"/>
              </w:rPr>
              <w:t xml:space="preserve"> under </w:t>
            </w:r>
            <w:r w:rsidRPr="008340BB">
              <w:rPr>
                <w:rStyle w:val="hps"/>
                <w:szCs w:val="24"/>
              </w:rPr>
              <w:t>investment projects,</w:t>
            </w:r>
            <w:r w:rsidRPr="008340BB">
              <w:rPr>
                <w:szCs w:val="24"/>
              </w:rPr>
              <w:t xml:space="preserve"> </w:t>
            </w:r>
            <w:r w:rsidRPr="008340BB">
              <w:rPr>
                <w:rStyle w:val="hps"/>
                <w:szCs w:val="24"/>
              </w:rPr>
              <w:t>complementing the</w:t>
            </w:r>
            <w:r w:rsidRPr="008340BB">
              <w:rPr>
                <w:szCs w:val="24"/>
              </w:rPr>
              <w:t xml:space="preserve"> </w:t>
            </w:r>
            <w:r w:rsidRPr="008340BB">
              <w:rPr>
                <w:rStyle w:val="hps"/>
                <w:szCs w:val="24"/>
              </w:rPr>
              <w:t>direction</w:t>
            </w:r>
            <w:r w:rsidRPr="008340BB">
              <w:rPr>
                <w:szCs w:val="24"/>
              </w:rPr>
              <w:t xml:space="preserve"> </w:t>
            </w:r>
            <w:r w:rsidRPr="008340BB">
              <w:rPr>
                <w:rStyle w:val="hps"/>
                <w:szCs w:val="24"/>
              </w:rPr>
              <w:t>Dragoman</w:t>
            </w:r>
            <w:r w:rsidR="004F4795" w:rsidRPr="008340BB">
              <w:rPr>
                <w:rStyle w:val="hps"/>
                <w:szCs w:val="24"/>
              </w:rPr>
              <w:t xml:space="preserve"> </w:t>
            </w:r>
            <w:r w:rsidR="004F4795" w:rsidRPr="008340BB">
              <w:rPr>
                <w:rStyle w:val="atn"/>
                <w:szCs w:val="24"/>
              </w:rPr>
              <w:t xml:space="preserve">– </w:t>
            </w:r>
            <w:r w:rsidRPr="008340BB">
              <w:rPr>
                <w:rStyle w:val="atn"/>
                <w:szCs w:val="24"/>
              </w:rPr>
              <w:t>Sofia</w:t>
            </w:r>
            <w:r w:rsidR="004F4795" w:rsidRPr="008340BB">
              <w:rPr>
                <w:rStyle w:val="atn"/>
                <w:szCs w:val="24"/>
              </w:rPr>
              <w:t xml:space="preserve"> – </w:t>
            </w:r>
            <w:r w:rsidRPr="008340BB">
              <w:rPr>
                <w:rStyle w:val="atn"/>
                <w:szCs w:val="24"/>
              </w:rPr>
              <w:t>Plovdiv</w:t>
            </w:r>
            <w:r w:rsidR="004F4795" w:rsidRPr="008340BB">
              <w:rPr>
                <w:rStyle w:val="atn"/>
                <w:szCs w:val="24"/>
              </w:rPr>
              <w:t xml:space="preserve"> </w:t>
            </w:r>
            <w:r w:rsidRPr="008340BB">
              <w:rPr>
                <w:rStyle w:val="atn"/>
                <w:szCs w:val="24"/>
              </w:rPr>
              <w:t>-</w:t>
            </w:r>
            <w:r w:rsidR="004F4795" w:rsidRPr="008340BB">
              <w:rPr>
                <w:rStyle w:val="atn"/>
                <w:szCs w:val="24"/>
              </w:rPr>
              <w:t xml:space="preserve"> </w:t>
            </w:r>
            <w:r w:rsidRPr="008340BB">
              <w:rPr>
                <w:szCs w:val="24"/>
              </w:rPr>
              <w:t xml:space="preserve">Burgas, and </w:t>
            </w:r>
            <w:r w:rsidRPr="008340BB">
              <w:rPr>
                <w:rStyle w:val="hps"/>
                <w:szCs w:val="24"/>
              </w:rPr>
              <w:t>namely:</w:t>
            </w:r>
            <w:r w:rsidRPr="008340BB">
              <w:rPr>
                <w:szCs w:val="24"/>
              </w:rPr>
              <w:t xml:space="preserve"> </w:t>
            </w:r>
            <w:r w:rsidRPr="008340BB">
              <w:rPr>
                <w:rStyle w:val="hps"/>
                <w:szCs w:val="24"/>
              </w:rPr>
              <w:t>sections</w:t>
            </w:r>
            <w:r w:rsidRPr="008340BB">
              <w:rPr>
                <w:szCs w:val="24"/>
              </w:rPr>
              <w:t xml:space="preserve"> </w:t>
            </w:r>
            <w:r w:rsidRPr="008340BB">
              <w:rPr>
                <w:rStyle w:val="hps"/>
                <w:szCs w:val="24"/>
              </w:rPr>
              <w:t>Plovdiv - Orizovo</w:t>
            </w:r>
            <w:r w:rsidRPr="008340BB">
              <w:rPr>
                <w:szCs w:val="24"/>
              </w:rPr>
              <w:t xml:space="preserve">, </w:t>
            </w:r>
            <w:r w:rsidRPr="008340BB">
              <w:rPr>
                <w:rStyle w:val="hps"/>
                <w:szCs w:val="24"/>
              </w:rPr>
              <w:t xml:space="preserve">Straldzha </w:t>
            </w:r>
            <w:r w:rsidRPr="008340BB">
              <w:rPr>
                <w:rStyle w:val="atn"/>
                <w:szCs w:val="24"/>
              </w:rPr>
              <w:t xml:space="preserve">- </w:t>
            </w:r>
            <w:r w:rsidRPr="008340BB">
              <w:rPr>
                <w:szCs w:val="24"/>
              </w:rPr>
              <w:t xml:space="preserve">Tserkovski, </w:t>
            </w:r>
            <w:r w:rsidRPr="008340BB">
              <w:rPr>
                <w:rStyle w:val="hps"/>
                <w:szCs w:val="24"/>
              </w:rPr>
              <w:t>railway</w:t>
            </w:r>
            <w:r w:rsidRPr="008340BB">
              <w:rPr>
                <w:szCs w:val="24"/>
              </w:rPr>
              <w:t xml:space="preserve"> </w:t>
            </w:r>
            <w:r w:rsidRPr="008340BB">
              <w:rPr>
                <w:rStyle w:val="hps"/>
                <w:szCs w:val="24"/>
              </w:rPr>
              <w:t>junctions</w:t>
            </w:r>
            <w:r w:rsidRPr="008340BB">
              <w:rPr>
                <w:szCs w:val="24"/>
              </w:rPr>
              <w:t xml:space="preserve"> </w:t>
            </w:r>
            <w:r w:rsidRPr="008340BB">
              <w:rPr>
                <w:rStyle w:val="hps"/>
                <w:szCs w:val="24"/>
              </w:rPr>
              <w:t>Burgas</w:t>
            </w:r>
            <w:r w:rsidRPr="008340BB">
              <w:rPr>
                <w:szCs w:val="24"/>
              </w:rPr>
              <w:t xml:space="preserve">, </w:t>
            </w:r>
            <w:r w:rsidRPr="008340BB">
              <w:rPr>
                <w:rStyle w:val="hps"/>
                <w:szCs w:val="24"/>
              </w:rPr>
              <w:t>Plovdiv</w:t>
            </w:r>
            <w:r w:rsidRPr="008340BB">
              <w:rPr>
                <w:szCs w:val="24"/>
              </w:rPr>
              <w:t xml:space="preserve"> </w:t>
            </w:r>
            <w:r w:rsidRPr="008340BB">
              <w:rPr>
                <w:rStyle w:val="hps"/>
                <w:szCs w:val="24"/>
              </w:rPr>
              <w:t>and</w:t>
            </w:r>
            <w:r w:rsidRPr="008340BB">
              <w:rPr>
                <w:szCs w:val="24"/>
              </w:rPr>
              <w:t xml:space="preserve"> </w:t>
            </w:r>
            <w:r w:rsidRPr="008340BB">
              <w:rPr>
                <w:rStyle w:val="hps"/>
                <w:szCs w:val="24"/>
              </w:rPr>
              <w:t xml:space="preserve">Sofia, as well as the </w:t>
            </w:r>
            <w:r w:rsidRPr="008340BB">
              <w:rPr>
                <w:szCs w:val="24"/>
              </w:rPr>
              <w:t xml:space="preserve">sections </w:t>
            </w:r>
            <w:r w:rsidRPr="008340BB">
              <w:rPr>
                <w:rStyle w:val="hps"/>
                <w:szCs w:val="24"/>
              </w:rPr>
              <w:t xml:space="preserve">Sofia - Elin Pelin </w:t>
            </w:r>
            <w:r w:rsidR="004F4795" w:rsidRPr="008340BB">
              <w:rPr>
                <w:rStyle w:val="atn"/>
                <w:szCs w:val="24"/>
              </w:rPr>
              <w:t>-</w:t>
            </w:r>
            <w:r w:rsidRPr="008340BB">
              <w:rPr>
                <w:rStyle w:val="atn"/>
                <w:szCs w:val="24"/>
              </w:rPr>
              <w:t xml:space="preserve"> </w:t>
            </w:r>
            <w:r w:rsidRPr="008340BB">
              <w:rPr>
                <w:szCs w:val="24"/>
              </w:rPr>
              <w:t xml:space="preserve">Ihtiman - Septemvri. </w:t>
            </w:r>
            <w:r w:rsidR="00AC23AE" w:rsidRPr="00AC23AE">
              <w:rPr>
                <w:szCs w:val="24"/>
              </w:rPr>
              <w:t>Technical assistance for preparation of section Sofia – Dragoman – Serbian border was funded under OPTTI 2014-2020.</w:t>
            </w:r>
            <w:r w:rsidR="00AC23AE">
              <w:rPr>
                <w:szCs w:val="24"/>
                <w:lang w:val="en-US"/>
              </w:rPr>
              <w:t xml:space="preserve"> </w:t>
            </w:r>
            <w:r w:rsidRPr="008340BB">
              <w:rPr>
                <w:rStyle w:val="hps"/>
                <w:szCs w:val="24"/>
              </w:rPr>
              <w:t>Within</w:t>
            </w:r>
            <w:r w:rsidRPr="008340BB">
              <w:rPr>
                <w:szCs w:val="24"/>
              </w:rPr>
              <w:t xml:space="preserve"> the framework of the </w:t>
            </w:r>
            <w:r w:rsidRPr="008340BB">
              <w:rPr>
                <w:rStyle w:val="hps"/>
                <w:szCs w:val="24"/>
              </w:rPr>
              <w:t>OPTTI</w:t>
            </w:r>
            <w:r w:rsidRPr="008340BB">
              <w:rPr>
                <w:szCs w:val="24"/>
              </w:rPr>
              <w:t xml:space="preserve"> </w:t>
            </w:r>
            <w:r w:rsidRPr="008340BB">
              <w:rPr>
                <w:rStyle w:val="hps"/>
                <w:szCs w:val="24"/>
              </w:rPr>
              <w:t>2014-2020</w:t>
            </w:r>
            <w:r w:rsidRPr="008340BB">
              <w:rPr>
                <w:szCs w:val="24"/>
              </w:rPr>
              <w:t xml:space="preserve"> </w:t>
            </w:r>
            <w:r w:rsidRPr="008340BB">
              <w:rPr>
                <w:rStyle w:val="hps"/>
                <w:szCs w:val="24"/>
              </w:rPr>
              <w:t>are envisaged investments works to be</w:t>
            </w:r>
            <w:r w:rsidRPr="008340BB">
              <w:rPr>
                <w:szCs w:val="24"/>
              </w:rPr>
              <w:t xml:space="preserve"> </w:t>
            </w:r>
            <w:r w:rsidRPr="008340BB">
              <w:rPr>
                <w:rStyle w:val="hps"/>
                <w:szCs w:val="24"/>
              </w:rPr>
              <w:t>financed</w:t>
            </w:r>
            <w:r w:rsidRPr="008340BB">
              <w:rPr>
                <w:szCs w:val="24"/>
              </w:rPr>
              <w:t xml:space="preserve"> </w:t>
            </w:r>
            <w:r w:rsidRPr="008340BB">
              <w:rPr>
                <w:rStyle w:val="hps"/>
                <w:szCs w:val="24"/>
              </w:rPr>
              <w:t>on certain sections</w:t>
            </w:r>
            <w:r w:rsidRPr="008340BB">
              <w:rPr>
                <w:szCs w:val="24"/>
              </w:rPr>
              <w:t xml:space="preserve"> </w:t>
            </w:r>
            <w:r w:rsidRPr="008340BB">
              <w:rPr>
                <w:rStyle w:val="hps"/>
                <w:szCs w:val="24"/>
              </w:rPr>
              <w:t>along the direction</w:t>
            </w:r>
            <w:r w:rsidRPr="008340BB">
              <w:rPr>
                <w:szCs w:val="24"/>
              </w:rPr>
              <w:t xml:space="preserve"> </w:t>
            </w:r>
            <w:r w:rsidRPr="008340BB">
              <w:rPr>
                <w:rStyle w:val="hps"/>
                <w:szCs w:val="24"/>
              </w:rPr>
              <w:t>Elin</w:t>
            </w:r>
            <w:r w:rsidRPr="008340BB">
              <w:rPr>
                <w:szCs w:val="24"/>
              </w:rPr>
              <w:t xml:space="preserve"> </w:t>
            </w:r>
            <w:r w:rsidRPr="008340BB">
              <w:rPr>
                <w:rStyle w:val="hps"/>
                <w:szCs w:val="24"/>
              </w:rPr>
              <w:t>Pelin</w:t>
            </w:r>
            <w:r w:rsidRPr="008340BB">
              <w:rPr>
                <w:rStyle w:val="atn"/>
                <w:szCs w:val="24"/>
              </w:rPr>
              <w:t>-</w:t>
            </w:r>
            <w:r w:rsidRPr="008340BB">
              <w:rPr>
                <w:szCs w:val="24"/>
              </w:rPr>
              <w:t xml:space="preserve">Plovdiv </w:t>
            </w:r>
            <w:r w:rsidRPr="008340BB">
              <w:rPr>
                <w:rStyle w:val="atn"/>
                <w:szCs w:val="24"/>
              </w:rPr>
              <w:t xml:space="preserve">- </w:t>
            </w:r>
            <w:r w:rsidRPr="008340BB">
              <w:rPr>
                <w:szCs w:val="24"/>
              </w:rPr>
              <w:t xml:space="preserve">Burgas and namely: section </w:t>
            </w:r>
            <w:r w:rsidRPr="008340BB">
              <w:rPr>
                <w:rStyle w:val="hps"/>
                <w:szCs w:val="24"/>
              </w:rPr>
              <w:t xml:space="preserve">Elin Pelin </w:t>
            </w:r>
            <w:r w:rsidR="004F4795" w:rsidRPr="008340BB">
              <w:rPr>
                <w:rStyle w:val="atn"/>
                <w:szCs w:val="24"/>
              </w:rPr>
              <w:t>-</w:t>
            </w:r>
            <w:r w:rsidRPr="008340BB">
              <w:rPr>
                <w:rStyle w:val="atn"/>
                <w:szCs w:val="24"/>
              </w:rPr>
              <w:t xml:space="preserve"> </w:t>
            </w:r>
            <w:r w:rsidR="00964588">
              <w:rPr>
                <w:szCs w:val="24"/>
              </w:rPr>
              <w:t>Kostenetz</w:t>
            </w:r>
            <w:r w:rsidRPr="008340BB">
              <w:rPr>
                <w:szCs w:val="24"/>
              </w:rPr>
              <w:t xml:space="preserve"> </w:t>
            </w:r>
            <w:r w:rsidR="008455CD">
              <w:rPr>
                <w:szCs w:val="24"/>
              </w:rPr>
              <w:t xml:space="preserve">(phase 1) </w:t>
            </w:r>
            <w:r w:rsidRPr="008340BB">
              <w:rPr>
                <w:szCs w:val="24"/>
              </w:rPr>
              <w:t xml:space="preserve">and </w:t>
            </w:r>
            <w:r w:rsidRPr="008340BB">
              <w:t xml:space="preserve">the remaining sections of </w:t>
            </w:r>
            <w:r w:rsidR="008455CD">
              <w:t xml:space="preserve">Stage 1 </w:t>
            </w:r>
            <w:r w:rsidRPr="008340BB">
              <w:t>Plovdiv - Burgas railway line (phase 2)</w:t>
            </w:r>
            <w:r w:rsidRPr="008340BB">
              <w:rPr>
                <w:szCs w:val="24"/>
              </w:rPr>
              <w:t xml:space="preserve">, </w:t>
            </w:r>
            <w:r w:rsidRPr="008340BB">
              <w:rPr>
                <w:rStyle w:val="hps"/>
                <w:szCs w:val="24"/>
              </w:rPr>
              <w:t>while investments</w:t>
            </w:r>
            <w:r w:rsidRPr="008340BB">
              <w:rPr>
                <w:szCs w:val="24"/>
              </w:rPr>
              <w:t xml:space="preserve"> </w:t>
            </w:r>
            <w:r w:rsidRPr="008340BB">
              <w:rPr>
                <w:rStyle w:val="hps"/>
                <w:szCs w:val="24"/>
              </w:rPr>
              <w:t xml:space="preserve">in the </w:t>
            </w:r>
            <w:r w:rsidR="00ED556E">
              <w:rPr>
                <w:rStyle w:val="hps"/>
                <w:szCs w:val="24"/>
              </w:rPr>
              <w:t>rail sectionsVoluyak</w:t>
            </w:r>
            <w:r w:rsidRPr="008340BB">
              <w:rPr>
                <w:rStyle w:val="hps"/>
                <w:szCs w:val="24"/>
              </w:rPr>
              <w:t xml:space="preserve"> </w:t>
            </w:r>
            <w:r w:rsidR="00ED556E">
              <w:rPr>
                <w:rStyle w:val="atn"/>
                <w:szCs w:val="24"/>
              </w:rPr>
              <w:t>–</w:t>
            </w:r>
            <w:r w:rsidRPr="008340BB">
              <w:rPr>
                <w:rStyle w:val="atn"/>
                <w:szCs w:val="24"/>
              </w:rPr>
              <w:t xml:space="preserve"> Sofia</w:t>
            </w:r>
            <w:r w:rsidR="00ED556E">
              <w:rPr>
                <w:rStyle w:val="atn"/>
                <w:szCs w:val="24"/>
              </w:rPr>
              <w:t>, Sofia</w:t>
            </w:r>
            <w:r w:rsidRPr="008340BB">
              <w:rPr>
                <w:rStyle w:val="atn"/>
                <w:szCs w:val="24"/>
              </w:rPr>
              <w:t xml:space="preserve"> - </w:t>
            </w:r>
            <w:r w:rsidRPr="008340BB">
              <w:rPr>
                <w:szCs w:val="24"/>
              </w:rPr>
              <w:t xml:space="preserve">Elin </w:t>
            </w:r>
            <w:r w:rsidRPr="008340BB">
              <w:rPr>
                <w:rStyle w:val="hps"/>
                <w:szCs w:val="24"/>
              </w:rPr>
              <w:t>Pelin</w:t>
            </w:r>
            <w:r w:rsidRPr="008340BB">
              <w:rPr>
                <w:szCs w:val="24"/>
              </w:rPr>
              <w:t xml:space="preserve"> </w:t>
            </w:r>
            <w:r w:rsidR="00ED556E">
              <w:rPr>
                <w:szCs w:val="24"/>
              </w:rPr>
              <w:t xml:space="preserve">and Kostenetz – Septemvri </w:t>
            </w:r>
            <w:r w:rsidRPr="008340BB">
              <w:rPr>
                <w:szCs w:val="24"/>
              </w:rPr>
              <w:t xml:space="preserve">are </w:t>
            </w:r>
            <w:r w:rsidRPr="008340BB">
              <w:rPr>
                <w:rStyle w:val="hps"/>
                <w:szCs w:val="24"/>
              </w:rPr>
              <w:t>planned to be</w:t>
            </w:r>
            <w:r w:rsidRPr="008340BB">
              <w:rPr>
                <w:szCs w:val="24"/>
              </w:rPr>
              <w:t xml:space="preserve"> </w:t>
            </w:r>
            <w:r w:rsidRPr="008340BB">
              <w:rPr>
                <w:rStyle w:val="hps"/>
                <w:szCs w:val="24"/>
              </w:rPr>
              <w:t>financed by the</w:t>
            </w:r>
            <w:r w:rsidRPr="008340BB">
              <w:rPr>
                <w:szCs w:val="24"/>
              </w:rPr>
              <w:t xml:space="preserve"> </w:t>
            </w:r>
            <w:r w:rsidRPr="008340BB">
              <w:rPr>
                <w:rStyle w:val="hps"/>
                <w:szCs w:val="24"/>
              </w:rPr>
              <w:t>funds under the Connecting</w:t>
            </w:r>
            <w:r w:rsidRPr="008340BB">
              <w:rPr>
                <w:szCs w:val="24"/>
              </w:rPr>
              <w:t xml:space="preserve"> </w:t>
            </w:r>
            <w:r w:rsidRPr="008340BB">
              <w:rPr>
                <w:rStyle w:val="hps"/>
                <w:szCs w:val="24"/>
              </w:rPr>
              <w:t>Europe Facility (CEF</w:t>
            </w:r>
            <w:r w:rsidRPr="008340BB">
              <w:rPr>
                <w:szCs w:val="24"/>
              </w:rPr>
              <w:t xml:space="preserve">). </w:t>
            </w:r>
            <w:r w:rsidR="00596FA8" w:rsidRPr="00596FA8">
              <w:rPr>
                <w:szCs w:val="24"/>
              </w:rPr>
              <w:t>Additional project for construction of rail section Voluyak – Dragoman</w:t>
            </w:r>
            <w:r w:rsidR="00B6328B">
              <w:rPr>
                <w:szCs w:val="24"/>
              </w:rPr>
              <w:t>, phase 1</w:t>
            </w:r>
            <w:r w:rsidR="00596FA8" w:rsidRPr="00596FA8">
              <w:rPr>
                <w:szCs w:val="24"/>
              </w:rPr>
              <w:t xml:space="preserve"> </w:t>
            </w:r>
            <w:r w:rsidR="003B2275">
              <w:rPr>
                <w:szCs w:val="24"/>
              </w:rPr>
              <w:t>is</w:t>
            </w:r>
            <w:r w:rsidR="00596FA8" w:rsidRPr="00596FA8">
              <w:rPr>
                <w:szCs w:val="24"/>
              </w:rPr>
              <w:t xml:space="preserve"> envisaged under OPTTI 2014-2020.  </w:t>
            </w:r>
          </w:p>
          <w:p w14:paraId="4B2261EE" w14:textId="23966603" w:rsidR="00F1341F" w:rsidRPr="008340BB" w:rsidRDefault="00F1341F" w:rsidP="00FB6320">
            <w:pPr>
              <w:rPr>
                <w:szCs w:val="24"/>
              </w:rPr>
            </w:pPr>
          </w:p>
          <w:p w14:paraId="0113CF04" w14:textId="5BB90F9F" w:rsidR="001F2CC0" w:rsidRDefault="00F1341F" w:rsidP="00674A21">
            <w:pPr>
              <w:rPr>
                <w:szCs w:val="24"/>
              </w:rPr>
            </w:pPr>
            <w:r w:rsidRPr="008340BB">
              <w:rPr>
                <w:rStyle w:val="hps"/>
                <w:szCs w:val="24"/>
              </w:rPr>
              <w:t>Regarding road infrastructure</w:t>
            </w:r>
            <w:r w:rsidRPr="008340BB">
              <w:rPr>
                <w:szCs w:val="24"/>
              </w:rPr>
              <w:t xml:space="preserve"> </w:t>
            </w:r>
            <w:r w:rsidRPr="008340BB">
              <w:rPr>
                <w:rStyle w:val="hps"/>
                <w:szCs w:val="24"/>
              </w:rPr>
              <w:t>the</w:t>
            </w:r>
            <w:r w:rsidRPr="008340BB">
              <w:rPr>
                <w:szCs w:val="24"/>
              </w:rPr>
              <w:t xml:space="preserve"> </w:t>
            </w:r>
            <w:r w:rsidR="00810B85">
              <w:rPr>
                <w:szCs w:val="24"/>
              </w:rPr>
              <w:t>main</w:t>
            </w:r>
            <w:r w:rsidRPr="008340BB">
              <w:rPr>
                <w:szCs w:val="24"/>
              </w:rPr>
              <w:t xml:space="preserve"> </w:t>
            </w:r>
            <w:r w:rsidR="00BA0652" w:rsidRPr="008340BB">
              <w:rPr>
                <w:rStyle w:val="hps"/>
                <w:szCs w:val="24"/>
              </w:rPr>
              <w:t>priority</w:t>
            </w:r>
            <w:r w:rsidRPr="008340BB">
              <w:rPr>
                <w:szCs w:val="24"/>
              </w:rPr>
              <w:t xml:space="preserve"> </w:t>
            </w:r>
            <w:r w:rsidR="00810B85">
              <w:rPr>
                <w:szCs w:val="24"/>
              </w:rPr>
              <w:t>is</w:t>
            </w:r>
            <w:r w:rsidRPr="008340BB">
              <w:rPr>
                <w:szCs w:val="24"/>
              </w:rPr>
              <w:t xml:space="preserve"> </w:t>
            </w:r>
            <w:r w:rsidRPr="008340BB">
              <w:rPr>
                <w:rStyle w:val="hps"/>
                <w:szCs w:val="24"/>
              </w:rPr>
              <w:t xml:space="preserve"> </w:t>
            </w:r>
            <w:r w:rsidRPr="008340BB">
              <w:rPr>
                <w:szCs w:val="24"/>
              </w:rPr>
              <w:t xml:space="preserve">Struma Motorway. </w:t>
            </w:r>
            <w:r w:rsidR="00592A9F" w:rsidRPr="00592A9F">
              <w:rPr>
                <w:szCs w:val="24"/>
              </w:rPr>
              <w:t>The Bulgarian General Transport Master Plan provides for the completion of the motorway to the Greek border in order to connect directly with the Greek road network on the South to Thessaloniki and Athens (a priority status is assigned to the project).</w:t>
            </w:r>
            <w:r w:rsidR="00592A9F">
              <w:rPr>
                <w:szCs w:val="24"/>
              </w:rPr>
              <w:t xml:space="preserve"> </w:t>
            </w:r>
            <w:r w:rsidR="00995BD3" w:rsidRPr="008340BB">
              <w:rPr>
                <w:szCs w:val="24"/>
              </w:rPr>
              <w:t xml:space="preserve">Three </w:t>
            </w:r>
            <w:r w:rsidR="00995BD3" w:rsidRPr="008340BB">
              <w:rPr>
                <w:rStyle w:val="hps"/>
                <w:szCs w:val="24"/>
              </w:rPr>
              <w:t>sections of</w:t>
            </w:r>
            <w:r w:rsidR="00995BD3" w:rsidRPr="008340BB">
              <w:rPr>
                <w:szCs w:val="24"/>
              </w:rPr>
              <w:t xml:space="preserve"> Struma Motorway </w:t>
            </w:r>
            <w:r w:rsidR="00995BD3" w:rsidRPr="008340BB">
              <w:rPr>
                <w:rStyle w:val="hps"/>
                <w:szCs w:val="24"/>
              </w:rPr>
              <w:t>(</w:t>
            </w:r>
            <w:r w:rsidR="00995BD3" w:rsidRPr="008340BB">
              <w:rPr>
                <w:szCs w:val="24"/>
              </w:rPr>
              <w:t xml:space="preserve">Lot 1 </w:t>
            </w:r>
            <w:r w:rsidR="00995BD3" w:rsidRPr="008340BB">
              <w:rPr>
                <w:rStyle w:val="hps"/>
                <w:szCs w:val="24"/>
              </w:rPr>
              <w:t>Dolna</w:t>
            </w:r>
            <w:r w:rsidR="00995BD3" w:rsidRPr="008340BB">
              <w:rPr>
                <w:szCs w:val="24"/>
              </w:rPr>
              <w:t xml:space="preserve"> </w:t>
            </w:r>
            <w:r w:rsidR="00995BD3" w:rsidRPr="008340BB">
              <w:rPr>
                <w:rStyle w:val="hps"/>
                <w:szCs w:val="24"/>
              </w:rPr>
              <w:t xml:space="preserve">Dikanya </w:t>
            </w:r>
            <w:r w:rsidR="00995BD3" w:rsidRPr="008340BB">
              <w:rPr>
                <w:szCs w:val="24"/>
              </w:rPr>
              <w:t xml:space="preserve">- </w:t>
            </w:r>
            <w:r w:rsidR="00995BD3" w:rsidRPr="008340BB">
              <w:rPr>
                <w:rStyle w:val="hps"/>
                <w:szCs w:val="24"/>
              </w:rPr>
              <w:t>Dupnitsa</w:t>
            </w:r>
            <w:r w:rsidR="00995BD3" w:rsidRPr="008340BB">
              <w:rPr>
                <w:szCs w:val="24"/>
              </w:rPr>
              <w:t xml:space="preserve">, </w:t>
            </w:r>
            <w:r w:rsidR="00995BD3" w:rsidRPr="008340BB">
              <w:rPr>
                <w:rStyle w:val="hps"/>
                <w:szCs w:val="24"/>
              </w:rPr>
              <w:t>Lot 2</w:t>
            </w:r>
            <w:r w:rsidR="00995BD3" w:rsidRPr="008340BB">
              <w:rPr>
                <w:szCs w:val="24"/>
              </w:rPr>
              <w:t xml:space="preserve"> </w:t>
            </w:r>
            <w:r w:rsidR="00995BD3" w:rsidRPr="008340BB">
              <w:rPr>
                <w:rStyle w:val="hps"/>
                <w:szCs w:val="24"/>
              </w:rPr>
              <w:t xml:space="preserve">Dupnitsa </w:t>
            </w:r>
            <w:r w:rsidR="00995BD3" w:rsidRPr="008340BB">
              <w:rPr>
                <w:szCs w:val="24"/>
              </w:rPr>
              <w:t xml:space="preserve">- </w:t>
            </w:r>
            <w:r w:rsidR="00995BD3" w:rsidRPr="008340BB">
              <w:rPr>
                <w:rStyle w:val="hps"/>
                <w:szCs w:val="24"/>
              </w:rPr>
              <w:t>Blagoevgrad and</w:t>
            </w:r>
            <w:r w:rsidR="00995BD3" w:rsidRPr="008340BB">
              <w:rPr>
                <w:szCs w:val="24"/>
              </w:rPr>
              <w:t xml:space="preserve"> </w:t>
            </w:r>
            <w:r w:rsidR="00995BD3" w:rsidRPr="008340BB">
              <w:rPr>
                <w:rStyle w:val="hps"/>
                <w:szCs w:val="24"/>
              </w:rPr>
              <w:t xml:space="preserve">Lot 4 Sandanski </w:t>
            </w:r>
            <w:r w:rsidR="00995BD3" w:rsidRPr="008340BB">
              <w:rPr>
                <w:rStyle w:val="atn"/>
                <w:szCs w:val="24"/>
              </w:rPr>
              <w:t xml:space="preserve">- </w:t>
            </w:r>
            <w:r w:rsidR="00995BD3" w:rsidRPr="008340BB">
              <w:rPr>
                <w:szCs w:val="24"/>
              </w:rPr>
              <w:t xml:space="preserve">Kulata) were financed by the </w:t>
            </w:r>
            <w:r w:rsidRPr="008340BB">
              <w:rPr>
                <w:rStyle w:val="hps"/>
                <w:szCs w:val="24"/>
              </w:rPr>
              <w:t>OPT</w:t>
            </w:r>
            <w:r w:rsidRPr="008340BB">
              <w:rPr>
                <w:szCs w:val="24"/>
              </w:rPr>
              <w:t xml:space="preserve"> </w:t>
            </w:r>
            <w:r w:rsidRPr="008340BB">
              <w:rPr>
                <w:rStyle w:val="hps"/>
                <w:szCs w:val="24"/>
              </w:rPr>
              <w:t>2007-2013</w:t>
            </w:r>
            <w:r w:rsidR="00810B85">
              <w:rPr>
                <w:rStyle w:val="hps"/>
                <w:szCs w:val="24"/>
              </w:rPr>
              <w:t xml:space="preserve">. </w:t>
            </w:r>
            <w:r w:rsidR="00CA08A0" w:rsidRPr="00CA08A0">
              <w:rPr>
                <w:szCs w:val="24"/>
              </w:rPr>
              <w:t xml:space="preserve">It is envisaged investment works for </w:t>
            </w:r>
            <w:r w:rsidR="00D14408">
              <w:rPr>
                <w:szCs w:val="24"/>
                <w:lang w:val="en-US"/>
              </w:rPr>
              <w:t>construction</w:t>
            </w:r>
            <w:r w:rsidR="00CA08A0" w:rsidRPr="00CA08A0">
              <w:rPr>
                <w:szCs w:val="24"/>
              </w:rPr>
              <w:t xml:space="preserve"> of Struma Motorway Lot 3 Blagoevgrad - Sandanski to be financed by the OPTTI 2014-2020</w:t>
            </w:r>
            <w:r w:rsidR="00CA08A0">
              <w:rPr>
                <w:szCs w:val="24"/>
              </w:rPr>
              <w:t xml:space="preserve">. </w:t>
            </w:r>
            <w:r w:rsidR="00D14408" w:rsidRPr="00D14408">
              <w:rPr>
                <w:szCs w:val="24"/>
              </w:rPr>
              <w:t>Lot 3 will be fully completed in the 2021-2027 program</w:t>
            </w:r>
            <w:r w:rsidR="004E3262">
              <w:rPr>
                <w:szCs w:val="24"/>
              </w:rPr>
              <w:t>ming</w:t>
            </w:r>
            <w:r w:rsidR="00D14408" w:rsidRPr="00D14408">
              <w:rPr>
                <w:szCs w:val="24"/>
              </w:rPr>
              <w:t xml:space="preserve"> period.</w:t>
            </w:r>
            <w:r w:rsidR="00D14408">
              <w:rPr>
                <w:szCs w:val="24"/>
              </w:rPr>
              <w:t xml:space="preserve"> </w:t>
            </w:r>
            <w:r w:rsidR="008D122B" w:rsidRPr="008D122B">
              <w:rPr>
                <w:szCs w:val="24"/>
              </w:rPr>
              <w:t>Implementation of phase 2 of the Western arc of Sofia Ring road is also planned.</w:t>
            </w:r>
            <w:r w:rsidR="00012A1F">
              <w:rPr>
                <w:szCs w:val="24"/>
              </w:rPr>
              <w:t xml:space="preserve"> Additional project for </w:t>
            </w:r>
            <w:r w:rsidR="00012A1F" w:rsidRPr="00012A1F">
              <w:rPr>
                <w:szCs w:val="24"/>
                <w:lang w:val="en-US"/>
              </w:rPr>
              <w:t>construction of</w:t>
            </w:r>
            <w:r w:rsidR="00012A1F" w:rsidRPr="00012A1F">
              <w:rPr>
                <w:b/>
                <w:szCs w:val="24"/>
                <w:lang w:val="bg-BG"/>
              </w:rPr>
              <w:t xml:space="preserve"> </w:t>
            </w:r>
            <w:r w:rsidR="00012A1F" w:rsidRPr="00012A1F">
              <w:rPr>
                <w:szCs w:val="24"/>
                <w:lang w:val="en-US"/>
              </w:rPr>
              <w:t xml:space="preserve">Europa MW from km 15+500 to km </w:t>
            </w:r>
            <w:r w:rsidR="00331135" w:rsidRPr="00331135">
              <w:rPr>
                <w:szCs w:val="24"/>
                <w:lang w:val="bg-BG"/>
              </w:rPr>
              <w:t>48+903</w:t>
            </w:r>
            <w:r w:rsidR="00012A1F" w:rsidRPr="00012A1F">
              <w:rPr>
                <w:szCs w:val="24"/>
                <w:lang w:val="en-US"/>
              </w:rPr>
              <w:t xml:space="preserve"> represent</w:t>
            </w:r>
            <w:r w:rsidR="00012A1F">
              <w:rPr>
                <w:szCs w:val="24"/>
                <w:lang w:val="en-US"/>
              </w:rPr>
              <w:t xml:space="preserve">ing </w:t>
            </w:r>
            <w:r w:rsidR="00F14913">
              <w:rPr>
                <w:szCs w:val="24"/>
                <w:lang w:val="en-US"/>
              </w:rPr>
              <w:t>an</w:t>
            </w:r>
            <w:r w:rsidR="00012A1F" w:rsidRPr="00012A1F">
              <w:rPr>
                <w:szCs w:val="24"/>
                <w:lang w:val="en-US"/>
              </w:rPr>
              <w:t xml:space="preserve"> important</w:t>
            </w:r>
            <w:r w:rsidR="00012A1F" w:rsidRPr="00012A1F">
              <w:rPr>
                <w:szCs w:val="24"/>
                <w:lang w:val="bg-BG"/>
              </w:rPr>
              <w:t xml:space="preserve"> </w:t>
            </w:r>
            <w:r w:rsidR="00012A1F" w:rsidRPr="00012A1F">
              <w:rPr>
                <w:szCs w:val="24"/>
                <w:lang w:val="en-US"/>
              </w:rPr>
              <w:t>link</w:t>
            </w:r>
            <w:r w:rsidR="00012A1F" w:rsidRPr="00012A1F">
              <w:rPr>
                <w:szCs w:val="24"/>
                <w:lang w:val="bg-BG"/>
              </w:rPr>
              <w:t xml:space="preserve"> </w:t>
            </w:r>
            <w:r w:rsidR="00012A1F" w:rsidRPr="00012A1F">
              <w:rPr>
                <w:szCs w:val="24"/>
                <w:lang w:val="en-US"/>
              </w:rPr>
              <w:t>to</w:t>
            </w:r>
            <w:r w:rsidR="00012A1F" w:rsidRPr="00012A1F">
              <w:rPr>
                <w:szCs w:val="24"/>
                <w:lang w:val="bg-BG"/>
              </w:rPr>
              <w:t xml:space="preserve"> </w:t>
            </w:r>
            <w:r w:rsidR="00012A1F" w:rsidRPr="00012A1F">
              <w:rPr>
                <w:szCs w:val="24"/>
                <w:lang w:val="en-US"/>
              </w:rPr>
              <w:t>corridor</w:t>
            </w:r>
            <w:r w:rsidR="00350784">
              <w:rPr>
                <w:szCs w:val="24"/>
                <w:lang w:val="bg-BG"/>
              </w:rPr>
              <w:t xml:space="preserve"> </w:t>
            </w:r>
            <w:r w:rsidR="00350784">
              <w:rPr>
                <w:szCs w:val="24"/>
                <w:lang w:val="en-US"/>
              </w:rPr>
              <w:t>OEM</w:t>
            </w:r>
            <w:r w:rsidR="00331135">
              <w:rPr>
                <w:szCs w:val="24"/>
                <w:rtl/>
              </w:rPr>
              <w:t>.</w:t>
            </w:r>
            <w:r w:rsidR="00F14913">
              <w:rPr>
                <w:szCs w:val="24"/>
                <w:lang w:val="bg-BG"/>
              </w:rPr>
              <w:t xml:space="preserve"> </w:t>
            </w:r>
          </w:p>
          <w:p w14:paraId="6FF980FA" w14:textId="7F0AEC93" w:rsidR="00F1341F" w:rsidRPr="008340BB" w:rsidRDefault="001F2CC0" w:rsidP="00674A21">
            <w:pPr>
              <w:rPr>
                <w:szCs w:val="24"/>
              </w:rPr>
            </w:pPr>
            <w:r w:rsidRPr="001F2CC0">
              <w:rPr>
                <w:szCs w:val="24"/>
              </w:rPr>
              <w:t xml:space="preserve">The other priority project, namely: </w:t>
            </w:r>
            <w:r w:rsidR="00B63A88" w:rsidRPr="00B63A88">
              <w:rPr>
                <w:szCs w:val="24"/>
              </w:rPr>
              <w:t xml:space="preserve">the </w:t>
            </w:r>
            <w:r w:rsidR="00B63A88" w:rsidRPr="00B63A88">
              <w:rPr>
                <w:szCs w:val="24"/>
                <w:lang w:val="en-US"/>
              </w:rPr>
              <w:t>project for construction of Road E-79, section Ruzhintsi – Montana</w:t>
            </w:r>
            <w:r w:rsidR="00B63A88" w:rsidRPr="00B63A88">
              <w:rPr>
                <w:szCs w:val="24"/>
              </w:rPr>
              <w:t xml:space="preserve"> representing a part of the Trans-European Transport corridor </w:t>
            </w:r>
            <w:r w:rsidR="00BB55E9">
              <w:rPr>
                <w:szCs w:val="24"/>
              </w:rPr>
              <w:t>OEM</w:t>
            </w:r>
            <w:r w:rsidR="00B63A88">
              <w:rPr>
                <w:szCs w:val="24"/>
                <w:lang w:val="en-US"/>
              </w:rPr>
              <w:t xml:space="preserve"> </w:t>
            </w:r>
            <w:r w:rsidR="00B63A88" w:rsidRPr="00B63A88">
              <w:rPr>
                <w:szCs w:val="24"/>
              </w:rPr>
              <w:t xml:space="preserve">and </w:t>
            </w:r>
            <w:r w:rsidR="00B63A88">
              <w:rPr>
                <w:szCs w:val="24"/>
              </w:rPr>
              <w:t xml:space="preserve">the project for </w:t>
            </w:r>
            <w:r w:rsidRPr="001F2CC0">
              <w:rPr>
                <w:szCs w:val="24"/>
              </w:rPr>
              <w:t>Construction of the Hemus Motorway</w:t>
            </w:r>
            <w:r w:rsidR="00B63A88">
              <w:rPr>
                <w:szCs w:val="24"/>
              </w:rPr>
              <w:t xml:space="preserve"> are envisaged for</w:t>
            </w:r>
            <w:r w:rsidR="00B63A88" w:rsidRPr="00B63A88">
              <w:rPr>
                <w:szCs w:val="24"/>
              </w:rPr>
              <w:t xml:space="preserve"> funding from the State Budget</w:t>
            </w:r>
            <w:r w:rsidR="00F90029">
              <w:rPr>
                <w:szCs w:val="24"/>
              </w:rPr>
              <w:t>.  Another priority project - the project for</w:t>
            </w:r>
            <w:r w:rsidRPr="001F2CC0">
              <w:rPr>
                <w:szCs w:val="24"/>
              </w:rPr>
              <w:t xml:space="preserve"> </w:t>
            </w:r>
            <w:r w:rsidR="00F90029">
              <w:rPr>
                <w:szCs w:val="24"/>
              </w:rPr>
              <w:t>c</w:t>
            </w:r>
            <w:r w:rsidRPr="001F2CC0">
              <w:rPr>
                <w:szCs w:val="24"/>
              </w:rPr>
              <w:t>onstruction of a tunnel under the Shipka Peak</w:t>
            </w:r>
            <w:r w:rsidR="00F90029">
              <w:rPr>
                <w:szCs w:val="24"/>
              </w:rPr>
              <w:t>,</w:t>
            </w:r>
            <w:r w:rsidRPr="001F2CC0">
              <w:rPr>
                <w:szCs w:val="24"/>
              </w:rPr>
              <w:t xml:space="preserve"> Phase 2 of the project "Bypass road of the town of Gabrovo with tunnel under the Shipka Peak” will be financed </w:t>
            </w:r>
            <w:r w:rsidR="000E310E">
              <w:rPr>
                <w:szCs w:val="24"/>
              </w:rPr>
              <w:t xml:space="preserve">under the </w:t>
            </w:r>
            <w:r w:rsidR="004775D7">
              <w:rPr>
                <w:szCs w:val="24"/>
              </w:rPr>
              <w:t xml:space="preserve">new </w:t>
            </w:r>
            <w:r w:rsidR="000E310E">
              <w:rPr>
                <w:szCs w:val="24"/>
              </w:rPr>
              <w:t>programme for the period 2021-2027.</w:t>
            </w:r>
            <w:r w:rsidR="00087877" w:rsidRPr="008340BB">
              <w:rPr>
                <w:szCs w:val="24"/>
              </w:rPr>
              <w:t xml:space="preserve">Under the </w:t>
            </w:r>
            <w:r w:rsidR="00087877" w:rsidRPr="008340BB">
              <w:rPr>
                <w:rStyle w:val="hps"/>
                <w:szCs w:val="24"/>
              </w:rPr>
              <w:t>OPT</w:t>
            </w:r>
            <w:r w:rsidR="00087877" w:rsidRPr="008340BB">
              <w:rPr>
                <w:szCs w:val="24"/>
              </w:rPr>
              <w:t xml:space="preserve"> </w:t>
            </w:r>
            <w:r w:rsidR="00087877" w:rsidRPr="008340BB">
              <w:rPr>
                <w:rStyle w:val="hps"/>
                <w:szCs w:val="24"/>
              </w:rPr>
              <w:t xml:space="preserve">2007-2013 </w:t>
            </w:r>
            <w:r w:rsidR="00087877" w:rsidRPr="008340BB">
              <w:rPr>
                <w:szCs w:val="24"/>
              </w:rPr>
              <w:t>t</w:t>
            </w:r>
            <w:r w:rsidR="00995BD3" w:rsidRPr="008340BB">
              <w:rPr>
                <w:szCs w:val="24"/>
              </w:rPr>
              <w:t xml:space="preserve">he link </w:t>
            </w:r>
            <w:r w:rsidR="00846DC6" w:rsidRPr="008340BB">
              <w:rPr>
                <w:szCs w:val="24"/>
              </w:rPr>
              <w:t>from</w:t>
            </w:r>
            <w:r w:rsidR="00995BD3" w:rsidRPr="008340BB">
              <w:rPr>
                <w:szCs w:val="24"/>
              </w:rPr>
              <w:t xml:space="preserve"> Hemus Motorway </w:t>
            </w:r>
            <w:r w:rsidR="00846DC6" w:rsidRPr="008340BB">
              <w:rPr>
                <w:szCs w:val="24"/>
              </w:rPr>
              <w:t>to the</w:t>
            </w:r>
            <w:r w:rsidR="00995BD3" w:rsidRPr="008340BB">
              <w:rPr>
                <w:szCs w:val="24"/>
              </w:rPr>
              <w:t xml:space="preserve"> Sofia </w:t>
            </w:r>
            <w:r w:rsidR="00995BD3" w:rsidRPr="008340BB">
              <w:rPr>
                <w:rStyle w:val="hps"/>
                <w:szCs w:val="24"/>
              </w:rPr>
              <w:t>Ring</w:t>
            </w:r>
            <w:r w:rsidR="00995BD3" w:rsidRPr="008340BB">
              <w:rPr>
                <w:szCs w:val="24"/>
              </w:rPr>
              <w:t xml:space="preserve"> </w:t>
            </w:r>
            <w:r w:rsidR="00995BD3" w:rsidRPr="008340BB">
              <w:rPr>
                <w:rStyle w:val="hps"/>
                <w:szCs w:val="24"/>
              </w:rPr>
              <w:t>Road</w:t>
            </w:r>
            <w:r w:rsidR="00995BD3" w:rsidRPr="008340BB">
              <w:rPr>
                <w:szCs w:val="24"/>
              </w:rPr>
              <w:t xml:space="preserve"> </w:t>
            </w:r>
            <w:r w:rsidR="00995BD3" w:rsidRPr="008340BB">
              <w:rPr>
                <w:rStyle w:val="hps"/>
                <w:szCs w:val="24"/>
              </w:rPr>
              <w:t>–</w:t>
            </w:r>
            <w:r w:rsidR="00995BD3" w:rsidRPr="008340BB">
              <w:rPr>
                <w:szCs w:val="24"/>
              </w:rPr>
              <w:t xml:space="preserve"> road </w:t>
            </w:r>
            <w:r w:rsidR="00995BD3" w:rsidRPr="008340BB">
              <w:rPr>
                <w:rStyle w:val="hps"/>
                <w:szCs w:val="24"/>
              </w:rPr>
              <w:t>junction</w:t>
            </w:r>
            <w:r w:rsidR="00995BD3" w:rsidRPr="008340BB">
              <w:rPr>
                <w:szCs w:val="24"/>
              </w:rPr>
              <w:t xml:space="preserve"> </w:t>
            </w:r>
            <w:r w:rsidR="00995BD3" w:rsidRPr="008340BB">
              <w:rPr>
                <w:rStyle w:val="hps"/>
                <w:szCs w:val="24"/>
              </w:rPr>
              <w:t>Yana</w:t>
            </w:r>
            <w:r w:rsidR="00846DC6" w:rsidRPr="008340BB">
              <w:rPr>
                <w:rStyle w:val="hps"/>
                <w:szCs w:val="24"/>
              </w:rPr>
              <w:t xml:space="preserve"> </w:t>
            </w:r>
            <w:r w:rsidR="00F1341F" w:rsidRPr="008340BB">
              <w:rPr>
                <w:szCs w:val="24"/>
              </w:rPr>
              <w:t xml:space="preserve">was </w:t>
            </w:r>
            <w:r w:rsidR="00F1341F" w:rsidRPr="008340BB">
              <w:rPr>
                <w:rStyle w:val="hps"/>
                <w:szCs w:val="24"/>
              </w:rPr>
              <w:t xml:space="preserve">successfully </w:t>
            </w:r>
            <w:r w:rsidR="00F1341F" w:rsidRPr="008340BB">
              <w:rPr>
                <w:rStyle w:val="hps"/>
                <w:szCs w:val="24"/>
              </w:rPr>
              <w:lastRenderedPageBreak/>
              <w:t>completed</w:t>
            </w:r>
            <w:r w:rsidR="00F1341F" w:rsidRPr="008340BB">
              <w:rPr>
                <w:szCs w:val="24"/>
              </w:rPr>
              <w:t xml:space="preserve">. </w:t>
            </w:r>
            <w:r w:rsidR="00087877" w:rsidRPr="008340BB">
              <w:rPr>
                <w:rStyle w:val="hps"/>
                <w:szCs w:val="24"/>
              </w:rPr>
              <w:t>The "</w:t>
            </w:r>
            <w:r w:rsidR="00087877" w:rsidRPr="008340BB">
              <w:rPr>
                <w:szCs w:val="24"/>
              </w:rPr>
              <w:t xml:space="preserve">Bypass road of </w:t>
            </w:r>
            <w:r w:rsidR="00087877" w:rsidRPr="008340BB">
              <w:rPr>
                <w:rStyle w:val="hps"/>
                <w:szCs w:val="24"/>
              </w:rPr>
              <w:t>the town</w:t>
            </w:r>
            <w:r w:rsidR="00087877" w:rsidRPr="008340BB">
              <w:rPr>
                <w:szCs w:val="24"/>
              </w:rPr>
              <w:t xml:space="preserve"> of </w:t>
            </w:r>
            <w:r w:rsidR="00087877" w:rsidRPr="008340BB">
              <w:rPr>
                <w:rStyle w:val="hps"/>
                <w:szCs w:val="24"/>
              </w:rPr>
              <w:t>Gabrovo</w:t>
            </w:r>
            <w:r w:rsidR="00087877" w:rsidRPr="008340BB">
              <w:rPr>
                <w:szCs w:val="24"/>
              </w:rPr>
              <w:t xml:space="preserve">" </w:t>
            </w:r>
            <w:r w:rsidR="00087877" w:rsidRPr="008340BB">
              <w:rPr>
                <w:rStyle w:val="hps"/>
                <w:szCs w:val="24"/>
              </w:rPr>
              <w:t>- Phase</w:t>
            </w:r>
            <w:r w:rsidR="00087877" w:rsidRPr="008340BB">
              <w:rPr>
                <w:szCs w:val="24"/>
              </w:rPr>
              <w:t xml:space="preserve"> </w:t>
            </w:r>
            <w:r w:rsidR="00087877" w:rsidRPr="008340BB">
              <w:rPr>
                <w:rStyle w:val="hps"/>
                <w:szCs w:val="24"/>
              </w:rPr>
              <w:t>1 is</w:t>
            </w:r>
            <w:r w:rsidR="00087877" w:rsidRPr="008340BB">
              <w:rPr>
                <w:szCs w:val="24"/>
              </w:rPr>
              <w:t xml:space="preserve"> </w:t>
            </w:r>
            <w:r w:rsidR="00087877" w:rsidRPr="008340BB">
              <w:rPr>
                <w:rStyle w:val="hps"/>
              </w:rPr>
              <w:t>a</w:t>
            </w:r>
            <w:r w:rsidR="00F1341F" w:rsidRPr="008340BB">
              <w:rPr>
                <w:rStyle w:val="hps"/>
                <w:szCs w:val="24"/>
              </w:rPr>
              <w:t>nother major</w:t>
            </w:r>
            <w:r w:rsidR="00F1341F" w:rsidRPr="008340BB">
              <w:rPr>
                <w:szCs w:val="24"/>
              </w:rPr>
              <w:t xml:space="preserve"> </w:t>
            </w:r>
            <w:r w:rsidR="00F1341F" w:rsidRPr="008340BB">
              <w:rPr>
                <w:rStyle w:val="hps"/>
                <w:szCs w:val="24"/>
              </w:rPr>
              <w:t>project funded by the</w:t>
            </w:r>
            <w:r w:rsidR="00F1341F" w:rsidRPr="008340BB">
              <w:rPr>
                <w:szCs w:val="24"/>
              </w:rPr>
              <w:t xml:space="preserve"> </w:t>
            </w:r>
            <w:r w:rsidR="00F1341F" w:rsidRPr="008340BB">
              <w:rPr>
                <w:rStyle w:val="hps"/>
                <w:szCs w:val="24"/>
              </w:rPr>
              <w:t>OPT</w:t>
            </w:r>
            <w:r w:rsidR="00F1341F" w:rsidRPr="008340BB">
              <w:rPr>
                <w:szCs w:val="24"/>
              </w:rPr>
              <w:t xml:space="preserve"> </w:t>
            </w:r>
            <w:r w:rsidR="00F1341F" w:rsidRPr="008340BB">
              <w:rPr>
                <w:rStyle w:val="hps"/>
                <w:szCs w:val="24"/>
              </w:rPr>
              <w:t>2007-2013</w:t>
            </w:r>
            <w:r w:rsidR="00F1341F" w:rsidRPr="008340BB">
              <w:rPr>
                <w:szCs w:val="24"/>
              </w:rPr>
              <w:t xml:space="preserve"> </w:t>
            </w:r>
            <w:r w:rsidR="00087877" w:rsidRPr="008340BB">
              <w:rPr>
                <w:szCs w:val="24"/>
              </w:rPr>
              <w:t xml:space="preserve">that </w:t>
            </w:r>
            <w:r w:rsidR="00846DC6" w:rsidRPr="008340BB">
              <w:rPr>
                <w:rStyle w:val="hps"/>
                <w:szCs w:val="24"/>
              </w:rPr>
              <w:t xml:space="preserve">is </w:t>
            </w:r>
            <w:r w:rsidR="00BC2D72">
              <w:rPr>
                <w:rStyle w:val="hps"/>
                <w:szCs w:val="24"/>
              </w:rPr>
              <w:t>completed</w:t>
            </w:r>
            <w:r w:rsidR="004775D7">
              <w:rPr>
                <w:rStyle w:val="hps"/>
                <w:szCs w:val="24"/>
              </w:rPr>
              <w:t xml:space="preserve">. </w:t>
            </w:r>
            <w:r w:rsidR="00BC2D72">
              <w:rPr>
                <w:rStyle w:val="hps"/>
                <w:szCs w:val="24"/>
              </w:rPr>
              <w:t>Completed</w:t>
            </w:r>
            <w:r w:rsidR="00FA093B" w:rsidRPr="008340BB">
              <w:rPr>
                <w:rStyle w:val="hps"/>
                <w:szCs w:val="24"/>
              </w:rPr>
              <w:t xml:space="preserve"> are</w:t>
            </w:r>
            <w:r w:rsidR="004775D7">
              <w:rPr>
                <w:rStyle w:val="hps"/>
                <w:szCs w:val="24"/>
              </w:rPr>
              <w:t xml:space="preserve"> also</w:t>
            </w:r>
            <w:r w:rsidR="00FA093B" w:rsidRPr="008340BB">
              <w:rPr>
                <w:rStyle w:val="hps"/>
                <w:szCs w:val="24"/>
              </w:rPr>
              <w:t xml:space="preserve"> the </w:t>
            </w:r>
            <w:r w:rsidR="00721F31">
              <w:rPr>
                <w:rStyle w:val="hps"/>
                <w:szCs w:val="24"/>
              </w:rPr>
              <w:t xml:space="preserve">technical assistance </w:t>
            </w:r>
            <w:r w:rsidR="00FA093B" w:rsidRPr="008340BB">
              <w:rPr>
                <w:rStyle w:val="hps"/>
                <w:szCs w:val="24"/>
              </w:rPr>
              <w:t>p</w:t>
            </w:r>
            <w:r w:rsidR="00087877" w:rsidRPr="008340BB">
              <w:rPr>
                <w:rStyle w:val="hps"/>
                <w:szCs w:val="24"/>
              </w:rPr>
              <w:t>rojects</w:t>
            </w:r>
            <w:r w:rsidR="00087877" w:rsidRPr="008340BB">
              <w:rPr>
                <w:szCs w:val="24"/>
              </w:rPr>
              <w:t xml:space="preserve"> </w:t>
            </w:r>
            <w:r w:rsidR="00087877" w:rsidRPr="008340BB">
              <w:rPr>
                <w:rStyle w:val="hps"/>
                <w:szCs w:val="24"/>
              </w:rPr>
              <w:t>for</w:t>
            </w:r>
            <w:r w:rsidR="00087877" w:rsidRPr="008340BB">
              <w:rPr>
                <w:szCs w:val="24"/>
              </w:rPr>
              <w:t xml:space="preserve"> </w:t>
            </w:r>
            <w:r w:rsidR="00087877" w:rsidRPr="008340BB">
              <w:rPr>
                <w:rStyle w:val="hps"/>
                <w:szCs w:val="24"/>
              </w:rPr>
              <w:t>preparation</w:t>
            </w:r>
            <w:r w:rsidR="00087877" w:rsidRPr="008340BB">
              <w:rPr>
                <w:szCs w:val="24"/>
              </w:rPr>
              <w:t xml:space="preserve"> </w:t>
            </w:r>
            <w:r w:rsidR="00087877" w:rsidRPr="008340BB">
              <w:rPr>
                <w:rStyle w:val="hps"/>
                <w:szCs w:val="24"/>
              </w:rPr>
              <w:t>of construction</w:t>
            </w:r>
            <w:r w:rsidR="00087877" w:rsidRPr="008340BB">
              <w:rPr>
                <w:szCs w:val="24"/>
              </w:rPr>
              <w:t xml:space="preserve"> works for Struma Motorway, </w:t>
            </w:r>
            <w:r w:rsidR="00087877" w:rsidRPr="008340BB">
              <w:rPr>
                <w:rStyle w:val="hps"/>
                <w:szCs w:val="24"/>
              </w:rPr>
              <w:t xml:space="preserve">Hemus </w:t>
            </w:r>
            <w:r w:rsidR="00087877" w:rsidRPr="008340BB">
              <w:rPr>
                <w:szCs w:val="24"/>
              </w:rPr>
              <w:t xml:space="preserve">Motorway and Bypass road of </w:t>
            </w:r>
            <w:r w:rsidR="00087877" w:rsidRPr="008340BB">
              <w:rPr>
                <w:rStyle w:val="hps"/>
                <w:szCs w:val="24"/>
              </w:rPr>
              <w:t>the town</w:t>
            </w:r>
            <w:r w:rsidR="00087877" w:rsidRPr="008340BB">
              <w:rPr>
                <w:szCs w:val="24"/>
              </w:rPr>
              <w:t xml:space="preserve"> of </w:t>
            </w:r>
            <w:r w:rsidR="00087877" w:rsidRPr="008340BB">
              <w:rPr>
                <w:rStyle w:val="hps"/>
                <w:szCs w:val="24"/>
              </w:rPr>
              <w:t>Gabrovo</w:t>
            </w:r>
            <w:r w:rsidR="00087877" w:rsidRPr="008340BB">
              <w:rPr>
                <w:szCs w:val="24"/>
              </w:rPr>
              <w:t xml:space="preserve">" </w:t>
            </w:r>
            <w:r w:rsidR="00087877" w:rsidRPr="008340BB">
              <w:rPr>
                <w:rStyle w:val="hps"/>
                <w:szCs w:val="24"/>
              </w:rPr>
              <w:t>- Phase</w:t>
            </w:r>
            <w:r w:rsidR="00087877" w:rsidRPr="008340BB">
              <w:rPr>
                <w:szCs w:val="24"/>
              </w:rPr>
              <w:t xml:space="preserve"> </w:t>
            </w:r>
            <w:r w:rsidR="00087877" w:rsidRPr="008340BB">
              <w:rPr>
                <w:rStyle w:val="hps"/>
                <w:szCs w:val="24"/>
              </w:rPr>
              <w:t>2</w:t>
            </w:r>
            <w:r w:rsidR="00087877" w:rsidRPr="008340BB">
              <w:rPr>
                <w:szCs w:val="24"/>
              </w:rPr>
              <w:t xml:space="preserve"> </w:t>
            </w:r>
            <w:r w:rsidR="00087877" w:rsidRPr="008340BB">
              <w:rPr>
                <w:rStyle w:val="hps"/>
                <w:szCs w:val="24"/>
              </w:rPr>
              <w:t>including</w:t>
            </w:r>
            <w:r w:rsidR="00087877" w:rsidRPr="008340BB">
              <w:rPr>
                <w:szCs w:val="24"/>
              </w:rPr>
              <w:t xml:space="preserve"> </w:t>
            </w:r>
            <w:r w:rsidR="00087877" w:rsidRPr="008340BB">
              <w:rPr>
                <w:rStyle w:val="hps"/>
                <w:szCs w:val="24"/>
              </w:rPr>
              <w:t>the construction of</w:t>
            </w:r>
            <w:r w:rsidR="00087877" w:rsidRPr="008340BB">
              <w:rPr>
                <w:szCs w:val="24"/>
              </w:rPr>
              <w:t xml:space="preserve"> </w:t>
            </w:r>
            <w:r w:rsidR="00087877" w:rsidRPr="008340BB">
              <w:rPr>
                <w:rStyle w:val="hps"/>
                <w:szCs w:val="24"/>
              </w:rPr>
              <w:t>a tunnel under the</w:t>
            </w:r>
            <w:r w:rsidR="00087877" w:rsidRPr="008340BB">
              <w:rPr>
                <w:szCs w:val="24"/>
              </w:rPr>
              <w:t xml:space="preserve"> </w:t>
            </w:r>
            <w:r w:rsidR="00087877" w:rsidRPr="008340BB">
              <w:rPr>
                <w:rStyle w:val="hps"/>
                <w:szCs w:val="24"/>
              </w:rPr>
              <w:t>Shipka Peak</w:t>
            </w:r>
            <w:r w:rsidR="00FA093B" w:rsidRPr="008340BB">
              <w:rPr>
                <w:rStyle w:val="hps"/>
                <w:szCs w:val="24"/>
              </w:rPr>
              <w:t>, which</w:t>
            </w:r>
            <w:r w:rsidR="00087877" w:rsidRPr="008340BB">
              <w:rPr>
                <w:rStyle w:val="hps"/>
                <w:szCs w:val="24"/>
              </w:rPr>
              <w:t xml:space="preserve"> were financed </w:t>
            </w:r>
            <w:r w:rsidR="00FA093B" w:rsidRPr="008340BB">
              <w:rPr>
                <w:szCs w:val="24"/>
              </w:rPr>
              <w:t xml:space="preserve"> by the </w:t>
            </w:r>
            <w:r w:rsidR="00F1341F" w:rsidRPr="008340BB">
              <w:rPr>
                <w:rStyle w:val="hps"/>
                <w:szCs w:val="24"/>
              </w:rPr>
              <w:t>OPT</w:t>
            </w:r>
            <w:r w:rsidR="00F1341F" w:rsidRPr="008340BB">
              <w:rPr>
                <w:szCs w:val="24"/>
              </w:rPr>
              <w:t xml:space="preserve"> </w:t>
            </w:r>
            <w:r w:rsidR="00F1341F" w:rsidRPr="008340BB">
              <w:rPr>
                <w:rStyle w:val="hps"/>
                <w:szCs w:val="24"/>
              </w:rPr>
              <w:t>2007-2013</w:t>
            </w:r>
            <w:r w:rsidR="00FA093B" w:rsidRPr="008340BB">
              <w:rPr>
                <w:rStyle w:val="hps"/>
                <w:szCs w:val="24"/>
              </w:rPr>
              <w:t>.</w:t>
            </w:r>
            <w:r w:rsidR="00F1341F" w:rsidRPr="008340BB">
              <w:rPr>
                <w:szCs w:val="24"/>
              </w:rPr>
              <w:t xml:space="preserve"> </w:t>
            </w:r>
            <w:r w:rsidR="00BC2D72">
              <w:rPr>
                <w:szCs w:val="24"/>
              </w:rPr>
              <w:t>The</w:t>
            </w:r>
            <w:r w:rsidR="00F1341F" w:rsidRPr="008340BB">
              <w:rPr>
                <w:szCs w:val="24"/>
              </w:rPr>
              <w:t xml:space="preserve"> important route I-1/E79 </w:t>
            </w:r>
            <w:r w:rsidR="002E2AAF" w:rsidRPr="008340BB">
              <w:rPr>
                <w:szCs w:val="24"/>
              </w:rPr>
              <w:t xml:space="preserve">Vidin - Montana - Vratsa </w:t>
            </w:r>
            <w:r w:rsidR="00AE3414" w:rsidRPr="008340BB">
              <w:rPr>
                <w:szCs w:val="24"/>
              </w:rPr>
              <w:t>-</w:t>
            </w:r>
            <w:r w:rsidR="002E2AAF" w:rsidRPr="008340BB">
              <w:rPr>
                <w:szCs w:val="24"/>
              </w:rPr>
              <w:t xml:space="preserve"> </w:t>
            </w:r>
            <w:r w:rsidR="00F1341F" w:rsidRPr="008340BB">
              <w:rPr>
                <w:szCs w:val="24"/>
              </w:rPr>
              <w:t>Botevgrad</w:t>
            </w:r>
            <w:r w:rsidR="002E2AAF" w:rsidRPr="008340BB">
              <w:rPr>
                <w:szCs w:val="24"/>
              </w:rPr>
              <w:t xml:space="preserve"> </w:t>
            </w:r>
            <w:r w:rsidR="00BC2D72">
              <w:rPr>
                <w:szCs w:val="24"/>
              </w:rPr>
              <w:t>wa</w:t>
            </w:r>
            <w:r w:rsidR="002E2AAF" w:rsidRPr="008340BB">
              <w:rPr>
                <w:szCs w:val="24"/>
              </w:rPr>
              <w:t>s split into</w:t>
            </w:r>
            <w:r w:rsidR="00F1341F" w:rsidRPr="008340BB">
              <w:t xml:space="preserve"> two sections: </w:t>
            </w:r>
            <w:r w:rsidR="002E2AAF" w:rsidRPr="008340BB">
              <w:t xml:space="preserve">Vidin-Vratsa and </w:t>
            </w:r>
            <w:r w:rsidR="00F66AC9" w:rsidRPr="008340BB">
              <w:t>Mezdra-</w:t>
            </w:r>
            <w:r w:rsidR="00F1341F" w:rsidRPr="008340BB">
              <w:t xml:space="preserve">Botevgrad. The preparation for construction of both sections </w:t>
            </w:r>
            <w:r w:rsidR="00CE40C2">
              <w:t>wa</w:t>
            </w:r>
            <w:r w:rsidR="00F1341F" w:rsidRPr="008340BB">
              <w:t xml:space="preserve">s financed under Operational Program </w:t>
            </w:r>
            <w:r w:rsidR="00CE40C2">
              <w:t xml:space="preserve">on </w:t>
            </w:r>
            <w:r w:rsidR="00F1341F" w:rsidRPr="008340BB">
              <w:t xml:space="preserve">Transport 2007 – 2013. </w:t>
            </w:r>
            <w:r w:rsidR="005644EC">
              <w:rPr>
                <w:lang w:val="en-US"/>
              </w:rPr>
              <w:t xml:space="preserve">Currently the implementation process is ongoing at stages. </w:t>
            </w:r>
          </w:p>
          <w:p w14:paraId="51D5DD53" w14:textId="21E55563" w:rsidR="00F1341F" w:rsidRPr="008340BB" w:rsidRDefault="00F1341F" w:rsidP="00FB6320">
            <w:pPr>
              <w:rPr>
                <w:szCs w:val="24"/>
              </w:rPr>
            </w:pPr>
            <w:r w:rsidRPr="008340BB">
              <w:rPr>
                <w:rStyle w:val="hps"/>
                <w:szCs w:val="24"/>
              </w:rPr>
              <w:t>Regarding metro</w:t>
            </w:r>
            <w:r w:rsidRPr="008340BB">
              <w:rPr>
                <w:szCs w:val="24"/>
              </w:rPr>
              <w:t xml:space="preserve"> </w:t>
            </w:r>
            <w:r w:rsidRPr="008340BB">
              <w:rPr>
                <w:rStyle w:val="hps"/>
                <w:szCs w:val="24"/>
              </w:rPr>
              <w:t>transport</w:t>
            </w:r>
            <w:r w:rsidRPr="008340BB">
              <w:rPr>
                <w:szCs w:val="24"/>
              </w:rPr>
              <w:t xml:space="preserve"> </w:t>
            </w:r>
            <w:r w:rsidRPr="008340BB">
              <w:rPr>
                <w:rStyle w:val="hps"/>
                <w:szCs w:val="24"/>
              </w:rPr>
              <w:t>in Sofia</w:t>
            </w:r>
            <w:r w:rsidRPr="008340BB">
              <w:rPr>
                <w:szCs w:val="24"/>
              </w:rPr>
              <w:t xml:space="preserve"> </w:t>
            </w:r>
            <w:r w:rsidRPr="008340BB">
              <w:rPr>
                <w:rStyle w:val="hps"/>
                <w:szCs w:val="24"/>
              </w:rPr>
              <w:t>the main investments</w:t>
            </w:r>
            <w:r w:rsidRPr="008340BB">
              <w:rPr>
                <w:szCs w:val="24"/>
              </w:rPr>
              <w:t xml:space="preserve"> </w:t>
            </w:r>
            <w:r w:rsidRPr="008340BB">
              <w:rPr>
                <w:rStyle w:val="hps"/>
                <w:szCs w:val="24"/>
              </w:rPr>
              <w:t>are concentrated on the construction of</w:t>
            </w:r>
            <w:r w:rsidRPr="008340BB">
              <w:rPr>
                <w:szCs w:val="24"/>
              </w:rPr>
              <w:t xml:space="preserve"> </w:t>
            </w:r>
            <w:r w:rsidRPr="008340BB">
              <w:rPr>
                <w:rStyle w:val="hps"/>
                <w:szCs w:val="24"/>
              </w:rPr>
              <w:t>a third</w:t>
            </w:r>
            <w:r w:rsidRPr="008340BB">
              <w:rPr>
                <w:szCs w:val="24"/>
              </w:rPr>
              <w:t xml:space="preserve"> </w:t>
            </w:r>
            <w:r w:rsidR="00527D28" w:rsidRPr="008340BB">
              <w:rPr>
                <w:rStyle w:val="hps"/>
                <w:szCs w:val="24"/>
              </w:rPr>
              <w:t>metroline</w:t>
            </w:r>
            <w:r w:rsidR="009A663B">
              <w:rPr>
                <w:rStyle w:val="hps"/>
                <w:szCs w:val="24"/>
              </w:rPr>
              <w:t xml:space="preserve"> and </w:t>
            </w:r>
            <w:r w:rsidR="009A663B">
              <w:rPr>
                <w:rStyle w:val="hps"/>
                <w:szCs w:val="24"/>
                <w:lang w:val="en-US"/>
              </w:rPr>
              <w:t xml:space="preserve">on </w:t>
            </w:r>
            <w:r w:rsidR="009A663B">
              <w:rPr>
                <w:rStyle w:val="hps"/>
                <w:szCs w:val="24"/>
              </w:rPr>
              <w:t xml:space="preserve">the preparatory activities of its </w:t>
            </w:r>
            <w:r w:rsidR="009A663B">
              <w:rPr>
                <w:rStyle w:val="hps"/>
                <w:szCs w:val="24"/>
                <w:lang w:val="en-US"/>
              </w:rPr>
              <w:t>subsequent extension</w:t>
            </w:r>
            <w:r w:rsidRPr="008340BB">
              <w:rPr>
                <w:szCs w:val="24"/>
              </w:rPr>
              <w:t xml:space="preserve">. </w:t>
            </w:r>
            <w:r w:rsidRPr="008340BB">
              <w:rPr>
                <w:rStyle w:val="hps"/>
                <w:szCs w:val="24"/>
              </w:rPr>
              <w:t>Within</w:t>
            </w:r>
            <w:r w:rsidRPr="008340BB">
              <w:rPr>
                <w:szCs w:val="24"/>
              </w:rPr>
              <w:t xml:space="preserve"> the framework of the </w:t>
            </w:r>
            <w:r w:rsidRPr="008340BB">
              <w:rPr>
                <w:rStyle w:val="hps"/>
                <w:szCs w:val="24"/>
              </w:rPr>
              <w:t>OPT</w:t>
            </w:r>
            <w:r w:rsidRPr="008340BB">
              <w:rPr>
                <w:szCs w:val="24"/>
              </w:rPr>
              <w:t xml:space="preserve"> </w:t>
            </w:r>
            <w:r w:rsidRPr="008340BB">
              <w:rPr>
                <w:rStyle w:val="hps"/>
                <w:szCs w:val="24"/>
              </w:rPr>
              <w:t>2007-2013</w:t>
            </w:r>
            <w:r w:rsidRPr="008340BB">
              <w:rPr>
                <w:szCs w:val="24"/>
              </w:rPr>
              <w:t xml:space="preserve"> there were </w:t>
            </w:r>
            <w:r w:rsidRPr="008340BB">
              <w:rPr>
                <w:rStyle w:val="hps"/>
                <w:szCs w:val="24"/>
              </w:rPr>
              <w:t>successfully completed</w:t>
            </w:r>
            <w:r w:rsidRPr="008340BB">
              <w:rPr>
                <w:szCs w:val="24"/>
              </w:rPr>
              <w:t xml:space="preserve"> </w:t>
            </w:r>
            <w:r w:rsidRPr="008340BB">
              <w:rPr>
                <w:rStyle w:val="hps"/>
                <w:szCs w:val="24"/>
              </w:rPr>
              <w:t>investment projects</w:t>
            </w:r>
            <w:r w:rsidRPr="008340BB">
              <w:rPr>
                <w:szCs w:val="24"/>
              </w:rPr>
              <w:t xml:space="preserve"> </w:t>
            </w:r>
            <w:r w:rsidRPr="008340BB">
              <w:rPr>
                <w:rStyle w:val="hps"/>
                <w:szCs w:val="24"/>
              </w:rPr>
              <w:t>for extension of</w:t>
            </w:r>
            <w:r w:rsidRPr="008340BB">
              <w:rPr>
                <w:szCs w:val="24"/>
              </w:rPr>
              <w:t xml:space="preserve"> </w:t>
            </w:r>
            <w:r w:rsidRPr="008340BB">
              <w:rPr>
                <w:rStyle w:val="hps"/>
                <w:szCs w:val="24"/>
              </w:rPr>
              <w:t>the Sofia Metropolitan</w:t>
            </w:r>
            <w:r w:rsidRPr="008340BB">
              <w:rPr>
                <w:szCs w:val="24"/>
              </w:rPr>
              <w:t xml:space="preserve"> </w:t>
            </w:r>
            <w:r w:rsidRPr="008340BB">
              <w:rPr>
                <w:rStyle w:val="hps"/>
                <w:szCs w:val="24"/>
              </w:rPr>
              <w:t>in</w:t>
            </w:r>
            <w:r w:rsidRPr="008340BB">
              <w:rPr>
                <w:szCs w:val="24"/>
              </w:rPr>
              <w:t xml:space="preserve"> </w:t>
            </w:r>
            <w:r w:rsidRPr="008340BB">
              <w:rPr>
                <w:rStyle w:val="hps"/>
                <w:szCs w:val="24"/>
              </w:rPr>
              <w:t>the sections</w:t>
            </w:r>
            <w:r w:rsidRPr="008340BB">
              <w:rPr>
                <w:szCs w:val="24"/>
              </w:rPr>
              <w:t xml:space="preserve"> </w:t>
            </w:r>
            <w:r w:rsidRPr="008340BB">
              <w:rPr>
                <w:rStyle w:val="hps"/>
                <w:szCs w:val="24"/>
              </w:rPr>
              <w:t xml:space="preserve">"Road </w:t>
            </w:r>
            <w:r w:rsidRPr="008340BB">
              <w:rPr>
                <w:szCs w:val="24"/>
              </w:rPr>
              <w:t xml:space="preserve">Junction </w:t>
            </w:r>
            <w:r w:rsidRPr="008340BB">
              <w:rPr>
                <w:rStyle w:val="atn"/>
                <w:szCs w:val="24"/>
              </w:rPr>
              <w:t>Nadezhda</w:t>
            </w:r>
            <w:r w:rsidRPr="008340BB">
              <w:rPr>
                <w:rStyle w:val="hps"/>
                <w:szCs w:val="24"/>
              </w:rPr>
              <w:t xml:space="preserve"> </w:t>
            </w:r>
            <w:r w:rsidRPr="008340BB">
              <w:rPr>
                <w:szCs w:val="24"/>
              </w:rPr>
              <w:t>- Cherni Vrah Blvd.</w:t>
            </w:r>
            <w:r w:rsidRPr="008340BB">
              <w:rPr>
                <w:rStyle w:val="hps"/>
                <w:szCs w:val="24"/>
              </w:rPr>
              <w:t>", and</w:t>
            </w:r>
            <w:r w:rsidRPr="008340BB">
              <w:rPr>
                <w:szCs w:val="24"/>
              </w:rPr>
              <w:t xml:space="preserve"> </w:t>
            </w:r>
            <w:r w:rsidRPr="008340BB">
              <w:rPr>
                <w:rStyle w:val="hps"/>
                <w:szCs w:val="24"/>
              </w:rPr>
              <w:t>"Mladost</w:t>
            </w:r>
            <w:r w:rsidRPr="008340BB">
              <w:rPr>
                <w:szCs w:val="24"/>
              </w:rPr>
              <w:t xml:space="preserve"> </w:t>
            </w:r>
            <w:r w:rsidRPr="008340BB">
              <w:rPr>
                <w:rStyle w:val="hps"/>
                <w:szCs w:val="24"/>
              </w:rPr>
              <w:t xml:space="preserve">1 - </w:t>
            </w:r>
            <w:r w:rsidRPr="008340BB">
              <w:rPr>
                <w:szCs w:val="24"/>
              </w:rPr>
              <w:t xml:space="preserve">Tsarigradsko </w:t>
            </w:r>
            <w:r w:rsidRPr="008340BB">
              <w:rPr>
                <w:rStyle w:val="hps"/>
                <w:szCs w:val="24"/>
              </w:rPr>
              <w:t>Shose</w:t>
            </w:r>
            <w:r w:rsidRPr="008340BB">
              <w:rPr>
                <w:szCs w:val="24"/>
              </w:rPr>
              <w:t xml:space="preserve">". </w:t>
            </w:r>
            <w:r w:rsidRPr="008340BB">
              <w:rPr>
                <w:rStyle w:val="hps"/>
                <w:szCs w:val="24"/>
              </w:rPr>
              <w:t>In</w:t>
            </w:r>
            <w:r w:rsidRPr="008340BB">
              <w:rPr>
                <w:szCs w:val="24"/>
              </w:rPr>
              <w:t xml:space="preserve"> </w:t>
            </w:r>
            <w:r w:rsidRPr="008340BB">
              <w:rPr>
                <w:rStyle w:val="hps"/>
                <w:szCs w:val="24"/>
              </w:rPr>
              <w:t>the process of implemention are the</w:t>
            </w:r>
            <w:r w:rsidRPr="008340BB">
              <w:rPr>
                <w:szCs w:val="24"/>
              </w:rPr>
              <w:t xml:space="preserve"> </w:t>
            </w:r>
            <w:r w:rsidRPr="008340BB">
              <w:rPr>
                <w:rStyle w:val="hps"/>
                <w:szCs w:val="24"/>
              </w:rPr>
              <w:t>investment projects</w:t>
            </w:r>
            <w:r w:rsidRPr="008340BB">
              <w:rPr>
                <w:szCs w:val="24"/>
              </w:rPr>
              <w:t xml:space="preserve"> </w:t>
            </w:r>
            <w:r w:rsidRPr="008340BB">
              <w:rPr>
                <w:rStyle w:val="hps"/>
                <w:szCs w:val="24"/>
              </w:rPr>
              <w:t>in</w:t>
            </w:r>
            <w:r w:rsidRPr="008340BB">
              <w:rPr>
                <w:szCs w:val="24"/>
              </w:rPr>
              <w:t xml:space="preserve"> </w:t>
            </w:r>
            <w:r w:rsidRPr="008340BB">
              <w:rPr>
                <w:rStyle w:val="hps"/>
                <w:szCs w:val="24"/>
              </w:rPr>
              <w:t>the sections</w:t>
            </w:r>
            <w:r w:rsidRPr="008340BB">
              <w:rPr>
                <w:szCs w:val="24"/>
              </w:rPr>
              <w:t xml:space="preserve"> </w:t>
            </w:r>
            <w:r w:rsidRPr="008340BB">
              <w:rPr>
                <w:rStyle w:val="hps"/>
                <w:szCs w:val="24"/>
              </w:rPr>
              <w:t>"</w:t>
            </w:r>
            <w:r w:rsidRPr="008340BB">
              <w:rPr>
                <w:szCs w:val="24"/>
              </w:rPr>
              <w:t xml:space="preserve">Tsarigradsko </w:t>
            </w:r>
            <w:r w:rsidRPr="008340BB">
              <w:rPr>
                <w:rStyle w:val="hps"/>
                <w:szCs w:val="24"/>
              </w:rPr>
              <w:t xml:space="preserve">Shose </w:t>
            </w:r>
            <w:r w:rsidRPr="008340BB">
              <w:rPr>
                <w:rStyle w:val="atn"/>
                <w:szCs w:val="24"/>
              </w:rPr>
              <w:t xml:space="preserve">- </w:t>
            </w:r>
            <w:r w:rsidRPr="008340BB">
              <w:rPr>
                <w:szCs w:val="24"/>
              </w:rPr>
              <w:t>Sofia Airport</w:t>
            </w:r>
            <w:r w:rsidRPr="008340BB">
              <w:rPr>
                <w:rStyle w:val="atn"/>
                <w:szCs w:val="24"/>
              </w:rPr>
              <w:t>" and "</w:t>
            </w:r>
            <w:r w:rsidRPr="008340BB">
              <w:rPr>
                <w:szCs w:val="24"/>
              </w:rPr>
              <w:t>Mladost 1 - Business Park Mladost 4</w:t>
            </w:r>
            <w:r w:rsidRPr="008340BB">
              <w:rPr>
                <w:rStyle w:val="hps"/>
                <w:szCs w:val="24"/>
              </w:rPr>
              <w:t>",</w:t>
            </w:r>
            <w:r w:rsidRPr="008340BB">
              <w:rPr>
                <w:szCs w:val="24"/>
              </w:rPr>
              <w:t xml:space="preserve"> </w:t>
            </w:r>
            <w:r w:rsidRPr="008340BB">
              <w:rPr>
                <w:rStyle w:val="hps"/>
                <w:szCs w:val="24"/>
              </w:rPr>
              <w:t>funded</w:t>
            </w:r>
            <w:r w:rsidRPr="008340BB">
              <w:rPr>
                <w:szCs w:val="24"/>
              </w:rPr>
              <w:t xml:space="preserve"> under </w:t>
            </w:r>
            <w:r w:rsidRPr="008340BB">
              <w:rPr>
                <w:rStyle w:val="hps"/>
                <w:szCs w:val="24"/>
              </w:rPr>
              <w:t>OPT</w:t>
            </w:r>
            <w:r w:rsidRPr="008340BB">
              <w:rPr>
                <w:szCs w:val="24"/>
              </w:rPr>
              <w:t xml:space="preserve"> </w:t>
            </w:r>
            <w:r w:rsidRPr="008340BB">
              <w:rPr>
                <w:rStyle w:val="hps"/>
                <w:szCs w:val="24"/>
              </w:rPr>
              <w:t>2007-2013</w:t>
            </w:r>
            <w:r w:rsidRPr="008340BB">
              <w:rPr>
                <w:szCs w:val="24"/>
              </w:rPr>
              <w:t xml:space="preserve">. </w:t>
            </w:r>
            <w:r w:rsidRPr="008340BB">
              <w:rPr>
                <w:rStyle w:val="hps"/>
                <w:szCs w:val="24"/>
              </w:rPr>
              <w:t>Also</w:t>
            </w:r>
            <w:r w:rsidRPr="008340BB">
              <w:rPr>
                <w:szCs w:val="24"/>
              </w:rPr>
              <w:t xml:space="preserve"> </w:t>
            </w:r>
            <w:r w:rsidRPr="008340BB">
              <w:rPr>
                <w:rStyle w:val="hps"/>
                <w:szCs w:val="24"/>
              </w:rPr>
              <w:t>within the</w:t>
            </w:r>
            <w:r w:rsidRPr="008340BB">
              <w:rPr>
                <w:szCs w:val="24"/>
              </w:rPr>
              <w:t xml:space="preserve"> framework of the </w:t>
            </w:r>
            <w:r w:rsidRPr="008340BB">
              <w:rPr>
                <w:rStyle w:val="hps"/>
                <w:szCs w:val="24"/>
              </w:rPr>
              <w:t>OPT</w:t>
            </w:r>
            <w:r w:rsidRPr="008340BB">
              <w:rPr>
                <w:szCs w:val="24"/>
              </w:rPr>
              <w:t xml:space="preserve"> </w:t>
            </w:r>
            <w:r w:rsidRPr="008340BB">
              <w:rPr>
                <w:rStyle w:val="hps"/>
                <w:szCs w:val="24"/>
              </w:rPr>
              <w:t>2007-2013</w:t>
            </w:r>
            <w:r w:rsidRPr="008340BB">
              <w:rPr>
                <w:szCs w:val="24"/>
              </w:rPr>
              <w:t xml:space="preserve"> </w:t>
            </w:r>
            <w:r w:rsidRPr="008340BB">
              <w:rPr>
                <w:rStyle w:val="hps"/>
                <w:szCs w:val="24"/>
              </w:rPr>
              <w:t>was funded</w:t>
            </w:r>
            <w:r w:rsidRPr="008340BB">
              <w:rPr>
                <w:szCs w:val="24"/>
              </w:rPr>
              <w:t xml:space="preserve"> </w:t>
            </w:r>
            <w:r w:rsidRPr="008340BB">
              <w:rPr>
                <w:rStyle w:val="hps"/>
                <w:szCs w:val="24"/>
              </w:rPr>
              <w:t>and</w:t>
            </w:r>
            <w:r w:rsidRPr="008340BB">
              <w:rPr>
                <w:szCs w:val="24"/>
              </w:rPr>
              <w:t xml:space="preserve"> </w:t>
            </w:r>
            <w:r w:rsidRPr="008340BB">
              <w:rPr>
                <w:rStyle w:val="hps"/>
                <w:szCs w:val="24"/>
              </w:rPr>
              <w:t>is in the process</w:t>
            </w:r>
            <w:r w:rsidRPr="008340BB">
              <w:rPr>
                <w:szCs w:val="24"/>
              </w:rPr>
              <w:t xml:space="preserve"> </w:t>
            </w:r>
            <w:r w:rsidRPr="008340BB">
              <w:rPr>
                <w:rStyle w:val="hps"/>
                <w:szCs w:val="24"/>
              </w:rPr>
              <w:t>of</w:t>
            </w:r>
            <w:r w:rsidRPr="008340BB">
              <w:rPr>
                <w:szCs w:val="24"/>
              </w:rPr>
              <w:t xml:space="preserve"> </w:t>
            </w:r>
            <w:r w:rsidRPr="008340BB">
              <w:rPr>
                <w:rStyle w:val="hps"/>
                <w:szCs w:val="24"/>
              </w:rPr>
              <w:t>completion</w:t>
            </w:r>
            <w:r w:rsidRPr="008340BB">
              <w:rPr>
                <w:szCs w:val="24"/>
              </w:rPr>
              <w:t xml:space="preserve"> </w:t>
            </w:r>
            <w:r w:rsidRPr="008340BB">
              <w:rPr>
                <w:rStyle w:val="hps"/>
                <w:szCs w:val="24"/>
              </w:rPr>
              <w:t>the project</w:t>
            </w:r>
            <w:r w:rsidRPr="008340BB">
              <w:rPr>
                <w:szCs w:val="24"/>
              </w:rPr>
              <w:t xml:space="preserve"> </w:t>
            </w:r>
            <w:r w:rsidRPr="008340BB">
              <w:rPr>
                <w:rStyle w:val="hps"/>
                <w:szCs w:val="24"/>
              </w:rPr>
              <w:t>for preparation</w:t>
            </w:r>
            <w:r w:rsidRPr="008340BB">
              <w:rPr>
                <w:szCs w:val="24"/>
              </w:rPr>
              <w:t xml:space="preserve"> </w:t>
            </w:r>
            <w:r w:rsidRPr="008340BB">
              <w:rPr>
                <w:rStyle w:val="hps"/>
                <w:szCs w:val="24"/>
              </w:rPr>
              <w:t>of construction</w:t>
            </w:r>
            <w:r w:rsidRPr="008340BB">
              <w:rPr>
                <w:szCs w:val="24"/>
              </w:rPr>
              <w:t xml:space="preserve"> under </w:t>
            </w:r>
            <w:r w:rsidRPr="008340BB">
              <w:rPr>
                <w:rStyle w:val="hps"/>
                <w:szCs w:val="24"/>
              </w:rPr>
              <w:t>investment project</w:t>
            </w:r>
            <w:r w:rsidRPr="008340BB">
              <w:rPr>
                <w:szCs w:val="24"/>
              </w:rPr>
              <w:t xml:space="preserve"> </w:t>
            </w:r>
            <w:r w:rsidRPr="008340BB">
              <w:rPr>
                <w:rStyle w:val="hps"/>
                <w:szCs w:val="24"/>
              </w:rPr>
              <w:t>for construction of a</w:t>
            </w:r>
            <w:r w:rsidRPr="008340BB">
              <w:rPr>
                <w:szCs w:val="24"/>
              </w:rPr>
              <w:t xml:space="preserve"> </w:t>
            </w:r>
            <w:r w:rsidRPr="008340BB">
              <w:rPr>
                <w:rStyle w:val="hps"/>
                <w:szCs w:val="24"/>
              </w:rPr>
              <w:t>third</w:t>
            </w:r>
            <w:r w:rsidRPr="008340BB">
              <w:rPr>
                <w:szCs w:val="24"/>
              </w:rPr>
              <w:t xml:space="preserve"> </w:t>
            </w:r>
            <w:r w:rsidR="00527D28" w:rsidRPr="008340BB">
              <w:rPr>
                <w:rStyle w:val="hps"/>
                <w:szCs w:val="24"/>
              </w:rPr>
              <w:t>metroline</w:t>
            </w:r>
            <w:r w:rsidRPr="008340BB">
              <w:rPr>
                <w:rStyle w:val="hps"/>
                <w:szCs w:val="24"/>
              </w:rPr>
              <w:t xml:space="preserve"> in the City of</w:t>
            </w:r>
            <w:r w:rsidRPr="008340BB">
              <w:rPr>
                <w:szCs w:val="24"/>
              </w:rPr>
              <w:t xml:space="preserve"> </w:t>
            </w:r>
            <w:r w:rsidRPr="008340BB">
              <w:rPr>
                <w:rStyle w:val="hps"/>
                <w:szCs w:val="24"/>
              </w:rPr>
              <w:t>Sofia, namely the section</w:t>
            </w:r>
            <w:r w:rsidRPr="008340BB">
              <w:rPr>
                <w:szCs w:val="24"/>
              </w:rPr>
              <w:t xml:space="preserve"> </w:t>
            </w:r>
            <w:r w:rsidRPr="008340BB">
              <w:rPr>
                <w:rStyle w:val="hps"/>
                <w:szCs w:val="24"/>
              </w:rPr>
              <w:t>"</w:t>
            </w:r>
            <w:r w:rsidRPr="008340BB">
              <w:rPr>
                <w:szCs w:val="24"/>
              </w:rPr>
              <w:t>Botevgradsko Shosse Depot – Vladimir Vazov Blvd. – Central City Area (downtown) – Ovcha Kupel Residential Area</w:t>
            </w:r>
            <w:r w:rsidRPr="008340BB">
              <w:rPr>
                <w:rStyle w:val="hps"/>
                <w:szCs w:val="24"/>
              </w:rPr>
              <w:t>"</w:t>
            </w:r>
            <w:r w:rsidRPr="008340BB">
              <w:rPr>
                <w:szCs w:val="24"/>
              </w:rPr>
              <w:t xml:space="preserve">. </w:t>
            </w:r>
            <w:r w:rsidRPr="008340BB">
              <w:rPr>
                <w:rStyle w:val="hps"/>
                <w:szCs w:val="24"/>
              </w:rPr>
              <w:t>Within</w:t>
            </w:r>
            <w:r w:rsidRPr="008340BB">
              <w:rPr>
                <w:szCs w:val="24"/>
              </w:rPr>
              <w:t xml:space="preserve"> the framework of the </w:t>
            </w:r>
            <w:r w:rsidRPr="008340BB">
              <w:rPr>
                <w:rStyle w:val="hps"/>
                <w:szCs w:val="24"/>
              </w:rPr>
              <w:t>OPTTI</w:t>
            </w:r>
            <w:r w:rsidRPr="008340BB">
              <w:rPr>
                <w:szCs w:val="24"/>
              </w:rPr>
              <w:t xml:space="preserve"> </w:t>
            </w:r>
            <w:r w:rsidRPr="008340BB">
              <w:rPr>
                <w:rStyle w:val="hps"/>
                <w:szCs w:val="24"/>
              </w:rPr>
              <w:t>2014-2020</w:t>
            </w:r>
            <w:r w:rsidRPr="008340BB">
              <w:rPr>
                <w:szCs w:val="24"/>
              </w:rPr>
              <w:t xml:space="preserve"> </w:t>
            </w:r>
            <w:r w:rsidRPr="008340BB">
              <w:rPr>
                <w:rStyle w:val="hps"/>
                <w:szCs w:val="24"/>
              </w:rPr>
              <w:t>are envisaged to be</w:t>
            </w:r>
            <w:r w:rsidRPr="008340BB">
              <w:rPr>
                <w:szCs w:val="24"/>
              </w:rPr>
              <w:t xml:space="preserve"> </w:t>
            </w:r>
            <w:r w:rsidRPr="008340BB">
              <w:rPr>
                <w:rStyle w:val="hps"/>
                <w:szCs w:val="24"/>
              </w:rPr>
              <w:t>financed</w:t>
            </w:r>
            <w:r w:rsidRPr="008340BB">
              <w:rPr>
                <w:szCs w:val="24"/>
              </w:rPr>
              <w:t xml:space="preserve"> </w:t>
            </w:r>
            <w:r w:rsidRPr="008340BB">
              <w:rPr>
                <w:rStyle w:val="hps"/>
                <w:szCs w:val="24"/>
              </w:rPr>
              <w:t>investments</w:t>
            </w:r>
            <w:r w:rsidRPr="008340BB">
              <w:rPr>
                <w:szCs w:val="24"/>
              </w:rPr>
              <w:t xml:space="preserve"> </w:t>
            </w:r>
            <w:r w:rsidRPr="008340BB">
              <w:rPr>
                <w:rStyle w:val="hps"/>
                <w:szCs w:val="24"/>
              </w:rPr>
              <w:t>along the direction</w:t>
            </w:r>
            <w:r w:rsidRPr="008340BB">
              <w:rPr>
                <w:szCs w:val="24"/>
              </w:rPr>
              <w:t xml:space="preserve"> </w:t>
            </w:r>
            <w:r w:rsidRPr="008340BB">
              <w:rPr>
                <w:rStyle w:val="hps"/>
                <w:szCs w:val="24"/>
              </w:rPr>
              <w:t>of the</w:t>
            </w:r>
            <w:r w:rsidRPr="008340BB">
              <w:rPr>
                <w:szCs w:val="24"/>
              </w:rPr>
              <w:t xml:space="preserve"> </w:t>
            </w:r>
            <w:r w:rsidRPr="008340BB">
              <w:rPr>
                <w:rStyle w:val="hps"/>
                <w:szCs w:val="24"/>
              </w:rPr>
              <w:t>third</w:t>
            </w:r>
            <w:r w:rsidRPr="008340BB">
              <w:rPr>
                <w:szCs w:val="24"/>
              </w:rPr>
              <w:t xml:space="preserve"> </w:t>
            </w:r>
            <w:r w:rsidR="00527D28" w:rsidRPr="008340BB">
              <w:rPr>
                <w:rStyle w:val="hps"/>
                <w:szCs w:val="24"/>
              </w:rPr>
              <w:t>metro</w:t>
            </w:r>
            <w:r w:rsidR="00CF6269">
              <w:rPr>
                <w:rStyle w:val="hps"/>
                <w:szCs w:val="24"/>
              </w:rPr>
              <w:t xml:space="preserve"> </w:t>
            </w:r>
            <w:r w:rsidR="00527D28" w:rsidRPr="008340BB">
              <w:rPr>
                <w:rStyle w:val="hps"/>
                <w:szCs w:val="24"/>
              </w:rPr>
              <w:t>line</w:t>
            </w:r>
            <w:r w:rsidRPr="008340BB">
              <w:rPr>
                <w:rStyle w:val="hps"/>
                <w:szCs w:val="24"/>
              </w:rPr>
              <w:t xml:space="preserve"> in the City of</w:t>
            </w:r>
            <w:r w:rsidRPr="008340BB">
              <w:rPr>
                <w:szCs w:val="24"/>
              </w:rPr>
              <w:t xml:space="preserve"> </w:t>
            </w:r>
            <w:r w:rsidRPr="008340BB">
              <w:rPr>
                <w:rStyle w:val="hps"/>
                <w:szCs w:val="24"/>
              </w:rPr>
              <w:t>Sofia</w:t>
            </w:r>
            <w:r w:rsidRPr="008340BB">
              <w:rPr>
                <w:szCs w:val="24"/>
              </w:rPr>
              <w:t xml:space="preserve"> </w:t>
            </w:r>
            <w:r w:rsidRPr="008340BB">
              <w:rPr>
                <w:rStyle w:val="hps"/>
                <w:szCs w:val="24"/>
              </w:rPr>
              <w:t>"</w:t>
            </w:r>
            <w:r w:rsidRPr="008340BB">
              <w:rPr>
                <w:szCs w:val="24"/>
              </w:rPr>
              <w:t>Botevgradsko Shosse Depot – Vladimir Vazov Blvd. – Central City Area (downtown) – Ovcha Kupel Residential Area</w:t>
            </w:r>
            <w:r w:rsidRPr="008340BB">
              <w:rPr>
                <w:rStyle w:val="hps"/>
                <w:szCs w:val="24"/>
              </w:rPr>
              <w:t>"</w:t>
            </w:r>
            <w:r w:rsidR="00261619">
              <w:t xml:space="preserve"> </w:t>
            </w:r>
            <w:r w:rsidR="00261619" w:rsidRPr="00261619">
              <w:rPr>
                <w:rStyle w:val="hps"/>
                <w:szCs w:val="24"/>
              </w:rPr>
              <w:t>and the preparation for the extension of Line 3, section Shipka St</w:t>
            </w:r>
            <w:r w:rsidR="00261619">
              <w:rPr>
                <w:rStyle w:val="hps"/>
                <w:szCs w:val="24"/>
              </w:rPr>
              <w:t>r</w:t>
            </w:r>
            <w:r w:rsidR="00261619" w:rsidRPr="00261619">
              <w:rPr>
                <w:rStyle w:val="hps"/>
                <w:szCs w:val="24"/>
              </w:rPr>
              <w:t>. - Geo Milev quarter - residential district Slatina - Hall Arena Armeets/Tech Park Sofia - Tsarigradsko shose Blvd</w:t>
            </w:r>
            <w:r w:rsidRPr="008340BB">
              <w:rPr>
                <w:szCs w:val="24"/>
              </w:rPr>
              <w:t>.</w:t>
            </w:r>
          </w:p>
          <w:p w14:paraId="14988AC1" w14:textId="6122B1C5" w:rsidR="00F1341F" w:rsidRPr="008340BB" w:rsidRDefault="00F1341F" w:rsidP="006D25A0">
            <w:pPr>
              <w:spacing w:after="60"/>
              <w:rPr>
                <w:szCs w:val="24"/>
              </w:rPr>
            </w:pPr>
            <w:r w:rsidRPr="008340BB">
              <w:rPr>
                <w:rStyle w:val="hps"/>
                <w:szCs w:val="24"/>
              </w:rPr>
              <w:t>Within</w:t>
            </w:r>
            <w:r w:rsidRPr="008340BB">
              <w:rPr>
                <w:szCs w:val="24"/>
              </w:rPr>
              <w:t xml:space="preserve"> the framework of the </w:t>
            </w:r>
            <w:r w:rsidRPr="008340BB">
              <w:rPr>
                <w:rStyle w:val="hps"/>
                <w:szCs w:val="24"/>
              </w:rPr>
              <w:t>OPTTI</w:t>
            </w:r>
            <w:r w:rsidRPr="008340BB">
              <w:rPr>
                <w:szCs w:val="24"/>
              </w:rPr>
              <w:t xml:space="preserve"> </w:t>
            </w:r>
            <w:r w:rsidRPr="008340BB">
              <w:rPr>
                <w:rStyle w:val="hps"/>
                <w:szCs w:val="24"/>
              </w:rPr>
              <w:t>2014-2020</w:t>
            </w:r>
            <w:r w:rsidRPr="008340BB">
              <w:rPr>
                <w:szCs w:val="24"/>
              </w:rPr>
              <w:t xml:space="preserve"> </w:t>
            </w:r>
            <w:r w:rsidRPr="008340BB">
              <w:rPr>
                <w:rStyle w:val="hps"/>
                <w:szCs w:val="24"/>
              </w:rPr>
              <w:t>the funding</w:t>
            </w:r>
            <w:r w:rsidRPr="008340BB">
              <w:rPr>
                <w:szCs w:val="24"/>
              </w:rPr>
              <w:t xml:space="preserve"> of </w:t>
            </w:r>
            <w:r w:rsidRPr="008340BB">
              <w:rPr>
                <w:rStyle w:val="hps"/>
                <w:szCs w:val="24"/>
              </w:rPr>
              <w:t>investments covering</w:t>
            </w:r>
            <w:r w:rsidRPr="008340BB">
              <w:rPr>
                <w:szCs w:val="24"/>
              </w:rPr>
              <w:t xml:space="preserve"> </w:t>
            </w:r>
            <w:r w:rsidRPr="008340BB">
              <w:rPr>
                <w:rStyle w:val="hps"/>
                <w:szCs w:val="24"/>
              </w:rPr>
              <w:t>the introduction of</w:t>
            </w:r>
            <w:r w:rsidRPr="008340BB">
              <w:rPr>
                <w:szCs w:val="24"/>
              </w:rPr>
              <w:t xml:space="preserve"> </w:t>
            </w:r>
            <w:r w:rsidRPr="008340BB">
              <w:t xml:space="preserve">intelligent </w:t>
            </w:r>
            <w:r w:rsidRPr="008340BB">
              <w:rPr>
                <w:rStyle w:val="hps"/>
                <w:szCs w:val="24"/>
              </w:rPr>
              <w:t>systems for</w:t>
            </w:r>
            <w:r w:rsidRPr="008340BB">
              <w:rPr>
                <w:szCs w:val="24"/>
              </w:rPr>
              <w:t xml:space="preserve"> </w:t>
            </w:r>
            <w:r w:rsidRPr="008340BB">
              <w:rPr>
                <w:rStyle w:val="hps"/>
                <w:szCs w:val="24"/>
              </w:rPr>
              <w:t>traffic management,</w:t>
            </w:r>
            <w:r w:rsidRPr="008340BB">
              <w:rPr>
                <w:szCs w:val="24"/>
              </w:rPr>
              <w:t xml:space="preserve"> </w:t>
            </w:r>
            <w:r w:rsidRPr="008340BB">
              <w:rPr>
                <w:rStyle w:val="hps"/>
                <w:szCs w:val="24"/>
              </w:rPr>
              <w:t>improvement of the</w:t>
            </w:r>
            <w:r w:rsidRPr="008340BB">
              <w:rPr>
                <w:szCs w:val="24"/>
              </w:rPr>
              <w:t xml:space="preserve"> </w:t>
            </w:r>
            <w:r w:rsidRPr="008340BB">
              <w:rPr>
                <w:rStyle w:val="hps"/>
                <w:szCs w:val="24"/>
              </w:rPr>
              <w:t>safety and security of</w:t>
            </w:r>
            <w:r w:rsidRPr="008340BB">
              <w:rPr>
                <w:szCs w:val="24"/>
              </w:rPr>
              <w:t xml:space="preserve"> </w:t>
            </w:r>
            <w:r w:rsidRPr="008340BB">
              <w:rPr>
                <w:rStyle w:val="hps"/>
                <w:szCs w:val="24"/>
              </w:rPr>
              <w:t>transport</w:t>
            </w:r>
            <w:r w:rsidR="00C179FA">
              <w:rPr>
                <w:rStyle w:val="hps"/>
                <w:szCs w:val="24"/>
              </w:rPr>
              <w:t xml:space="preserve"> </w:t>
            </w:r>
            <w:r w:rsidR="00C179FA" w:rsidRPr="00C179FA">
              <w:rPr>
                <w:rStyle w:val="hps"/>
                <w:szCs w:val="24"/>
              </w:rPr>
              <w:t>as well as for the rehabilitation and modernization of the infrastructure of port terminals</w:t>
            </w:r>
            <w:r w:rsidR="00F16303">
              <w:rPr>
                <w:rStyle w:val="hps"/>
                <w:szCs w:val="24"/>
              </w:rPr>
              <w:t xml:space="preserve"> </w:t>
            </w:r>
            <w:r w:rsidR="00F16303" w:rsidRPr="00F16303">
              <w:rPr>
                <w:szCs w:val="24"/>
              </w:rPr>
              <w:t>will continue</w:t>
            </w:r>
            <w:r w:rsidRPr="008340BB">
              <w:rPr>
                <w:rStyle w:val="hps"/>
                <w:szCs w:val="24"/>
              </w:rPr>
              <w:t>.</w:t>
            </w:r>
            <w:r w:rsidRPr="008340BB">
              <w:rPr>
                <w:szCs w:val="24"/>
              </w:rPr>
              <w:t xml:space="preserve"> </w:t>
            </w:r>
          </w:p>
          <w:p w14:paraId="3B0FBA2C" w14:textId="77777777" w:rsidR="00F1341F" w:rsidRPr="008340BB" w:rsidRDefault="00F1341F" w:rsidP="006D25A0">
            <w:pPr>
              <w:spacing w:after="60"/>
              <w:rPr>
                <w:iCs/>
                <w:szCs w:val="24"/>
                <w:lang w:eastAsia="bg-BG"/>
              </w:rPr>
            </w:pPr>
            <w:r w:rsidRPr="008340BB">
              <w:rPr>
                <w:iCs/>
                <w:szCs w:val="24"/>
                <w:lang w:eastAsia="bg-BG"/>
              </w:rPr>
              <w:t>Actions aiming at development of intelligent traffic management systems and enhancing safety and security of the railway transport are based on two key strategic documents:</w:t>
            </w:r>
          </w:p>
          <w:p w14:paraId="6565FC54" w14:textId="77777777" w:rsidR="00F1341F" w:rsidRPr="008340BB" w:rsidRDefault="00F1341F" w:rsidP="006D25A0">
            <w:pPr>
              <w:spacing w:after="60"/>
              <w:rPr>
                <w:iCs/>
                <w:szCs w:val="24"/>
                <w:lang w:eastAsia="bg-BG"/>
              </w:rPr>
            </w:pPr>
            <w:r w:rsidRPr="008340BB">
              <w:rPr>
                <w:b/>
                <w:iCs/>
                <w:szCs w:val="24"/>
                <w:lang w:eastAsia="bg-BG"/>
              </w:rPr>
              <w:t>"Strategy for implementation of the technical specifications for interoperability (TSIs) of the conventional railway system in the Republic of Bulgaria 2013 - 2030</w:t>
            </w:r>
            <w:r w:rsidRPr="008340BB">
              <w:rPr>
                <w:iCs/>
                <w:szCs w:val="24"/>
                <w:lang w:eastAsia="bg-BG"/>
              </w:rPr>
              <w:t xml:space="preserve">"), which contains 11 different sub-strategies and a common strategy (approved by the Minister of </w:t>
            </w:r>
            <w:r w:rsidR="00C258A1" w:rsidRPr="008340BB">
              <w:rPr>
                <w:rStyle w:val="hps"/>
                <w:b/>
              </w:rPr>
              <w:t>TITC</w:t>
            </w:r>
            <w:r w:rsidR="00C258A1" w:rsidRPr="008340BB">
              <w:rPr>
                <w:b/>
              </w:rPr>
              <w:t xml:space="preserve"> </w:t>
            </w:r>
            <w:r w:rsidRPr="008340BB">
              <w:rPr>
                <w:iCs/>
                <w:szCs w:val="24"/>
                <w:lang w:eastAsia="bg-BG"/>
              </w:rPr>
              <w:t>in 2013). Covered are the TSIs CR and the transversal TSIs that apply mandatory for conventional and high-speed lines. Among the main strategies requiring the deployment of intelligent and advanced systems for the traffic management in the OPTTI 2014 - 2020 investment priorities are:</w:t>
            </w:r>
          </w:p>
          <w:p w14:paraId="148E1442" w14:textId="77777777" w:rsidR="00F1341F" w:rsidRPr="008340BB" w:rsidRDefault="00F1341F" w:rsidP="006D25A0">
            <w:pPr>
              <w:pStyle w:val="ListParagraph"/>
              <w:numPr>
                <w:ilvl w:val="0"/>
                <w:numId w:val="74"/>
              </w:numPr>
              <w:spacing w:after="60"/>
              <w:rPr>
                <w:iCs/>
                <w:szCs w:val="24"/>
                <w:lang w:eastAsia="bg-BG"/>
              </w:rPr>
            </w:pPr>
            <w:r w:rsidRPr="008340BB">
              <w:rPr>
                <w:iCs/>
                <w:szCs w:val="24"/>
                <w:lang w:eastAsia="bg-BG"/>
              </w:rPr>
              <w:t>Strategy for implementation of TAF TSI „Telematic applications for freight services“ (Regulation 62/2006/ЕC, amended by Regulation 328/2012/EC)</w:t>
            </w:r>
          </w:p>
          <w:p w14:paraId="29ABF77A" w14:textId="77777777" w:rsidR="00F1341F" w:rsidRPr="008340BB" w:rsidRDefault="00F1341F" w:rsidP="006D25A0">
            <w:pPr>
              <w:pStyle w:val="ListParagraph"/>
              <w:numPr>
                <w:ilvl w:val="0"/>
                <w:numId w:val="74"/>
              </w:numPr>
              <w:spacing w:after="60"/>
              <w:rPr>
                <w:iCs/>
                <w:szCs w:val="24"/>
                <w:lang w:eastAsia="bg-BG"/>
              </w:rPr>
            </w:pPr>
            <w:r w:rsidRPr="008340BB">
              <w:rPr>
                <w:iCs/>
                <w:szCs w:val="24"/>
                <w:lang w:eastAsia="bg-BG"/>
              </w:rPr>
              <w:t>Strategy for implementation of TAP TSI „Telematic applications for passenger services“ (Regulation 454/2011/ЕC)</w:t>
            </w:r>
          </w:p>
          <w:p w14:paraId="4541D272" w14:textId="77777777" w:rsidR="00F1341F" w:rsidRPr="008340BB" w:rsidRDefault="00F1341F" w:rsidP="006D25A0">
            <w:pPr>
              <w:pStyle w:val="ListParagraph"/>
              <w:numPr>
                <w:ilvl w:val="0"/>
                <w:numId w:val="74"/>
              </w:numPr>
              <w:spacing w:after="60"/>
              <w:rPr>
                <w:iCs/>
                <w:szCs w:val="24"/>
                <w:lang w:eastAsia="bg-BG"/>
              </w:rPr>
            </w:pPr>
            <w:r w:rsidRPr="008340BB">
              <w:rPr>
                <w:iCs/>
                <w:szCs w:val="24"/>
                <w:lang w:eastAsia="bg-BG"/>
              </w:rPr>
              <w:t>Strategy for implementation of OPE TSI “Operation and traffic management” (Decision 757/2012/EC, amended by Decision 710/2013/EC)</w:t>
            </w:r>
          </w:p>
          <w:p w14:paraId="09333210" w14:textId="77777777" w:rsidR="00F1341F" w:rsidRPr="008340BB" w:rsidRDefault="00F1341F" w:rsidP="006D25A0">
            <w:pPr>
              <w:spacing w:after="60"/>
              <w:rPr>
                <w:iCs/>
                <w:szCs w:val="24"/>
                <w:lang w:eastAsia="bg-BG"/>
              </w:rPr>
            </w:pPr>
            <w:r w:rsidRPr="008340BB">
              <w:rPr>
                <w:iCs/>
                <w:szCs w:val="24"/>
                <w:lang w:eastAsia="bg-BG"/>
              </w:rPr>
              <w:lastRenderedPageBreak/>
              <w:t>For each of the TSI strategies updated national plans are elaborated and approved.</w:t>
            </w:r>
          </w:p>
          <w:p w14:paraId="0C1450B4" w14:textId="77777777" w:rsidR="00F1341F" w:rsidRPr="008340BB" w:rsidRDefault="00F1341F" w:rsidP="006D25A0">
            <w:pPr>
              <w:spacing w:after="60"/>
              <w:rPr>
                <w:iCs/>
                <w:szCs w:val="24"/>
                <w:lang w:eastAsia="bg-BG"/>
              </w:rPr>
            </w:pPr>
            <w:r w:rsidRPr="008340BB">
              <w:rPr>
                <w:b/>
                <w:iCs/>
                <w:szCs w:val="24"/>
                <w:lang w:eastAsia="bg-BG"/>
              </w:rPr>
              <w:t>„Strategy for implementation of European railway traffic management system (ERTMS) in the Republic of Bulgaria“</w:t>
            </w:r>
            <w:r w:rsidRPr="008340BB">
              <w:rPr>
                <w:iCs/>
                <w:szCs w:val="24"/>
                <w:lang w:eastAsia="bg-BG"/>
              </w:rPr>
              <w:t xml:space="preserve"> and </w:t>
            </w:r>
            <w:r w:rsidRPr="008340BB">
              <w:rPr>
                <w:b/>
                <w:iCs/>
                <w:szCs w:val="24"/>
                <w:lang w:eastAsia="bg-BG"/>
              </w:rPr>
              <w:t>„National Deployment Plan for European railway traffic management system (ERTMS)“</w:t>
            </w:r>
            <w:r w:rsidRPr="008340BB">
              <w:rPr>
                <w:iCs/>
                <w:szCs w:val="24"/>
                <w:lang w:eastAsia="bg-BG"/>
              </w:rPr>
              <w:t>, approved by the Minister of TITC in 2012. Considering that the geographic scope of applicability of the TSIs expands, their implementation should cover not only the corridors of "core" network and "comprehensive" network but shall be applied throughout the country, i.e. range of the entire national railway network.</w:t>
            </w:r>
          </w:p>
          <w:p w14:paraId="4EE94102" w14:textId="3EC0FF43" w:rsidR="00FD018F" w:rsidRDefault="00F1341F" w:rsidP="00FD018F">
            <w:pPr>
              <w:pStyle w:val="Default"/>
              <w:jc w:val="both"/>
              <w:rPr>
                <w:iCs/>
                <w:lang w:val="en"/>
              </w:rPr>
            </w:pPr>
            <w:r w:rsidRPr="008340BB">
              <w:rPr>
                <w:iCs/>
              </w:rPr>
              <w:t xml:space="preserve">Pursuant to the applicable European legislation, national Strategy and NDP, NRIC will implement ERTMS in the complete system scope (subsystems for </w:t>
            </w:r>
            <w:r w:rsidR="00721A29" w:rsidRPr="008340BB">
              <w:rPr>
                <w:iCs/>
              </w:rPr>
              <w:t>signalling</w:t>
            </w:r>
            <w:r w:rsidRPr="008340BB">
              <w:rPr>
                <w:iCs/>
              </w:rPr>
              <w:t xml:space="preserve"> ETCS and telecommunications GSM-R) along the main routes, on which investment projects will be implemented. </w:t>
            </w:r>
            <w:r w:rsidR="00721A29" w:rsidRPr="00CF5754">
              <w:rPr>
                <w:iCs/>
                <w:lang w:val="en-US"/>
              </w:rPr>
              <w:t xml:space="preserve">The </w:t>
            </w:r>
            <w:r w:rsidR="00553B08" w:rsidRPr="00CF5754">
              <w:rPr>
                <w:iCs/>
                <w:lang w:val="en-US"/>
              </w:rPr>
              <w:t xml:space="preserve">initially planned </w:t>
            </w:r>
            <w:r w:rsidR="00553B08" w:rsidRPr="00CF5754">
              <w:rPr>
                <w:iCs/>
                <w:lang w:val="en-GB"/>
              </w:rPr>
              <w:t xml:space="preserve">under Priority axis 4 of OPTTI </w:t>
            </w:r>
            <w:r w:rsidR="00721A29" w:rsidRPr="00CF5754">
              <w:rPr>
                <w:iCs/>
                <w:lang w:val="en-US"/>
              </w:rPr>
              <w:t xml:space="preserve">ETCS for </w:t>
            </w:r>
            <w:r w:rsidR="00246919" w:rsidRPr="00CF5754">
              <w:rPr>
                <w:iCs/>
              </w:rPr>
              <w:t>railway</w:t>
            </w:r>
            <w:r w:rsidR="00721A29" w:rsidRPr="00CF5754">
              <w:rPr>
                <w:iCs/>
              </w:rPr>
              <w:t xml:space="preserve"> section Sofia-Septemvri is </w:t>
            </w:r>
            <w:r w:rsidR="006E3F96" w:rsidRPr="00CF5754">
              <w:rPr>
                <w:iCs/>
                <w:lang w:val="en-US"/>
              </w:rPr>
              <w:t>no longer available</w:t>
            </w:r>
            <w:r w:rsidR="00972DFD" w:rsidRPr="00CF5754">
              <w:rPr>
                <w:iCs/>
                <w:lang w:val="en-GB"/>
              </w:rPr>
              <w:t xml:space="preserve"> because of delay in the </w:t>
            </w:r>
            <w:r w:rsidR="00721A29" w:rsidRPr="00CF5754">
              <w:rPr>
                <w:iCs/>
              </w:rPr>
              <w:t xml:space="preserve">planned </w:t>
            </w:r>
            <w:r w:rsidR="00972DFD" w:rsidRPr="00CF5754">
              <w:rPr>
                <w:iCs/>
                <w:lang w:val="en-US"/>
              </w:rPr>
              <w:t xml:space="preserve">construction of the Sofia-Septemvri railway </w:t>
            </w:r>
            <w:r w:rsidR="007E0996" w:rsidRPr="00CF5754">
              <w:rPr>
                <w:iCs/>
                <w:lang w:val="en-US"/>
              </w:rPr>
              <w:t>section</w:t>
            </w:r>
            <w:r w:rsidR="004D5E81" w:rsidRPr="00CF5754">
              <w:rPr>
                <w:iCs/>
                <w:lang w:val="en-US"/>
              </w:rPr>
              <w:t>.</w:t>
            </w:r>
            <w:r w:rsidR="00972DFD" w:rsidRPr="00CF5754">
              <w:rPr>
                <w:iCs/>
                <w:lang w:val="en-GB"/>
              </w:rPr>
              <w:t xml:space="preserve"> </w:t>
            </w:r>
            <w:r w:rsidR="004D5E81" w:rsidRPr="00CF5754">
              <w:rPr>
                <w:iCs/>
                <w:lang w:val="en-US"/>
              </w:rPr>
              <w:t>T</w:t>
            </w:r>
            <w:r w:rsidR="00721A29" w:rsidRPr="00CF5754">
              <w:rPr>
                <w:iCs/>
              </w:rPr>
              <w:t xml:space="preserve">he GSMR is already implemented under OPT. </w:t>
            </w:r>
            <w:r w:rsidR="0021416A" w:rsidRPr="00CF5754">
              <w:rPr>
                <w:iCs/>
                <w:lang w:val="en-US"/>
              </w:rPr>
              <w:t>Deployment of ETCS along</w:t>
            </w:r>
            <w:r w:rsidR="0021416A" w:rsidRPr="00CF5754">
              <w:rPr>
                <w:rFonts w:eastAsia="Calibri"/>
                <w:iCs/>
                <w:color w:val="auto"/>
                <w:szCs w:val="20"/>
                <w:lang w:val="en-US" w:eastAsia="en-GB"/>
              </w:rPr>
              <w:t xml:space="preserve"> </w:t>
            </w:r>
            <w:r w:rsidR="007E0996" w:rsidRPr="00CF5754">
              <w:rPr>
                <w:iCs/>
                <w:lang w:val="en-US"/>
              </w:rPr>
              <w:t>the Sofia-Septemvri railway section</w:t>
            </w:r>
            <w:r w:rsidR="0021416A" w:rsidRPr="00CF5754">
              <w:rPr>
                <w:iCs/>
                <w:lang w:val="en-US"/>
              </w:rPr>
              <w:t xml:space="preserve"> will be ensured at a later stage. </w:t>
            </w:r>
            <w:r w:rsidR="00FD018F" w:rsidRPr="00CF5754">
              <w:rPr>
                <w:iCs/>
                <w:lang w:val="en-US"/>
              </w:rPr>
              <w:t>T</w:t>
            </w:r>
            <w:r w:rsidR="00FD018F" w:rsidRPr="00CF5754">
              <w:rPr>
                <w:iCs/>
                <w:lang w:val="en"/>
              </w:rPr>
              <w:t xml:space="preserve">he implementation of the planned project for modernization of security systems along the Ruse - Kaspichan railway section </w:t>
            </w:r>
            <w:r w:rsidR="00D429C6">
              <w:rPr>
                <w:iCs/>
                <w:lang w:val="en"/>
              </w:rPr>
              <w:t>was excluded from the scope of OPTTI</w:t>
            </w:r>
            <w:r w:rsidR="00FD018F" w:rsidRPr="00CF5754">
              <w:rPr>
                <w:iCs/>
                <w:lang w:val="en"/>
              </w:rPr>
              <w:t xml:space="preserve"> due to the necessity to redirect the funds for the project, in view of the COVID-19 emergency situation.</w:t>
            </w:r>
            <w:r w:rsidR="005D6027">
              <w:t xml:space="preserve"> </w:t>
            </w:r>
            <w:r w:rsidR="005D6027" w:rsidRPr="005D6027">
              <w:rPr>
                <w:iCs/>
                <w:lang w:val="en"/>
              </w:rPr>
              <w:t xml:space="preserve">The modernization of the systems on the Ruse-Kaspichan railway section is included in the scope of the project for the implementation of ERTMS level 2 in the Ruse-Kaspichan railway section, financed under the Recovery and </w:t>
            </w:r>
            <w:r w:rsidR="005D6027">
              <w:rPr>
                <w:iCs/>
                <w:lang w:val="en"/>
              </w:rPr>
              <w:t xml:space="preserve">Resilience </w:t>
            </w:r>
            <w:r w:rsidR="005D6027" w:rsidRPr="005D6027">
              <w:rPr>
                <w:iCs/>
                <w:lang w:val="en"/>
              </w:rPr>
              <w:t>Mechanism.</w:t>
            </w:r>
          </w:p>
          <w:p w14:paraId="5BA4ECB4" w14:textId="58198323" w:rsidR="00BA34FD" w:rsidRPr="00BA34FD" w:rsidRDefault="00BA34FD" w:rsidP="00FD018F">
            <w:pPr>
              <w:pStyle w:val="Default"/>
              <w:jc w:val="both"/>
              <w:rPr>
                <w:iCs/>
                <w:lang w:val="en-GB"/>
              </w:rPr>
            </w:pPr>
            <w:r>
              <w:rPr>
                <w:iCs/>
                <w:lang w:val="en-GB"/>
              </w:rPr>
              <w:t>T</w:t>
            </w:r>
            <w:r w:rsidRPr="00BA34FD">
              <w:rPr>
                <w:iCs/>
                <w:lang w:val="en-GB"/>
              </w:rPr>
              <w:t xml:space="preserve">he planned investments for the modernization of Burgas Port, by deepening the water area for shipping berths, will contribute to the realization </w:t>
            </w:r>
            <w:r>
              <w:rPr>
                <w:iCs/>
                <w:lang w:val="en-GB"/>
              </w:rPr>
              <w:t>of the concept of "</w:t>
            </w:r>
            <w:r w:rsidRPr="00BA34FD">
              <w:rPr>
                <w:iCs/>
                <w:lang w:val="en-GB"/>
              </w:rPr>
              <w:t>solidarity</w:t>
            </w:r>
            <w:r>
              <w:rPr>
                <w:iCs/>
                <w:lang w:val="en-GB"/>
              </w:rPr>
              <w:t xml:space="preserve"> lines</w:t>
            </w:r>
            <w:r w:rsidRPr="00BA34FD">
              <w:rPr>
                <w:iCs/>
                <w:lang w:val="en-GB"/>
              </w:rPr>
              <w:t xml:space="preserve">" with Ukraine, according to the Action Plan adopted by the EC. </w:t>
            </w:r>
          </w:p>
          <w:p w14:paraId="237E7058" w14:textId="7D75771A" w:rsidR="00F1341F" w:rsidRPr="008340BB" w:rsidRDefault="00F1341F" w:rsidP="003F7FD3">
            <w:pPr>
              <w:pStyle w:val="Default"/>
              <w:jc w:val="both"/>
              <w:rPr>
                <w:lang w:val="en-GB"/>
              </w:rPr>
            </w:pPr>
            <w:r w:rsidRPr="008340BB">
              <w:rPr>
                <w:lang w:val="en-GB"/>
              </w:rPr>
              <w:t xml:space="preserve">Assistance from JASPERS was used to </w:t>
            </w:r>
            <w:r w:rsidR="00CE58BE" w:rsidRPr="008340BB">
              <w:rPr>
                <w:lang w:val="en-GB"/>
              </w:rPr>
              <w:t>analyse</w:t>
            </w:r>
            <w:r w:rsidRPr="008340BB">
              <w:rPr>
                <w:lang w:val="en-GB"/>
              </w:rPr>
              <w:t xml:space="preserve"> the existing strategic documents (with focus on General Transport Master Plan) and main findings are as follows:- the focus of the analysis in the GTMP is very much on infrastructure, with a more limited scope given to organisational and operational issues; although in general the approach for the problems analysis is appropriate, the organisational and operational analysis should be developed in more depth, in particular and how these relate to the quality and use of infrastructure; more fundamentally, the GTMP lacks an interdependence assessment that identifies cause and effect relationships and root causes of identified problems.</w:t>
            </w:r>
          </w:p>
          <w:p w14:paraId="44A8B228" w14:textId="77777777" w:rsidR="00F1341F" w:rsidRPr="008340BB" w:rsidRDefault="00F1341F" w:rsidP="000C2FED">
            <w:pPr>
              <w:pStyle w:val="Default"/>
              <w:spacing w:before="120"/>
              <w:rPr>
                <w:rFonts w:ascii="Arial" w:hAnsi="Arial" w:cs="Arial"/>
                <w:lang w:val="en-GB"/>
              </w:rPr>
            </w:pPr>
            <w:r w:rsidRPr="008340BB">
              <w:rPr>
                <w:lang w:val="en-GB"/>
              </w:rPr>
              <w:t xml:space="preserve">Main conclusions and recommendations of the above analysis are as follows: </w:t>
            </w:r>
          </w:p>
          <w:p w14:paraId="16C77D17" w14:textId="77777777" w:rsidR="00F1341F" w:rsidRPr="008340BB" w:rsidRDefault="00F1341F" w:rsidP="003F7FD3">
            <w:pPr>
              <w:rPr>
                <w:color w:val="000000"/>
              </w:rPr>
            </w:pPr>
            <w:r w:rsidRPr="008340BB">
              <w:rPr>
                <w:color w:val="000000"/>
              </w:rPr>
              <w:t xml:space="preserve">› The general approach and scope of the GTMP is broadly in line with what would be expected of a Transport Plan. Whilst certain matters have not been addressed in sufficient depth, these do not take away from the compliance of the general structure; </w:t>
            </w:r>
          </w:p>
          <w:p w14:paraId="7E16A156" w14:textId="77777777" w:rsidR="00F1341F" w:rsidRPr="008340BB" w:rsidRDefault="00F1341F" w:rsidP="003F7FD3">
            <w:pPr>
              <w:rPr>
                <w:color w:val="000000"/>
              </w:rPr>
            </w:pPr>
            <w:r w:rsidRPr="008340BB">
              <w:rPr>
                <w:color w:val="000000"/>
              </w:rPr>
              <w:t xml:space="preserve">› The time horizon of the GTMP is appropriate, covering a 20-year period up till 2030, which fully covers the horizon of the current OPTTI programming period 2014-2020; </w:t>
            </w:r>
          </w:p>
          <w:p w14:paraId="4538531B" w14:textId="77777777" w:rsidR="00F1341F" w:rsidRPr="008340BB" w:rsidRDefault="00F1341F" w:rsidP="003F7FD3">
            <w:pPr>
              <w:rPr>
                <w:color w:val="000000"/>
              </w:rPr>
            </w:pPr>
            <w:r w:rsidRPr="008340BB">
              <w:rPr>
                <w:color w:val="000000"/>
              </w:rPr>
              <w:t xml:space="preserve">› The GTMP is accompanied by a comprehensive analysis tool (Transport Model) that has been developed using a relatively extensive dataset. Although the model is developed using a relatively complex structure, it has been important in understanding existing and future infrastructural issues that has supported the identification of measures; and </w:t>
            </w:r>
          </w:p>
          <w:p w14:paraId="1CD91E2F" w14:textId="77777777" w:rsidR="00F1341F" w:rsidRPr="008340BB" w:rsidRDefault="00F1341F" w:rsidP="003F7FD3">
            <w:pPr>
              <w:rPr>
                <w:color w:val="000000"/>
              </w:rPr>
            </w:pPr>
            <w:r w:rsidRPr="008340BB">
              <w:rPr>
                <w:color w:val="000000"/>
              </w:rPr>
              <w:lastRenderedPageBreak/>
              <w:t xml:space="preserve">› The GTMP provides a list of measures and has been made subject of an SEA. The SEA procedure has been followed as required by the legislation and the GTMP was approved by the Ministry of Environment and Water; </w:t>
            </w:r>
          </w:p>
          <w:p w14:paraId="5067AFB7" w14:textId="77777777" w:rsidR="00F1341F" w:rsidRPr="008340BB" w:rsidRDefault="00F1341F" w:rsidP="003F7FD3">
            <w:pPr>
              <w:rPr>
                <w:color w:val="000000"/>
              </w:rPr>
            </w:pPr>
            <w:r w:rsidRPr="008340BB">
              <w:rPr>
                <w:color w:val="000000"/>
              </w:rPr>
              <w:t xml:space="preserve">› Gaps in the existing work have been identified which cover a number of areas, and focus broadly on the following: </w:t>
            </w:r>
          </w:p>
          <w:p w14:paraId="34CCD3A0" w14:textId="77777777" w:rsidR="00F1341F" w:rsidRPr="008340BB" w:rsidRDefault="00F1341F" w:rsidP="003F7FD3">
            <w:pPr>
              <w:rPr>
                <w:color w:val="000000"/>
              </w:rPr>
            </w:pPr>
            <w:r w:rsidRPr="008340BB">
              <w:rPr>
                <w:color w:val="000000"/>
              </w:rPr>
              <w:t xml:space="preserve">› The need to provide a better linkage between objectives, problems and measures, to ensure that a broader range of interventions can be defined to address specific requirements of the transport sector; </w:t>
            </w:r>
          </w:p>
          <w:p w14:paraId="30DF7A4A" w14:textId="77777777" w:rsidR="00F1341F" w:rsidRPr="008340BB" w:rsidRDefault="00F1341F" w:rsidP="003F7FD3">
            <w:pPr>
              <w:rPr>
                <w:color w:val="000000"/>
              </w:rPr>
            </w:pPr>
            <w:r w:rsidRPr="008340BB">
              <w:rPr>
                <w:color w:val="000000"/>
              </w:rPr>
              <w:t xml:space="preserve">› Greater attention paid to organisational and operational measures when considering potential interventions; </w:t>
            </w:r>
          </w:p>
          <w:p w14:paraId="08634892" w14:textId="77777777" w:rsidR="00F1341F" w:rsidRPr="008340BB" w:rsidRDefault="00F1341F" w:rsidP="003F7FD3">
            <w:pPr>
              <w:rPr>
                <w:color w:val="000000"/>
              </w:rPr>
            </w:pPr>
            <w:r w:rsidRPr="008340BB">
              <w:rPr>
                <w:color w:val="000000"/>
              </w:rPr>
              <w:t xml:space="preserve">› Greater insight into Capacity Building requirements in the transport sector, informed by the various measures that are identified; </w:t>
            </w:r>
          </w:p>
          <w:p w14:paraId="63E3BACA" w14:textId="77777777" w:rsidR="00F1341F" w:rsidRPr="008340BB" w:rsidRDefault="00F1341F" w:rsidP="003F7FD3">
            <w:pPr>
              <w:rPr>
                <w:color w:val="000000"/>
              </w:rPr>
            </w:pPr>
            <w:r w:rsidRPr="008340BB">
              <w:rPr>
                <w:color w:val="000000"/>
              </w:rPr>
              <w:t xml:space="preserve">› A general update of the analysis and assessments using more recent transport data and reference to recent policy documentation; and </w:t>
            </w:r>
          </w:p>
          <w:p w14:paraId="3281C89A" w14:textId="77777777" w:rsidR="00F1341F" w:rsidRPr="008340BB" w:rsidRDefault="00F1341F" w:rsidP="003F7FD3">
            <w:r w:rsidRPr="008340BB">
              <w:rPr>
                <w:color w:val="000000"/>
              </w:rPr>
              <w:t>› A great distinction between the Transport Plan outputs, and the subsequent programming exercise that defines the short-term priorities and funding sources.</w:t>
            </w:r>
          </w:p>
          <w:p w14:paraId="37F98108" w14:textId="77777777" w:rsidR="00F1341F" w:rsidRPr="008340BB" w:rsidRDefault="00F1341F" w:rsidP="004243D3">
            <w:r w:rsidRPr="008340BB">
              <w:t xml:space="preserve">The strategy of the programme contributes to achieving the objectives of Strategy “Europe 2020” and is consistent with the guidelines for the development of the European transport policy and the Trans-European transport network, with the national policies, as well as with the conclusions and recommendations defined in the analysis of socio-economic development and the strategy of the Partnership Agreement. </w:t>
            </w:r>
          </w:p>
          <w:p w14:paraId="79D7D583" w14:textId="77777777" w:rsidR="00F1341F" w:rsidRPr="008340BB" w:rsidRDefault="00F1341F" w:rsidP="004243D3">
            <w:r w:rsidRPr="008340BB">
              <w:rPr>
                <w:rStyle w:val="hps"/>
              </w:rPr>
              <w:t>Key</w:t>
            </w:r>
            <w:r w:rsidRPr="008340BB">
              <w:t xml:space="preserve"> </w:t>
            </w:r>
            <w:r w:rsidRPr="008340BB">
              <w:rPr>
                <w:rStyle w:val="hps"/>
              </w:rPr>
              <w:t>documents related to</w:t>
            </w:r>
            <w:r w:rsidRPr="008340BB">
              <w:t xml:space="preserve"> </w:t>
            </w:r>
            <w:r w:rsidRPr="008340BB">
              <w:rPr>
                <w:rStyle w:val="hps"/>
              </w:rPr>
              <w:t>the strategy of</w:t>
            </w:r>
            <w:r w:rsidRPr="008340BB">
              <w:t xml:space="preserve"> OPTTI </w:t>
            </w:r>
            <w:r w:rsidRPr="008340BB">
              <w:rPr>
                <w:rStyle w:val="hps"/>
              </w:rPr>
              <w:t>2014-2020</w:t>
            </w:r>
            <w:r w:rsidR="000C2FED" w:rsidRPr="008340BB">
              <w:rPr>
                <w:rStyle w:val="hps"/>
              </w:rPr>
              <w:t xml:space="preserve"> are as follows</w:t>
            </w:r>
            <w:r w:rsidRPr="008340BB">
              <w:t>:</w:t>
            </w:r>
          </w:p>
          <w:p w14:paraId="6826F8F9" w14:textId="77777777" w:rsidR="00E87023" w:rsidRDefault="00F1341F" w:rsidP="00435AC3">
            <w:pPr>
              <w:rPr>
                <w:szCs w:val="24"/>
              </w:rPr>
            </w:pPr>
            <w:r w:rsidRPr="008340BB">
              <w:rPr>
                <w:b/>
              </w:rPr>
              <w:t>- The Strategy “Europe 2020”</w:t>
            </w:r>
            <w:r w:rsidRPr="008340BB">
              <w:rPr>
                <w:rStyle w:val="FootnoteReference"/>
                <w:b/>
              </w:rPr>
              <w:footnoteReference w:id="2"/>
            </w:r>
            <w:r w:rsidRPr="008340BB">
              <w:rPr>
                <w:rStyle w:val="FootnoteReference"/>
                <w:b/>
              </w:rPr>
              <w:t xml:space="preserve"> </w:t>
            </w:r>
            <w:r w:rsidRPr="0067246B">
              <w:t xml:space="preserve">for smart, sustainable and inclusive growth ensures that the objectives and priorities </w:t>
            </w:r>
            <w:r w:rsidRPr="00020ADD">
              <w:rPr>
                <w:szCs w:val="24"/>
              </w:rPr>
              <w:t xml:space="preserve">of the OPTTI are in compliance with the EU targets </w:t>
            </w:r>
            <w:r w:rsidRPr="00020ADD">
              <w:rPr>
                <w:rStyle w:val="st"/>
              </w:rPr>
              <w:t>to achieve economic, social and territorial cohesion.</w:t>
            </w:r>
            <w:r w:rsidRPr="00DC0475">
              <w:t xml:space="preserve"> OPTTI contributes to all three pillars of the strategy with an emphasis on sustainable </w:t>
            </w:r>
            <w:r w:rsidRPr="00B5130A">
              <w:t>growth to promote a greener and more competitive economy with a more efficient use of resources, w</w:t>
            </w:r>
            <w:r w:rsidRPr="00A828C5">
              <w:t>hich, in relation to the transport sector, suggests modernisation and decarbonisation of the transport sector to achieve increased competitiveness through a combination of measures, such as intelligent traffic management through modern navigation and infor</w:t>
            </w:r>
            <w:r w:rsidRPr="008340BB">
              <w:t xml:space="preserve">mation systems for the Black Sea and the Danube River, better logistics, pursuing the reduction of CO2 emissions for motor vehicles, aviation and maritime sectors, setting common standards and developing the necessary infrastructure, and to accelerate the implementation of strategic projects with high added value for Europe, to address critical bottlenecks, in particular cross-border sections and intermodal nodes </w:t>
            </w:r>
          </w:p>
          <w:p w14:paraId="3A2A685C" w14:textId="77777777" w:rsidR="00F1341F" w:rsidRPr="0067246B" w:rsidRDefault="00F1341F" w:rsidP="008C3213">
            <w:r w:rsidRPr="008340BB">
              <w:rPr>
                <w:b/>
              </w:rPr>
              <w:t>- The National Reform Programme</w:t>
            </w:r>
            <w:r w:rsidRPr="008340BB">
              <w:rPr>
                <w:rStyle w:val="FootnoteReference"/>
                <w:b/>
              </w:rPr>
              <w:footnoteReference w:id="3"/>
            </w:r>
            <w:r w:rsidRPr="008340BB">
              <w:rPr>
                <w:b/>
              </w:rPr>
              <w:t>,</w:t>
            </w:r>
            <w:r w:rsidRPr="0067246B">
              <w:t xml:space="preserve"> a national document, which is updated annually in the implementation of Strategy "Europe 2020"</w:t>
            </w:r>
            <w:r w:rsidR="00041281" w:rsidRPr="0067246B">
              <w:t>.</w:t>
            </w:r>
          </w:p>
          <w:p w14:paraId="07F26D96" w14:textId="77777777" w:rsidR="00E87023" w:rsidRDefault="00F1341F" w:rsidP="00435AC3">
            <w:r w:rsidRPr="00020ADD">
              <w:rPr>
                <w:b/>
              </w:rPr>
              <w:t>- The National Development Programme:</w:t>
            </w:r>
            <w:r w:rsidRPr="00020ADD">
              <w:rPr>
                <w:b/>
                <w:color w:val="000000"/>
              </w:rPr>
              <w:t xml:space="preserve"> </w:t>
            </w:r>
            <w:r w:rsidRPr="00DC0475">
              <w:rPr>
                <w:b/>
              </w:rPr>
              <w:t>Bulgaria 2020 (NDP BG2020)</w:t>
            </w:r>
            <w:r w:rsidRPr="008340BB">
              <w:rPr>
                <w:rStyle w:val="FootnoteReference"/>
                <w:b/>
                <w:color w:val="000000"/>
              </w:rPr>
              <w:footnoteReference w:id="4"/>
            </w:r>
            <w:r w:rsidRPr="008340BB">
              <w:rPr>
                <w:b/>
              </w:rPr>
              <w:t xml:space="preserve"> </w:t>
            </w:r>
            <w:r w:rsidRPr="0067246B">
              <w:t xml:space="preserve">is the leading strategic and programming document detailing the objectives of the development policies of the country up to 2020. </w:t>
            </w:r>
          </w:p>
          <w:p w14:paraId="7A62D700" w14:textId="77777777" w:rsidR="00F1341F" w:rsidRPr="008340BB" w:rsidRDefault="00F1341F" w:rsidP="00D34F40">
            <w:pPr>
              <w:pStyle w:val="Heading3"/>
              <w:numPr>
                <w:ilvl w:val="0"/>
                <w:numId w:val="0"/>
              </w:numPr>
              <w:tabs>
                <w:tab w:val="left" w:pos="2160"/>
              </w:tabs>
              <w:rPr>
                <w:i w:val="0"/>
              </w:rPr>
            </w:pPr>
            <w:r w:rsidRPr="008340BB">
              <w:rPr>
                <w:b/>
                <w:i w:val="0"/>
              </w:rPr>
              <w:lastRenderedPageBreak/>
              <w:t>- White Paper "Roadmap to a Single European Transport Area”</w:t>
            </w:r>
            <w:r w:rsidRPr="008340BB">
              <w:rPr>
                <w:rStyle w:val="FootnoteReference"/>
                <w:b/>
                <w:i w:val="0"/>
              </w:rPr>
              <w:footnoteReference w:id="5"/>
            </w:r>
            <w:r w:rsidRPr="008340BB">
              <w:rPr>
                <w:i w:val="0"/>
              </w:rPr>
              <w:t xml:space="preserve"> includes measures to ensure growth in transport and mobility support.</w:t>
            </w:r>
          </w:p>
          <w:p w14:paraId="3CDF0E17" w14:textId="4EE7AE97" w:rsidR="00F1341F" w:rsidRDefault="00F1341F" w:rsidP="00D34F40">
            <w:pPr>
              <w:autoSpaceDE w:val="0"/>
              <w:autoSpaceDN w:val="0"/>
              <w:adjustRightInd w:val="0"/>
            </w:pPr>
            <w:r w:rsidRPr="008340BB">
              <w:rPr>
                <w:b/>
              </w:rPr>
              <w:t>- The</w:t>
            </w:r>
            <w:r w:rsidRPr="008340BB">
              <w:t xml:space="preserve"> </w:t>
            </w:r>
            <w:r w:rsidRPr="008340BB">
              <w:rPr>
                <w:b/>
              </w:rPr>
              <w:t xml:space="preserve">Guidelines for the development of the Trans-European Transport Network </w:t>
            </w:r>
            <w:r w:rsidRPr="008340BB">
              <w:t>(Regulation (EU) No 1315/2013</w:t>
            </w:r>
            <w:r w:rsidRPr="008340BB">
              <w:rPr>
                <w:rStyle w:val="FootnoteReference"/>
              </w:rPr>
              <w:footnoteReference w:id="6"/>
            </w:r>
            <w:r w:rsidRPr="008340BB">
              <w:t xml:space="preserve">) aim to contribute to achieving the sustainable mobility of people and goods and promoting the development </w:t>
            </w:r>
            <w:r w:rsidRPr="0067246B">
              <w:t>of domestic market and the global competitiveness of the European Community</w:t>
            </w:r>
            <w:r w:rsidRPr="008340BB">
              <w:t>.</w:t>
            </w:r>
          </w:p>
          <w:p w14:paraId="2921BCAF" w14:textId="1AF61CB6" w:rsidR="006838B4" w:rsidRPr="008340BB" w:rsidRDefault="006838B4" w:rsidP="00D34F40">
            <w:pPr>
              <w:autoSpaceDE w:val="0"/>
              <w:autoSpaceDN w:val="0"/>
              <w:adjustRightInd w:val="0"/>
            </w:pPr>
            <w:r>
              <w:t>-</w:t>
            </w:r>
            <w:r>
              <w:rPr>
                <w:lang w:val="bg-BG"/>
              </w:rPr>
              <w:t>A</w:t>
            </w:r>
            <w:r w:rsidRPr="006838B4">
              <w:rPr>
                <w:lang w:val="bg-BG"/>
              </w:rPr>
              <w:t>ction plan for EU-Ukraine Solidarity Lanes to facilitate Ukraine’s agricultural export and bilateral trade with the EU</w:t>
            </w:r>
          </w:p>
          <w:p w14:paraId="542C6232" w14:textId="77777777" w:rsidR="00F1341F" w:rsidRPr="00B5130A" w:rsidRDefault="00F1341F" w:rsidP="00D34F40">
            <w:pPr>
              <w:tabs>
                <w:tab w:val="left" w:pos="426"/>
              </w:tabs>
              <w:contextualSpacing/>
            </w:pPr>
            <w:r w:rsidRPr="008340BB">
              <w:rPr>
                <w:b/>
              </w:rPr>
              <w:t>- The</w:t>
            </w:r>
            <w:r w:rsidRPr="008340BB">
              <w:t xml:space="preserve"> </w:t>
            </w:r>
            <w:r w:rsidRPr="008340BB">
              <w:rPr>
                <w:b/>
              </w:rPr>
              <w:t>National Spatial Development Concept for the period 2013-2025</w:t>
            </w:r>
            <w:r w:rsidRPr="008340BB">
              <w:rPr>
                <w:rStyle w:val="FootnoteReference"/>
              </w:rPr>
              <w:footnoteReference w:id="7"/>
            </w:r>
            <w:r w:rsidRPr="008340BB">
              <w:t xml:space="preserve"> includes a set of priorities, one of which is to develop the national transport infrastructure as a part of the Trans-European Transport Network</w:t>
            </w:r>
            <w:r w:rsidRPr="00B5130A">
              <w:t xml:space="preserve">. </w:t>
            </w:r>
          </w:p>
          <w:p w14:paraId="45BFE9D6" w14:textId="77777777" w:rsidR="00F1341F" w:rsidRPr="00A828C5" w:rsidRDefault="00F1341F" w:rsidP="00D34F40">
            <w:pPr>
              <w:tabs>
                <w:tab w:val="left" w:pos="426"/>
              </w:tabs>
              <w:contextualSpacing/>
            </w:pPr>
          </w:p>
          <w:p w14:paraId="6E7A9021" w14:textId="77777777" w:rsidR="00AC56D2" w:rsidRPr="0067246B" w:rsidRDefault="00F1341F">
            <w:pPr>
              <w:tabs>
                <w:tab w:val="left" w:pos="426"/>
              </w:tabs>
              <w:contextualSpacing/>
            </w:pPr>
            <w:r w:rsidRPr="008340BB">
              <w:t xml:space="preserve">- </w:t>
            </w:r>
            <w:r w:rsidRPr="008340BB">
              <w:rPr>
                <w:b/>
              </w:rPr>
              <w:t>The</w:t>
            </w:r>
            <w:r w:rsidRPr="008340BB">
              <w:t xml:space="preserve"> </w:t>
            </w:r>
            <w:r w:rsidRPr="008340BB">
              <w:rPr>
                <w:b/>
              </w:rPr>
              <w:t>Strategy for Development of the Transport System of the Republic of Bulgaria to 2020</w:t>
            </w:r>
            <w:r w:rsidRPr="008340BB">
              <w:rPr>
                <w:rStyle w:val="FootnoteReference"/>
                <w:b/>
              </w:rPr>
              <w:footnoteReference w:id="8"/>
            </w:r>
            <w:r w:rsidRPr="008340BB">
              <w:t xml:space="preserve"> defines the following objectives of the national transport policy:</w:t>
            </w:r>
          </w:p>
          <w:p w14:paraId="6EF83693" w14:textId="77777777" w:rsidR="00E87023" w:rsidRDefault="00F1341F" w:rsidP="00435AC3">
            <w:pPr>
              <w:tabs>
                <w:tab w:val="left" w:pos="426"/>
              </w:tabs>
              <w:contextualSpacing/>
            </w:pPr>
            <w:r w:rsidRPr="0067246B">
              <w:rPr>
                <w:b/>
              </w:rPr>
              <w:t>Achieving economic efficiency</w:t>
            </w:r>
            <w:r w:rsidRPr="0067246B">
              <w:t xml:space="preserve"> </w:t>
            </w:r>
          </w:p>
          <w:p w14:paraId="43529785" w14:textId="77777777" w:rsidR="00E87023" w:rsidRDefault="00F1341F" w:rsidP="00435AC3">
            <w:pPr>
              <w:autoSpaceDE w:val="0"/>
              <w:autoSpaceDN w:val="0"/>
              <w:adjustRightInd w:val="0"/>
            </w:pPr>
            <w:r w:rsidRPr="008340BB">
              <w:rPr>
                <w:b/>
              </w:rPr>
              <w:t>Development of sustainable transport sector</w:t>
            </w:r>
            <w:r w:rsidRPr="008340BB">
              <w:t xml:space="preserve"> </w:t>
            </w:r>
          </w:p>
          <w:p w14:paraId="528B955E" w14:textId="77777777" w:rsidR="00E87023" w:rsidRDefault="00F1341F" w:rsidP="00435AC3">
            <w:pPr>
              <w:autoSpaceDE w:val="0"/>
              <w:autoSpaceDN w:val="0"/>
              <w:adjustRightInd w:val="0"/>
            </w:pPr>
            <w:r w:rsidRPr="008340BB">
              <w:rPr>
                <w:b/>
              </w:rPr>
              <w:t>Improvement of the regional and social development and commitment</w:t>
            </w:r>
            <w:r w:rsidRPr="008340BB">
              <w:t xml:space="preserve"> </w:t>
            </w:r>
          </w:p>
          <w:p w14:paraId="4FEE1F00" w14:textId="77777777" w:rsidR="00F1341F" w:rsidRPr="008340BB" w:rsidRDefault="00F1341F" w:rsidP="00CB7494">
            <w:r w:rsidRPr="008340BB">
              <w:t>The overall objective of the O</w:t>
            </w:r>
            <w:r w:rsidR="00132BC9">
              <w:t>PTTI</w:t>
            </w:r>
            <w:r w:rsidRPr="008340BB">
              <w:t xml:space="preserve">  2014-2020, and of the O</w:t>
            </w:r>
            <w:r w:rsidR="00132BC9">
              <w:t>PT</w:t>
            </w:r>
            <w:r w:rsidRPr="008340BB">
              <w:t xml:space="preserve"> 2007-2013, is “</w:t>
            </w:r>
            <w:r w:rsidRPr="008340BB">
              <w:rPr>
                <w:b/>
              </w:rPr>
              <w:t>Development of a sustainable transport system</w:t>
            </w:r>
            <w:r w:rsidRPr="008340BB">
              <w:t xml:space="preserve">”, which is in compliance with the thematic objectives specified above. </w:t>
            </w:r>
          </w:p>
          <w:p w14:paraId="7D281365" w14:textId="77777777" w:rsidR="00F1341F" w:rsidRPr="008340BB" w:rsidRDefault="00F1341F" w:rsidP="007A37DA">
            <w:r w:rsidRPr="008340BB">
              <w:t xml:space="preserve">The </w:t>
            </w:r>
            <w:r w:rsidR="00367D9D">
              <w:t>planned</w:t>
            </w:r>
            <w:r w:rsidRPr="008340BB">
              <w:t xml:space="preserve"> projects for developing the transport system</w:t>
            </w:r>
            <w:r w:rsidR="00B038CB">
              <w:t xml:space="preserve"> </w:t>
            </w:r>
            <w:r w:rsidRPr="008340BB">
              <w:t xml:space="preserve">contribute to the effective connectivity of the transport network and </w:t>
            </w:r>
            <w:r w:rsidR="003E1665">
              <w:t>to</w:t>
            </w:r>
            <w:r w:rsidRPr="008340BB">
              <w:t xml:space="preserve"> removing sections with insufficient capacity in it, reducing congestion, noise and pollution, improving safety, promoting the use of environmentally friendly modes of transport, will continue. The achievement of the overall objective of the programme and hence its contribution to </w:t>
            </w:r>
            <w:r w:rsidR="00B038CB">
              <w:t xml:space="preserve">TO </w:t>
            </w:r>
            <w:r w:rsidRPr="008340BB">
              <w:t xml:space="preserve">4 </w:t>
            </w:r>
            <w:r w:rsidR="00B038CB">
              <w:t>(</w:t>
            </w:r>
            <w:r w:rsidRPr="008340BB">
              <w:t>Supporting the shifts towards a low-carbon economy in all sectors</w:t>
            </w:r>
            <w:r w:rsidR="00B038CB">
              <w:t>)</w:t>
            </w:r>
            <w:r w:rsidRPr="008340BB">
              <w:t xml:space="preserve"> and </w:t>
            </w:r>
            <w:r w:rsidR="00B038CB">
              <w:t>TO</w:t>
            </w:r>
            <w:r w:rsidRPr="008340BB">
              <w:t xml:space="preserve"> 7 </w:t>
            </w:r>
            <w:r w:rsidR="00B038CB">
              <w:t>(</w:t>
            </w:r>
            <w:r w:rsidRPr="008340BB">
              <w:t>Promoting sustainable transport and removing sections with insufficient capacity in all key network infrastructures</w:t>
            </w:r>
            <w:r w:rsidR="00B038CB">
              <w:t>)</w:t>
            </w:r>
            <w:r w:rsidRPr="008340BB">
              <w:t xml:space="preserve">, will contribute to the realization of the concept of competitive and sustainable transport system, as well as to achieving the desired sustainable mobility of people and goods, promoting the development of the domestic market and the global competitiveness of the European Community, territorial, economic and social cohesion, public welfare, safety and security of European citizens, taking into account the environmental factors, such as climate change, air pollution and protected areas. </w:t>
            </w:r>
          </w:p>
          <w:p w14:paraId="057D0614" w14:textId="77777777" w:rsidR="00F1341F" w:rsidRPr="008340BB" w:rsidRDefault="000E7766" w:rsidP="00243777">
            <w:pPr>
              <w:spacing w:before="0" w:after="0"/>
              <w:rPr>
                <w:szCs w:val="24"/>
              </w:rPr>
            </w:pPr>
            <w:r>
              <w:rPr>
                <w:szCs w:val="24"/>
              </w:rPr>
              <w:t>T</w:t>
            </w:r>
            <w:r w:rsidR="00F1341F" w:rsidRPr="008340BB">
              <w:rPr>
                <w:szCs w:val="24"/>
              </w:rPr>
              <w:t>he specific measures under OPTTI will have a particular impact and contribution to national targets known as “</w:t>
            </w:r>
            <w:r w:rsidR="00F1341F" w:rsidRPr="008340BB">
              <w:rPr>
                <w:iCs/>
                <w:szCs w:val="24"/>
              </w:rPr>
              <w:t>the three 20 up to 2020” (20/20/20 by 2020)</w:t>
            </w:r>
            <w:r w:rsidR="00F1341F" w:rsidRPr="008340BB">
              <w:rPr>
                <w:szCs w:val="24"/>
              </w:rPr>
              <w:t xml:space="preserve"> on climate change. In the Third National Action Plan on Climate Change the transport sector is identified as one of the major source of greenhouse gases. The reasons for this include the privatization of road transport, the significant reduction of subsidies for the railway transport and the closure of railway routes leading to a shift in the transport structure - from rail to road. Private cars have the most significant contribution to greenhouse gas emissions followed by heavy duty vehicles. In 2009 private cars and heavy duty vehicles </w:t>
            </w:r>
            <w:r w:rsidR="00D10E36">
              <w:rPr>
                <w:szCs w:val="24"/>
              </w:rPr>
              <w:t>were</w:t>
            </w:r>
            <w:r w:rsidR="00F1341F" w:rsidRPr="008340BB">
              <w:rPr>
                <w:szCs w:val="24"/>
              </w:rPr>
              <w:t xml:space="preserve"> respectively </w:t>
            </w:r>
            <w:r w:rsidR="00D10E36">
              <w:rPr>
                <w:szCs w:val="24"/>
              </w:rPr>
              <w:t xml:space="preserve">responsible for </w:t>
            </w:r>
            <w:r w:rsidR="00F1341F" w:rsidRPr="008340BB">
              <w:rPr>
                <w:szCs w:val="24"/>
              </w:rPr>
              <w:t xml:space="preserve">60% and 21% of total emissions </w:t>
            </w:r>
            <w:r w:rsidR="00D10E36">
              <w:rPr>
                <w:szCs w:val="24"/>
              </w:rPr>
              <w:t>of</w:t>
            </w:r>
            <w:r w:rsidR="00F1341F" w:rsidRPr="008340BB">
              <w:rPr>
                <w:szCs w:val="24"/>
              </w:rPr>
              <w:t xml:space="preserve"> the </w:t>
            </w:r>
            <w:r w:rsidR="00D10E36">
              <w:rPr>
                <w:szCs w:val="24"/>
              </w:rPr>
              <w:t xml:space="preserve">transport </w:t>
            </w:r>
            <w:r w:rsidR="00F1341F" w:rsidRPr="008340BB">
              <w:rPr>
                <w:szCs w:val="24"/>
              </w:rPr>
              <w:t>sector. Additionally, after completion of Line 3 of the Sofia Metro in 2020, the road traffic is expected to decrease by 21 000 vehicles/day, which will result in reduction of traffic congestions and will create conditions for increasing the average speed of public transport along the central routes.</w:t>
            </w:r>
          </w:p>
          <w:p w14:paraId="285ECE76" w14:textId="77777777" w:rsidR="00F1341F" w:rsidRPr="008340BB" w:rsidRDefault="00F1341F" w:rsidP="00D65E4D">
            <w:pPr>
              <w:spacing w:after="0"/>
              <w:rPr>
                <w:szCs w:val="24"/>
              </w:rPr>
            </w:pPr>
            <w:r w:rsidRPr="008340BB">
              <w:rPr>
                <w:szCs w:val="24"/>
              </w:rPr>
              <w:lastRenderedPageBreak/>
              <w:t xml:space="preserve">The measures </w:t>
            </w:r>
            <w:r w:rsidR="00777FF1">
              <w:rPr>
                <w:szCs w:val="24"/>
              </w:rPr>
              <w:t xml:space="preserve">of </w:t>
            </w:r>
            <w:r w:rsidRPr="008340BB">
              <w:rPr>
                <w:szCs w:val="24"/>
              </w:rPr>
              <w:t xml:space="preserve">the Action Plan are focused on the following priority areas: </w:t>
            </w:r>
          </w:p>
          <w:p w14:paraId="58234A40" w14:textId="77777777" w:rsidR="00F1341F" w:rsidRPr="008340BB" w:rsidRDefault="00F1341F" w:rsidP="00D65E4D">
            <w:pPr>
              <w:spacing w:after="0"/>
              <w:rPr>
                <w:szCs w:val="29"/>
              </w:rPr>
            </w:pPr>
            <w:r w:rsidRPr="008340BB">
              <w:rPr>
                <w:szCs w:val="24"/>
              </w:rPr>
              <w:t xml:space="preserve">- Reduction of transport emissions </w:t>
            </w:r>
          </w:p>
          <w:p w14:paraId="5CE45ABB" w14:textId="77777777" w:rsidR="00F1341F" w:rsidRPr="008340BB" w:rsidRDefault="00F1341F" w:rsidP="00D65E4D">
            <w:pPr>
              <w:pStyle w:val="Default"/>
              <w:spacing w:before="120"/>
              <w:jc w:val="both"/>
              <w:rPr>
                <w:szCs w:val="23"/>
                <w:lang w:val="en-GB"/>
              </w:rPr>
            </w:pPr>
            <w:r w:rsidRPr="008340BB">
              <w:rPr>
                <w:lang w:val="en-GB"/>
              </w:rPr>
              <w:t xml:space="preserve">- </w:t>
            </w:r>
            <w:r w:rsidRPr="008340BB">
              <w:rPr>
                <w:bCs/>
                <w:szCs w:val="23"/>
                <w:lang w:val="en-GB"/>
              </w:rPr>
              <w:t>Reduction of fuel consumption</w:t>
            </w:r>
          </w:p>
          <w:p w14:paraId="3F799DD6" w14:textId="77777777" w:rsidR="00E87023" w:rsidRDefault="00F1341F" w:rsidP="00435AC3">
            <w:pPr>
              <w:spacing w:after="0"/>
              <w:rPr>
                <w:szCs w:val="23"/>
              </w:rPr>
            </w:pPr>
            <w:r w:rsidRPr="008340BB">
              <w:rPr>
                <w:szCs w:val="24"/>
              </w:rPr>
              <w:t>- Diversification of transport</w:t>
            </w:r>
          </w:p>
          <w:p w14:paraId="37A8F5C8" w14:textId="77777777" w:rsidR="00F1341F" w:rsidRPr="008340BB" w:rsidRDefault="00F1341F" w:rsidP="00D65E4D">
            <w:pPr>
              <w:spacing w:after="0"/>
              <w:rPr>
                <w:szCs w:val="24"/>
              </w:rPr>
            </w:pPr>
            <w:r w:rsidRPr="008340BB">
              <w:rPr>
                <w:szCs w:val="24"/>
              </w:rPr>
              <w:t xml:space="preserve">- Informing and training consumers </w:t>
            </w:r>
          </w:p>
          <w:p w14:paraId="67E9C7BB" w14:textId="77777777" w:rsidR="00F1341F" w:rsidRPr="008340BB" w:rsidRDefault="00F1341F" w:rsidP="00D65E4D">
            <w:pPr>
              <w:spacing w:after="0"/>
              <w:rPr>
                <w:szCs w:val="24"/>
              </w:rPr>
            </w:pPr>
            <w:r w:rsidRPr="008340BB">
              <w:rPr>
                <w:szCs w:val="24"/>
              </w:rPr>
              <w:t xml:space="preserve">The OPTTI provides funding for the following specific measures with a direct effect on all four sectors, contributing to the achievement of national targets on climate change: </w:t>
            </w:r>
          </w:p>
          <w:p w14:paraId="0EA0351E" w14:textId="77777777" w:rsidR="00F1341F" w:rsidRPr="008340BB" w:rsidRDefault="00F1341F" w:rsidP="00D65E4D">
            <w:pPr>
              <w:numPr>
                <w:ilvl w:val="0"/>
                <w:numId w:val="81"/>
              </w:numPr>
              <w:spacing w:after="0"/>
              <w:ind w:left="459" w:hanging="284"/>
              <w:rPr>
                <w:szCs w:val="24"/>
              </w:rPr>
            </w:pPr>
            <w:r w:rsidRPr="008340BB">
              <w:rPr>
                <w:szCs w:val="24"/>
              </w:rPr>
              <w:t xml:space="preserve">Under </w:t>
            </w:r>
            <w:r w:rsidR="002D299F">
              <w:rPr>
                <w:szCs w:val="24"/>
              </w:rPr>
              <w:t>priority a</w:t>
            </w:r>
            <w:r w:rsidRPr="008340BB">
              <w:rPr>
                <w:szCs w:val="24"/>
              </w:rPr>
              <w:t>xis 1 - increasing the share of railway transport;</w:t>
            </w:r>
          </w:p>
          <w:p w14:paraId="33226DC1" w14:textId="77777777" w:rsidR="00F1341F" w:rsidRPr="008340BB" w:rsidRDefault="00F1341F" w:rsidP="00D65E4D">
            <w:pPr>
              <w:numPr>
                <w:ilvl w:val="0"/>
                <w:numId w:val="81"/>
              </w:numPr>
              <w:spacing w:after="0"/>
              <w:ind w:left="459" w:hanging="284"/>
              <w:rPr>
                <w:szCs w:val="24"/>
              </w:rPr>
            </w:pPr>
            <w:r w:rsidRPr="008340BB">
              <w:rPr>
                <w:szCs w:val="24"/>
              </w:rPr>
              <w:t xml:space="preserve">Under </w:t>
            </w:r>
            <w:r w:rsidR="002D299F">
              <w:rPr>
                <w:szCs w:val="24"/>
              </w:rPr>
              <w:t>priority a</w:t>
            </w:r>
            <w:r w:rsidRPr="008340BB">
              <w:rPr>
                <w:szCs w:val="24"/>
              </w:rPr>
              <w:t xml:space="preserve">xis 2 - modernisation of existing road infrastructure </w:t>
            </w:r>
            <w:r w:rsidRPr="008340BB">
              <w:rPr>
                <w:szCs w:val="29"/>
              </w:rPr>
              <w:t>to ensure optimum speed and optimum driving modes of automobile engines;</w:t>
            </w:r>
            <w:r w:rsidRPr="008340BB">
              <w:rPr>
                <w:szCs w:val="24"/>
              </w:rPr>
              <w:t xml:space="preserve"> </w:t>
            </w:r>
          </w:p>
          <w:p w14:paraId="4AD9653F" w14:textId="1E3E0D1C" w:rsidR="00F1341F" w:rsidRPr="008340BB" w:rsidRDefault="00F1341F" w:rsidP="00D65E4D">
            <w:pPr>
              <w:numPr>
                <w:ilvl w:val="0"/>
                <w:numId w:val="81"/>
              </w:numPr>
              <w:spacing w:after="0"/>
              <w:ind w:left="459" w:hanging="284"/>
              <w:rPr>
                <w:szCs w:val="24"/>
              </w:rPr>
            </w:pPr>
            <w:r w:rsidRPr="008340BB">
              <w:rPr>
                <w:szCs w:val="24"/>
              </w:rPr>
              <w:t xml:space="preserve">Under </w:t>
            </w:r>
            <w:r w:rsidR="002D299F">
              <w:rPr>
                <w:szCs w:val="24"/>
              </w:rPr>
              <w:t>priority a</w:t>
            </w:r>
            <w:r w:rsidRPr="008340BB">
              <w:rPr>
                <w:szCs w:val="24"/>
              </w:rPr>
              <w:t xml:space="preserve">xis 3 - </w:t>
            </w:r>
            <w:r w:rsidRPr="008340BB">
              <w:rPr>
                <w:szCs w:val="23"/>
              </w:rPr>
              <w:t>reduction of the relative share of trips with private motor vehicles through improvement and development of urban public transport</w:t>
            </w:r>
            <w:r w:rsidRPr="008340BB">
              <w:rPr>
                <w:szCs w:val="24"/>
              </w:rPr>
              <w:t>; increasing the share of public electric transport</w:t>
            </w:r>
            <w:r w:rsidR="00564172">
              <w:rPr>
                <w:szCs w:val="24"/>
              </w:rPr>
              <w:t>.</w:t>
            </w:r>
            <w:r w:rsidRPr="008340BB">
              <w:rPr>
                <w:szCs w:val="24"/>
              </w:rPr>
              <w:t xml:space="preserve"> </w:t>
            </w:r>
          </w:p>
          <w:p w14:paraId="110DFD74" w14:textId="630B69EA" w:rsidR="00F1341F" w:rsidRPr="008340BB" w:rsidRDefault="00F1341F" w:rsidP="00D65E4D">
            <w:pPr>
              <w:spacing w:after="0"/>
            </w:pPr>
            <w:r w:rsidRPr="00CF5754">
              <w:rPr>
                <w:b/>
              </w:rPr>
              <w:t>S</w:t>
            </w:r>
            <w:r w:rsidR="00D07E32" w:rsidRPr="00CF5754">
              <w:rPr>
                <w:b/>
                <w:lang w:val="en-US"/>
              </w:rPr>
              <w:t>ix</w:t>
            </w:r>
            <w:r w:rsidR="00FA2743" w:rsidRPr="00CF5754">
              <w:rPr>
                <w:b/>
                <w:lang w:val="en-US"/>
              </w:rPr>
              <w:t xml:space="preserve"> </w:t>
            </w:r>
            <w:r w:rsidRPr="00CF5754">
              <w:rPr>
                <w:b/>
              </w:rPr>
              <w:t>specific objectives</w:t>
            </w:r>
            <w:r w:rsidRPr="008340BB">
              <w:rPr>
                <w:b/>
              </w:rPr>
              <w:t xml:space="preserve"> </w:t>
            </w:r>
            <w:r w:rsidR="002D299F">
              <w:t>have been</w:t>
            </w:r>
            <w:r w:rsidR="002D299F" w:rsidRPr="008340BB">
              <w:t xml:space="preserve"> </w:t>
            </w:r>
            <w:r w:rsidRPr="008340BB">
              <w:t xml:space="preserve">identified </w:t>
            </w:r>
            <w:r w:rsidR="002D299F">
              <w:t>as part of</w:t>
            </w:r>
            <w:r w:rsidRPr="008340BB">
              <w:t xml:space="preserve"> the overall objective of the OPTTI 2014-2020 and accordingly the investment priorities of </w:t>
            </w:r>
            <w:r w:rsidR="00B038CB">
              <w:t>TO</w:t>
            </w:r>
            <w:r w:rsidRPr="008340BB">
              <w:t xml:space="preserve"> 7 and </w:t>
            </w:r>
            <w:r w:rsidR="00B038CB">
              <w:t>TO</w:t>
            </w:r>
            <w:r w:rsidRPr="008340BB">
              <w:t xml:space="preserve"> 4. </w:t>
            </w:r>
          </w:p>
          <w:p w14:paraId="60C0FD44" w14:textId="77777777" w:rsidR="00F1341F" w:rsidRPr="00B13FA5" w:rsidRDefault="00213043" w:rsidP="004A4F65">
            <w:pPr>
              <w:rPr>
                <w:b/>
              </w:rPr>
            </w:pPr>
            <w:r>
              <w:rPr>
                <w:b/>
              </w:rPr>
              <w:t xml:space="preserve">1. </w:t>
            </w:r>
            <w:r w:rsidR="001045CB" w:rsidRPr="00B13FA5">
              <w:rPr>
                <w:b/>
              </w:rPr>
              <w:t>Increasing railway traffic of passenger and freight through improving the quality of the TEN-T railway infrastructure</w:t>
            </w:r>
          </w:p>
          <w:p w14:paraId="66C10765" w14:textId="77777777" w:rsidR="00F1341F" w:rsidRPr="008340BB" w:rsidRDefault="009B1DD8" w:rsidP="004A4F65">
            <w:r w:rsidRPr="00435AC3">
              <w:rPr>
                <w:b/>
              </w:rPr>
              <w:t>2.</w:t>
            </w:r>
            <w:r w:rsidR="00213043">
              <w:t xml:space="preserve"> </w:t>
            </w:r>
            <w:r w:rsidR="001045CB" w:rsidRPr="001045CB">
              <w:rPr>
                <w:b/>
              </w:rPr>
              <w:t>Removal of bottlenecks in the TEN-T road network"</w:t>
            </w:r>
            <w:r w:rsidR="00F1341F" w:rsidRPr="008340BB">
              <w:t xml:space="preserve"> </w:t>
            </w:r>
          </w:p>
          <w:p w14:paraId="1645AAE6" w14:textId="14C71E02" w:rsidR="00F1341F" w:rsidRPr="008340BB" w:rsidRDefault="009B1DD8" w:rsidP="004A4F65">
            <w:pPr>
              <w:rPr>
                <w:b/>
              </w:rPr>
            </w:pPr>
            <w:r w:rsidRPr="00435AC3">
              <w:rPr>
                <w:b/>
              </w:rPr>
              <w:t>3.</w:t>
            </w:r>
            <w:r w:rsidR="00213043">
              <w:t xml:space="preserve"> </w:t>
            </w:r>
            <w:r w:rsidR="001045CB" w:rsidRPr="001045CB">
              <w:rPr>
                <w:b/>
              </w:rPr>
              <w:t xml:space="preserve">Increased </w:t>
            </w:r>
            <w:r w:rsidR="006B4A38">
              <w:rPr>
                <w:b/>
              </w:rPr>
              <w:t xml:space="preserve">potential of </w:t>
            </w:r>
            <w:r w:rsidR="001045CB" w:rsidRPr="001045CB">
              <w:rPr>
                <w:b/>
              </w:rPr>
              <w:t>intermodal transport</w:t>
            </w:r>
            <w:r w:rsidR="00FF28C0">
              <w:rPr>
                <w:b/>
              </w:rPr>
              <w:t xml:space="preserve"> along OEM CNC, section Sofia-Plovdiv-Burgas</w:t>
            </w:r>
          </w:p>
          <w:p w14:paraId="09BA010A" w14:textId="77777777" w:rsidR="00F1341F" w:rsidRPr="008340BB" w:rsidRDefault="009B1DD8" w:rsidP="008E1C80">
            <w:pPr>
              <w:autoSpaceDE w:val="0"/>
              <w:autoSpaceDN w:val="0"/>
              <w:adjustRightInd w:val="0"/>
            </w:pPr>
            <w:r w:rsidRPr="00435AC3">
              <w:rPr>
                <w:b/>
              </w:rPr>
              <w:t>4.</w:t>
            </w:r>
            <w:r w:rsidR="00213043">
              <w:t xml:space="preserve"> </w:t>
            </w:r>
            <w:r w:rsidR="001045CB" w:rsidRPr="001045CB">
              <w:rPr>
                <w:rStyle w:val="hps"/>
                <w:b/>
              </w:rPr>
              <w:t>Increased use of metro</w:t>
            </w:r>
            <w:r w:rsidR="00F1341F" w:rsidRPr="008340BB">
              <w:rPr>
                <w:b/>
              </w:rPr>
              <w:t>.</w:t>
            </w:r>
          </w:p>
          <w:p w14:paraId="3FC69B0C" w14:textId="77777777" w:rsidR="00B038CB" w:rsidRDefault="009B1DD8" w:rsidP="008E1C80">
            <w:pPr>
              <w:autoSpaceDE w:val="0"/>
              <w:autoSpaceDN w:val="0"/>
              <w:adjustRightInd w:val="0"/>
            </w:pPr>
            <w:r w:rsidRPr="00435AC3">
              <w:rPr>
                <w:b/>
              </w:rPr>
              <w:t>5.</w:t>
            </w:r>
            <w:r w:rsidR="001045CB" w:rsidRPr="001045CB">
              <w:rPr>
                <w:rStyle w:val="hps"/>
                <w:b/>
              </w:rPr>
              <w:t>Improved transport management through introduction of innovative systems</w:t>
            </w:r>
          </w:p>
          <w:p w14:paraId="762CC2E4" w14:textId="2E341175" w:rsidR="00F1341F" w:rsidRDefault="00D07E32" w:rsidP="008E1C80">
            <w:pPr>
              <w:autoSpaceDE w:val="0"/>
              <w:autoSpaceDN w:val="0"/>
              <w:adjustRightInd w:val="0"/>
              <w:rPr>
                <w:b/>
              </w:rPr>
            </w:pPr>
            <w:r>
              <w:rPr>
                <w:b/>
                <w:lang w:val="bg-BG"/>
              </w:rPr>
              <w:t>6</w:t>
            </w:r>
            <w:r w:rsidR="009B1DD8" w:rsidRPr="00435AC3">
              <w:rPr>
                <w:b/>
              </w:rPr>
              <w:t>.</w:t>
            </w:r>
            <w:r w:rsidR="00213043">
              <w:t xml:space="preserve"> </w:t>
            </w:r>
            <w:r w:rsidR="007D2E93">
              <w:rPr>
                <w:b/>
              </w:rPr>
              <w:t xml:space="preserve">Establishment of necessary conditions for successful completion of OPT 2007-2013 and implementation of OPTTI 2014-2020, strengthening the administrative capacity and public awareness. </w:t>
            </w:r>
          </w:p>
          <w:p w14:paraId="2D031B0C" w14:textId="2E7DDD2B" w:rsidR="00D869EB" w:rsidRPr="00D869EB" w:rsidRDefault="00D869EB" w:rsidP="00D869EB">
            <w:pPr>
              <w:autoSpaceDE w:val="0"/>
              <w:autoSpaceDN w:val="0"/>
              <w:adjustRightInd w:val="0"/>
              <w:rPr>
                <w:b/>
              </w:rPr>
            </w:pPr>
            <w:r w:rsidRPr="002F5FB8">
              <w:rPr>
                <w:b/>
              </w:rPr>
              <w:t xml:space="preserve">The seventh specific objective refers to TO No. 3 and is </w:t>
            </w:r>
            <w:r w:rsidR="00DB1F75" w:rsidRPr="002F5FB8">
              <w:rPr>
                <w:b/>
                <w:lang w:val="bg-BG"/>
              </w:rPr>
              <w:t>„</w:t>
            </w:r>
            <w:r w:rsidR="00DB1F75" w:rsidRPr="002F5FB8">
              <w:rPr>
                <w:b/>
              </w:rPr>
              <w:t>Support for SMEs that are particularly affected by energy price increases</w:t>
            </w:r>
            <w:r w:rsidRPr="002F5FB8">
              <w:rPr>
                <w:b/>
              </w:rPr>
              <w:t>."</w:t>
            </w:r>
          </w:p>
          <w:p w14:paraId="2E3DA9C1" w14:textId="77777777" w:rsidR="00F1341F" w:rsidRPr="008340BB" w:rsidRDefault="00F1341F" w:rsidP="008E1C80">
            <w:pPr>
              <w:autoSpaceDE w:val="0"/>
              <w:autoSpaceDN w:val="0"/>
              <w:adjustRightInd w:val="0"/>
            </w:pPr>
            <w:r w:rsidRPr="008340BB">
              <w:t xml:space="preserve">The strategy of OPTTI 2014-2020 shall ensure continuity and logical sequence of investments in programming period 2007-2013, guaranteeing the completion of main directions in which investments are already made. The following </w:t>
            </w:r>
            <w:r w:rsidRPr="008340BB">
              <w:rPr>
                <w:b/>
              </w:rPr>
              <w:t>priority axes are</w:t>
            </w:r>
            <w:r w:rsidRPr="008340BB">
              <w:t xml:space="preserve"> </w:t>
            </w:r>
            <w:r w:rsidR="00E249CF">
              <w:t xml:space="preserve">have been </w:t>
            </w:r>
            <w:r w:rsidRPr="008340BB">
              <w:t xml:space="preserve">identified in the programme: </w:t>
            </w:r>
          </w:p>
          <w:p w14:paraId="0EA60D95" w14:textId="4DE624E7" w:rsidR="00F1341F" w:rsidRPr="008340BB" w:rsidRDefault="00F1341F" w:rsidP="008E1C80">
            <w:pPr>
              <w:numPr>
                <w:ilvl w:val="0"/>
                <w:numId w:val="51"/>
              </w:numPr>
              <w:autoSpaceDE w:val="0"/>
              <w:autoSpaceDN w:val="0"/>
              <w:adjustRightInd w:val="0"/>
              <w:spacing w:before="0" w:after="0"/>
            </w:pPr>
            <w:r w:rsidRPr="008340BB">
              <w:t xml:space="preserve">Development of railway infrastructure along the “core”  </w:t>
            </w:r>
            <w:r w:rsidR="003D6DE7">
              <w:t xml:space="preserve">and “comprehensive”  </w:t>
            </w:r>
            <w:r w:rsidR="00E249CF">
              <w:t>TEN-T</w:t>
            </w:r>
          </w:p>
          <w:p w14:paraId="1363D703" w14:textId="77777777" w:rsidR="00F1341F" w:rsidRPr="008340BB" w:rsidRDefault="00F1341F" w:rsidP="008E1C80">
            <w:pPr>
              <w:pStyle w:val="Default"/>
              <w:numPr>
                <w:ilvl w:val="0"/>
                <w:numId w:val="51"/>
              </w:numPr>
              <w:jc w:val="both"/>
              <w:rPr>
                <w:lang w:val="en-GB"/>
              </w:rPr>
            </w:pPr>
            <w:r w:rsidRPr="008340BB">
              <w:rPr>
                <w:lang w:val="en-GB"/>
              </w:rPr>
              <w:t>Development of road infrastructure along the “core” and “comprehensive”</w:t>
            </w:r>
            <w:r w:rsidR="00E249CF">
              <w:rPr>
                <w:lang w:val="en-GB"/>
              </w:rPr>
              <w:t xml:space="preserve"> TEN-T</w:t>
            </w:r>
          </w:p>
          <w:p w14:paraId="783C454F" w14:textId="77777777" w:rsidR="00F1341F" w:rsidRPr="008340BB" w:rsidRDefault="00F1341F" w:rsidP="008E1C80">
            <w:pPr>
              <w:pStyle w:val="BodyTextIndent"/>
              <w:numPr>
                <w:ilvl w:val="0"/>
                <w:numId w:val="51"/>
              </w:numPr>
              <w:suppressAutoHyphens/>
              <w:spacing w:after="0"/>
              <w:rPr>
                <w:lang w:val="en-GB" w:eastAsia="en-GB"/>
              </w:rPr>
            </w:pPr>
            <w:r w:rsidRPr="008340BB">
              <w:rPr>
                <w:lang w:val="en-GB" w:eastAsia="en-GB"/>
              </w:rPr>
              <w:lastRenderedPageBreak/>
              <w:t>Improvement of intermodal transport services for passengers and freights and development of sustainable urban transport</w:t>
            </w:r>
          </w:p>
          <w:p w14:paraId="3B3BE2E2" w14:textId="77777777" w:rsidR="00F1341F" w:rsidRPr="008340BB" w:rsidRDefault="00F1341F" w:rsidP="008E1C80">
            <w:pPr>
              <w:pStyle w:val="BodyTextIndent"/>
              <w:numPr>
                <w:ilvl w:val="0"/>
                <w:numId w:val="51"/>
              </w:numPr>
              <w:suppressAutoHyphens/>
              <w:spacing w:after="0"/>
              <w:rPr>
                <w:lang w:val="en-GB" w:eastAsia="en-GB"/>
              </w:rPr>
            </w:pPr>
            <w:r w:rsidRPr="008340BB">
              <w:rPr>
                <w:lang w:val="en-GB" w:eastAsia="en-GB"/>
              </w:rPr>
              <w:t>Innovations in management and services - establishment of modern infrastructure for traffic management and transport safety and security improvement</w:t>
            </w:r>
          </w:p>
          <w:p w14:paraId="036B7C26" w14:textId="77777777" w:rsidR="004B4940" w:rsidRDefault="00F1341F" w:rsidP="008E1C80">
            <w:pPr>
              <w:pStyle w:val="BodyTextIndent"/>
              <w:numPr>
                <w:ilvl w:val="0"/>
                <w:numId w:val="51"/>
              </w:numPr>
              <w:suppressAutoHyphens/>
              <w:spacing w:after="0"/>
              <w:rPr>
                <w:lang w:val="en-GB" w:eastAsia="en-GB"/>
              </w:rPr>
            </w:pPr>
            <w:r w:rsidRPr="008340BB">
              <w:rPr>
                <w:lang w:val="en-GB" w:eastAsia="en-GB"/>
              </w:rPr>
              <w:t>Technical assistance</w:t>
            </w:r>
          </w:p>
          <w:p w14:paraId="037BC342" w14:textId="65C8B087" w:rsidR="00F1341F" w:rsidRPr="002F5FB8" w:rsidRDefault="004B4940" w:rsidP="004B4940">
            <w:pPr>
              <w:pStyle w:val="BodyTextIndent"/>
              <w:numPr>
                <w:ilvl w:val="0"/>
                <w:numId w:val="51"/>
              </w:numPr>
              <w:suppressAutoHyphens/>
              <w:spacing w:after="0"/>
              <w:rPr>
                <w:lang w:val="en-GB" w:eastAsia="en-GB"/>
              </w:rPr>
            </w:pPr>
            <w:r w:rsidRPr="002F5FB8">
              <w:rPr>
                <w:lang w:val="en-GB" w:eastAsia="en-GB"/>
              </w:rPr>
              <w:t>Support for SMEs through the SAFE instrument</w:t>
            </w:r>
            <w:r w:rsidR="00F1341F" w:rsidRPr="002F5FB8">
              <w:rPr>
                <w:lang w:val="en-GB" w:eastAsia="en-GB"/>
              </w:rPr>
              <w:t xml:space="preserve"> </w:t>
            </w:r>
          </w:p>
          <w:p w14:paraId="3DFE7592" w14:textId="367A6B31" w:rsidR="00F1341F" w:rsidRPr="008340BB" w:rsidRDefault="00F1341F" w:rsidP="008E1C80">
            <w:pPr>
              <w:autoSpaceDE w:val="0"/>
              <w:autoSpaceDN w:val="0"/>
              <w:adjustRightInd w:val="0"/>
              <w:rPr>
                <w:rFonts w:ascii="TimesNewRoman"/>
              </w:rPr>
            </w:pPr>
            <w:r w:rsidRPr="008340BB">
              <w:t>In addition to the investments under the OPTTI 2014-2020</w:t>
            </w:r>
            <w:r w:rsidR="008E434C">
              <w:t xml:space="preserve"> it is planned to seek investments through</w:t>
            </w:r>
            <w:r w:rsidRPr="008340BB">
              <w:t xml:space="preserve"> public-private partnership, particularly for development of ports and airports. </w:t>
            </w:r>
            <w:r w:rsidR="00941E41">
              <w:t>I</w:t>
            </w:r>
            <w:r w:rsidRPr="008340BB">
              <w:t xml:space="preserve">nvestments </w:t>
            </w:r>
            <w:r w:rsidR="00941E41">
              <w:t>for</w:t>
            </w:r>
            <w:r w:rsidRPr="008340BB">
              <w:t xml:space="preserve"> development of air, river and sea transport, planned for funding under the OPTTI are entirely directed towards the  development of intelligent systems to improve services and management of air, river and sea transport. Also, where applicable, funding from the Connecting Europe Facility (CEF)</w:t>
            </w:r>
            <w:r w:rsidR="00074A3F">
              <w:t xml:space="preserve"> will be used</w:t>
            </w:r>
            <w:r w:rsidRPr="008340BB">
              <w:t xml:space="preserve">. </w:t>
            </w:r>
            <w:r w:rsidRPr="008340BB">
              <w:rPr>
                <w:rStyle w:val="hps"/>
              </w:rPr>
              <w:t>The basic principle</w:t>
            </w:r>
            <w:r w:rsidRPr="008340BB">
              <w:t xml:space="preserve"> </w:t>
            </w:r>
            <w:r w:rsidRPr="008340BB">
              <w:rPr>
                <w:rStyle w:val="hps"/>
              </w:rPr>
              <w:t>in the selection of</w:t>
            </w:r>
            <w:r w:rsidRPr="008340BB">
              <w:t xml:space="preserve"> </w:t>
            </w:r>
            <w:r w:rsidRPr="008340BB">
              <w:rPr>
                <w:rStyle w:val="hps"/>
              </w:rPr>
              <w:t>projects</w:t>
            </w:r>
            <w:r w:rsidRPr="008340BB">
              <w:t xml:space="preserve"> </w:t>
            </w:r>
            <w:r w:rsidRPr="008340BB">
              <w:rPr>
                <w:rStyle w:val="hps"/>
              </w:rPr>
              <w:t>for funding under</w:t>
            </w:r>
            <w:r w:rsidRPr="008340BB">
              <w:t xml:space="preserve"> </w:t>
            </w:r>
            <w:r w:rsidRPr="008340BB">
              <w:rPr>
                <w:rStyle w:val="hps"/>
              </w:rPr>
              <w:t>CEF</w:t>
            </w:r>
            <w:r w:rsidRPr="008340BB">
              <w:t xml:space="preserve"> is that the </w:t>
            </w:r>
            <w:r w:rsidRPr="008340BB">
              <w:rPr>
                <w:rStyle w:val="hps"/>
              </w:rPr>
              <w:t>projects</w:t>
            </w:r>
            <w:r w:rsidRPr="008340BB">
              <w:t xml:space="preserve"> </w:t>
            </w:r>
            <w:r w:rsidRPr="008340BB">
              <w:rPr>
                <w:rStyle w:val="hps"/>
              </w:rPr>
              <w:t>have to meet the requirements</w:t>
            </w:r>
            <w:r w:rsidRPr="008340BB">
              <w:t xml:space="preserve"> </w:t>
            </w:r>
            <w:r w:rsidRPr="008340BB">
              <w:rPr>
                <w:rStyle w:val="hps"/>
              </w:rPr>
              <w:t>for funding under the</w:t>
            </w:r>
            <w:r w:rsidRPr="008340BB">
              <w:t xml:space="preserve"> </w:t>
            </w:r>
            <w:r w:rsidRPr="008340BB">
              <w:rPr>
                <w:rStyle w:val="hps"/>
              </w:rPr>
              <w:t>CEF, to have</w:t>
            </w:r>
            <w:r w:rsidRPr="008340BB">
              <w:t xml:space="preserve"> </w:t>
            </w:r>
            <w:r w:rsidRPr="008340BB">
              <w:rPr>
                <w:rStyle w:val="hps"/>
              </w:rPr>
              <w:t>cross-border effect</w:t>
            </w:r>
            <w:r w:rsidRPr="008340BB">
              <w:t xml:space="preserve"> </w:t>
            </w:r>
            <w:r w:rsidRPr="008340BB">
              <w:rPr>
                <w:rStyle w:val="hps"/>
              </w:rPr>
              <w:t>and</w:t>
            </w:r>
            <w:r w:rsidRPr="008340BB">
              <w:t xml:space="preserve"> </w:t>
            </w:r>
            <w:r w:rsidR="00EF4DD0">
              <w:t xml:space="preserve">to </w:t>
            </w:r>
            <w:r w:rsidRPr="008340BB">
              <w:rPr>
                <w:rStyle w:val="hps"/>
              </w:rPr>
              <w:t>be covered by assumed</w:t>
            </w:r>
            <w:r w:rsidRPr="008340BB">
              <w:t xml:space="preserve"> </w:t>
            </w:r>
            <w:r w:rsidRPr="008340BB">
              <w:rPr>
                <w:rStyle w:val="hps"/>
              </w:rPr>
              <w:t>commitments</w:t>
            </w:r>
            <w:r w:rsidRPr="008340BB">
              <w:t xml:space="preserve"> </w:t>
            </w:r>
            <w:r w:rsidRPr="008340BB">
              <w:rPr>
                <w:rStyle w:val="hps"/>
              </w:rPr>
              <w:t>for</w:t>
            </w:r>
            <w:r w:rsidRPr="008340BB">
              <w:t xml:space="preserve"> </w:t>
            </w:r>
            <w:r w:rsidRPr="008340BB">
              <w:rPr>
                <w:rStyle w:val="hps"/>
              </w:rPr>
              <w:t>adequate investments</w:t>
            </w:r>
            <w:r w:rsidRPr="008340BB">
              <w:t xml:space="preserve"> </w:t>
            </w:r>
            <w:r w:rsidRPr="008340BB">
              <w:rPr>
                <w:rStyle w:val="hps"/>
              </w:rPr>
              <w:t>by the</w:t>
            </w:r>
            <w:r w:rsidRPr="008340BB">
              <w:t xml:space="preserve"> respective </w:t>
            </w:r>
            <w:r w:rsidRPr="008340BB">
              <w:rPr>
                <w:rStyle w:val="hps"/>
              </w:rPr>
              <w:t>neighbo</w:t>
            </w:r>
            <w:r w:rsidR="00B038CB">
              <w:rPr>
                <w:rStyle w:val="hps"/>
              </w:rPr>
              <w:t>u</w:t>
            </w:r>
            <w:r w:rsidRPr="008340BB">
              <w:rPr>
                <w:rStyle w:val="hps"/>
              </w:rPr>
              <w:t>ring country</w:t>
            </w:r>
            <w:r w:rsidRPr="008340BB">
              <w:t xml:space="preserve">- for example, projects to improve navigation in the joint Bulgarian-Romanian sector of the Danube River, modernisation of </w:t>
            </w:r>
            <w:r w:rsidR="00EF4DD0">
              <w:t xml:space="preserve">the </w:t>
            </w:r>
            <w:r w:rsidRPr="008340BB">
              <w:t xml:space="preserve">railway line </w:t>
            </w:r>
            <w:r w:rsidR="00BA7052">
              <w:t xml:space="preserve">Voluyak </w:t>
            </w:r>
            <w:r w:rsidR="005C2A03" w:rsidRPr="008340BB">
              <w:t xml:space="preserve">- </w:t>
            </w:r>
            <w:r w:rsidRPr="008340BB">
              <w:t>Sofia etc.</w:t>
            </w:r>
          </w:p>
          <w:p w14:paraId="65F13D86" w14:textId="77777777" w:rsidR="00F1341F" w:rsidRPr="008340BB" w:rsidRDefault="00F1341F" w:rsidP="008D17BE">
            <w:pPr>
              <w:autoSpaceDE w:val="0"/>
              <w:autoSpaceDN w:val="0"/>
              <w:adjustRightInd w:val="0"/>
            </w:pPr>
            <w:r w:rsidRPr="008340BB">
              <w:t>Concerning improvement of navigation conditions in the common Bulgarian-Romanian sector of the Danube River common activities of Bulgarian and Romanian side are needed.</w:t>
            </w:r>
            <w:r w:rsidRPr="008340BB">
              <w:rPr>
                <w:sz w:val="28"/>
                <w:szCs w:val="28"/>
              </w:rPr>
              <w:t xml:space="preserve"> </w:t>
            </w:r>
            <w:r w:rsidRPr="008340BB">
              <w:t>The preliminary preparation of the future interventions was implemented under the project ISPA 2005/RO/16/P/PA/002.01. The preparation of measures for ensuring of normal navigability will be undertaken in programming period 2014-2020 with funds under Connecting Europe Facility. The project will contribute to achieving the following results of Priority area 1a of the European Strategy for the Danube Region - "Increasing cargo transport on the river by 20% by 2020 compared to 2010" and "Solving obstacles to navigability, taking into account the specific characteristics of each section of the Danube and its navigable tributaries and establish effective waterway infrastructure management by 2015”. The project is included in the Action Plan of the Inter</w:t>
            </w:r>
            <w:r w:rsidR="005C2A03" w:rsidRPr="008340BB">
              <w:t>-</w:t>
            </w:r>
            <w:r w:rsidRPr="008340BB">
              <w:t>ministerial Committee for Sustainable Development of Inland Waterways Transport on the Bulgarian-Romanian common sector of the Danube River, set-up in 2012 between Bulgaria and Romania.</w:t>
            </w:r>
          </w:p>
        </w:tc>
      </w:tr>
    </w:tbl>
    <w:p w14:paraId="055DC722" w14:textId="77777777" w:rsidR="00F1341F" w:rsidRPr="008340BB" w:rsidRDefault="00F1341F" w:rsidP="00F03C1E">
      <w:pPr>
        <w:rPr>
          <w:lang w:eastAsia="fr-BE"/>
        </w:rPr>
      </w:pPr>
    </w:p>
    <w:p w14:paraId="79AD1387" w14:textId="77777777" w:rsidR="00F1341F" w:rsidRPr="00E84C8B" w:rsidRDefault="00F1341F">
      <w:pPr>
        <w:pStyle w:val="NumPar3"/>
        <w:tabs>
          <w:tab w:val="clear" w:pos="850"/>
          <w:tab w:val="clear" w:pos="1492"/>
        </w:tabs>
        <w:ind w:left="0" w:firstLine="0"/>
        <w:rPr>
          <w:lang w:val="en-US"/>
        </w:rPr>
      </w:pPr>
      <w:r w:rsidRPr="008340BB">
        <w:t xml:space="preserve">1.1.2. A justification for the choice of thematic objectives and corresponding investment priorities having regard to the Partnership Agreement, based on an identification of regional and, where appropriate, national needs including the need to address the challenges identified in relevant country-specific recommendations adopted in accordance with Article 121(2) TFEU and the relevant Council recommendations adopted in accordance with Article 148(4) TFEU, taking into account the </w:t>
      </w:r>
      <w:r w:rsidR="00CE58BE" w:rsidRPr="008340BB">
        <w:t>ex-ante</w:t>
      </w:r>
      <w:r w:rsidRPr="008340BB">
        <w:t xml:space="preserve"> evaluation.</w:t>
      </w:r>
    </w:p>
    <w:p w14:paraId="7FD31A60" w14:textId="77777777" w:rsidR="00F1341F" w:rsidRPr="008340BB" w:rsidRDefault="00F1341F" w:rsidP="00471AC8">
      <w:pPr>
        <w:pStyle w:val="Text1"/>
        <w:rPr>
          <w:lang w:val="en-GB"/>
        </w:rPr>
      </w:pPr>
    </w:p>
    <w:p w14:paraId="60A7CA49" w14:textId="77777777" w:rsidR="00F1341F" w:rsidRPr="008340BB" w:rsidRDefault="00F1341F" w:rsidP="006618A7">
      <w:pPr>
        <w:rPr>
          <w:b/>
        </w:rPr>
      </w:pPr>
      <w:r w:rsidRPr="00CF5754">
        <w:rPr>
          <w:b/>
        </w:rPr>
        <w:t>Table 1:</w:t>
      </w:r>
      <w:r w:rsidRPr="008340BB">
        <w:rPr>
          <w:b/>
        </w:rPr>
        <w:t xml:space="preserve"> </w:t>
      </w:r>
      <w:r w:rsidRPr="008340BB">
        <w:rPr>
          <w:b/>
        </w:rPr>
        <w:tab/>
        <w:t xml:space="preserve">Justification for the selection of thematic objectives and investment priorities </w:t>
      </w:r>
    </w:p>
    <w:p w14:paraId="200844A3" w14:textId="77777777" w:rsidR="00F1341F" w:rsidRPr="008340BB" w:rsidRDefault="00F1341F" w:rsidP="006618A7">
      <w:pPr>
        <w:rPr>
          <w:b/>
        </w:rPr>
      </w:pPr>
    </w:p>
    <w:tbl>
      <w:tblPr>
        <w:tblW w:w="946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1"/>
        <w:gridCol w:w="2700"/>
        <w:gridCol w:w="3918"/>
      </w:tblGrid>
      <w:tr w:rsidR="00F1341F" w:rsidRPr="008340BB" w14:paraId="4DECFD4F" w14:textId="77777777" w:rsidTr="006C7E7B">
        <w:trPr>
          <w:trHeight w:val="482"/>
        </w:trPr>
        <w:tc>
          <w:tcPr>
            <w:tcW w:w="2851" w:type="dxa"/>
          </w:tcPr>
          <w:p w14:paraId="783DED30" w14:textId="77777777" w:rsidR="00F1341F" w:rsidRPr="008340BB" w:rsidRDefault="00F1341F" w:rsidP="00F03C1E">
            <w:pPr>
              <w:rPr>
                <w:b/>
                <w:sz w:val="20"/>
                <w:lang w:eastAsia="fr-BE"/>
              </w:rPr>
            </w:pPr>
            <w:r w:rsidRPr="008340BB">
              <w:rPr>
                <w:b/>
                <w:sz w:val="20"/>
                <w:lang w:eastAsia="fr-BE"/>
              </w:rPr>
              <w:t>Selected thematic objective</w:t>
            </w:r>
          </w:p>
        </w:tc>
        <w:tc>
          <w:tcPr>
            <w:tcW w:w="2700" w:type="dxa"/>
          </w:tcPr>
          <w:p w14:paraId="7AC151AE" w14:textId="77777777" w:rsidR="00F1341F" w:rsidRPr="008340BB" w:rsidRDefault="00F1341F" w:rsidP="00F03C1E">
            <w:pPr>
              <w:rPr>
                <w:b/>
                <w:sz w:val="20"/>
                <w:lang w:eastAsia="fr-BE"/>
              </w:rPr>
            </w:pPr>
            <w:r w:rsidRPr="008340BB">
              <w:rPr>
                <w:b/>
                <w:sz w:val="20"/>
                <w:lang w:eastAsia="fr-BE"/>
              </w:rPr>
              <w:t>Selected investment priority</w:t>
            </w:r>
          </w:p>
        </w:tc>
        <w:tc>
          <w:tcPr>
            <w:tcW w:w="3918" w:type="dxa"/>
          </w:tcPr>
          <w:p w14:paraId="65677B2B" w14:textId="77777777" w:rsidR="00F1341F" w:rsidRPr="008340BB" w:rsidRDefault="00F1341F" w:rsidP="00F03C1E">
            <w:pPr>
              <w:rPr>
                <w:b/>
                <w:sz w:val="20"/>
                <w:lang w:eastAsia="fr-BE"/>
              </w:rPr>
            </w:pPr>
            <w:r w:rsidRPr="008340BB">
              <w:rPr>
                <w:b/>
                <w:sz w:val="20"/>
                <w:lang w:eastAsia="fr-BE"/>
              </w:rPr>
              <w:t>Justification for selection</w:t>
            </w:r>
          </w:p>
        </w:tc>
      </w:tr>
      <w:tr w:rsidR="00D158BD" w:rsidRPr="008340BB" w14:paraId="750D3C41" w14:textId="77777777" w:rsidTr="006C7E7B">
        <w:trPr>
          <w:trHeight w:val="482"/>
        </w:trPr>
        <w:tc>
          <w:tcPr>
            <w:tcW w:w="2851" w:type="dxa"/>
          </w:tcPr>
          <w:p w14:paraId="40D31992" w14:textId="13D068D4" w:rsidR="00D158BD" w:rsidRPr="002F5FB8" w:rsidRDefault="00B02460" w:rsidP="00F03C1E">
            <w:pPr>
              <w:rPr>
                <w:sz w:val="20"/>
                <w:lang w:val="en-US" w:eastAsia="fr-BE"/>
              </w:rPr>
            </w:pPr>
            <w:r w:rsidRPr="002F5FB8">
              <w:rPr>
                <w:sz w:val="20"/>
                <w:lang w:val="en-US" w:eastAsia="fr-BE"/>
              </w:rPr>
              <w:lastRenderedPageBreak/>
              <w:t xml:space="preserve">03 - </w:t>
            </w:r>
            <w:r w:rsidRPr="002F5FB8">
              <w:rPr>
                <w:sz w:val="20"/>
                <w:lang w:eastAsia="fr-BE"/>
              </w:rPr>
              <w:t>Enhancing the competitiveness of SMEs</w:t>
            </w:r>
          </w:p>
        </w:tc>
        <w:tc>
          <w:tcPr>
            <w:tcW w:w="2700" w:type="dxa"/>
          </w:tcPr>
          <w:p w14:paraId="7D88DBB7" w14:textId="50781AA2" w:rsidR="00D158BD" w:rsidRPr="002F5FB8" w:rsidRDefault="00580988" w:rsidP="00F03C1E">
            <w:pPr>
              <w:rPr>
                <w:sz w:val="20"/>
                <w:lang w:eastAsia="fr-BE"/>
              </w:rPr>
            </w:pPr>
            <w:r w:rsidRPr="002F5FB8">
              <w:rPr>
                <w:sz w:val="20"/>
                <w:lang w:eastAsia="fr-BE"/>
              </w:rPr>
              <w:t>3d) supporting the capacity of SMEs to grow in regional, national and international markets, and to engage in innovation processes</w:t>
            </w:r>
          </w:p>
        </w:tc>
        <w:tc>
          <w:tcPr>
            <w:tcW w:w="3918" w:type="dxa"/>
          </w:tcPr>
          <w:p w14:paraId="0661E7FB" w14:textId="471B8FE7" w:rsidR="00D158BD" w:rsidRPr="002F5FB8" w:rsidRDefault="008938C5" w:rsidP="00F03C1E">
            <w:pPr>
              <w:rPr>
                <w:sz w:val="20"/>
                <w:lang w:eastAsia="fr-BE"/>
              </w:rPr>
            </w:pPr>
            <w:r w:rsidRPr="002F5FB8">
              <w:rPr>
                <w:sz w:val="20"/>
                <w:lang w:eastAsia="fr-BE"/>
              </w:rPr>
              <w:t>Extraordinary measures for the use of funds to support SMEs that are particularly affected by increases in energy prices in accordance with Art. 25b of Regulation (EU) No. 1303/2013.</w:t>
            </w:r>
          </w:p>
        </w:tc>
      </w:tr>
      <w:tr w:rsidR="00F1341F" w:rsidRPr="008340BB" w14:paraId="2D12E51E" w14:textId="77777777" w:rsidTr="006C7E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7"/>
        </w:trPr>
        <w:tc>
          <w:tcPr>
            <w:tcW w:w="2851" w:type="dxa"/>
          </w:tcPr>
          <w:p w14:paraId="17BE8DA1" w14:textId="77777777" w:rsidR="00F1341F" w:rsidRPr="008340BB" w:rsidRDefault="00F1341F" w:rsidP="00435AC3">
            <w:pPr>
              <w:autoSpaceDE w:val="0"/>
              <w:autoSpaceDN w:val="0"/>
              <w:adjustRightInd w:val="0"/>
              <w:spacing w:before="0" w:after="0"/>
              <w:rPr>
                <w:sz w:val="20"/>
              </w:rPr>
            </w:pPr>
            <w:r w:rsidRPr="008340BB">
              <w:rPr>
                <w:sz w:val="20"/>
                <w:lang w:eastAsia="bg-BG"/>
              </w:rPr>
              <w:t>04 - Supporting the</w:t>
            </w:r>
            <w:r w:rsidR="0018774D">
              <w:rPr>
                <w:sz w:val="20"/>
                <w:lang w:eastAsia="bg-BG"/>
              </w:rPr>
              <w:t xml:space="preserve"> </w:t>
            </w:r>
            <w:r w:rsidRPr="008340BB">
              <w:rPr>
                <w:sz w:val="20"/>
                <w:lang w:eastAsia="bg-BG"/>
              </w:rPr>
              <w:t>shift towards a low-carbon economy in all sectors</w:t>
            </w:r>
          </w:p>
          <w:p w14:paraId="044C095F" w14:textId="77777777" w:rsidR="00F1341F" w:rsidRPr="008340BB" w:rsidRDefault="00F1341F" w:rsidP="00500261">
            <w:pPr>
              <w:jc w:val="left"/>
              <w:rPr>
                <w:sz w:val="20"/>
              </w:rPr>
            </w:pPr>
          </w:p>
          <w:p w14:paraId="7410379B" w14:textId="77777777" w:rsidR="00F1341F" w:rsidRPr="008340BB" w:rsidRDefault="00F1341F" w:rsidP="00500261">
            <w:pPr>
              <w:jc w:val="left"/>
              <w:rPr>
                <w:sz w:val="20"/>
              </w:rPr>
            </w:pPr>
          </w:p>
          <w:p w14:paraId="2D323B0F" w14:textId="77777777" w:rsidR="00F1341F" w:rsidRPr="008340BB" w:rsidRDefault="00F1341F" w:rsidP="00500261">
            <w:pPr>
              <w:jc w:val="left"/>
              <w:rPr>
                <w:sz w:val="20"/>
              </w:rPr>
            </w:pPr>
          </w:p>
          <w:p w14:paraId="7B106AC3" w14:textId="77777777" w:rsidR="00F1341F" w:rsidRPr="008340BB" w:rsidRDefault="00F1341F" w:rsidP="00500261">
            <w:pPr>
              <w:jc w:val="left"/>
              <w:rPr>
                <w:sz w:val="20"/>
              </w:rPr>
            </w:pPr>
          </w:p>
          <w:p w14:paraId="3FDCC382" w14:textId="77777777" w:rsidR="00F1341F" w:rsidRPr="008340BB" w:rsidRDefault="00F1341F" w:rsidP="00500261">
            <w:pPr>
              <w:jc w:val="left"/>
              <w:rPr>
                <w:sz w:val="20"/>
              </w:rPr>
            </w:pPr>
          </w:p>
          <w:p w14:paraId="1345380F" w14:textId="77777777" w:rsidR="00F1341F" w:rsidRPr="008340BB" w:rsidRDefault="00F1341F" w:rsidP="00500261">
            <w:pPr>
              <w:jc w:val="left"/>
              <w:rPr>
                <w:sz w:val="20"/>
              </w:rPr>
            </w:pPr>
          </w:p>
          <w:p w14:paraId="61844527" w14:textId="77777777" w:rsidR="00F1341F" w:rsidRPr="008340BB" w:rsidRDefault="00F1341F" w:rsidP="00500261">
            <w:pPr>
              <w:jc w:val="left"/>
              <w:rPr>
                <w:sz w:val="20"/>
              </w:rPr>
            </w:pPr>
          </w:p>
          <w:p w14:paraId="2A5DE1BB" w14:textId="77777777" w:rsidR="00F1341F" w:rsidRPr="008340BB" w:rsidRDefault="00F1341F" w:rsidP="00500261">
            <w:pPr>
              <w:jc w:val="left"/>
              <w:rPr>
                <w:sz w:val="20"/>
              </w:rPr>
            </w:pPr>
          </w:p>
          <w:p w14:paraId="6EA9805F" w14:textId="77777777" w:rsidR="00F1341F" w:rsidRPr="008340BB" w:rsidRDefault="00F1341F" w:rsidP="00500261">
            <w:pPr>
              <w:jc w:val="left"/>
              <w:rPr>
                <w:sz w:val="20"/>
              </w:rPr>
            </w:pPr>
          </w:p>
          <w:p w14:paraId="77AEBA9D" w14:textId="77777777" w:rsidR="00F1341F" w:rsidRPr="008340BB" w:rsidRDefault="00F1341F" w:rsidP="00500261">
            <w:pPr>
              <w:jc w:val="left"/>
              <w:rPr>
                <w:sz w:val="20"/>
              </w:rPr>
            </w:pPr>
          </w:p>
          <w:p w14:paraId="053A0DDA" w14:textId="77777777" w:rsidR="00F1341F" w:rsidRPr="008340BB" w:rsidRDefault="00F1341F" w:rsidP="00500261">
            <w:pPr>
              <w:jc w:val="left"/>
              <w:rPr>
                <w:sz w:val="20"/>
              </w:rPr>
            </w:pPr>
          </w:p>
          <w:p w14:paraId="1F321E91" w14:textId="77777777" w:rsidR="00F1341F" w:rsidRPr="008340BB" w:rsidRDefault="00F1341F" w:rsidP="00500261">
            <w:pPr>
              <w:jc w:val="left"/>
              <w:rPr>
                <w:sz w:val="20"/>
              </w:rPr>
            </w:pPr>
          </w:p>
          <w:p w14:paraId="60CB6742" w14:textId="77777777" w:rsidR="00F1341F" w:rsidRPr="008340BB" w:rsidRDefault="00F1341F" w:rsidP="00500261">
            <w:pPr>
              <w:jc w:val="left"/>
              <w:rPr>
                <w:sz w:val="20"/>
              </w:rPr>
            </w:pPr>
          </w:p>
          <w:p w14:paraId="76452CDC" w14:textId="77777777" w:rsidR="00F1341F" w:rsidRPr="008340BB" w:rsidRDefault="00F1341F" w:rsidP="00500261">
            <w:pPr>
              <w:jc w:val="left"/>
              <w:rPr>
                <w:sz w:val="20"/>
              </w:rPr>
            </w:pPr>
          </w:p>
          <w:p w14:paraId="56D6E49D" w14:textId="77777777" w:rsidR="00F1341F" w:rsidRPr="008340BB" w:rsidRDefault="00F1341F" w:rsidP="00500261">
            <w:pPr>
              <w:jc w:val="left"/>
              <w:rPr>
                <w:sz w:val="20"/>
              </w:rPr>
            </w:pPr>
          </w:p>
          <w:p w14:paraId="0D0D3C12" w14:textId="77777777" w:rsidR="00F1341F" w:rsidRPr="008340BB" w:rsidRDefault="00F1341F" w:rsidP="00500261">
            <w:pPr>
              <w:jc w:val="left"/>
              <w:rPr>
                <w:sz w:val="20"/>
              </w:rPr>
            </w:pPr>
          </w:p>
          <w:p w14:paraId="4FC63AA2" w14:textId="77777777" w:rsidR="00F1341F" w:rsidRPr="008340BB" w:rsidRDefault="00F1341F" w:rsidP="00500261">
            <w:pPr>
              <w:jc w:val="left"/>
              <w:rPr>
                <w:sz w:val="20"/>
              </w:rPr>
            </w:pPr>
          </w:p>
          <w:p w14:paraId="02C42642" w14:textId="77777777" w:rsidR="00F1341F" w:rsidRPr="008340BB" w:rsidRDefault="00F1341F" w:rsidP="00471AC8">
            <w:pPr>
              <w:jc w:val="left"/>
              <w:rPr>
                <w:sz w:val="20"/>
                <w:lang w:eastAsia="fr-BE"/>
              </w:rPr>
            </w:pPr>
          </w:p>
        </w:tc>
        <w:tc>
          <w:tcPr>
            <w:tcW w:w="2700" w:type="dxa"/>
          </w:tcPr>
          <w:p w14:paraId="39FC5771" w14:textId="77777777" w:rsidR="00F1341F" w:rsidRPr="008340BB" w:rsidRDefault="00F1341F" w:rsidP="00E053D5">
            <w:pPr>
              <w:autoSpaceDE w:val="0"/>
              <w:autoSpaceDN w:val="0"/>
              <w:adjustRightInd w:val="0"/>
              <w:spacing w:before="0" w:after="0"/>
              <w:rPr>
                <w:sz w:val="20"/>
                <w:lang w:eastAsia="bg-BG"/>
              </w:rPr>
            </w:pPr>
            <w:r w:rsidRPr="008340BB">
              <w:rPr>
                <w:sz w:val="20"/>
                <w:lang w:eastAsia="bg-BG"/>
              </w:rPr>
              <w:t>4e - Promoting low-carbon</w:t>
            </w:r>
          </w:p>
          <w:p w14:paraId="20B35D00" w14:textId="77777777" w:rsidR="00F1341F" w:rsidRPr="008340BB" w:rsidRDefault="00F1341F" w:rsidP="002D5EBC">
            <w:pPr>
              <w:autoSpaceDE w:val="0"/>
              <w:autoSpaceDN w:val="0"/>
              <w:adjustRightInd w:val="0"/>
              <w:spacing w:before="0" w:after="0"/>
              <w:rPr>
                <w:sz w:val="20"/>
                <w:lang w:eastAsia="bg-BG"/>
              </w:rPr>
            </w:pPr>
            <w:r w:rsidRPr="008340BB">
              <w:rPr>
                <w:sz w:val="20"/>
                <w:lang w:eastAsia="bg-BG"/>
              </w:rPr>
              <w:t>strategies for all types of territories, in particular for urban areas, including the</w:t>
            </w:r>
          </w:p>
          <w:p w14:paraId="1C039667" w14:textId="77777777" w:rsidR="00F1341F" w:rsidRPr="008340BB" w:rsidRDefault="00F1341F" w:rsidP="002D5EBC">
            <w:pPr>
              <w:autoSpaceDE w:val="0"/>
              <w:autoSpaceDN w:val="0"/>
              <w:adjustRightInd w:val="0"/>
              <w:spacing w:before="0" w:after="0"/>
              <w:rPr>
                <w:sz w:val="20"/>
                <w:lang w:eastAsia="bg-BG"/>
              </w:rPr>
            </w:pPr>
            <w:r w:rsidRPr="008340BB">
              <w:rPr>
                <w:sz w:val="20"/>
                <w:lang w:eastAsia="bg-BG"/>
              </w:rPr>
              <w:t>promotion of sustainable</w:t>
            </w:r>
          </w:p>
          <w:p w14:paraId="50ADB93F" w14:textId="77777777" w:rsidR="00F1341F" w:rsidRPr="008340BB" w:rsidRDefault="00F1341F" w:rsidP="002D5EBC">
            <w:pPr>
              <w:autoSpaceDE w:val="0"/>
              <w:autoSpaceDN w:val="0"/>
              <w:adjustRightInd w:val="0"/>
              <w:spacing w:before="0" w:after="0"/>
              <w:rPr>
                <w:sz w:val="20"/>
                <w:lang w:eastAsia="bg-BG"/>
              </w:rPr>
            </w:pPr>
            <w:r w:rsidRPr="008340BB">
              <w:rPr>
                <w:sz w:val="20"/>
                <w:lang w:eastAsia="bg-BG"/>
              </w:rPr>
              <w:t>multimodal urban mobility and mitigation- relevant</w:t>
            </w:r>
          </w:p>
          <w:p w14:paraId="33A878D5" w14:textId="77777777" w:rsidR="00F1341F" w:rsidRPr="008340BB" w:rsidRDefault="00F1341F" w:rsidP="002D5EBC">
            <w:pPr>
              <w:autoSpaceDE w:val="0"/>
              <w:autoSpaceDN w:val="0"/>
              <w:adjustRightInd w:val="0"/>
              <w:spacing w:before="0" w:after="0"/>
              <w:rPr>
                <w:sz w:val="20"/>
                <w:lang w:eastAsia="bg-BG"/>
              </w:rPr>
            </w:pPr>
            <w:r w:rsidRPr="008340BB">
              <w:rPr>
                <w:sz w:val="20"/>
                <w:lang w:eastAsia="bg-BG"/>
              </w:rPr>
              <w:t>adaptation measures</w:t>
            </w:r>
          </w:p>
          <w:p w14:paraId="61306023" w14:textId="77777777" w:rsidR="00F1341F" w:rsidRPr="008340BB" w:rsidRDefault="00F1341F" w:rsidP="002D5EBC">
            <w:pPr>
              <w:widowControl w:val="0"/>
              <w:autoSpaceDE w:val="0"/>
              <w:autoSpaceDN w:val="0"/>
              <w:adjustRightInd w:val="0"/>
              <w:ind w:right="61"/>
              <w:jc w:val="left"/>
              <w:rPr>
                <w:sz w:val="20"/>
                <w:lang w:eastAsia="bg-BG"/>
              </w:rPr>
            </w:pPr>
          </w:p>
          <w:p w14:paraId="17E519FA" w14:textId="77777777" w:rsidR="00F1341F" w:rsidRPr="008340BB" w:rsidRDefault="00F1341F" w:rsidP="002D5EBC">
            <w:pPr>
              <w:widowControl w:val="0"/>
              <w:autoSpaceDE w:val="0"/>
              <w:autoSpaceDN w:val="0"/>
              <w:adjustRightInd w:val="0"/>
              <w:ind w:right="61"/>
              <w:jc w:val="left"/>
              <w:rPr>
                <w:sz w:val="20"/>
                <w:lang w:eastAsia="bg-BG"/>
              </w:rPr>
            </w:pPr>
          </w:p>
          <w:p w14:paraId="4B223794" w14:textId="77777777" w:rsidR="00F1341F" w:rsidRPr="008340BB" w:rsidRDefault="00F1341F" w:rsidP="002D5EBC">
            <w:pPr>
              <w:widowControl w:val="0"/>
              <w:autoSpaceDE w:val="0"/>
              <w:autoSpaceDN w:val="0"/>
              <w:adjustRightInd w:val="0"/>
              <w:ind w:right="61"/>
              <w:jc w:val="left"/>
              <w:rPr>
                <w:sz w:val="20"/>
                <w:lang w:eastAsia="bg-BG"/>
              </w:rPr>
            </w:pPr>
          </w:p>
          <w:p w14:paraId="7ABB0599" w14:textId="77777777" w:rsidR="00F1341F" w:rsidRPr="008340BB" w:rsidRDefault="00F1341F" w:rsidP="002D5EBC">
            <w:pPr>
              <w:widowControl w:val="0"/>
              <w:autoSpaceDE w:val="0"/>
              <w:autoSpaceDN w:val="0"/>
              <w:adjustRightInd w:val="0"/>
              <w:ind w:right="61"/>
              <w:jc w:val="left"/>
              <w:rPr>
                <w:sz w:val="20"/>
                <w:lang w:eastAsia="bg-BG"/>
              </w:rPr>
            </w:pPr>
          </w:p>
          <w:p w14:paraId="73D2C0CE" w14:textId="77777777" w:rsidR="00F1341F" w:rsidRPr="008340BB" w:rsidRDefault="00F1341F" w:rsidP="002D5EBC">
            <w:pPr>
              <w:widowControl w:val="0"/>
              <w:autoSpaceDE w:val="0"/>
              <w:autoSpaceDN w:val="0"/>
              <w:adjustRightInd w:val="0"/>
              <w:ind w:right="61"/>
              <w:jc w:val="left"/>
              <w:rPr>
                <w:sz w:val="20"/>
                <w:lang w:eastAsia="bg-BG"/>
              </w:rPr>
            </w:pPr>
          </w:p>
        </w:tc>
        <w:tc>
          <w:tcPr>
            <w:tcW w:w="3918" w:type="dxa"/>
          </w:tcPr>
          <w:p w14:paraId="773B9359" w14:textId="77777777" w:rsidR="00F1341F" w:rsidRPr="008340BB" w:rsidRDefault="00F1341F" w:rsidP="007B4B42">
            <w:pPr>
              <w:pStyle w:val="Text1"/>
              <w:numPr>
                <w:ilvl w:val="0"/>
                <w:numId w:val="61"/>
              </w:numPr>
              <w:tabs>
                <w:tab w:val="left" w:pos="331"/>
              </w:tabs>
              <w:snapToGrid w:val="0"/>
              <w:spacing w:before="0" w:after="0"/>
              <w:ind w:left="48" w:firstLine="0"/>
              <w:rPr>
                <w:i/>
                <w:sz w:val="20"/>
                <w:lang w:val="en-GB" w:eastAsia="en-GB"/>
              </w:rPr>
            </w:pPr>
            <w:r w:rsidRPr="008340BB">
              <w:rPr>
                <w:sz w:val="20"/>
                <w:lang w:val="en-GB" w:eastAsia="en-GB"/>
              </w:rPr>
              <w:t>“</w:t>
            </w:r>
            <w:r w:rsidRPr="008340BB">
              <w:rPr>
                <w:b/>
                <w:sz w:val="20"/>
                <w:lang w:val="en-GB" w:eastAsia="en-GB"/>
              </w:rPr>
              <w:t>Partnership Agreement”</w:t>
            </w:r>
            <w:r w:rsidRPr="008340BB">
              <w:rPr>
                <w:sz w:val="20"/>
                <w:lang w:val="en-GB" w:eastAsia="en-GB"/>
              </w:rPr>
              <w:t xml:space="preserve"> - </w:t>
            </w:r>
            <w:r w:rsidRPr="008340BB">
              <w:rPr>
                <w:i/>
                <w:sz w:val="20"/>
                <w:lang w:val="en-GB" w:eastAsia="en-GB"/>
              </w:rPr>
              <w:t>Strategic priority 3: “Connectivity and green economy for sustainable growth”, Sub-priority 3.2</w:t>
            </w:r>
          </w:p>
          <w:p w14:paraId="4390A88E" w14:textId="77777777" w:rsidR="00F1341F" w:rsidRPr="008340BB" w:rsidRDefault="00F1341F" w:rsidP="007B4B42">
            <w:pPr>
              <w:pStyle w:val="Text1"/>
              <w:numPr>
                <w:ilvl w:val="0"/>
                <w:numId w:val="61"/>
              </w:numPr>
              <w:tabs>
                <w:tab w:val="left" w:pos="331"/>
              </w:tabs>
              <w:snapToGrid w:val="0"/>
              <w:spacing w:before="0" w:after="0"/>
              <w:ind w:left="48" w:firstLine="0"/>
              <w:rPr>
                <w:i/>
                <w:sz w:val="20"/>
                <w:lang w:val="en-GB" w:eastAsia="en-GB"/>
              </w:rPr>
            </w:pPr>
            <w:r w:rsidRPr="008340BB">
              <w:rPr>
                <w:b/>
                <w:sz w:val="20"/>
                <w:lang w:val="en-GB" w:eastAsia="en-GB"/>
              </w:rPr>
              <w:t>“National Reform Programme”</w:t>
            </w:r>
            <w:r w:rsidRPr="008340BB">
              <w:rPr>
                <w:sz w:val="20"/>
                <w:lang w:val="en-GB" w:eastAsia="en-GB"/>
              </w:rPr>
              <w:t xml:space="preserve"> -National target 3 under the “Climate-Energy” package </w:t>
            </w:r>
          </w:p>
          <w:p w14:paraId="1F9F26BB" w14:textId="77777777" w:rsidR="00F1341F" w:rsidRPr="008340BB" w:rsidRDefault="00F1341F" w:rsidP="00087396">
            <w:pPr>
              <w:pStyle w:val="Text1"/>
              <w:tabs>
                <w:tab w:val="left" w:pos="331"/>
              </w:tabs>
              <w:snapToGrid w:val="0"/>
              <w:spacing w:before="0" w:after="0"/>
              <w:ind w:left="48"/>
              <w:rPr>
                <w:sz w:val="20"/>
                <w:lang w:val="en-GB" w:eastAsia="en-GB"/>
              </w:rPr>
            </w:pPr>
            <w:r w:rsidRPr="008340BB">
              <w:rPr>
                <w:b/>
                <w:sz w:val="20"/>
                <w:lang w:val="en-GB" w:eastAsia="en-GB"/>
              </w:rPr>
              <w:t>National Development Programme: Bulgaria 2020”</w:t>
            </w:r>
            <w:r w:rsidRPr="008340BB">
              <w:rPr>
                <w:sz w:val="20"/>
                <w:lang w:val="en-GB" w:eastAsia="en-GB"/>
              </w:rPr>
              <w:t xml:space="preserve">, Relationship with  </w:t>
            </w:r>
            <w:r w:rsidRPr="008340BB">
              <w:rPr>
                <w:i/>
                <w:sz w:val="20"/>
                <w:lang w:val="en-GB" w:eastAsia="en-GB"/>
              </w:rPr>
              <w:t>Objective No. 2 “Building infrastructural networks providing optimal conditions for economic development and quality and healthy environment for the population”, Priority No. 8 “Improving transport connectivity and market access” and the following applicable sub-priorities:</w:t>
            </w:r>
          </w:p>
          <w:p w14:paraId="379D90ED" w14:textId="77777777" w:rsidR="00F1341F" w:rsidRPr="008340BB" w:rsidRDefault="00F1341F" w:rsidP="00087396">
            <w:pPr>
              <w:numPr>
                <w:ilvl w:val="0"/>
                <w:numId w:val="61"/>
              </w:numPr>
              <w:spacing w:before="0" w:after="0"/>
              <w:rPr>
                <w:sz w:val="20"/>
                <w:lang w:eastAsia="bg-BG"/>
              </w:rPr>
            </w:pPr>
            <w:r w:rsidRPr="008340BB">
              <w:rPr>
                <w:sz w:val="20"/>
                <w:lang w:eastAsia="bg-BG"/>
              </w:rPr>
              <w:t>Reducing the negative impact of transport on the environment and human health;</w:t>
            </w:r>
          </w:p>
          <w:p w14:paraId="32CDA865" w14:textId="77777777" w:rsidR="00F1341F" w:rsidRPr="008340BB" w:rsidRDefault="00F1341F" w:rsidP="00087396">
            <w:pPr>
              <w:numPr>
                <w:ilvl w:val="0"/>
                <w:numId w:val="61"/>
              </w:numPr>
              <w:spacing w:before="0" w:after="0"/>
              <w:rPr>
                <w:sz w:val="20"/>
              </w:rPr>
            </w:pPr>
            <w:r w:rsidRPr="008340BB">
              <w:rPr>
                <w:sz w:val="20"/>
                <w:lang w:eastAsia="bg-BG"/>
              </w:rPr>
              <w:t>Sustainable development of mass public transport.</w:t>
            </w:r>
          </w:p>
          <w:p w14:paraId="16C1EB6F" w14:textId="77777777" w:rsidR="00F1341F" w:rsidRPr="008340BB" w:rsidRDefault="00F1341F" w:rsidP="00087396">
            <w:pPr>
              <w:spacing w:before="0" w:after="0"/>
              <w:rPr>
                <w:sz w:val="20"/>
                <w:lang w:eastAsia="bg-BG"/>
              </w:rPr>
            </w:pPr>
          </w:p>
          <w:p w14:paraId="2871B267" w14:textId="77777777" w:rsidR="00F1341F" w:rsidRPr="008340BB" w:rsidRDefault="00F1341F" w:rsidP="007B4B42">
            <w:pPr>
              <w:pStyle w:val="ListParagraph"/>
              <w:numPr>
                <w:ilvl w:val="0"/>
                <w:numId w:val="63"/>
              </w:numPr>
              <w:tabs>
                <w:tab w:val="left" w:pos="327"/>
              </w:tabs>
              <w:spacing w:after="0"/>
              <w:ind w:left="45" w:firstLine="0"/>
              <w:contextualSpacing/>
              <w:rPr>
                <w:sz w:val="20"/>
                <w:lang w:eastAsia="bg-BG"/>
              </w:rPr>
            </w:pPr>
            <w:r w:rsidRPr="008340BB">
              <w:rPr>
                <w:sz w:val="20"/>
              </w:rPr>
              <w:t>Additional priorities</w:t>
            </w:r>
            <w:r w:rsidRPr="008340BB">
              <w:rPr>
                <w:b/>
                <w:sz w:val="20"/>
              </w:rPr>
              <w:t xml:space="preserve"> </w:t>
            </w:r>
            <w:r w:rsidRPr="008340BB">
              <w:rPr>
                <w:sz w:val="20"/>
              </w:rPr>
              <w:t>in</w:t>
            </w:r>
            <w:r w:rsidRPr="008340BB">
              <w:rPr>
                <w:b/>
                <w:sz w:val="20"/>
              </w:rPr>
              <w:t xml:space="preserve"> “Guidelines for the development of the Trans-European Transport Network - Regulation (EU) No 1315/2013”</w:t>
            </w:r>
            <w:r w:rsidRPr="008340BB">
              <w:rPr>
                <w:sz w:val="20"/>
                <w:lang w:eastAsia="bg-BG"/>
              </w:rPr>
              <w:t>.</w:t>
            </w:r>
          </w:p>
          <w:p w14:paraId="2CD5F249" w14:textId="77777777" w:rsidR="00F1341F" w:rsidRPr="008340BB" w:rsidRDefault="00F1341F" w:rsidP="007B4B42">
            <w:pPr>
              <w:pStyle w:val="ListParagraph"/>
              <w:numPr>
                <w:ilvl w:val="0"/>
                <w:numId w:val="63"/>
              </w:numPr>
              <w:tabs>
                <w:tab w:val="left" w:pos="327"/>
              </w:tabs>
              <w:spacing w:after="0"/>
              <w:ind w:left="45" w:firstLine="0"/>
              <w:contextualSpacing/>
              <w:rPr>
                <w:rFonts w:ascii="Calibri" w:hAnsi="Calibri" w:cs="Tahoma"/>
                <w:sz w:val="20"/>
              </w:rPr>
            </w:pPr>
            <w:r w:rsidRPr="008340BB">
              <w:rPr>
                <w:b/>
                <w:sz w:val="20"/>
              </w:rPr>
              <w:t>White Paper - 2011</w:t>
            </w:r>
          </w:p>
          <w:p w14:paraId="26BC9E55" w14:textId="77777777" w:rsidR="00F1341F" w:rsidRPr="008340BB" w:rsidRDefault="00F1341F" w:rsidP="00087396">
            <w:pPr>
              <w:rPr>
                <w:sz w:val="20"/>
              </w:rPr>
            </w:pPr>
            <w:r w:rsidRPr="008340BB">
              <w:rPr>
                <w:b/>
                <w:sz w:val="20"/>
              </w:rPr>
              <w:t xml:space="preserve">Relationship with the needs assessment: - </w:t>
            </w:r>
            <w:r w:rsidRPr="008340BB">
              <w:rPr>
                <w:sz w:val="20"/>
                <w:lang w:eastAsia="bg-BG"/>
              </w:rPr>
              <w:t>Necessity of improvement of quality of transport services, enhancing the safety and security of transport and environmental protection.</w:t>
            </w:r>
          </w:p>
        </w:tc>
      </w:tr>
      <w:tr w:rsidR="00F1341F" w:rsidRPr="008340BB" w14:paraId="1FA3A1D0" w14:textId="77777777" w:rsidTr="006C7E7B">
        <w:trPr>
          <w:trHeight w:val="492"/>
        </w:trPr>
        <w:tc>
          <w:tcPr>
            <w:tcW w:w="2851" w:type="dxa"/>
          </w:tcPr>
          <w:p w14:paraId="48EC7941" w14:textId="77777777" w:rsidR="00F1341F" w:rsidRPr="008340BB" w:rsidRDefault="00F1341F" w:rsidP="00E053D5">
            <w:pPr>
              <w:autoSpaceDE w:val="0"/>
              <w:autoSpaceDN w:val="0"/>
              <w:adjustRightInd w:val="0"/>
              <w:spacing w:before="0" w:after="0"/>
              <w:jc w:val="left"/>
              <w:rPr>
                <w:sz w:val="20"/>
                <w:lang w:eastAsia="bg-BG"/>
              </w:rPr>
            </w:pPr>
            <w:r w:rsidRPr="008340BB">
              <w:rPr>
                <w:sz w:val="20"/>
                <w:lang w:eastAsia="bg-BG"/>
              </w:rPr>
              <w:t xml:space="preserve">07 - Promoting sustainable transport and removing </w:t>
            </w:r>
            <w:r w:rsidR="00A71A8E">
              <w:rPr>
                <w:sz w:val="20"/>
                <w:lang w:eastAsia="bg-BG"/>
              </w:rPr>
              <w:t>bottlenecks</w:t>
            </w:r>
            <w:r w:rsidRPr="008340BB">
              <w:rPr>
                <w:sz w:val="20"/>
                <w:lang w:eastAsia="bg-BG"/>
              </w:rPr>
              <w:t xml:space="preserve"> in key network infrastructures</w:t>
            </w:r>
          </w:p>
          <w:p w14:paraId="32F485C9" w14:textId="77777777" w:rsidR="00F1341F" w:rsidRPr="008340BB" w:rsidRDefault="00F1341F" w:rsidP="00E053D5">
            <w:pPr>
              <w:autoSpaceDE w:val="0"/>
              <w:autoSpaceDN w:val="0"/>
              <w:adjustRightInd w:val="0"/>
              <w:spacing w:before="0" w:after="0"/>
              <w:rPr>
                <w:sz w:val="20"/>
                <w:lang w:eastAsia="bg-BG"/>
              </w:rPr>
            </w:pPr>
          </w:p>
        </w:tc>
        <w:tc>
          <w:tcPr>
            <w:tcW w:w="2700" w:type="dxa"/>
          </w:tcPr>
          <w:p w14:paraId="69BD3B52" w14:textId="77777777" w:rsidR="00F1341F" w:rsidRPr="008340BB" w:rsidRDefault="00F1341F" w:rsidP="00E053D5">
            <w:pPr>
              <w:autoSpaceDE w:val="0"/>
              <w:autoSpaceDN w:val="0"/>
              <w:adjustRightInd w:val="0"/>
              <w:spacing w:before="0" w:after="0"/>
              <w:rPr>
                <w:sz w:val="20"/>
                <w:lang w:eastAsia="bg-BG"/>
              </w:rPr>
            </w:pPr>
            <w:r w:rsidRPr="008340BB">
              <w:rPr>
                <w:sz w:val="20"/>
                <w:lang w:eastAsia="bg-BG"/>
              </w:rPr>
              <w:t>7</w:t>
            </w:r>
            <w:r w:rsidR="000835A3">
              <w:rPr>
                <w:sz w:val="20"/>
                <w:lang w:eastAsia="bg-BG"/>
              </w:rPr>
              <w:t>(</w:t>
            </w:r>
            <w:r w:rsidRPr="008340BB">
              <w:rPr>
                <w:sz w:val="20"/>
                <w:lang w:eastAsia="bg-BG"/>
              </w:rPr>
              <w:t>a</w:t>
            </w:r>
            <w:r w:rsidR="000835A3">
              <w:rPr>
                <w:sz w:val="20"/>
                <w:lang w:eastAsia="bg-BG"/>
              </w:rPr>
              <w:t>)/(i)</w:t>
            </w:r>
            <w:r w:rsidRPr="008340BB">
              <w:rPr>
                <w:sz w:val="20"/>
                <w:lang w:eastAsia="bg-BG"/>
              </w:rPr>
              <w:t xml:space="preserve"> - Supporting a multimodal Single European Transport Area by investing in the TEN</w:t>
            </w:r>
            <w:r w:rsidR="00A71A8E">
              <w:rPr>
                <w:sz w:val="20"/>
                <w:lang w:eastAsia="bg-BG"/>
              </w:rPr>
              <w:t>-</w:t>
            </w:r>
            <w:r w:rsidRPr="008340BB">
              <w:rPr>
                <w:sz w:val="20"/>
                <w:lang w:eastAsia="bg-BG"/>
              </w:rPr>
              <w:t>T</w:t>
            </w:r>
          </w:p>
        </w:tc>
        <w:tc>
          <w:tcPr>
            <w:tcW w:w="3918" w:type="dxa"/>
          </w:tcPr>
          <w:p w14:paraId="1B99A7AF" w14:textId="77777777" w:rsidR="00F1341F" w:rsidRPr="008340BB" w:rsidRDefault="00F1341F" w:rsidP="007B4B42">
            <w:pPr>
              <w:pStyle w:val="Text1"/>
              <w:numPr>
                <w:ilvl w:val="0"/>
                <w:numId w:val="62"/>
              </w:numPr>
              <w:tabs>
                <w:tab w:val="left" w:pos="252"/>
              </w:tabs>
              <w:snapToGrid w:val="0"/>
              <w:spacing w:before="0" w:after="0"/>
              <w:ind w:left="48" w:firstLine="0"/>
              <w:rPr>
                <w:sz w:val="20"/>
                <w:lang w:val="en-GB" w:eastAsia="en-GB"/>
              </w:rPr>
            </w:pPr>
            <w:r w:rsidRPr="008340BB">
              <w:rPr>
                <w:b/>
                <w:sz w:val="20"/>
                <w:lang w:val="en-GB" w:eastAsia="en-GB"/>
              </w:rPr>
              <w:t>“Partnership Agreement”</w:t>
            </w:r>
            <w:r w:rsidRPr="008340BB">
              <w:rPr>
                <w:sz w:val="20"/>
                <w:lang w:val="en-GB" w:eastAsia="en-GB"/>
              </w:rPr>
              <w:t xml:space="preserve"> - </w:t>
            </w:r>
            <w:r w:rsidRPr="008340BB">
              <w:rPr>
                <w:i/>
                <w:sz w:val="20"/>
                <w:lang w:val="en-GB" w:eastAsia="en-GB"/>
              </w:rPr>
              <w:t>Strategic priority 3, Sub-priority 3.1</w:t>
            </w:r>
          </w:p>
          <w:p w14:paraId="70C2B7D1" w14:textId="77777777" w:rsidR="00F1341F" w:rsidRPr="008340BB" w:rsidRDefault="00F1341F" w:rsidP="007B4B42">
            <w:pPr>
              <w:pStyle w:val="Text1"/>
              <w:numPr>
                <w:ilvl w:val="0"/>
                <w:numId w:val="62"/>
              </w:numPr>
              <w:tabs>
                <w:tab w:val="left" w:pos="252"/>
              </w:tabs>
              <w:snapToGrid w:val="0"/>
              <w:spacing w:before="0" w:after="0"/>
              <w:ind w:left="48" w:firstLine="0"/>
              <w:rPr>
                <w:sz w:val="20"/>
                <w:lang w:val="en-GB" w:eastAsia="en-GB"/>
              </w:rPr>
            </w:pPr>
            <w:r w:rsidRPr="008340BB">
              <w:rPr>
                <w:b/>
                <w:sz w:val="20"/>
                <w:lang w:val="en-GB" w:eastAsia="en-GB"/>
              </w:rPr>
              <w:t>National Reform Programme”</w:t>
            </w:r>
            <w:r w:rsidRPr="008340BB">
              <w:rPr>
                <w:sz w:val="20"/>
                <w:lang w:val="en-GB" w:eastAsia="en-GB"/>
              </w:rPr>
              <w:t>: National target 3 under the “Climate-Energy” package and country-specific Council Recommendation 7 of July 2013</w:t>
            </w:r>
          </w:p>
          <w:p w14:paraId="7912C58F" w14:textId="77777777" w:rsidR="00F1341F" w:rsidRPr="008340BB" w:rsidRDefault="00F1341F" w:rsidP="007B4B42">
            <w:pPr>
              <w:pStyle w:val="Text1"/>
              <w:numPr>
                <w:ilvl w:val="0"/>
                <w:numId w:val="62"/>
              </w:numPr>
              <w:tabs>
                <w:tab w:val="left" w:pos="331"/>
              </w:tabs>
              <w:snapToGrid w:val="0"/>
              <w:spacing w:before="0" w:after="0"/>
              <w:ind w:left="48" w:firstLine="0"/>
              <w:rPr>
                <w:sz w:val="24"/>
                <w:lang w:val="en-GB" w:eastAsia="en-GB"/>
              </w:rPr>
            </w:pPr>
            <w:r w:rsidRPr="008340BB">
              <w:rPr>
                <w:b/>
                <w:sz w:val="20"/>
                <w:lang w:val="en-GB" w:eastAsia="en-GB"/>
              </w:rPr>
              <w:t xml:space="preserve">National Development Programme Bulgaria 2020”: </w:t>
            </w:r>
            <w:r w:rsidRPr="008340BB">
              <w:rPr>
                <w:i/>
                <w:sz w:val="20"/>
                <w:lang w:val="en-GB" w:eastAsia="en-GB"/>
              </w:rPr>
              <w:t xml:space="preserve">Objective No. 2 , Priority No. 8 </w:t>
            </w:r>
          </w:p>
          <w:p w14:paraId="6031E9DF" w14:textId="77777777" w:rsidR="00F1341F" w:rsidRPr="008340BB" w:rsidRDefault="00F1341F" w:rsidP="007B4B42">
            <w:pPr>
              <w:pStyle w:val="ListParagraph"/>
              <w:numPr>
                <w:ilvl w:val="0"/>
                <w:numId w:val="63"/>
              </w:numPr>
              <w:tabs>
                <w:tab w:val="left" w:pos="237"/>
              </w:tabs>
              <w:spacing w:after="0"/>
              <w:ind w:left="45" w:firstLine="0"/>
              <w:contextualSpacing/>
              <w:rPr>
                <w:sz w:val="20"/>
              </w:rPr>
            </w:pPr>
            <w:r w:rsidRPr="008340BB">
              <w:rPr>
                <w:b/>
                <w:sz w:val="20"/>
              </w:rPr>
              <w:t xml:space="preserve">White Paper - 2011 </w:t>
            </w:r>
          </w:p>
          <w:p w14:paraId="75E5F1A4" w14:textId="77777777" w:rsidR="00F1341F" w:rsidRPr="008340BB" w:rsidRDefault="00F1341F" w:rsidP="007B4B42">
            <w:pPr>
              <w:pStyle w:val="ListParagraph"/>
              <w:numPr>
                <w:ilvl w:val="0"/>
                <w:numId w:val="63"/>
              </w:numPr>
              <w:tabs>
                <w:tab w:val="left" w:pos="252"/>
              </w:tabs>
              <w:spacing w:after="0"/>
              <w:ind w:left="45" w:firstLine="0"/>
              <w:contextualSpacing/>
              <w:rPr>
                <w:sz w:val="20"/>
              </w:rPr>
            </w:pPr>
            <w:r w:rsidRPr="008340BB">
              <w:rPr>
                <w:b/>
                <w:sz w:val="20"/>
              </w:rPr>
              <w:t xml:space="preserve">Guidelines for the development of the TEN-T </w:t>
            </w:r>
          </w:p>
          <w:p w14:paraId="1174146C" w14:textId="77777777" w:rsidR="00F1341F" w:rsidRPr="008340BB" w:rsidRDefault="00F1341F" w:rsidP="007B4B42">
            <w:pPr>
              <w:pStyle w:val="ListParagraph"/>
              <w:numPr>
                <w:ilvl w:val="0"/>
                <w:numId w:val="63"/>
              </w:numPr>
              <w:tabs>
                <w:tab w:val="left" w:pos="237"/>
              </w:tabs>
              <w:spacing w:after="0"/>
              <w:ind w:left="45" w:firstLine="0"/>
              <w:contextualSpacing/>
              <w:rPr>
                <w:b/>
                <w:sz w:val="20"/>
              </w:rPr>
            </w:pPr>
            <w:r w:rsidRPr="008340BB">
              <w:rPr>
                <w:b/>
                <w:sz w:val="20"/>
              </w:rPr>
              <w:t>Strategy for Development of the Transport System of the Republic of Bulgaria to 2020</w:t>
            </w:r>
          </w:p>
          <w:p w14:paraId="2D401FD1" w14:textId="77777777" w:rsidR="00F1341F" w:rsidRPr="008340BB" w:rsidRDefault="00F1341F" w:rsidP="007B4B42">
            <w:pPr>
              <w:pStyle w:val="ListParagraph"/>
              <w:numPr>
                <w:ilvl w:val="0"/>
                <w:numId w:val="63"/>
              </w:numPr>
              <w:tabs>
                <w:tab w:val="left" w:pos="237"/>
              </w:tabs>
              <w:spacing w:after="0"/>
              <w:ind w:left="45" w:firstLine="0"/>
              <w:contextualSpacing/>
              <w:rPr>
                <w:sz w:val="20"/>
                <w:szCs w:val="22"/>
                <w:lang w:eastAsia="bg-BG"/>
              </w:rPr>
            </w:pPr>
            <w:r w:rsidRPr="008340BB">
              <w:rPr>
                <w:b/>
                <w:sz w:val="20"/>
              </w:rPr>
              <w:t xml:space="preserve">National Spatial Development Concept for the period 2013-2025 - </w:t>
            </w:r>
            <w:r w:rsidRPr="008340BB">
              <w:rPr>
                <w:sz w:val="20"/>
                <w:szCs w:val="22"/>
                <w:lang w:eastAsia="bg-BG"/>
              </w:rPr>
              <w:t xml:space="preserve">Strategic objective </w:t>
            </w:r>
            <w:r w:rsidRPr="008340BB">
              <w:rPr>
                <w:sz w:val="20"/>
              </w:rPr>
              <w:t xml:space="preserve">No. 1, Priority 1.4 </w:t>
            </w:r>
          </w:p>
          <w:p w14:paraId="101171B1" w14:textId="77777777" w:rsidR="00F1341F" w:rsidRPr="008340BB" w:rsidRDefault="00F1341F" w:rsidP="00E053D5">
            <w:pPr>
              <w:pStyle w:val="ListParagraph"/>
              <w:spacing w:after="0"/>
              <w:ind w:left="48"/>
              <w:contextualSpacing/>
              <w:rPr>
                <w:b/>
                <w:sz w:val="20"/>
              </w:rPr>
            </w:pPr>
            <w:r w:rsidRPr="008340BB">
              <w:rPr>
                <w:b/>
                <w:sz w:val="20"/>
              </w:rPr>
              <w:t>Relationship with the needs assessment – necessity of:</w:t>
            </w:r>
          </w:p>
          <w:p w14:paraId="084341D6" w14:textId="77777777" w:rsidR="005D2198" w:rsidRPr="00435AC3" w:rsidRDefault="00F1341F" w:rsidP="007B4B42">
            <w:pPr>
              <w:pStyle w:val="ListParagraph"/>
              <w:numPr>
                <w:ilvl w:val="0"/>
                <w:numId w:val="64"/>
              </w:numPr>
              <w:tabs>
                <w:tab w:val="left" w:pos="297"/>
              </w:tabs>
              <w:spacing w:after="0"/>
              <w:ind w:left="72" w:hanging="27"/>
              <w:contextualSpacing/>
              <w:rPr>
                <w:sz w:val="20"/>
                <w:szCs w:val="22"/>
                <w:lang w:eastAsia="bg-BG"/>
              </w:rPr>
            </w:pPr>
            <w:r w:rsidRPr="008340BB">
              <w:rPr>
                <w:sz w:val="20"/>
              </w:rPr>
              <w:t>construction and/or completion and/or reconstruction of</w:t>
            </w:r>
            <w:r w:rsidR="005D2198">
              <w:rPr>
                <w:sz w:val="20"/>
              </w:rPr>
              <w:t>:</w:t>
            </w:r>
          </w:p>
          <w:p w14:paraId="17415A81" w14:textId="6AA50EDB" w:rsidR="00F1341F" w:rsidRPr="008340BB" w:rsidRDefault="00F1341F" w:rsidP="005D2198">
            <w:pPr>
              <w:pStyle w:val="ListParagraph"/>
              <w:tabs>
                <w:tab w:val="left" w:pos="297"/>
              </w:tabs>
              <w:spacing w:after="0"/>
              <w:ind w:left="72"/>
              <w:contextualSpacing/>
              <w:rPr>
                <w:sz w:val="20"/>
                <w:szCs w:val="22"/>
                <w:lang w:eastAsia="bg-BG"/>
              </w:rPr>
            </w:pPr>
            <w:r w:rsidRPr="008340BB">
              <w:rPr>
                <w:sz w:val="20"/>
              </w:rPr>
              <w:lastRenderedPageBreak/>
              <w:t>sections in priority rail and road directions along the Trans-European Transport Network</w:t>
            </w:r>
            <w:r w:rsidRPr="008340BB">
              <w:rPr>
                <w:sz w:val="20"/>
                <w:szCs w:val="22"/>
                <w:lang w:eastAsia="bg-BG"/>
              </w:rPr>
              <w:t>;</w:t>
            </w:r>
          </w:p>
          <w:p w14:paraId="4139BD56" w14:textId="77777777" w:rsidR="00E87023" w:rsidRDefault="00F1341F" w:rsidP="00435AC3">
            <w:pPr>
              <w:pStyle w:val="ListParagraph"/>
              <w:tabs>
                <w:tab w:val="left" w:pos="297"/>
              </w:tabs>
              <w:spacing w:after="0"/>
              <w:ind w:left="72"/>
              <w:contextualSpacing/>
              <w:rPr>
                <w:sz w:val="20"/>
                <w:lang w:eastAsia="bg-BG"/>
              </w:rPr>
            </w:pPr>
            <w:r w:rsidRPr="008340BB">
              <w:rPr>
                <w:sz w:val="20"/>
                <w:lang w:eastAsia="bg-BG"/>
              </w:rPr>
              <w:t xml:space="preserve">railway and road connections to the </w:t>
            </w:r>
            <w:r w:rsidRPr="008340BB">
              <w:rPr>
                <w:sz w:val="20"/>
              </w:rPr>
              <w:t xml:space="preserve">sea and inland-waterways </w:t>
            </w:r>
            <w:r w:rsidRPr="008340BB">
              <w:rPr>
                <w:sz w:val="20"/>
                <w:lang w:eastAsia="bg-BG"/>
              </w:rPr>
              <w:t>ports, intermodal terminals and airports;</w:t>
            </w:r>
          </w:p>
          <w:p w14:paraId="5F21681A" w14:textId="77777777" w:rsidR="00F1341F" w:rsidRPr="008340BB" w:rsidRDefault="00F1341F" w:rsidP="007B4B42">
            <w:pPr>
              <w:pStyle w:val="ListParagraph"/>
              <w:numPr>
                <w:ilvl w:val="0"/>
                <w:numId w:val="64"/>
              </w:numPr>
              <w:tabs>
                <w:tab w:val="left" w:pos="297"/>
              </w:tabs>
              <w:spacing w:after="0"/>
              <w:ind w:left="72" w:hanging="27"/>
              <w:contextualSpacing/>
              <w:rPr>
                <w:sz w:val="20"/>
                <w:lang w:eastAsia="bg-BG"/>
              </w:rPr>
            </w:pPr>
            <w:r w:rsidRPr="008340BB">
              <w:rPr>
                <w:sz w:val="20"/>
              </w:rPr>
              <w:t>introduction or completion of traffic management system, implementing and deploying telematic applications.</w:t>
            </w:r>
          </w:p>
        </w:tc>
      </w:tr>
      <w:tr w:rsidR="00F1341F" w:rsidRPr="008340BB" w14:paraId="3560A690" w14:textId="77777777" w:rsidTr="006C7E7B">
        <w:trPr>
          <w:trHeight w:val="492"/>
        </w:trPr>
        <w:tc>
          <w:tcPr>
            <w:tcW w:w="2851" w:type="dxa"/>
          </w:tcPr>
          <w:p w14:paraId="63835F68" w14:textId="77777777" w:rsidR="00F1341F" w:rsidRPr="008340BB" w:rsidRDefault="00F1341F">
            <w:pPr>
              <w:autoSpaceDE w:val="0"/>
              <w:autoSpaceDN w:val="0"/>
              <w:adjustRightInd w:val="0"/>
              <w:spacing w:before="0" w:after="0"/>
              <w:jc w:val="left"/>
              <w:rPr>
                <w:sz w:val="20"/>
                <w:lang w:eastAsia="bg-BG"/>
              </w:rPr>
            </w:pPr>
            <w:r w:rsidRPr="008340BB">
              <w:rPr>
                <w:sz w:val="20"/>
                <w:lang w:eastAsia="bg-BG"/>
              </w:rPr>
              <w:lastRenderedPageBreak/>
              <w:t xml:space="preserve">07 – Promoting sustainable transport and removing </w:t>
            </w:r>
            <w:r w:rsidR="00A71A8E">
              <w:rPr>
                <w:sz w:val="20"/>
                <w:lang w:eastAsia="bg-BG"/>
              </w:rPr>
              <w:t>bottlenecks</w:t>
            </w:r>
            <w:r w:rsidR="00A71A8E" w:rsidRPr="008340BB">
              <w:rPr>
                <w:sz w:val="20"/>
                <w:lang w:eastAsia="bg-BG"/>
              </w:rPr>
              <w:t xml:space="preserve"> </w:t>
            </w:r>
            <w:r w:rsidRPr="008340BB">
              <w:rPr>
                <w:sz w:val="20"/>
                <w:lang w:eastAsia="bg-BG"/>
              </w:rPr>
              <w:t>in key network infrastructures</w:t>
            </w:r>
          </w:p>
        </w:tc>
        <w:tc>
          <w:tcPr>
            <w:tcW w:w="2700" w:type="dxa"/>
          </w:tcPr>
          <w:p w14:paraId="41F0177C" w14:textId="77777777" w:rsidR="009373F4" w:rsidRPr="008340BB" w:rsidRDefault="00F1341F" w:rsidP="00E053D5">
            <w:pPr>
              <w:autoSpaceDE w:val="0"/>
              <w:autoSpaceDN w:val="0"/>
              <w:adjustRightInd w:val="0"/>
              <w:spacing w:before="0" w:after="0"/>
              <w:jc w:val="left"/>
              <w:rPr>
                <w:sz w:val="20"/>
                <w:lang w:eastAsia="bg-BG"/>
              </w:rPr>
            </w:pPr>
            <w:r w:rsidRPr="008340BB">
              <w:rPr>
                <w:sz w:val="20"/>
                <w:lang w:eastAsia="bg-BG"/>
              </w:rPr>
              <w:t>7</w:t>
            </w:r>
            <w:r w:rsidR="000835A3">
              <w:rPr>
                <w:sz w:val="20"/>
                <w:lang w:eastAsia="bg-BG"/>
              </w:rPr>
              <w:t>(</w:t>
            </w:r>
            <w:r w:rsidRPr="008340BB">
              <w:rPr>
                <w:sz w:val="20"/>
                <w:lang w:eastAsia="bg-BG"/>
              </w:rPr>
              <w:t>c</w:t>
            </w:r>
            <w:r w:rsidR="000835A3">
              <w:rPr>
                <w:sz w:val="20"/>
                <w:lang w:eastAsia="bg-BG"/>
              </w:rPr>
              <w:t>)</w:t>
            </w:r>
            <w:r w:rsidRPr="008340BB">
              <w:rPr>
                <w:sz w:val="20"/>
                <w:lang w:eastAsia="bg-BG"/>
              </w:rPr>
              <w:t xml:space="preserve"> - Developing and </w:t>
            </w:r>
            <w:r w:rsidR="009373F4">
              <w:rPr>
                <w:sz w:val="20"/>
                <w:lang w:eastAsia="bg-BG"/>
              </w:rPr>
              <w:t>i</w:t>
            </w:r>
            <w:r w:rsidRPr="008340BB">
              <w:rPr>
                <w:sz w:val="20"/>
                <w:lang w:eastAsia="bg-BG"/>
              </w:rPr>
              <w:t>mproving environmentally-friendly (including low</w:t>
            </w:r>
            <w:r w:rsidR="009373F4">
              <w:rPr>
                <w:sz w:val="20"/>
                <w:lang w:eastAsia="bg-BG"/>
              </w:rPr>
              <w:t>-</w:t>
            </w:r>
            <w:r w:rsidRPr="008340BB">
              <w:rPr>
                <w:sz w:val="20"/>
                <w:lang w:eastAsia="bg-BG"/>
              </w:rPr>
              <w:t>noise) and low-carbon transport systems, including inland</w:t>
            </w:r>
            <w:r w:rsidR="005C2A03" w:rsidRPr="008340BB">
              <w:rPr>
                <w:sz w:val="20"/>
                <w:lang w:eastAsia="bg-BG"/>
              </w:rPr>
              <w:t xml:space="preserve"> </w:t>
            </w:r>
            <w:r w:rsidRPr="008340BB">
              <w:rPr>
                <w:sz w:val="20"/>
                <w:lang w:eastAsia="bg-BG"/>
              </w:rPr>
              <w:t>waterways and maritime transport, ports, multimodal links and airport infrastructure, in order to promote sustainable regional and local mobility</w:t>
            </w:r>
          </w:p>
        </w:tc>
        <w:tc>
          <w:tcPr>
            <w:tcW w:w="3918" w:type="dxa"/>
          </w:tcPr>
          <w:p w14:paraId="32C1CFCE" w14:textId="77777777" w:rsidR="00F1341F" w:rsidRPr="008340BB" w:rsidRDefault="00F1341F" w:rsidP="007B4B42">
            <w:pPr>
              <w:pStyle w:val="Text1"/>
              <w:numPr>
                <w:ilvl w:val="0"/>
                <w:numId w:val="62"/>
              </w:numPr>
              <w:tabs>
                <w:tab w:val="left" w:pos="252"/>
              </w:tabs>
              <w:snapToGrid w:val="0"/>
              <w:spacing w:before="0" w:after="0"/>
              <w:ind w:left="48" w:firstLine="0"/>
              <w:rPr>
                <w:sz w:val="20"/>
                <w:lang w:val="en-GB" w:eastAsia="en-GB"/>
              </w:rPr>
            </w:pPr>
            <w:r w:rsidRPr="008340BB">
              <w:rPr>
                <w:b/>
                <w:sz w:val="20"/>
                <w:lang w:val="en-GB" w:eastAsia="en-GB"/>
              </w:rPr>
              <w:t>“Partnership Agreement”</w:t>
            </w:r>
            <w:r w:rsidRPr="008340BB">
              <w:rPr>
                <w:sz w:val="20"/>
                <w:lang w:val="en-GB" w:eastAsia="en-GB"/>
              </w:rPr>
              <w:t xml:space="preserve"> - </w:t>
            </w:r>
            <w:r w:rsidRPr="008340BB">
              <w:rPr>
                <w:i/>
                <w:sz w:val="20"/>
                <w:lang w:val="en-GB" w:eastAsia="en-GB"/>
              </w:rPr>
              <w:t>Strategic priority 3, Sub-priority 3.1</w:t>
            </w:r>
          </w:p>
          <w:p w14:paraId="504DF0EB" w14:textId="77777777" w:rsidR="00F1341F" w:rsidRPr="008340BB" w:rsidRDefault="00F1341F" w:rsidP="007B4B42">
            <w:pPr>
              <w:pStyle w:val="Text1"/>
              <w:numPr>
                <w:ilvl w:val="0"/>
                <w:numId w:val="62"/>
              </w:numPr>
              <w:tabs>
                <w:tab w:val="left" w:pos="252"/>
              </w:tabs>
              <w:snapToGrid w:val="0"/>
              <w:spacing w:before="0" w:after="0"/>
              <w:ind w:left="48" w:firstLine="0"/>
              <w:rPr>
                <w:sz w:val="20"/>
                <w:lang w:val="en-GB" w:eastAsia="en-GB"/>
              </w:rPr>
            </w:pPr>
            <w:r w:rsidRPr="008340BB">
              <w:rPr>
                <w:b/>
                <w:sz w:val="20"/>
                <w:lang w:val="en-GB" w:eastAsia="en-GB"/>
              </w:rPr>
              <w:t>National Reform Programme”</w:t>
            </w:r>
            <w:r w:rsidRPr="008340BB">
              <w:rPr>
                <w:sz w:val="20"/>
                <w:lang w:val="en-GB" w:eastAsia="en-GB"/>
              </w:rPr>
              <w:t>: National target 3 under the “Climate-Energy” package and country-specific Council Recommendation 7 of July 2013</w:t>
            </w:r>
          </w:p>
          <w:p w14:paraId="59205477" w14:textId="77777777" w:rsidR="00F1341F" w:rsidRPr="008340BB" w:rsidRDefault="00F1341F" w:rsidP="007B4B42">
            <w:pPr>
              <w:pStyle w:val="Text1"/>
              <w:numPr>
                <w:ilvl w:val="0"/>
                <w:numId w:val="62"/>
              </w:numPr>
              <w:tabs>
                <w:tab w:val="left" w:pos="331"/>
              </w:tabs>
              <w:snapToGrid w:val="0"/>
              <w:spacing w:before="0" w:after="0"/>
              <w:ind w:left="48" w:firstLine="0"/>
              <w:rPr>
                <w:sz w:val="24"/>
                <w:lang w:val="en-GB" w:eastAsia="en-GB"/>
              </w:rPr>
            </w:pPr>
            <w:r w:rsidRPr="008340BB">
              <w:rPr>
                <w:b/>
                <w:sz w:val="20"/>
                <w:lang w:val="en-GB" w:eastAsia="en-GB"/>
              </w:rPr>
              <w:t xml:space="preserve">National Development Programme Bulgaria 2020”: </w:t>
            </w:r>
            <w:r w:rsidRPr="008340BB">
              <w:rPr>
                <w:i/>
                <w:sz w:val="20"/>
                <w:lang w:val="en-GB" w:eastAsia="en-GB"/>
              </w:rPr>
              <w:t xml:space="preserve">Objective No. 2 , Priority No. 8 </w:t>
            </w:r>
          </w:p>
          <w:p w14:paraId="4855450D" w14:textId="77777777" w:rsidR="00F1341F" w:rsidRPr="008340BB" w:rsidRDefault="00F1341F" w:rsidP="007B4B42">
            <w:pPr>
              <w:pStyle w:val="ListParagraph"/>
              <w:numPr>
                <w:ilvl w:val="0"/>
                <w:numId w:val="63"/>
              </w:numPr>
              <w:tabs>
                <w:tab w:val="left" w:pos="237"/>
              </w:tabs>
              <w:spacing w:after="0"/>
              <w:ind w:left="45" w:firstLine="0"/>
              <w:contextualSpacing/>
              <w:rPr>
                <w:sz w:val="20"/>
              </w:rPr>
            </w:pPr>
            <w:r w:rsidRPr="008340BB">
              <w:rPr>
                <w:b/>
                <w:sz w:val="20"/>
              </w:rPr>
              <w:t xml:space="preserve">White Paper - 2011 </w:t>
            </w:r>
          </w:p>
          <w:p w14:paraId="0A46EC2D" w14:textId="77777777" w:rsidR="00F1341F" w:rsidRPr="008340BB" w:rsidRDefault="00F1341F" w:rsidP="007B4B42">
            <w:pPr>
              <w:pStyle w:val="ListParagraph"/>
              <w:numPr>
                <w:ilvl w:val="0"/>
                <w:numId w:val="63"/>
              </w:numPr>
              <w:tabs>
                <w:tab w:val="left" w:pos="237"/>
              </w:tabs>
              <w:spacing w:after="0"/>
              <w:ind w:left="45" w:firstLine="0"/>
              <w:contextualSpacing/>
              <w:rPr>
                <w:sz w:val="20"/>
              </w:rPr>
            </w:pPr>
            <w:r w:rsidRPr="008340BB">
              <w:rPr>
                <w:b/>
                <w:sz w:val="20"/>
              </w:rPr>
              <w:t xml:space="preserve">Guidelines for the development of the TEN-T </w:t>
            </w:r>
          </w:p>
          <w:p w14:paraId="5DDF35C4" w14:textId="5F290A93" w:rsidR="00F1341F" w:rsidRPr="008340BB" w:rsidRDefault="00F1341F" w:rsidP="007B4B42">
            <w:pPr>
              <w:pStyle w:val="ListParagraph"/>
              <w:numPr>
                <w:ilvl w:val="0"/>
                <w:numId w:val="63"/>
              </w:numPr>
              <w:tabs>
                <w:tab w:val="left" w:pos="207"/>
              </w:tabs>
              <w:spacing w:after="0"/>
              <w:ind w:left="45" w:firstLine="0"/>
              <w:contextualSpacing/>
              <w:rPr>
                <w:b/>
                <w:sz w:val="20"/>
              </w:rPr>
            </w:pPr>
            <w:r w:rsidRPr="008340BB">
              <w:rPr>
                <w:b/>
                <w:sz w:val="20"/>
              </w:rPr>
              <w:t>Strategy for Development of the Transport System of the R</w:t>
            </w:r>
            <w:r w:rsidR="007F361D">
              <w:rPr>
                <w:b/>
                <w:sz w:val="20"/>
              </w:rPr>
              <w:t>B</w:t>
            </w:r>
            <w:r w:rsidRPr="008340BB">
              <w:rPr>
                <w:b/>
                <w:sz w:val="20"/>
              </w:rPr>
              <w:t xml:space="preserve"> to 2020</w:t>
            </w:r>
          </w:p>
          <w:p w14:paraId="571E7B9D" w14:textId="75600AB8" w:rsidR="00F1341F" w:rsidRPr="006D1F6B" w:rsidRDefault="00F1341F" w:rsidP="007B4B42">
            <w:pPr>
              <w:pStyle w:val="ListParagraph"/>
              <w:numPr>
                <w:ilvl w:val="0"/>
                <w:numId w:val="63"/>
              </w:numPr>
              <w:tabs>
                <w:tab w:val="left" w:pos="222"/>
              </w:tabs>
              <w:spacing w:after="0"/>
              <w:ind w:left="45" w:firstLine="0"/>
              <w:contextualSpacing/>
              <w:rPr>
                <w:sz w:val="20"/>
                <w:szCs w:val="22"/>
                <w:lang w:eastAsia="bg-BG"/>
              </w:rPr>
            </w:pPr>
            <w:r w:rsidRPr="008340BB">
              <w:rPr>
                <w:b/>
                <w:sz w:val="20"/>
              </w:rPr>
              <w:t xml:space="preserve">National Spatial Development Concept for the period 2013-2025 - </w:t>
            </w:r>
            <w:r w:rsidRPr="008340BB">
              <w:rPr>
                <w:sz w:val="20"/>
                <w:szCs w:val="22"/>
                <w:lang w:eastAsia="bg-BG"/>
              </w:rPr>
              <w:t xml:space="preserve">Strategic objective </w:t>
            </w:r>
            <w:r w:rsidRPr="008340BB">
              <w:rPr>
                <w:sz w:val="20"/>
              </w:rPr>
              <w:t xml:space="preserve">No. 1, Priority 1.4 </w:t>
            </w:r>
          </w:p>
          <w:p w14:paraId="00882EAE" w14:textId="36925B9C" w:rsidR="006D1F6B" w:rsidRPr="008340BB" w:rsidRDefault="006D1F6B" w:rsidP="007B4B42">
            <w:pPr>
              <w:pStyle w:val="ListParagraph"/>
              <w:numPr>
                <w:ilvl w:val="0"/>
                <w:numId w:val="63"/>
              </w:numPr>
              <w:tabs>
                <w:tab w:val="left" w:pos="222"/>
              </w:tabs>
              <w:spacing w:after="0"/>
              <w:ind w:left="45" w:firstLine="0"/>
              <w:contextualSpacing/>
              <w:rPr>
                <w:sz w:val="20"/>
                <w:szCs w:val="22"/>
                <w:lang w:eastAsia="bg-BG"/>
              </w:rPr>
            </w:pPr>
            <w:r w:rsidRPr="006D1F6B">
              <w:rPr>
                <w:b/>
                <w:sz w:val="20"/>
                <w:lang w:val="bg-BG"/>
              </w:rPr>
              <w:t>Action plan for EU-Ukraine Solidarity Lanes to facilitate Ukraine’s agricultural export and bilateral trade with the EU</w:t>
            </w:r>
          </w:p>
          <w:p w14:paraId="477926F4" w14:textId="77777777" w:rsidR="00F1341F" w:rsidRPr="008340BB" w:rsidRDefault="00F1341F" w:rsidP="00E053D5">
            <w:pPr>
              <w:pStyle w:val="ListParagraph"/>
              <w:spacing w:after="0"/>
              <w:ind w:left="48"/>
              <w:contextualSpacing/>
              <w:rPr>
                <w:b/>
                <w:sz w:val="20"/>
              </w:rPr>
            </w:pPr>
            <w:r w:rsidRPr="008340BB">
              <w:rPr>
                <w:b/>
                <w:sz w:val="20"/>
              </w:rPr>
              <w:t>Relationship with the needs assessment – necessity of:</w:t>
            </w:r>
          </w:p>
          <w:p w14:paraId="26FFC434" w14:textId="2129AC03" w:rsidR="00C00DD3" w:rsidRDefault="00F1341F" w:rsidP="00FE2F70">
            <w:pPr>
              <w:pStyle w:val="ListParagraph"/>
              <w:numPr>
                <w:ilvl w:val="0"/>
                <w:numId w:val="64"/>
              </w:numPr>
              <w:tabs>
                <w:tab w:val="left" w:pos="297"/>
              </w:tabs>
              <w:spacing w:after="0"/>
              <w:ind w:left="72" w:hanging="27"/>
              <w:contextualSpacing/>
              <w:rPr>
                <w:sz w:val="20"/>
                <w:lang w:eastAsia="bg-BG"/>
              </w:rPr>
            </w:pPr>
            <w:r w:rsidRPr="00C00DD3">
              <w:rPr>
                <w:sz w:val="20"/>
              </w:rPr>
              <w:t>construction and/or reconstruction of</w:t>
            </w:r>
            <w:r w:rsidR="005D2198" w:rsidRPr="00C00DD3">
              <w:rPr>
                <w:sz w:val="20"/>
              </w:rPr>
              <w:t>:</w:t>
            </w:r>
            <w:r w:rsidR="00C00DD3" w:rsidRPr="00C00DD3">
              <w:rPr>
                <w:sz w:val="20"/>
              </w:rPr>
              <w:t xml:space="preserve"> </w:t>
            </w:r>
            <w:r w:rsidRPr="00C00DD3">
              <w:rPr>
                <w:sz w:val="20"/>
              </w:rPr>
              <w:t xml:space="preserve">sections in priority rail and road directions along the </w:t>
            </w:r>
            <w:r w:rsidR="00070107" w:rsidRPr="00C00DD3">
              <w:rPr>
                <w:sz w:val="20"/>
              </w:rPr>
              <w:t>TEN-T</w:t>
            </w:r>
            <w:r w:rsidRPr="00C00DD3">
              <w:rPr>
                <w:sz w:val="20"/>
                <w:szCs w:val="22"/>
                <w:lang w:eastAsia="bg-BG"/>
              </w:rPr>
              <w:t>;</w:t>
            </w:r>
            <w:r w:rsidR="00C00DD3" w:rsidRPr="00C00DD3">
              <w:rPr>
                <w:sz w:val="20"/>
                <w:szCs w:val="22"/>
                <w:lang w:eastAsia="bg-BG"/>
              </w:rPr>
              <w:t xml:space="preserve"> </w:t>
            </w:r>
            <w:r w:rsidRPr="00C00DD3">
              <w:rPr>
                <w:sz w:val="20"/>
                <w:lang w:eastAsia="bg-BG"/>
              </w:rPr>
              <w:t xml:space="preserve">railway and road connections to the </w:t>
            </w:r>
            <w:r w:rsidRPr="00C00DD3">
              <w:rPr>
                <w:sz w:val="20"/>
              </w:rPr>
              <w:t xml:space="preserve">sea and inland-waterways </w:t>
            </w:r>
            <w:r w:rsidRPr="00C00DD3">
              <w:rPr>
                <w:sz w:val="20"/>
                <w:lang w:eastAsia="bg-BG"/>
              </w:rPr>
              <w:t>ports, intermodal terminals and airports;</w:t>
            </w:r>
            <w:r w:rsidR="00070107" w:rsidRPr="00C00DD3">
              <w:rPr>
                <w:sz w:val="20"/>
                <w:lang w:eastAsia="bg-BG"/>
              </w:rPr>
              <w:t xml:space="preserve"> </w:t>
            </w:r>
          </w:p>
          <w:p w14:paraId="4551BEF2" w14:textId="67EA675D" w:rsidR="00287FC1" w:rsidRPr="00C00DD3" w:rsidRDefault="00F04008" w:rsidP="00F04008">
            <w:pPr>
              <w:pStyle w:val="ListParagraph"/>
              <w:numPr>
                <w:ilvl w:val="0"/>
                <w:numId w:val="64"/>
              </w:numPr>
              <w:tabs>
                <w:tab w:val="left" w:pos="11"/>
              </w:tabs>
              <w:spacing w:after="0"/>
              <w:ind w:left="11" w:firstLine="34"/>
              <w:contextualSpacing/>
              <w:rPr>
                <w:sz w:val="20"/>
                <w:lang w:eastAsia="bg-BG"/>
              </w:rPr>
            </w:pPr>
            <w:r w:rsidRPr="00F04008">
              <w:rPr>
                <w:sz w:val="20"/>
                <w:lang w:eastAsia="bg-BG"/>
              </w:rPr>
              <w:t>rehabilitation and modernization of port terminals</w:t>
            </w:r>
          </w:p>
          <w:p w14:paraId="1510823A" w14:textId="06C82941" w:rsidR="00F1341F" w:rsidRPr="008340BB" w:rsidRDefault="00C00DD3" w:rsidP="00287FC1">
            <w:pPr>
              <w:pStyle w:val="ListParagraph"/>
              <w:tabs>
                <w:tab w:val="left" w:pos="297"/>
              </w:tabs>
              <w:spacing w:after="0"/>
              <w:ind w:left="72"/>
              <w:contextualSpacing/>
            </w:pPr>
            <w:r>
              <w:rPr>
                <w:sz w:val="20"/>
                <w:lang w:eastAsia="bg-BG"/>
              </w:rPr>
              <w:t xml:space="preserve">- </w:t>
            </w:r>
            <w:r w:rsidR="00F1341F" w:rsidRPr="008340BB">
              <w:rPr>
                <w:sz w:val="20"/>
              </w:rPr>
              <w:t>introduction or of traffic management system,  deploying telematic applications.</w:t>
            </w:r>
          </w:p>
        </w:tc>
      </w:tr>
    </w:tbl>
    <w:p w14:paraId="30CDB47F" w14:textId="77777777" w:rsidR="00F1341F" w:rsidRPr="008340BB" w:rsidRDefault="00F1341F" w:rsidP="00F03C1E"/>
    <w:p w14:paraId="5E92442D" w14:textId="77777777" w:rsidR="00F1341F" w:rsidRPr="00A56183" w:rsidRDefault="00F1341F" w:rsidP="0086059D">
      <w:pPr>
        <w:pStyle w:val="NumPar2"/>
        <w:numPr>
          <w:ilvl w:val="1"/>
          <w:numId w:val="37"/>
        </w:numPr>
        <w:tabs>
          <w:tab w:val="clear" w:pos="1492"/>
        </w:tabs>
        <w:rPr>
          <w:b/>
        </w:rPr>
      </w:pPr>
      <w:r w:rsidRPr="00A56183">
        <w:rPr>
          <w:b/>
        </w:rPr>
        <w:t>Justification for the financial allocation</w:t>
      </w:r>
    </w:p>
    <w:p w14:paraId="2C4E5C99" w14:textId="77777777" w:rsidR="00F1341F" w:rsidRPr="008340BB" w:rsidRDefault="00F1341F" w:rsidP="00F03C1E">
      <w:pPr>
        <w:pStyle w:val="Text3"/>
        <w:ind w:left="0"/>
        <w:rPr>
          <w:lang w:eastAsia="fr-BE"/>
        </w:rPr>
      </w:pPr>
      <w:r w:rsidRPr="008340BB">
        <w:rPr>
          <w:lang w:eastAsia="fr-BE"/>
        </w:rPr>
        <w:t xml:space="preserve">Justification for the financial allocation (Union support) to each thematic objective and, where appropriate, investment priority, in accordance with the thematic concentration requirements, taking into account the ex-ante evaluation. </w:t>
      </w:r>
    </w:p>
    <w:tbl>
      <w:tblPr>
        <w:tblW w:w="95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01"/>
      </w:tblGrid>
      <w:tr w:rsidR="00F1341F" w:rsidRPr="008340BB" w14:paraId="24482B81" w14:textId="77777777" w:rsidTr="00F03C1E">
        <w:trPr>
          <w:trHeight w:val="1161"/>
        </w:trPr>
        <w:tc>
          <w:tcPr>
            <w:tcW w:w="9501" w:type="dxa"/>
          </w:tcPr>
          <w:p w14:paraId="554322C9" w14:textId="47E34F1F" w:rsidR="00F1341F" w:rsidRPr="008340BB" w:rsidRDefault="00F1341F" w:rsidP="00514FED">
            <w:pPr>
              <w:autoSpaceDE w:val="0"/>
              <w:autoSpaceDN w:val="0"/>
              <w:adjustRightInd w:val="0"/>
              <w:rPr>
                <w:lang w:eastAsia="bg-BG"/>
              </w:rPr>
            </w:pPr>
            <w:r w:rsidRPr="008340BB">
              <w:rPr>
                <w:lang w:eastAsia="bg-BG"/>
              </w:rPr>
              <w:t xml:space="preserve">The </w:t>
            </w:r>
            <w:r w:rsidR="006276B0">
              <w:rPr>
                <w:lang w:eastAsia="bg-BG"/>
              </w:rPr>
              <w:t xml:space="preserve">financial </w:t>
            </w:r>
            <w:r w:rsidRPr="008340BB">
              <w:rPr>
                <w:lang w:eastAsia="bg-BG"/>
              </w:rPr>
              <w:t>allocation under O</w:t>
            </w:r>
            <w:r w:rsidR="002C2EF3">
              <w:rPr>
                <w:lang w:eastAsia="bg-BG"/>
              </w:rPr>
              <w:t>PTTI</w:t>
            </w:r>
            <w:r w:rsidRPr="008340BB">
              <w:rPr>
                <w:lang w:eastAsia="bg-BG"/>
              </w:rPr>
              <w:t xml:space="preserve"> 2014-2020 is determined by the identified national needs that can be addressed with CF and ERDF funds, as well as European </w:t>
            </w:r>
            <w:r w:rsidR="00594EED" w:rsidRPr="00594EED">
              <w:rPr>
                <w:lang w:eastAsia="bg-BG"/>
              </w:rPr>
              <w:t>and national policies for the development of the country's transport system, with a view to achieving the goals of the "Europe 2020" strategy, as well as the Position of the services of the E</w:t>
            </w:r>
            <w:r w:rsidR="00594EED">
              <w:rPr>
                <w:lang w:eastAsia="bg-BG"/>
              </w:rPr>
              <w:t>C</w:t>
            </w:r>
            <w:r w:rsidRPr="008340BB">
              <w:rPr>
                <w:lang w:eastAsia="bg-BG"/>
              </w:rPr>
              <w:t xml:space="preserve">. </w:t>
            </w:r>
            <w:r w:rsidR="005E7A8D">
              <w:rPr>
                <w:lang w:eastAsia="bg-BG"/>
              </w:rPr>
              <w:t>Further</w:t>
            </w:r>
            <w:r w:rsidR="00E7609E">
              <w:rPr>
                <w:lang w:eastAsia="bg-BG"/>
              </w:rPr>
              <w:t>,</w:t>
            </w:r>
            <w:r w:rsidR="005E7A8D">
              <w:rPr>
                <w:lang w:eastAsia="bg-BG"/>
              </w:rPr>
              <w:t xml:space="preserve"> in line with t</w:t>
            </w:r>
            <w:r w:rsidRPr="008340BB">
              <w:rPr>
                <w:lang w:eastAsia="bg-BG"/>
              </w:rPr>
              <w:t xml:space="preserve">he </w:t>
            </w:r>
            <w:r w:rsidR="005E7A8D">
              <w:rPr>
                <w:lang w:eastAsia="bg-BG"/>
              </w:rPr>
              <w:t>s</w:t>
            </w:r>
            <w:r w:rsidRPr="008340BB">
              <w:rPr>
                <w:lang w:eastAsia="bg-BG"/>
              </w:rPr>
              <w:t>trategy of O</w:t>
            </w:r>
            <w:r w:rsidR="005E7A8D">
              <w:rPr>
                <w:lang w:eastAsia="bg-BG"/>
              </w:rPr>
              <w:t>PTTI</w:t>
            </w:r>
            <w:r w:rsidR="002B5199">
              <w:rPr>
                <w:lang w:eastAsia="bg-BG"/>
              </w:rPr>
              <w:t xml:space="preserve"> </w:t>
            </w:r>
            <w:r w:rsidR="005E7A8D">
              <w:rPr>
                <w:lang w:eastAsia="bg-BG"/>
              </w:rPr>
              <w:t xml:space="preserve">the EU funds are focused </w:t>
            </w:r>
            <w:r w:rsidRPr="008340BB">
              <w:rPr>
                <w:lang w:eastAsia="bg-BG"/>
              </w:rPr>
              <w:t xml:space="preserve">on completion of missing railway and road connections along the TEN-T network on the territory of the country and promotion of intermodal transport. </w:t>
            </w:r>
          </w:p>
          <w:p w14:paraId="0B9A649F" w14:textId="56829B28" w:rsidR="00F1341F" w:rsidRPr="008340BB" w:rsidRDefault="00F1341F" w:rsidP="0048126B">
            <w:pPr>
              <w:autoSpaceDE w:val="0"/>
              <w:autoSpaceDN w:val="0"/>
              <w:adjustRightInd w:val="0"/>
            </w:pPr>
            <w:r w:rsidRPr="008340BB">
              <w:rPr>
                <w:rStyle w:val="hps"/>
              </w:rPr>
              <w:t>In the</w:t>
            </w:r>
            <w:r w:rsidRPr="008340BB">
              <w:t xml:space="preserve"> </w:t>
            </w:r>
            <w:r w:rsidR="002B5199">
              <w:rPr>
                <w:rStyle w:val="hps"/>
              </w:rPr>
              <w:t>allocation</w:t>
            </w:r>
            <w:r w:rsidRPr="008340BB">
              <w:rPr>
                <w:rStyle w:val="hps"/>
              </w:rPr>
              <w:t xml:space="preserve"> </w:t>
            </w:r>
            <w:r w:rsidR="00044201">
              <w:t xml:space="preserve">of </w:t>
            </w:r>
            <w:r w:rsidRPr="008340BB">
              <w:rPr>
                <w:rStyle w:val="hps"/>
              </w:rPr>
              <w:t xml:space="preserve">CF </w:t>
            </w:r>
            <w:r w:rsidR="00044201">
              <w:rPr>
                <w:rStyle w:val="hps"/>
              </w:rPr>
              <w:t>funds under</w:t>
            </w:r>
            <w:r w:rsidRPr="008340BB">
              <w:t xml:space="preserve"> </w:t>
            </w:r>
            <w:r w:rsidRPr="008340BB">
              <w:rPr>
                <w:rStyle w:val="hps"/>
              </w:rPr>
              <w:t>OPTTI,</w:t>
            </w:r>
            <w:r w:rsidRPr="008340BB">
              <w:t xml:space="preserve"> </w:t>
            </w:r>
            <w:r w:rsidRPr="008340BB">
              <w:rPr>
                <w:rStyle w:val="hps"/>
              </w:rPr>
              <w:t>the analysis of investments in</w:t>
            </w:r>
            <w:r w:rsidRPr="008340BB">
              <w:t xml:space="preserve"> </w:t>
            </w:r>
            <w:r w:rsidRPr="008340BB">
              <w:rPr>
                <w:rStyle w:val="hps"/>
              </w:rPr>
              <w:t>development of</w:t>
            </w:r>
            <w:r w:rsidRPr="008340BB">
              <w:t xml:space="preserve"> </w:t>
            </w:r>
            <w:r w:rsidRPr="008340BB">
              <w:rPr>
                <w:rStyle w:val="hps"/>
              </w:rPr>
              <w:t>transport infrastructure</w:t>
            </w:r>
            <w:r w:rsidRPr="008340BB">
              <w:t xml:space="preserve"> </w:t>
            </w:r>
            <w:r w:rsidRPr="008340BB">
              <w:rPr>
                <w:rStyle w:val="hps"/>
              </w:rPr>
              <w:t>under OPT 2007-2013, has been taken into account</w:t>
            </w:r>
            <w:r w:rsidRPr="008340BB">
              <w:t>. Distribution of CF</w:t>
            </w:r>
            <w:r w:rsidR="00044201">
              <w:t xml:space="preserve"> funds</w:t>
            </w:r>
            <w:r w:rsidRPr="008340BB">
              <w:t xml:space="preserve"> </w:t>
            </w:r>
            <w:r w:rsidR="00044201">
              <w:t>under</w:t>
            </w:r>
            <w:r w:rsidRPr="008340BB">
              <w:t xml:space="preserve"> OPT 2007-2013 is</w:t>
            </w:r>
            <w:r w:rsidR="00044201" w:rsidRPr="00435AC3">
              <w:t xml:space="preserve"> EUR</w:t>
            </w:r>
            <w:r w:rsidRPr="008340BB">
              <w:t xml:space="preserve"> 341</w:t>
            </w:r>
            <w:r w:rsidR="00F326F7">
              <w:t>,</w:t>
            </w:r>
            <w:r w:rsidRPr="008340BB">
              <w:t>390</w:t>
            </w:r>
            <w:r w:rsidR="00F326F7">
              <w:t>,</w:t>
            </w:r>
            <w:r w:rsidRPr="008340BB">
              <w:t>809 for rail infrastructure (27.19%), and</w:t>
            </w:r>
            <w:r w:rsidR="00D74C15" w:rsidRPr="00435AC3">
              <w:t xml:space="preserve"> EUR</w:t>
            </w:r>
            <w:r w:rsidRPr="008340BB">
              <w:t xml:space="preserve"> </w:t>
            </w:r>
            <w:r w:rsidRPr="008340BB">
              <w:lastRenderedPageBreak/>
              <w:t>727</w:t>
            </w:r>
            <w:r w:rsidR="00F326F7">
              <w:t>,</w:t>
            </w:r>
            <w:r w:rsidRPr="008340BB">
              <w:t>669</w:t>
            </w:r>
            <w:r w:rsidR="00F326F7">
              <w:t>,</w:t>
            </w:r>
            <w:r w:rsidRPr="008340BB">
              <w:t>892 for road infrastructure (57.95%), while the remaining</w:t>
            </w:r>
            <w:r w:rsidR="00D74C15" w:rsidRPr="00435AC3">
              <w:t xml:space="preserve"> EUR</w:t>
            </w:r>
            <w:r w:rsidRPr="008340BB">
              <w:t xml:space="preserve"> 186</w:t>
            </w:r>
            <w:r w:rsidR="00F326F7">
              <w:t>,</w:t>
            </w:r>
            <w:r w:rsidRPr="008340BB">
              <w:t>609</w:t>
            </w:r>
            <w:r w:rsidR="00F326F7">
              <w:t>,</w:t>
            </w:r>
            <w:r w:rsidRPr="008340BB">
              <w:t xml:space="preserve">191 (14.86%) have been invested in development of the subway in Sofia. </w:t>
            </w:r>
            <w:r w:rsidRPr="008340BB">
              <w:rPr>
                <w:rStyle w:val="hps"/>
              </w:rPr>
              <w:t>The actual</w:t>
            </w:r>
            <w:r w:rsidRPr="008340BB">
              <w:t xml:space="preserve"> </w:t>
            </w:r>
            <w:r w:rsidRPr="008340BB">
              <w:rPr>
                <w:rStyle w:val="hps"/>
              </w:rPr>
              <w:t>ratio of</w:t>
            </w:r>
            <w:r w:rsidRPr="008340BB">
              <w:t xml:space="preserve"> </w:t>
            </w:r>
            <w:r w:rsidRPr="008340BB">
              <w:rPr>
                <w:rStyle w:val="hps"/>
              </w:rPr>
              <w:t>investments</w:t>
            </w:r>
            <w:r w:rsidRPr="008340BB">
              <w:t xml:space="preserve"> </w:t>
            </w:r>
            <w:r w:rsidRPr="008340BB">
              <w:rPr>
                <w:rStyle w:val="hps"/>
              </w:rPr>
              <w:t>under</w:t>
            </w:r>
            <w:r w:rsidRPr="008340BB">
              <w:t xml:space="preserve"> </w:t>
            </w:r>
            <w:r w:rsidRPr="008340BB">
              <w:rPr>
                <w:rStyle w:val="hps"/>
              </w:rPr>
              <w:t>CF</w:t>
            </w:r>
            <w:r w:rsidRPr="008340BB">
              <w:t xml:space="preserve"> of </w:t>
            </w:r>
            <w:r w:rsidRPr="008340BB">
              <w:rPr>
                <w:rStyle w:val="hps"/>
              </w:rPr>
              <w:t>OPT</w:t>
            </w:r>
            <w:r w:rsidRPr="008340BB">
              <w:t xml:space="preserve"> </w:t>
            </w:r>
            <w:r w:rsidRPr="008340BB">
              <w:rPr>
                <w:rStyle w:val="hps"/>
              </w:rPr>
              <w:t>2007-2013</w:t>
            </w:r>
            <w:r w:rsidRPr="008340BB">
              <w:t xml:space="preserve"> </w:t>
            </w:r>
            <w:r w:rsidRPr="008340BB">
              <w:rPr>
                <w:rStyle w:val="hps"/>
              </w:rPr>
              <w:t>between</w:t>
            </w:r>
            <w:r w:rsidRPr="008340BB">
              <w:t xml:space="preserve"> </w:t>
            </w:r>
            <w:r w:rsidRPr="008340BB">
              <w:rPr>
                <w:rStyle w:val="hps"/>
              </w:rPr>
              <w:t>rail and road</w:t>
            </w:r>
            <w:r w:rsidRPr="008340BB">
              <w:t xml:space="preserve"> </w:t>
            </w:r>
            <w:r w:rsidRPr="008340BB">
              <w:rPr>
                <w:rStyle w:val="hps"/>
              </w:rPr>
              <w:t>infrastructure is</w:t>
            </w:r>
            <w:r w:rsidRPr="008340BB">
              <w:t xml:space="preserve"> </w:t>
            </w:r>
            <w:r w:rsidRPr="008340BB">
              <w:rPr>
                <w:rStyle w:val="hps"/>
              </w:rPr>
              <w:t>32% / 68%</w:t>
            </w:r>
            <w:r w:rsidRPr="008340BB">
              <w:t xml:space="preserve"> </w:t>
            </w:r>
            <w:r w:rsidRPr="008340BB">
              <w:rPr>
                <w:rStyle w:val="hps"/>
              </w:rPr>
              <w:t>or more than 2</w:t>
            </w:r>
            <w:r w:rsidRPr="008340BB">
              <w:t xml:space="preserve"> </w:t>
            </w:r>
            <w:r w:rsidRPr="008340BB">
              <w:rPr>
                <w:rStyle w:val="hps"/>
              </w:rPr>
              <w:t>times</w:t>
            </w:r>
            <w:r w:rsidRPr="008340BB">
              <w:t xml:space="preserve"> </w:t>
            </w:r>
            <w:r w:rsidRPr="008340BB">
              <w:rPr>
                <w:rStyle w:val="hps"/>
              </w:rPr>
              <w:t>in favour of</w:t>
            </w:r>
            <w:r w:rsidRPr="008340BB">
              <w:t xml:space="preserve"> </w:t>
            </w:r>
            <w:r w:rsidRPr="008340BB">
              <w:rPr>
                <w:rStyle w:val="hps"/>
              </w:rPr>
              <w:t>investment in</w:t>
            </w:r>
            <w:r w:rsidRPr="008340BB">
              <w:t xml:space="preserve"> </w:t>
            </w:r>
            <w:r w:rsidRPr="008340BB">
              <w:rPr>
                <w:rStyle w:val="hps"/>
              </w:rPr>
              <w:t>road infrastructure.</w:t>
            </w:r>
            <w:r w:rsidRPr="008340BB">
              <w:t xml:space="preserve"> </w:t>
            </w:r>
            <w:r w:rsidRPr="008340BB">
              <w:rPr>
                <w:rStyle w:val="hps"/>
              </w:rPr>
              <w:t>This trend</w:t>
            </w:r>
            <w:r w:rsidRPr="008340BB">
              <w:t xml:space="preserve"> </w:t>
            </w:r>
            <w:r w:rsidRPr="008340BB">
              <w:rPr>
                <w:rStyle w:val="hps"/>
              </w:rPr>
              <w:t>of</w:t>
            </w:r>
            <w:r w:rsidRPr="008340BB">
              <w:t xml:space="preserve"> </w:t>
            </w:r>
            <w:r w:rsidRPr="008340BB">
              <w:rPr>
                <w:rStyle w:val="hps"/>
              </w:rPr>
              <w:t>allocation of investment funds</w:t>
            </w:r>
            <w:r w:rsidRPr="008340BB">
              <w:t xml:space="preserve"> </w:t>
            </w:r>
            <w:r w:rsidRPr="008340BB">
              <w:rPr>
                <w:rStyle w:val="hps"/>
              </w:rPr>
              <w:t xml:space="preserve">to development </w:t>
            </w:r>
            <w:r w:rsidRPr="008340BB">
              <w:t xml:space="preserve">of </w:t>
            </w:r>
            <w:r w:rsidRPr="008340BB">
              <w:rPr>
                <w:rStyle w:val="hps"/>
              </w:rPr>
              <w:t>railway and</w:t>
            </w:r>
            <w:r w:rsidRPr="008340BB">
              <w:t xml:space="preserve"> </w:t>
            </w:r>
            <w:r w:rsidRPr="008340BB">
              <w:rPr>
                <w:rStyle w:val="hps"/>
              </w:rPr>
              <w:t>road infrastructures has been changed</w:t>
            </w:r>
            <w:r w:rsidRPr="008340BB">
              <w:t xml:space="preserve"> </w:t>
            </w:r>
            <w:r w:rsidRPr="008340BB">
              <w:rPr>
                <w:rStyle w:val="hps"/>
              </w:rPr>
              <w:t>in</w:t>
            </w:r>
            <w:r w:rsidRPr="008340BB">
              <w:t xml:space="preserve"> </w:t>
            </w:r>
            <w:r w:rsidRPr="008340BB">
              <w:rPr>
                <w:rStyle w:val="hps"/>
              </w:rPr>
              <w:t>OPTTI,</w:t>
            </w:r>
            <w:r w:rsidRPr="008340BB">
              <w:t xml:space="preserve"> where the equal funds </w:t>
            </w:r>
            <w:r w:rsidR="009A7B89">
              <w:t>we</w:t>
            </w:r>
            <w:r w:rsidRPr="008340BB">
              <w:t xml:space="preserve">re allocated to </w:t>
            </w:r>
            <w:r w:rsidRPr="008340BB">
              <w:rPr>
                <w:rStyle w:val="hps"/>
              </w:rPr>
              <w:t xml:space="preserve">railway and road. </w:t>
            </w:r>
          </w:p>
          <w:p w14:paraId="3D12D4F2" w14:textId="6B873DFF" w:rsidR="00F1341F" w:rsidRPr="008340BB" w:rsidRDefault="00F1341F" w:rsidP="00514FED">
            <w:pPr>
              <w:widowControl w:val="0"/>
              <w:autoSpaceDE w:val="0"/>
              <w:autoSpaceDN w:val="0"/>
              <w:adjustRightInd w:val="0"/>
              <w:ind w:right="-82"/>
            </w:pPr>
            <w:r w:rsidRPr="008340BB">
              <w:rPr>
                <w:lang w:eastAsia="bg-BG"/>
              </w:rPr>
              <w:t xml:space="preserve">With regard to the abovementioned, 50% of CF </w:t>
            </w:r>
            <w:r w:rsidR="009A7B89">
              <w:rPr>
                <w:lang w:eastAsia="bg-BG"/>
              </w:rPr>
              <w:t>wa</w:t>
            </w:r>
            <w:r w:rsidR="00D74C15">
              <w:rPr>
                <w:lang w:eastAsia="bg-BG"/>
              </w:rPr>
              <w:t>s allocated</w:t>
            </w:r>
            <w:r w:rsidRPr="008340BB">
              <w:rPr>
                <w:lang w:eastAsia="bg-BG"/>
              </w:rPr>
              <w:t xml:space="preserve"> </w:t>
            </w:r>
            <w:r w:rsidR="00D74C15">
              <w:rPr>
                <w:lang w:eastAsia="bg-BG"/>
              </w:rPr>
              <w:t>to</w:t>
            </w:r>
            <w:r w:rsidRPr="008340BB">
              <w:rPr>
                <w:lang w:eastAsia="bg-BG"/>
              </w:rPr>
              <w:t xml:space="preserve"> investments in railway infrastructure under </w:t>
            </w:r>
            <w:r w:rsidR="00196542">
              <w:rPr>
                <w:lang w:eastAsia="bg-BG"/>
              </w:rPr>
              <w:t>P</w:t>
            </w:r>
            <w:r w:rsidRPr="008340BB">
              <w:rPr>
                <w:lang w:eastAsia="bg-BG"/>
              </w:rPr>
              <w:t xml:space="preserve">riority axis 1 </w:t>
            </w:r>
            <w:r w:rsidR="00E7609E">
              <w:rPr>
                <w:lang w:eastAsia="bg-BG"/>
              </w:rPr>
              <w:t>(</w:t>
            </w:r>
            <w:r w:rsidRPr="008340BB">
              <w:rPr>
                <w:lang w:eastAsia="bg-BG"/>
              </w:rPr>
              <w:t>Development of railway infrastructure along the “core”</w:t>
            </w:r>
            <w:r w:rsidR="008A751A">
              <w:rPr>
                <w:lang w:eastAsia="bg-BG"/>
              </w:rPr>
              <w:t xml:space="preserve"> </w:t>
            </w:r>
            <w:r w:rsidR="00D12B6C">
              <w:rPr>
                <w:lang w:eastAsia="bg-BG"/>
              </w:rPr>
              <w:t xml:space="preserve">and </w:t>
            </w:r>
            <w:r w:rsidR="00D12B6C" w:rsidRPr="00D12B6C">
              <w:rPr>
                <w:lang w:eastAsia="bg-BG"/>
              </w:rPr>
              <w:t>“comprehensive”</w:t>
            </w:r>
            <w:r w:rsidR="00D12B6C">
              <w:rPr>
                <w:lang w:eastAsia="bg-BG"/>
              </w:rPr>
              <w:t xml:space="preserve"> </w:t>
            </w:r>
            <w:r w:rsidRPr="008340BB">
              <w:rPr>
                <w:lang w:eastAsia="bg-BG"/>
              </w:rPr>
              <w:t>Trans-European transport network</w:t>
            </w:r>
            <w:r w:rsidR="00E7609E">
              <w:rPr>
                <w:lang w:eastAsia="bg-BG"/>
              </w:rPr>
              <w:t>)</w:t>
            </w:r>
            <w:r w:rsidRPr="008340BB">
              <w:rPr>
                <w:lang w:eastAsia="bg-BG"/>
              </w:rPr>
              <w:t xml:space="preserve"> – investment priority “</w:t>
            </w:r>
            <w:r w:rsidRPr="008340BB">
              <w:t>Supporting a multi-modal Single European Transport Area by investing in Trans-European transport network”</w:t>
            </w:r>
            <w:r w:rsidRPr="008340BB">
              <w:rPr>
                <w:lang w:eastAsia="bg-BG"/>
              </w:rPr>
              <w:t>. In addition to the investments under the O</w:t>
            </w:r>
            <w:r w:rsidR="00D74C15">
              <w:rPr>
                <w:lang w:eastAsia="bg-BG"/>
              </w:rPr>
              <w:t>PTTI</w:t>
            </w:r>
            <w:r w:rsidR="00F326F7">
              <w:rPr>
                <w:lang w:eastAsia="bg-BG"/>
              </w:rPr>
              <w:t xml:space="preserve"> </w:t>
            </w:r>
            <w:r w:rsidR="00C76CE2">
              <w:rPr>
                <w:lang w:eastAsia="bg-BG"/>
              </w:rPr>
              <w:t>CEF</w:t>
            </w:r>
            <w:r w:rsidRPr="008340BB">
              <w:t xml:space="preserve"> </w:t>
            </w:r>
            <w:r w:rsidR="00D74C15">
              <w:t xml:space="preserve">funds </w:t>
            </w:r>
            <w:r w:rsidR="009A7B89">
              <w:t>we</w:t>
            </w:r>
            <w:r w:rsidRPr="008340BB">
              <w:t>re envisaged for modernisation of railway section</w:t>
            </w:r>
            <w:r w:rsidR="008A751A">
              <w:t xml:space="preserve"> </w:t>
            </w:r>
            <w:r w:rsidRPr="008340BB">
              <w:t>”V</w:t>
            </w:r>
            <w:r w:rsidR="008A751A">
              <w:t>oluyak</w:t>
            </w:r>
            <w:r w:rsidR="00890383" w:rsidRPr="008340BB">
              <w:t xml:space="preserve"> </w:t>
            </w:r>
            <w:r w:rsidRPr="008340BB">
              <w:t>-</w:t>
            </w:r>
            <w:r w:rsidR="00890383" w:rsidRPr="008340BB">
              <w:t xml:space="preserve"> </w:t>
            </w:r>
            <w:r w:rsidRPr="008340BB">
              <w:t>Sofia”</w:t>
            </w:r>
            <w:r w:rsidR="00D74C15">
              <w:t xml:space="preserve"> </w:t>
            </w:r>
            <w:r w:rsidR="008A751A">
              <w:t xml:space="preserve">as well </w:t>
            </w:r>
            <w:r w:rsidR="00D74C15">
              <w:t>a</w:t>
            </w:r>
            <w:r w:rsidR="008A751A">
              <w:t>s</w:t>
            </w:r>
            <w:r w:rsidR="00D74C15">
              <w:t xml:space="preserve"> </w:t>
            </w:r>
            <w:r w:rsidRPr="008340BB">
              <w:t xml:space="preserve">railway </w:t>
            </w:r>
            <w:r w:rsidR="008A751A">
              <w:t>sections</w:t>
            </w:r>
            <w:r w:rsidRPr="008340BB">
              <w:t xml:space="preserve"> “</w:t>
            </w:r>
            <w:r w:rsidR="008A751A">
              <w:t>Kostenetz</w:t>
            </w:r>
            <w:r w:rsidRPr="008340BB">
              <w:t xml:space="preserve"> - </w:t>
            </w:r>
            <w:r w:rsidR="008A751A">
              <w:t>Septemvri</w:t>
            </w:r>
            <w:r w:rsidRPr="008340BB">
              <w:t>”</w:t>
            </w:r>
            <w:r w:rsidR="008A751A">
              <w:t xml:space="preserve"> and </w:t>
            </w:r>
            <w:r w:rsidR="008A751A">
              <w:rPr>
                <w:lang w:val="en-US"/>
              </w:rPr>
              <w:t>project “</w:t>
            </w:r>
            <w:r w:rsidR="00234E71" w:rsidRPr="0094487E">
              <w:t>Modernisation of</w:t>
            </w:r>
            <w:r w:rsidR="00234E71">
              <w:rPr>
                <w:lang w:val="en-US"/>
              </w:rPr>
              <w:t xml:space="preserve"> rail</w:t>
            </w:r>
            <w:r w:rsidR="00DD3CAB">
              <w:rPr>
                <w:lang w:val="en-US"/>
              </w:rPr>
              <w:t>way</w:t>
            </w:r>
            <w:r w:rsidR="00234E71">
              <w:rPr>
                <w:lang w:val="en-US"/>
              </w:rPr>
              <w:t xml:space="preserve"> junction Plovdiv</w:t>
            </w:r>
            <w:r w:rsidR="008A751A">
              <w:rPr>
                <w:lang w:val="en-US"/>
              </w:rPr>
              <w:t>”</w:t>
            </w:r>
            <w:r w:rsidRPr="008340BB">
              <w:t>.</w:t>
            </w:r>
            <w:r w:rsidR="00234E71">
              <w:t xml:space="preserve"> </w:t>
            </w:r>
            <w:r w:rsidRPr="008340BB">
              <w:t xml:space="preserve"> </w:t>
            </w:r>
          </w:p>
          <w:p w14:paraId="16800FB3" w14:textId="490642C1" w:rsidR="00F1341F" w:rsidRDefault="00F1341F" w:rsidP="009C79F5">
            <w:pPr>
              <w:widowControl w:val="0"/>
              <w:autoSpaceDE w:val="0"/>
              <w:autoSpaceDN w:val="0"/>
              <w:adjustRightInd w:val="0"/>
              <w:ind w:right="71"/>
            </w:pPr>
            <w:r w:rsidRPr="008340BB">
              <w:t xml:space="preserve">The other 50% of CF </w:t>
            </w:r>
            <w:r w:rsidR="009A7B89">
              <w:t>wa</w:t>
            </w:r>
            <w:r w:rsidR="00F70425">
              <w:t xml:space="preserve">s </w:t>
            </w:r>
            <w:r w:rsidRPr="008340BB">
              <w:t xml:space="preserve">allocated </w:t>
            </w:r>
            <w:r w:rsidR="00F70425">
              <w:t>to</w:t>
            </w:r>
            <w:r w:rsidRPr="008340BB">
              <w:t xml:space="preserve"> investments in the road network under Priority axis 2 of the programme </w:t>
            </w:r>
            <w:r w:rsidRPr="008340BB">
              <w:rPr>
                <w:lang w:eastAsia="bg-BG"/>
              </w:rPr>
              <w:t>„Development of road infrastructure along the ”core” and “comprehensive” Trans-European transport network”</w:t>
            </w:r>
            <w:r w:rsidRPr="008340BB">
              <w:t>- investment</w:t>
            </w:r>
            <w:r w:rsidRPr="008340BB">
              <w:rPr>
                <w:lang w:eastAsia="bg-BG"/>
              </w:rPr>
              <w:t xml:space="preserve"> priority “</w:t>
            </w:r>
            <w:r w:rsidRPr="008340BB">
              <w:t>Supporting a multi-modal Single European Transport Area by investing in Trans-European transport network</w:t>
            </w:r>
            <w:r w:rsidRPr="008340BB">
              <w:rPr>
                <w:lang w:eastAsia="bg-BG"/>
              </w:rPr>
              <w:t>”</w:t>
            </w:r>
            <w:r w:rsidRPr="008340BB">
              <w:t>.</w:t>
            </w:r>
          </w:p>
          <w:p w14:paraId="5F29F67B" w14:textId="0B0098B7" w:rsidR="008D6ABD" w:rsidRPr="00DD48BB" w:rsidRDefault="008D6ABD" w:rsidP="008D6ABD">
            <w:pPr>
              <w:widowControl w:val="0"/>
              <w:autoSpaceDE w:val="0"/>
              <w:autoSpaceDN w:val="0"/>
              <w:adjustRightInd w:val="0"/>
              <w:ind w:right="71"/>
            </w:pPr>
            <w:r>
              <w:t xml:space="preserve">According to </w:t>
            </w:r>
            <w:r w:rsidR="00CC102C">
              <w:t>art. 22</w:t>
            </w:r>
            <w:r>
              <w:t xml:space="preserve"> of Regulation </w:t>
            </w:r>
            <w:r>
              <w:rPr>
                <w:lang w:val="en-US"/>
              </w:rPr>
              <w:t xml:space="preserve">(EU) No 1303/2013 of the European Parliament and of the Council the performance reserve under </w:t>
            </w:r>
            <w:r w:rsidR="00196542">
              <w:t>P</w:t>
            </w:r>
            <w:r w:rsidRPr="008D6ABD">
              <w:t>riority axis 1</w:t>
            </w:r>
            <w:r>
              <w:t xml:space="preserve"> was reallocated to </w:t>
            </w:r>
            <w:r w:rsidR="00196542" w:rsidRPr="00196542">
              <w:t>Priority axis 2</w:t>
            </w:r>
            <w:r w:rsidR="00196542">
              <w:rPr>
                <w:lang w:val="en-US"/>
              </w:rPr>
              <w:t xml:space="preserve">. </w:t>
            </w:r>
            <w:r w:rsidR="00EF6962">
              <w:rPr>
                <w:lang w:val="en-US"/>
              </w:rPr>
              <w:t>Based on the</w:t>
            </w:r>
            <w:r w:rsidR="00196542">
              <w:rPr>
                <w:lang w:val="en-US"/>
              </w:rPr>
              <w:t xml:space="preserve"> performance review </w:t>
            </w:r>
            <w:r w:rsidR="00EF6962">
              <w:rPr>
                <w:lang w:val="en-US"/>
              </w:rPr>
              <w:t xml:space="preserve">results </w:t>
            </w:r>
            <w:r w:rsidR="00196542">
              <w:rPr>
                <w:lang w:val="en-US"/>
              </w:rPr>
              <w:t xml:space="preserve">53 % of CF is </w:t>
            </w:r>
            <w:r w:rsidR="00196542" w:rsidRPr="00196542">
              <w:t>allocated to investments in the road network under Priority axis 2</w:t>
            </w:r>
            <w:r w:rsidR="00196542">
              <w:t xml:space="preserve"> and 47 % of CF is allocated</w:t>
            </w:r>
            <w:r w:rsidR="00196542" w:rsidRPr="00196542">
              <w:rPr>
                <w:lang w:eastAsia="bg-BG"/>
              </w:rPr>
              <w:t xml:space="preserve"> </w:t>
            </w:r>
            <w:r w:rsidR="00196542" w:rsidRPr="00196542">
              <w:t>to investments in railway infrastructure under</w:t>
            </w:r>
            <w:r w:rsidR="00196542">
              <w:t xml:space="preserve"> </w:t>
            </w:r>
            <w:r w:rsidR="00196542" w:rsidRPr="00196542">
              <w:t>Priority axis 1</w:t>
            </w:r>
            <w:r w:rsidR="00196542">
              <w:t>.</w:t>
            </w:r>
          </w:p>
          <w:p w14:paraId="49E6F9F4" w14:textId="103BBC5C" w:rsidR="00F1341F" w:rsidRPr="008340BB" w:rsidRDefault="00F1341F" w:rsidP="00514FED">
            <w:pPr>
              <w:widowControl w:val="0"/>
              <w:autoSpaceDE w:val="0"/>
              <w:autoSpaceDN w:val="0"/>
              <w:adjustRightInd w:val="0"/>
            </w:pPr>
            <w:r w:rsidRPr="008340BB">
              <w:rPr>
                <w:lang w:eastAsia="bg-BG"/>
              </w:rPr>
              <w:t xml:space="preserve">Under priority axis 3 </w:t>
            </w:r>
            <w:r w:rsidR="00E7609E">
              <w:rPr>
                <w:lang w:eastAsia="bg-BG"/>
              </w:rPr>
              <w:t>(</w:t>
            </w:r>
            <w:r w:rsidR="00E249CF">
              <w:rPr>
                <w:lang w:eastAsia="bg-BG"/>
              </w:rPr>
              <w:t>i</w:t>
            </w:r>
            <w:r w:rsidRPr="008340BB">
              <w:t>mprovement of intermodal transport services for passengers and freights and development of sustainable urban transport</w:t>
            </w:r>
            <w:r w:rsidR="00E7609E">
              <w:t>)</w:t>
            </w:r>
            <w:r w:rsidRPr="008340BB">
              <w:rPr>
                <w:lang w:eastAsia="bg-BG"/>
              </w:rPr>
              <w:t xml:space="preserve"> </w:t>
            </w:r>
            <w:r w:rsidRPr="008340BB">
              <w:t>77</w:t>
            </w:r>
            <w:r w:rsidR="00253A37">
              <w:t>.</w:t>
            </w:r>
            <w:r w:rsidR="006A3D3D">
              <w:rPr>
                <w:lang w:val="bg-BG"/>
              </w:rPr>
              <w:t>5</w:t>
            </w:r>
            <w:r w:rsidRPr="008340BB">
              <w:t xml:space="preserve">% of ERDF </w:t>
            </w:r>
            <w:r w:rsidR="005C04BF">
              <w:t>wa</w:t>
            </w:r>
            <w:r w:rsidR="00FE2E78">
              <w:t>s allocated</w:t>
            </w:r>
            <w:r w:rsidRPr="008340BB">
              <w:t xml:space="preserve"> </w:t>
            </w:r>
            <w:r w:rsidR="00FE2E78">
              <w:t>to</w:t>
            </w:r>
            <w:r w:rsidRPr="008340BB">
              <w:t xml:space="preserve"> investments in improvement of infrastructure for intermodal transportations and enhancement of quality of services for passengers and freights </w:t>
            </w:r>
            <w:r w:rsidRPr="008340BB">
              <w:rPr>
                <w:lang w:eastAsia="bg-BG"/>
              </w:rPr>
              <w:t>- investment priority „</w:t>
            </w:r>
            <w:r w:rsidRPr="008340BB">
              <w:t xml:space="preserve">Supporting a multi-modal Single European Transport Area by investing in </w:t>
            </w:r>
            <w:r w:rsidR="00E249CF">
              <w:t>the TEN-T</w:t>
            </w:r>
            <w:r w:rsidRPr="008340BB">
              <w:t xml:space="preserve">” </w:t>
            </w:r>
            <w:r w:rsidRPr="008340BB">
              <w:rPr>
                <w:lang w:eastAsia="bg-BG"/>
              </w:rPr>
              <w:t>–</w:t>
            </w:r>
            <w:r w:rsidR="005B153A">
              <w:rPr>
                <w:lang w:val="bg-BG" w:eastAsia="bg-BG"/>
              </w:rPr>
              <w:t>3</w:t>
            </w:r>
            <w:r w:rsidR="00253A37">
              <w:rPr>
                <w:lang w:eastAsia="bg-BG"/>
              </w:rPr>
              <w:t>.</w:t>
            </w:r>
            <w:r w:rsidRPr="008340BB">
              <w:rPr>
                <w:lang w:eastAsia="bg-BG"/>
              </w:rPr>
              <w:t>3% and investment priority “Promoting low-carbon strategies for all types of territories, in particular for urban areas, including the promotion of sustainable multimodal urban mobility and mitigation-relevant adaptation measures</w:t>
            </w:r>
            <w:r w:rsidRPr="008340BB">
              <w:t>”</w:t>
            </w:r>
            <w:r w:rsidRPr="008340BB">
              <w:rPr>
                <w:lang w:eastAsia="bg-BG"/>
              </w:rPr>
              <w:t xml:space="preserve"> </w:t>
            </w:r>
            <w:r w:rsidRPr="008340BB">
              <w:t>– 7</w:t>
            </w:r>
            <w:r w:rsidR="005B153A">
              <w:rPr>
                <w:lang w:val="bg-BG"/>
              </w:rPr>
              <w:t>4</w:t>
            </w:r>
            <w:r w:rsidR="009C5A83">
              <w:rPr>
                <w:lang w:val="en-US"/>
              </w:rPr>
              <w:t>.</w:t>
            </w:r>
            <w:r w:rsidR="005B153A">
              <w:rPr>
                <w:lang w:val="en-US"/>
              </w:rPr>
              <w:t>2</w:t>
            </w:r>
            <w:r w:rsidRPr="008340BB">
              <w:t xml:space="preserve"> %. </w:t>
            </w:r>
          </w:p>
          <w:p w14:paraId="6B59F7F0" w14:textId="7F4D8CB2" w:rsidR="005C04BF" w:rsidRDefault="00F1341F" w:rsidP="005C04BF">
            <w:pPr>
              <w:pStyle w:val="BodyTextIndent"/>
              <w:spacing w:after="0"/>
              <w:ind w:left="0"/>
              <w:rPr>
                <w:lang w:val="en-GB" w:eastAsia="bg-BG"/>
              </w:rPr>
            </w:pPr>
            <w:r w:rsidRPr="008340BB">
              <w:rPr>
                <w:lang w:val="en-GB" w:eastAsia="en-GB"/>
              </w:rPr>
              <w:t xml:space="preserve">The </w:t>
            </w:r>
            <w:r w:rsidR="00E526D0">
              <w:rPr>
                <w:lang w:val="en-GB" w:eastAsia="en-GB"/>
              </w:rPr>
              <w:t xml:space="preserve">remaining </w:t>
            </w:r>
            <w:r w:rsidRPr="008340BB">
              <w:rPr>
                <w:lang w:val="en-GB" w:eastAsia="en-GB"/>
              </w:rPr>
              <w:t>22</w:t>
            </w:r>
            <w:r w:rsidR="00253A37">
              <w:rPr>
                <w:lang w:val="en-GB" w:eastAsia="en-GB"/>
              </w:rPr>
              <w:t>.</w:t>
            </w:r>
            <w:r w:rsidR="000A3736">
              <w:rPr>
                <w:lang w:val="en-GB" w:eastAsia="en-GB"/>
              </w:rPr>
              <w:t>5</w:t>
            </w:r>
            <w:r w:rsidRPr="008340BB">
              <w:rPr>
                <w:lang w:val="en-GB" w:eastAsia="en-GB"/>
              </w:rPr>
              <w:t xml:space="preserve">% of ERDF </w:t>
            </w:r>
            <w:r w:rsidR="005C04BF">
              <w:rPr>
                <w:lang w:val="en-GB" w:eastAsia="en-GB"/>
              </w:rPr>
              <w:t>wa</w:t>
            </w:r>
            <w:r w:rsidR="00DB1BA9">
              <w:rPr>
                <w:lang w:val="en-GB" w:eastAsia="en-GB"/>
              </w:rPr>
              <w:t>s</w:t>
            </w:r>
            <w:r w:rsidRPr="008340BB">
              <w:rPr>
                <w:lang w:val="en-GB" w:eastAsia="en-GB"/>
              </w:rPr>
              <w:t xml:space="preserve"> allocated </w:t>
            </w:r>
            <w:r w:rsidR="00DB1BA9">
              <w:rPr>
                <w:lang w:val="en-GB" w:eastAsia="en-GB"/>
              </w:rPr>
              <w:t>to</w:t>
            </w:r>
            <w:r w:rsidRPr="008340BB">
              <w:rPr>
                <w:lang w:val="en-GB" w:eastAsia="en-GB"/>
              </w:rPr>
              <w:t xml:space="preserve"> priority axis 4 </w:t>
            </w:r>
            <w:r w:rsidR="00E7609E">
              <w:rPr>
                <w:lang w:val="en-GB" w:eastAsia="en-GB"/>
              </w:rPr>
              <w:t>(</w:t>
            </w:r>
            <w:r w:rsidRPr="008340BB">
              <w:rPr>
                <w:lang w:val="en-GB" w:eastAsia="en-GB"/>
              </w:rPr>
              <w:t>Innovations in management and services - establishment of modern infrastructure for traffic management and transport safety improvement</w:t>
            </w:r>
            <w:r w:rsidR="00E7609E">
              <w:rPr>
                <w:lang w:val="en-GB" w:eastAsia="en-GB"/>
              </w:rPr>
              <w:t>)</w:t>
            </w:r>
            <w:r w:rsidR="004817DD">
              <w:t xml:space="preserve"> (</w:t>
            </w:r>
            <w:r w:rsidR="004817DD" w:rsidRPr="008340BB">
              <w:rPr>
                <w:lang w:val="en-GB" w:eastAsia="en-GB"/>
              </w:rPr>
              <w:t>1</w:t>
            </w:r>
            <w:r w:rsidR="000A3736">
              <w:rPr>
                <w:lang w:val="en-GB" w:eastAsia="en-GB"/>
              </w:rPr>
              <w:t>3.7</w:t>
            </w:r>
            <w:r w:rsidR="004817DD" w:rsidRPr="008340BB">
              <w:rPr>
                <w:lang w:val="en-GB" w:eastAsia="en-GB"/>
              </w:rPr>
              <w:t>%</w:t>
            </w:r>
            <w:r w:rsidR="004817DD">
              <w:t>)</w:t>
            </w:r>
            <w:r w:rsidRPr="008340BB">
              <w:rPr>
                <w:lang w:val="en-GB" w:eastAsia="en-GB"/>
              </w:rPr>
              <w:t xml:space="preserve"> and priority axis 5 </w:t>
            </w:r>
            <w:r w:rsidR="00E7609E">
              <w:rPr>
                <w:lang w:val="en-GB" w:eastAsia="en-GB"/>
              </w:rPr>
              <w:t>(</w:t>
            </w:r>
            <w:r w:rsidR="00E249CF">
              <w:rPr>
                <w:lang w:val="en-GB" w:eastAsia="en-GB"/>
              </w:rPr>
              <w:t>t</w:t>
            </w:r>
            <w:r w:rsidRPr="008340BB">
              <w:rPr>
                <w:lang w:val="en-GB" w:eastAsia="en-GB"/>
              </w:rPr>
              <w:t>echnical assistance</w:t>
            </w:r>
            <w:r w:rsidR="00E7609E">
              <w:rPr>
                <w:lang w:val="en-GB" w:eastAsia="en-GB"/>
              </w:rPr>
              <w:t>)</w:t>
            </w:r>
            <w:r w:rsidRPr="008340BB">
              <w:rPr>
                <w:lang w:val="en-GB" w:eastAsia="en-GB"/>
              </w:rPr>
              <w:t xml:space="preserve"> </w:t>
            </w:r>
            <w:r w:rsidR="004817DD">
              <w:t>(</w:t>
            </w:r>
            <w:r w:rsidRPr="008340BB">
              <w:rPr>
                <w:lang w:val="en-GB" w:eastAsia="en-GB"/>
              </w:rPr>
              <w:t>8</w:t>
            </w:r>
            <w:r w:rsidR="00253A37">
              <w:rPr>
                <w:lang w:val="en-GB" w:eastAsia="en-GB"/>
              </w:rPr>
              <w:t>.</w:t>
            </w:r>
            <w:r w:rsidR="000A3736">
              <w:rPr>
                <w:lang w:val="en-GB" w:eastAsia="en-GB"/>
              </w:rPr>
              <w:t>8</w:t>
            </w:r>
            <w:r w:rsidRPr="008340BB">
              <w:rPr>
                <w:lang w:val="en-GB" w:eastAsia="en-GB"/>
              </w:rPr>
              <w:t>%</w:t>
            </w:r>
            <w:r w:rsidR="004817DD">
              <w:t>)</w:t>
            </w:r>
            <w:r w:rsidRPr="008340BB">
              <w:rPr>
                <w:lang w:val="en-GB" w:eastAsia="en-GB"/>
              </w:rPr>
              <w:t xml:space="preserve">. The funds under priority axis 4 </w:t>
            </w:r>
            <w:r w:rsidR="005C04BF">
              <w:rPr>
                <w:lang w:val="en-GB" w:eastAsia="en-GB"/>
              </w:rPr>
              <w:t>we</w:t>
            </w:r>
            <w:r w:rsidRPr="008340BB">
              <w:rPr>
                <w:lang w:val="en-GB" w:eastAsia="en-GB"/>
              </w:rPr>
              <w:t xml:space="preserve">re allocated </w:t>
            </w:r>
            <w:r w:rsidR="00E316EC">
              <w:rPr>
                <w:lang w:val="en-GB" w:eastAsia="en-GB"/>
              </w:rPr>
              <w:t xml:space="preserve">to </w:t>
            </w:r>
            <w:r w:rsidRPr="008340BB">
              <w:rPr>
                <w:lang w:val="en-GB" w:eastAsia="en-GB"/>
              </w:rPr>
              <w:t xml:space="preserve">the following investment priorities – investment priority </w:t>
            </w:r>
            <w:r w:rsidRPr="008340BB">
              <w:rPr>
                <w:lang w:val="en-GB" w:eastAsia="bg-BG"/>
              </w:rPr>
              <w:t>“</w:t>
            </w:r>
            <w:r w:rsidRPr="008340BB">
              <w:rPr>
                <w:lang w:val="en-GB" w:eastAsia="en-GB"/>
              </w:rPr>
              <w:t>Developi</w:t>
            </w:r>
            <w:r w:rsidR="00890383" w:rsidRPr="008340BB">
              <w:rPr>
                <w:lang w:val="en-GB" w:eastAsia="en-GB"/>
              </w:rPr>
              <w:t xml:space="preserve">ng and improving environmental </w:t>
            </w:r>
            <w:r w:rsidRPr="008340BB">
              <w:rPr>
                <w:lang w:val="en-GB" w:eastAsia="en-GB"/>
              </w:rPr>
              <w:t>friendly, including low-noise and low-carbon transport systems including inland waterways and maritime transport, ports, multimodal links and airport infrastructure, in order to promote sustainable regional and local mobility”</w:t>
            </w:r>
            <w:r w:rsidR="00FC265B">
              <w:t xml:space="preserve"> (</w:t>
            </w:r>
            <w:r w:rsidR="000A3736">
              <w:rPr>
                <w:lang w:val="en-US"/>
              </w:rPr>
              <w:t>7.6</w:t>
            </w:r>
            <w:r w:rsidRPr="008340BB">
              <w:rPr>
                <w:lang w:val="en-GB" w:eastAsia="en-GB"/>
              </w:rPr>
              <w:t>%</w:t>
            </w:r>
            <w:r w:rsidR="00FC265B">
              <w:t>)</w:t>
            </w:r>
            <w:r w:rsidRPr="008340BB">
              <w:rPr>
                <w:lang w:val="en-GB" w:eastAsia="en-GB"/>
              </w:rPr>
              <w:t xml:space="preserve"> and investment priority “Developing and rehabilitating comprehensive, high quality and interoperable railway systems, and promoting noise-reduction measures”</w:t>
            </w:r>
            <w:r w:rsidRPr="008340BB">
              <w:rPr>
                <w:lang w:val="en-GB" w:eastAsia="bg-BG"/>
              </w:rPr>
              <w:t xml:space="preserve"> </w:t>
            </w:r>
            <w:r w:rsidR="00FC265B">
              <w:t>(</w:t>
            </w:r>
            <w:r w:rsidR="000A3736">
              <w:rPr>
                <w:lang w:val="en-US"/>
              </w:rPr>
              <w:t>6.1</w:t>
            </w:r>
            <w:r w:rsidRPr="008340BB">
              <w:rPr>
                <w:lang w:val="en-GB" w:eastAsia="bg-BG"/>
              </w:rPr>
              <w:t>%</w:t>
            </w:r>
            <w:r w:rsidR="00FC265B">
              <w:t>)</w:t>
            </w:r>
            <w:r w:rsidRPr="008340BB">
              <w:rPr>
                <w:lang w:val="en-GB" w:eastAsia="bg-BG"/>
              </w:rPr>
              <w:t xml:space="preserve"> of funds. </w:t>
            </w:r>
          </w:p>
          <w:p w14:paraId="66139A22" w14:textId="749A19B2" w:rsidR="005C04BF" w:rsidRDefault="005C04BF" w:rsidP="005C04BF">
            <w:pPr>
              <w:pStyle w:val="BodyTextIndent"/>
              <w:spacing w:after="0"/>
              <w:ind w:left="0"/>
              <w:rPr>
                <w:lang w:val="en-GB"/>
              </w:rPr>
            </w:pPr>
            <w:r w:rsidRPr="005C04BF">
              <w:t xml:space="preserve">According to </w:t>
            </w:r>
            <w:r w:rsidR="00CC102C">
              <w:t>art. 22</w:t>
            </w:r>
            <w:r w:rsidRPr="005C04BF">
              <w:t xml:space="preserve"> of Regulation </w:t>
            </w:r>
            <w:r w:rsidRPr="005C04BF">
              <w:rPr>
                <w:lang w:val="en-US"/>
              </w:rPr>
              <w:t xml:space="preserve">(EU) No 1303/2013 of the European Parliament and of the Council the performance reserve under </w:t>
            </w:r>
            <w:r w:rsidRPr="005C04BF">
              <w:t xml:space="preserve">Priority axis </w:t>
            </w:r>
            <w:r>
              <w:rPr>
                <w:lang w:val="en-US"/>
              </w:rPr>
              <w:t>4</w:t>
            </w:r>
            <w:r w:rsidRPr="005C04BF">
              <w:t xml:space="preserve"> was reallocated to Priority axis </w:t>
            </w:r>
            <w:r>
              <w:rPr>
                <w:lang w:val="en-US"/>
              </w:rPr>
              <w:t xml:space="preserve">3. </w:t>
            </w:r>
            <w:r w:rsidR="00EF6962">
              <w:rPr>
                <w:lang w:val="en-US"/>
              </w:rPr>
              <w:t xml:space="preserve">Based on </w:t>
            </w:r>
            <w:r>
              <w:rPr>
                <w:lang w:val="en-US"/>
              </w:rPr>
              <w:t xml:space="preserve">the performance review </w:t>
            </w:r>
            <w:r w:rsidR="00EF6962">
              <w:rPr>
                <w:lang w:val="en-US"/>
              </w:rPr>
              <w:t xml:space="preserve">results </w:t>
            </w:r>
            <w:r w:rsidR="00A72AC4">
              <w:rPr>
                <w:lang w:val="en-US"/>
              </w:rPr>
              <w:t>7</w:t>
            </w:r>
            <w:r>
              <w:rPr>
                <w:lang w:val="en-US"/>
              </w:rPr>
              <w:t>8.3 % of ERD</w:t>
            </w:r>
            <w:r w:rsidRPr="005C04BF">
              <w:rPr>
                <w:lang w:val="en-US"/>
              </w:rPr>
              <w:t xml:space="preserve">F </w:t>
            </w:r>
            <w:r w:rsidR="00461D53">
              <w:rPr>
                <w:lang w:val="en-US"/>
              </w:rPr>
              <w:t>wa</w:t>
            </w:r>
            <w:r w:rsidRPr="005C04BF">
              <w:rPr>
                <w:lang w:val="en-US"/>
              </w:rPr>
              <w:t xml:space="preserve">s </w:t>
            </w:r>
            <w:r w:rsidRPr="005C04BF">
              <w:t xml:space="preserve">allocated to investments </w:t>
            </w:r>
            <w:r>
              <w:rPr>
                <w:lang w:val="en-US"/>
              </w:rPr>
              <w:t>un</w:t>
            </w:r>
            <w:r>
              <w:t xml:space="preserve">der Priority axis 3 </w:t>
            </w:r>
            <w:r w:rsidRPr="005C04BF">
              <w:t xml:space="preserve"> </w:t>
            </w:r>
            <w:r w:rsidR="00A35518">
              <w:rPr>
                <w:lang w:val="en-US"/>
              </w:rPr>
              <w:t>(</w:t>
            </w:r>
            <w:r w:rsidR="00EF6962" w:rsidRPr="00EF6962">
              <w:rPr>
                <w:lang w:val="en-GB"/>
              </w:rPr>
              <w:t>investment priority „Supporting a multi-modal Single European Transport Area by investing in the TEN-T” –</w:t>
            </w:r>
            <w:r w:rsidR="00EF6962">
              <w:rPr>
                <w:lang w:val="en-GB"/>
              </w:rPr>
              <w:t xml:space="preserve"> 2</w:t>
            </w:r>
            <w:r w:rsidR="00EF6962" w:rsidRPr="00EF6962">
              <w:rPr>
                <w:lang w:val="en-GB"/>
              </w:rPr>
              <w:t>.</w:t>
            </w:r>
            <w:r w:rsidR="00EF6962">
              <w:rPr>
                <w:lang w:val="en-GB"/>
              </w:rPr>
              <w:t xml:space="preserve">7 </w:t>
            </w:r>
            <w:r w:rsidR="00EF6962" w:rsidRPr="00EF6962">
              <w:rPr>
                <w:lang w:val="en-GB"/>
              </w:rPr>
              <w:t>% and investment priority “Promoting low-carbon strategies for all types of territories, in particular for urban areas, including the promotion of sustainable multimodal urban mobility and mitigation-relevant adaptation measures” – 7</w:t>
            </w:r>
            <w:r w:rsidR="00EF6962">
              <w:rPr>
                <w:lang w:val="en-GB"/>
              </w:rPr>
              <w:t>5</w:t>
            </w:r>
            <w:r w:rsidR="00EF6962" w:rsidRPr="00EF6962">
              <w:rPr>
                <w:lang w:val="en-US"/>
              </w:rPr>
              <w:t>.</w:t>
            </w:r>
            <w:r w:rsidR="00EF6962">
              <w:rPr>
                <w:lang w:val="en-US"/>
              </w:rPr>
              <w:t>6</w:t>
            </w:r>
            <w:r w:rsidR="00EF6962" w:rsidRPr="00EF6962">
              <w:rPr>
                <w:lang w:val="en-GB"/>
              </w:rPr>
              <w:t xml:space="preserve"> %</w:t>
            </w:r>
            <w:r w:rsidR="00A35518">
              <w:rPr>
                <w:lang w:val="en-US"/>
              </w:rPr>
              <w:t>)</w:t>
            </w:r>
            <w:r w:rsidR="00EF6962">
              <w:rPr>
                <w:lang w:val="en-US"/>
              </w:rPr>
              <w:t>.</w:t>
            </w:r>
            <w:r w:rsidR="00A35518">
              <w:rPr>
                <w:lang w:val="en-US"/>
              </w:rPr>
              <w:t xml:space="preserve"> </w:t>
            </w:r>
            <w:r w:rsidR="00EF6962" w:rsidRPr="00EF6962">
              <w:rPr>
                <w:lang w:val="en-GB"/>
              </w:rPr>
              <w:t>The remaining</w:t>
            </w:r>
            <w:r w:rsidRPr="00EF6962">
              <w:rPr>
                <w:lang w:val="en-GB"/>
              </w:rPr>
              <w:t xml:space="preserve"> 1</w:t>
            </w:r>
            <w:r w:rsidR="007A1086" w:rsidRPr="00EF6962">
              <w:rPr>
                <w:lang w:val="en-GB"/>
              </w:rPr>
              <w:t>2</w:t>
            </w:r>
            <w:r w:rsidRPr="00EF6962">
              <w:rPr>
                <w:lang w:val="en-GB"/>
              </w:rPr>
              <w:t>.</w:t>
            </w:r>
            <w:r w:rsidR="007A1086" w:rsidRPr="00EF6962">
              <w:rPr>
                <w:lang w:val="en-GB"/>
              </w:rPr>
              <w:t>9</w:t>
            </w:r>
            <w:r w:rsidRPr="00EF6962">
              <w:rPr>
                <w:lang w:val="en-GB"/>
              </w:rPr>
              <w:t xml:space="preserve"> % of  ERDF </w:t>
            </w:r>
            <w:r w:rsidR="00461D53">
              <w:rPr>
                <w:lang w:val="en-GB"/>
              </w:rPr>
              <w:t>wa</w:t>
            </w:r>
            <w:r w:rsidRPr="00EF6962">
              <w:rPr>
                <w:lang w:val="en-GB"/>
              </w:rPr>
              <w:t xml:space="preserve">s allocated to investments under Priority axis 4 </w:t>
            </w:r>
            <w:r w:rsidR="00A35518" w:rsidRPr="00EF6962">
              <w:rPr>
                <w:lang w:val="en-GB"/>
              </w:rPr>
              <w:t xml:space="preserve"> (</w:t>
            </w:r>
            <w:r w:rsidR="00B73878" w:rsidRPr="00B73878">
              <w:rPr>
                <w:lang w:val="en-GB"/>
              </w:rPr>
              <w:t xml:space="preserve">investment priority “Developing and improving environmental friendly, including low-noise and low-carbon transport systems </w:t>
            </w:r>
            <w:r w:rsidR="00B73878" w:rsidRPr="00B73878">
              <w:rPr>
                <w:lang w:val="en-GB"/>
              </w:rPr>
              <w:lastRenderedPageBreak/>
              <w:t xml:space="preserve">including inland waterways and maritime transport, ports, multimodal links and airport infrastructure, in order to promote sustainable regional and local mobility” </w:t>
            </w:r>
            <w:r w:rsidR="00B73878" w:rsidRPr="00B14B8A">
              <w:rPr>
                <w:lang w:val="en-GB"/>
              </w:rPr>
              <w:t>(</w:t>
            </w:r>
            <w:r w:rsidR="00DE032C" w:rsidRPr="00DE3E40">
              <w:rPr>
                <w:lang w:val="en-US"/>
              </w:rPr>
              <w:t>7.4</w:t>
            </w:r>
            <w:r w:rsidR="00B73878" w:rsidRPr="00B14B8A">
              <w:rPr>
                <w:lang w:val="en-GB"/>
              </w:rPr>
              <w:t>%)</w:t>
            </w:r>
            <w:r w:rsidR="00B73878" w:rsidRPr="00B73878">
              <w:rPr>
                <w:lang w:val="en-GB"/>
              </w:rPr>
              <w:t xml:space="preserve"> and investment priority “Developing and rehabilitating comprehensive, high quality and interoperable railway systems, and promoting noise-reduction measures” </w:t>
            </w:r>
            <w:r w:rsidR="00B73878" w:rsidRPr="00B14B8A">
              <w:rPr>
                <w:lang w:val="en-GB"/>
              </w:rPr>
              <w:t>(</w:t>
            </w:r>
            <w:r w:rsidR="00C966EA" w:rsidRPr="00B14B8A">
              <w:rPr>
                <w:lang w:val="en-US"/>
              </w:rPr>
              <w:t>5</w:t>
            </w:r>
            <w:r w:rsidR="00B73878" w:rsidRPr="009A60D2">
              <w:rPr>
                <w:lang w:val="en-US"/>
              </w:rPr>
              <w:t>.</w:t>
            </w:r>
            <w:r w:rsidR="00DE032C" w:rsidRPr="00DE3E40">
              <w:rPr>
                <w:lang w:val="en-US"/>
              </w:rPr>
              <w:t>5</w:t>
            </w:r>
            <w:r w:rsidR="00B73878" w:rsidRPr="00B14B8A">
              <w:rPr>
                <w:lang w:val="en-GB"/>
              </w:rPr>
              <w:t>%</w:t>
            </w:r>
            <w:r w:rsidR="00B73878" w:rsidRPr="00B73878">
              <w:rPr>
                <w:lang w:val="en-GB"/>
              </w:rPr>
              <w:t xml:space="preserve"> of funds</w:t>
            </w:r>
            <w:r w:rsidR="00A35518" w:rsidRPr="00EF6962">
              <w:rPr>
                <w:lang w:val="en-GB"/>
              </w:rPr>
              <w:t>)</w:t>
            </w:r>
            <w:r w:rsidRPr="00EF6962">
              <w:rPr>
                <w:lang w:val="en-GB"/>
              </w:rPr>
              <w:t>.</w:t>
            </w:r>
          </w:p>
          <w:p w14:paraId="5D5BED63" w14:textId="542AB80D" w:rsidR="00E169E6" w:rsidRPr="00CF5754" w:rsidRDefault="00E169E6" w:rsidP="005C04BF">
            <w:pPr>
              <w:pStyle w:val="BodyTextIndent"/>
              <w:spacing w:after="0"/>
              <w:ind w:left="0"/>
              <w:rPr>
                <w:lang w:val="en-GB"/>
              </w:rPr>
            </w:pPr>
            <w:r w:rsidRPr="00CF5754">
              <w:rPr>
                <w:lang w:val="en-GB"/>
              </w:rPr>
              <w:t xml:space="preserve">The funds under Priority axis 5 </w:t>
            </w:r>
            <w:r w:rsidR="00653E1E" w:rsidRPr="00CF5754">
              <w:rPr>
                <w:lang w:val="en-GB"/>
              </w:rPr>
              <w:t xml:space="preserve">at the amount of 8.8% </w:t>
            </w:r>
            <w:r w:rsidR="00BA613F" w:rsidRPr="00CF5754">
              <w:rPr>
                <w:lang w:val="en-GB"/>
              </w:rPr>
              <w:t>we</w:t>
            </w:r>
            <w:r w:rsidRPr="00CF5754">
              <w:rPr>
                <w:lang w:val="en-GB"/>
              </w:rPr>
              <w:t xml:space="preserve">re not changed. </w:t>
            </w:r>
          </w:p>
          <w:p w14:paraId="5DBA2973" w14:textId="28421BD6" w:rsidR="00150E6E" w:rsidRPr="007355EB" w:rsidRDefault="00C065AC" w:rsidP="00150E6E">
            <w:pPr>
              <w:pStyle w:val="BodyTextIndent"/>
              <w:spacing w:after="0"/>
              <w:ind w:left="0"/>
              <w:rPr>
                <w:iCs/>
                <w:lang w:val="en-US"/>
              </w:rPr>
            </w:pPr>
            <w:r w:rsidRPr="00CF5754">
              <w:rPr>
                <w:lang w:val="en"/>
              </w:rPr>
              <w:t>Following the reduction of the total ERDF funds under the programme due to the need to re-allocate part of them to the COVID-19 Emergency, ERDF funds under Priority axis 3 represent 82.1% of ERDF, 79.3% under investment priority “</w:t>
            </w:r>
            <w:r w:rsidRPr="00CF5754">
              <w:rPr>
                <w:lang w:val="en-GB"/>
              </w:rPr>
              <w:t xml:space="preserve">Promoting low-carbon strategies for all types of territories, in particular for urban areas, including the promotion of sustainable multimodal urban mobility and mitigation-relevant adaptation measures” </w:t>
            </w:r>
            <w:r w:rsidRPr="00CF5754">
              <w:rPr>
                <w:lang w:val="en"/>
              </w:rPr>
              <w:t xml:space="preserve">and </w:t>
            </w:r>
            <w:r w:rsidRPr="00CF5754">
              <w:rPr>
                <w:iCs/>
                <w:lang w:val="en-GB"/>
              </w:rPr>
              <w:t>2,8% under investment priority</w:t>
            </w:r>
            <w:r w:rsidRPr="00CF5754">
              <w:rPr>
                <w:lang w:val="en-GB" w:eastAsia="en-GB"/>
              </w:rPr>
              <w:t xml:space="preserve"> </w:t>
            </w:r>
            <w:r w:rsidRPr="00CF5754">
              <w:rPr>
                <w:iCs/>
                <w:lang w:val="en-GB"/>
              </w:rPr>
              <w:t xml:space="preserve">Supporting a multi-modal Single European Transport Area by investing in the TEN-T” </w:t>
            </w:r>
            <w:r w:rsidRPr="00CF5754">
              <w:rPr>
                <w:iCs/>
                <w:lang w:val="en"/>
              </w:rPr>
              <w:t>respectively.</w:t>
            </w:r>
            <w:r w:rsidRPr="00CF5754">
              <w:rPr>
                <w:iCs/>
                <w:lang w:val="en-GB"/>
              </w:rPr>
              <w:t xml:space="preserve"> </w:t>
            </w:r>
            <w:r w:rsidR="00EA088C" w:rsidRPr="00CF5754">
              <w:rPr>
                <w:iCs/>
                <w:lang w:val="en-GB"/>
              </w:rPr>
              <w:t xml:space="preserve">The remaining ERDF funds are allocated </w:t>
            </w:r>
            <w:r w:rsidR="00EA088C" w:rsidRPr="00CF5754">
              <w:rPr>
                <w:iCs/>
                <w:lang w:val="en"/>
              </w:rPr>
              <w:t xml:space="preserve">between Priority axis 4 and Priority axis 5. </w:t>
            </w:r>
            <w:r w:rsidR="004B3242" w:rsidRPr="00CF5754">
              <w:rPr>
                <w:iCs/>
                <w:lang w:val="en"/>
              </w:rPr>
              <w:t>The allocation under</w:t>
            </w:r>
            <w:r w:rsidR="004B3242" w:rsidRPr="00CF5754">
              <w:rPr>
                <w:iCs/>
                <w:lang w:val="en-GB"/>
              </w:rPr>
              <w:t xml:space="preserve"> Priority axis 4, investment priority “Developing and improving environmental friendly, including low-noise and low-carbon transport systems including inland waterways and maritime transport, ports, multimodal links and airport infrastructure, in order to promote sustainable regional and local mobility” is 8,7 % </w:t>
            </w:r>
            <w:r w:rsidR="006472B0" w:rsidRPr="00CF5754">
              <w:rPr>
                <w:iCs/>
                <w:lang w:val="en-GB"/>
              </w:rPr>
              <w:t xml:space="preserve">of </w:t>
            </w:r>
            <w:r w:rsidR="004B3242" w:rsidRPr="00CF5754">
              <w:rPr>
                <w:iCs/>
                <w:lang w:val="en-GB"/>
              </w:rPr>
              <w:t xml:space="preserve">ERDF. The </w:t>
            </w:r>
            <w:r w:rsidR="00DF7223" w:rsidRPr="00CF5754">
              <w:rPr>
                <w:iCs/>
                <w:lang w:val="en-GB"/>
              </w:rPr>
              <w:t>funds under Priority axis 5  are</w:t>
            </w:r>
            <w:r w:rsidR="004B3242" w:rsidRPr="00CF5754">
              <w:rPr>
                <w:iCs/>
                <w:lang w:val="en-GB"/>
              </w:rPr>
              <w:t xml:space="preserve"> 9,2 %.</w:t>
            </w:r>
            <w:r w:rsidR="00150E6E" w:rsidRPr="00150E6E">
              <w:rPr>
                <w:lang w:val="en-GB" w:eastAsia="en-GB"/>
              </w:rPr>
              <w:t xml:space="preserve"> </w:t>
            </w:r>
          </w:p>
          <w:p w14:paraId="054682C9" w14:textId="0B32A288" w:rsidR="00C065AC" w:rsidRPr="007355EB" w:rsidRDefault="00150E6E" w:rsidP="00150E6E">
            <w:pPr>
              <w:pStyle w:val="BodyTextIndent"/>
              <w:spacing w:after="0"/>
              <w:ind w:left="0"/>
            </w:pPr>
            <w:r w:rsidRPr="007355EB">
              <w:rPr>
                <w:iCs/>
                <w:lang w:val="en-GB"/>
              </w:rPr>
              <w:t xml:space="preserve">After </w:t>
            </w:r>
            <w:r w:rsidR="00075700" w:rsidRPr="007355EB">
              <w:rPr>
                <w:iCs/>
                <w:lang w:val="en"/>
              </w:rPr>
              <w:t>the internal reallocation of funds in relation to the projects implementation status and the envisaged additional projects, funds under Priority axis 1 represent 5</w:t>
            </w:r>
            <w:r w:rsidR="00B60FBD" w:rsidRPr="007355EB">
              <w:rPr>
                <w:iCs/>
                <w:lang w:val="en"/>
              </w:rPr>
              <w:t>6</w:t>
            </w:r>
            <w:r w:rsidR="00075700" w:rsidRPr="007355EB">
              <w:rPr>
                <w:iCs/>
                <w:lang w:val="en"/>
              </w:rPr>
              <w:t xml:space="preserve"> % of CF.</w:t>
            </w:r>
            <w:r w:rsidR="00AB4973" w:rsidRPr="007355EB">
              <w:rPr>
                <w:iCs/>
                <w:lang w:val="en"/>
              </w:rPr>
              <w:t xml:space="preserve"> The remaining </w:t>
            </w:r>
            <w:r w:rsidR="00B60FBD" w:rsidRPr="007355EB">
              <w:rPr>
                <w:iCs/>
                <w:lang w:val="en"/>
              </w:rPr>
              <w:t>44</w:t>
            </w:r>
            <w:r w:rsidR="00AB4973" w:rsidRPr="007355EB">
              <w:rPr>
                <w:iCs/>
                <w:lang w:val="en"/>
              </w:rPr>
              <w:t xml:space="preserve"> </w:t>
            </w:r>
            <w:r w:rsidR="0048165B" w:rsidRPr="007355EB">
              <w:rPr>
                <w:iCs/>
                <w:lang w:val="en"/>
              </w:rPr>
              <w:t xml:space="preserve">% </w:t>
            </w:r>
            <w:r w:rsidR="00D4134A" w:rsidRPr="007355EB">
              <w:rPr>
                <w:iCs/>
                <w:lang w:val="en"/>
              </w:rPr>
              <w:t xml:space="preserve">of CF </w:t>
            </w:r>
            <w:r w:rsidR="00AB4973" w:rsidRPr="007355EB">
              <w:rPr>
                <w:iCs/>
                <w:lang w:val="en"/>
              </w:rPr>
              <w:t>are allocated under Priority axis 2.</w:t>
            </w:r>
            <w:r w:rsidR="00075700" w:rsidRPr="007355EB">
              <w:rPr>
                <w:iCs/>
                <w:lang w:val="en"/>
              </w:rPr>
              <w:t xml:space="preserve"> </w:t>
            </w:r>
            <w:r w:rsidR="00DF7223" w:rsidRPr="007355EB">
              <w:rPr>
                <w:iCs/>
                <w:lang w:val="en-GB"/>
              </w:rPr>
              <w:t xml:space="preserve"> </w:t>
            </w:r>
            <w:r w:rsidR="004B3242" w:rsidRPr="007355EB">
              <w:rPr>
                <w:iCs/>
                <w:lang w:val="en-GB"/>
              </w:rPr>
              <w:t xml:space="preserve"> </w:t>
            </w:r>
          </w:p>
          <w:p w14:paraId="5EBDC9B3" w14:textId="3E366636" w:rsidR="00973E59" w:rsidRPr="00D83F68" w:rsidRDefault="00D83F68" w:rsidP="005C04BF">
            <w:pPr>
              <w:pStyle w:val="BodyTextIndent"/>
              <w:spacing w:after="0"/>
              <w:ind w:left="0"/>
              <w:rPr>
                <w:lang w:val="en-US"/>
              </w:rPr>
            </w:pPr>
            <w:r w:rsidRPr="00406A4C">
              <w:rPr>
                <w:lang w:val="en-GB"/>
              </w:rPr>
              <w:t xml:space="preserve">For the application of the Safe tool and after the reallocation based on the status of the projects' implementation and the need to include additional projects, the funds from the CF under axis 1 are </w:t>
            </w:r>
            <w:r w:rsidR="005A7D85" w:rsidRPr="00406A4C">
              <w:rPr>
                <w:lang w:val="en-GB"/>
              </w:rPr>
              <w:t>44,39</w:t>
            </w:r>
            <w:r w:rsidR="005A7D85" w:rsidRPr="00406A4C">
              <w:rPr>
                <w:lang w:val="en-US"/>
              </w:rPr>
              <w:t xml:space="preserve"> </w:t>
            </w:r>
            <w:r w:rsidRPr="00406A4C">
              <w:rPr>
                <w:lang w:val="en-GB"/>
              </w:rPr>
              <w:t xml:space="preserve">%, under axis 2 - </w:t>
            </w:r>
            <w:r w:rsidR="005B4EE2" w:rsidRPr="00406A4C">
              <w:rPr>
                <w:lang w:val="en-GB"/>
              </w:rPr>
              <w:t>42,63</w:t>
            </w:r>
            <w:r w:rsidR="005B4EE2" w:rsidRPr="00406A4C">
              <w:rPr>
                <w:lang w:val="en-US"/>
              </w:rPr>
              <w:t xml:space="preserve"> </w:t>
            </w:r>
            <w:r w:rsidRPr="00406A4C">
              <w:rPr>
                <w:lang w:val="en-GB"/>
              </w:rPr>
              <w:t xml:space="preserve">% and on axis 6 - </w:t>
            </w:r>
            <w:r w:rsidR="00597CF6" w:rsidRPr="00406A4C">
              <w:rPr>
                <w:lang w:val="en-US"/>
              </w:rPr>
              <w:t xml:space="preserve">12,98 </w:t>
            </w:r>
            <w:r w:rsidRPr="00406A4C">
              <w:rPr>
                <w:lang w:val="en-GB"/>
              </w:rPr>
              <w:t xml:space="preserve">%, and on ERDF - 81.26% on axis 3, 10.83% on axis 4, </w:t>
            </w:r>
            <w:r w:rsidR="00335E5D" w:rsidRPr="00406A4C">
              <w:rPr>
                <w:lang w:val="en-US"/>
              </w:rPr>
              <w:t>6,89</w:t>
            </w:r>
            <w:r w:rsidR="00335E5D" w:rsidRPr="00406A4C">
              <w:rPr>
                <w:lang w:val="en-GB"/>
              </w:rPr>
              <w:t xml:space="preserve"> </w:t>
            </w:r>
            <w:r w:rsidRPr="00406A4C">
              <w:rPr>
                <w:lang w:val="en-GB"/>
              </w:rPr>
              <w:t xml:space="preserve">% on axis 5 and </w:t>
            </w:r>
            <w:r w:rsidR="00CA68A4" w:rsidRPr="00406A4C">
              <w:rPr>
                <w:lang w:val="en-US"/>
              </w:rPr>
              <w:t xml:space="preserve">1,03 </w:t>
            </w:r>
            <w:r w:rsidRPr="00406A4C">
              <w:rPr>
                <w:lang w:val="en-GB"/>
              </w:rPr>
              <w:t>% on axis 6.</w:t>
            </w:r>
          </w:p>
          <w:p w14:paraId="3D0FDAC2" w14:textId="38C02C18" w:rsidR="005C04BF" w:rsidRPr="008340BB" w:rsidRDefault="005C04BF" w:rsidP="000A3736">
            <w:pPr>
              <w:pStyle w:val="BodyTextIndent"/>
              <w:spacing w:after="0"/>
              <w:ind w:left="0"/>
              <w:rPr>
                <w:lang w:val="en-GB" w:eastAsia="en-GB"/>
              </w:rPr>
            </w:pPr>
          </w:p>
        </w:tc>
      </w:tr>
    </w:tbl>
    <w:p w14:paraId="7FB9C455" w14:textId="77777777" w:rsidR="00F1341F" w:rsidRPr="008340BB" w:rsidRDefault="00F1341F" w:rsidP="00F03C1E">
      <w:pPr>
        <w:pStyle w:val="ListBullet1"/>
        <w:tabs>
          <w:tab w:val="clear" w:pos="765"/>
        </w:tabs>
        <w:rPr>
          <w:lang w:val="en-GB"/>
        </w:rPr>
        <w:sectPr w:rsidR="00F1341F" w:rsidRPr="008340BB" w:rsidSect="001E1D6F">
          <w:footerReference w:type="default" r:id="rId8"/>
          <w:pgSz w:w="11907" w:h="16839" w:code="9"/>
          <w:pgMar w:top="1134" w:right="1418" w:bottom="1134" w:left="1361" w:header="709" w:footer="709" w:gutter="0"/>
          <w:pgNumType w:start="0"/>
          <w:cols w:space="708"/>
          <w:docGrid w:linePitch="360"/>
        </w:sectPr>
      </w:pPr>
    </w:p>
    <w:p w14:paraId="14ADF43B" w14:textId="77777777" w:rsidR="00F1341F" w:rsidRPr="008340BB" w:rsidRDefault="00F1341F" w:rsidP="00CC38B6">
      <w:pPr>
        <w:rPr>
          <w:b/>
        </w:rPr>
      </w:pPr>
      <w:r w:rsidRPr="0048045F">
        <w:rPr>
          <w:b/>
        </w:rPr>
        <w:lastRenderedPageBreak/>
        <w:t>Table 2:</w:t>
      </w:r>
      <w:r w:rsidRPr="008340BB">
        <w:rPr>
          <w:b/>
        </w:rPr>
        <w:t xml:space="preserve"> </w:t>
      </w:r>
      <w:r w:rsidRPr="008340BB">
        <w:rPr>
          <w:b/>
        </w:rPr>
        <w:tab/>
        <w:t>Overview of the investment strategy of the operational programme</w:t>
      </w:r>
    </w:p>
    <w:tbl>
      <w:tblPr>
        <w:tblW w:w="15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255"/>
        <w:gridCol w:w="1445"/>
        <w:gridCol w:w="1260"/>
        <w:gridCol w:w="8280"/>
        <w:gridCol w:w="1989"/>
        <w:gridCol w:w="11"/>
      </w:tblGrid>
      <w:tr w:rsidR="00F1341F" w:rsidRPr="008340BB" w14:paraId="6147D5A4" w14:textId="77777777" w:rsidTr="00723745">
        <w:trPr>
          <w:trHeight w:val="961"/>
        </w:trPr>
        <w:tc>
          <w:tcPr>
            <w:tcW w:w="1008" w:type="dxa"/>
          </w:tcPr>
          <w:p w14:paraId="707F3EF1" w14:textId="77777777" w:rsidR="00F1341F" w:rsidRPr="008340BB" w:rsidRDefault="00F1341F" w:rsidP="00F03C1E">
            <w:pPr>
              <w:pStyle w:val="Text1"/>
              <w:ind w:left="0"/>
              <w:rPr>
                <w:b/>
                <w:sz w:val="18"/>
                <w:szCs w:val="18"/>
                <w:lang w:val="en-GB" w:eastAsia="en-GB"/>
              </w:rPr>
            </w:pPr>
            <w:r w:rsidRPr="008340BB">
              <w:rPr>
                <w:b/>
                <w:sz w:val="18"/>
                <w:szCs w:val="18"/>
                <w:lang w:val="en-GB" w:eastAsia="en-GB"/>
              </w:rPr>
              <w:t xml:space="preserve">Priority axis </w:t>
            </w:r>
          </w:p>
        </w:tc>
        <w:tc>
          <w:tcPr>
            <w:tcW w:w="1255" w:type="dxa"/>
          </w:tcPr>
          <w:p w14:paraId="5C9E96A4" w14:textId="77777777" w:rsidR="00F1341F" w:rsidRPr="008340BB" w:rsidRDefault="00F1341F" w:rsidP="00BB6B05">
            <w:pPr>
              <w:pStyle w:val="Text1"/>
              <w:ind w:left="0"/>
              <w:rPr>
                <w:b/>
                <w:sz w:val="18"/>
                <w:szCs w:val="18"/>
                <w:lang w:val="en-GB" w:eastAsia="en-GB"/>
              </w:rPr>
            </w:pPr>
            <w:r w:rsidRPr="008340BB">
              <w:rPr>
                <w:b/>
                <w:sz w:val="18"/>
                <w:szCs w:val="18"/>
                <w:lang w:val="en-GB" w:eastAsia="en-GB"/>
              </w:rPr>
              <w:t>Fund (ERDF</w:t>
            </w:r>
            <w:r w:rsidRPr="008340BB">
              <w:rPr>
                <w:rStyle w:val="FootnoteReference"/>
                <w:b/>
                <w:sz w:val="18"/>
                <w:szCs w:val="18"/>
                <w:lang w:val="en-GB" w:eastAsia="en-GB"/>
              </w:rPr>
              <w:footnoteReference w:id="9"/>
            </w:r>
            <w:r w:rsidRPr="008340BB">
              <w:rPr>
                <w:b/>
                <w:sz w:val="18"/>
                <w:szCs w:val="18"/>
                <w:lang w:val="en-GB" w:eastAsia="en-GB"/>
              </w:rPr>
              <w:t>, Cohesion Fund, ESF</w:t>
            </w:r>
            <w:r w:rsidRPr="008340BB">
              <w:rPr>
                <w:rStyle w:val="FootnoteReference"/>
                <w:b/>
                <w:sz w:val="18"/>
                <w:szCs w:val="18"/>
                <w:lang w:val="en-GB" w:eastAsia="en-GB"/>
              </w:rPr>
              <w:footnoteReference w:id="10"/>
            </w:r>
            <w:r w:rsidRPr="008340BB">
              <w:rPr>
                <w:b/>
                <w:sz w:val="18"/>
                <w:szCs w:val="18"/>
                <w:lang w:val="en-GB" w:eastAsia="en-GB"/>
              </w:rPr>
              <w:t>) or, YEI)</w:t>
            </w:r>
            <w:r w:rsidRPr="008340BB">
              <w:rPr>
                <w:rStyle w:val="FootnoteReference"/>
                <w:b/>
                <w:sz w:val="18"/>
                <w:szCs w:val="18"/>
                <w:lang w:val="en-GB" w:eastAsia="en-GB"/>
              </w:rPr>
              <w:t xml:space="preserve"> </w:t>
            </w:r>
            <w:r w:rsidRPr="008340BB">
              <w:rPr>
                <w:rStyle w:val="FootnoteReference"/>
                <w:b/>
                <w:sz w:val="18"/>
                <w:szCs w:val="18"/>
                <w:lang w:val="en-GB" w:eastAsia="en-GB"/>
              </w:rPr>
              <w:footnoteReference w:id="11"/>
            </w:r>
          </w:p>
        </w:tc>
        <w:tc>
          <w:tcPr>
            <w:tcW w:w="1445" w:type="dxa"/>
          </w:tcPr>
          <w:p w14:paraId="4B05EB6B" w14:textId="77777777" w:rsidR="00F1341F" w:rsidRPr="008340BB" w:rsidRDefault="00F1341F" w:rsidP="00F03C1E">
            <w:pPr>
              <w:pStyle w:val="Text1"/>
              <w:ind w:left="0"/>
              <w:rPr>
                <w:b/>
                <w:sz w:val="18"/>
                <w:szCs w:val="18"/>
                <w:lang w:val="en-GB" w:eastAsia="en-GB"/>
              </w:rPr>
            </w:pPr>
            <w:r w:rsidRPr="008340BB">
              <w:rPr>
                <w:b/>
                <w:sz w:val="18"/>
                <w:szCs w:val="18"/>
                <w:lang w:val="en-GB" w:eastAsia="en-GB"/>
              </w:rPr>
              <w:t>Union support</w:t>
            </w:r>
            <w:r w:rsidRPr="008340BB">
              <w:rPr>
                <w:rStyle w:val="FootnoteReference"/>
                <w:b/>
                <w:sz w:val="18"/>
                <w:szCs w:val="18"/>
                <w:lang w:val="en-GB" w:eastAsia="en-GB"/>
              </w:rPr>
              <w:footnoteReference w:id="12"/>
            </w:r>
            <w:r w:rsidRPr="008340BB">
              <w:rPr>
                <w:b/>
                <w:sz w:val="18"/>
                <w:szCs w:val="18"/>
                <w:lang w:val="en-GB" w:eastAsia="en-GB"/>
              </w:rPr>
              <w:t xml:space="preserve"> </w:t>
            </w:r>
          </w:p>
          <w:p w14:paraId="3D25398B" w14:textId="77777777" w:rsidR="00F1341F" w:rsidRPr="008340BB" w:rsidRDefault="00F1341F" w:rsidP="009F2DA8">
            <w:pPr>
              <w:pStyle w:val="Text1"/>
              <w:ind w:left="0"/>
              <w:rPr>
                <w:b/>
                <w:sz w:val="18"/>
                <w:szCs w:val="18"/>
                <w:lang w:val="en-GB" w:eastAsia="en-GB"/>
              </w:rPr>
            </w:pPr>
            <w:r w:rsidRPr="008340BB">
              <w:rPr>
                <w:b/>
                <w:sz w:val="18"/>
                <w:szCs w:val="18"/>
                <w:lang w:val="en-GB" w:eastAsia="en-GB"/>
              </w:rPr>
              <w:t xml:space="preserve">(EUR) </w:t>
            </w:r>
          </w:p>
        </w:tc>
        <w:tc>
          <w:tcPr>
            <w:tcW w:w="1260" w:type="dxa"/>
          </w:tcPr>
          <w:p w14:paraId="581D62E2" w14:textId="77777777" w:rsidR="00F1341F" w:rsidRPr="008340BB" w:rsidRDefault="00F1341F" w:rsidP="008C66F2">
            <w:pPr>
              <w:pStyle w:val="Text1"/>
              <w:ind w:left="0"/>
              <w:rPr>
                <w:b/>
                <w:sz w:val="18"/>
                <w:szCs w:val="18"/>
                <w:lang w:val="en-GB" w:eastAsia="en-GB"/>
              </w:rPr>
            </w:pPr>
            <w:r w:rsidRPr="0048045F">
              <w:rPr>
                <w:b/>
                <w:sz w:val="18"/>
                <w:szCs w:val="18"/>
                <w:lang w:val="en-GB" w:eastAsia="en-GB"/>
              </w:rPr>
              <w:t>Proportion of total Union support for the operational programme</w:t>
            </w:r>
            <w:r w:rsidRPr="008340BB">
              <w:rPr>
                <w:b/>
                <w:sz w:val="18"/>
                <w:szCs w:val="18"/>
                <w:lang w:val="en-GB" w:eastAsia="en-GB"/>
              </w:rPr>
              <w:t xml:space="preserve"> </w:t>
            </w:r>
            <w:r w:rsidRPr="008340BB">
              <w:rPr>
                <w:rStyle w:val="FootnoteReference"/>
                <w:b/>
                <w:sz w:val="18"/>
                <w:szCs w:val="18"/>
                <w:lang w:val="en-GB" w:eastAsia="en-GB"/>
              </w:rPr>
              <w:footnoteReference w:id="13"/>
            </w:r>
          </w:p>
        </w:tc>
        <w:tc>
          <w:tcPr>
            <w:tcW w:w="8280" w:type="dxa"/>
          </w:tcPr>
          <w:p w14:paraId="7A676CB0" w14:textId="77777777" w:rsidR="00F1341F" w:rsidRPr="008340BB" w:rsidRDefault="00F1341F" w:rsidP="00F03C1E">
            <w:pPr>
              <w:pStyle w:val="Text1"/>
              <w:ind w:left="0"/>
              <w:rPr>
                <w:b/>
                <w:sz w:val="18"/>
                <w:szCs w:val="18"/>
                <w:lang w:val="en-GB" w:eastAsia="en-GB"/>
              </w:rPr>
            </w:pPr>
            <w:r w:rsidRPr="008340BB">
              <w:rPr>
                <w:b/>
                <w:sz w:val="18"/>
                <w:szCs w:val="18"/>
                <w:lang w:val="en-GB" w:eastAsia="en-GB"/>
              </w:rPr>
              <w:t>Thematic objective</w:t>
            </w:r>
            <w:r w:rsidRPr="008340BB">
              <w:rPr>
                <w:rStyle w:val="FootnoteReference"/>
                <w:b/>
                <w:sz w:val="18"/>
                <w:szCs w:val="18"/>
                <w:lang w:val="en-GB" w:eastAsia="en-GB"/>
              </w:rPr>
              <w:footnoteReference w:id="14"/>
            </w:r>
            <w:r w:rsidRPr="008340BB">
              <w:rPr>
                <w:b/>
                <w:sz w:val="18"/>
                <w:szCs w:val="18"/>
                <w:lang w:val="en-GB" w:eastAsia="en-GB"/>
              </w:rPr>
              <w:t>/</w:t>
            </w:r>
            <w:r w:rsidRPr="006B199A">
              <w:rPr>
                <w:b/>
                <w:sz w:val="18"/>
                <w:szCs w:val="18"/>
                <w:lang w:val="en-GB" w:eastAsia="en-GB"/>
              </w:rPr>
              <w:t>Investment priorities</w:t>
            </w:r>
            <w:r w:rsidRPr="008340BB">
              <w:rPr>
                <w:b/>
                <w:sz w:val="18"/>
                <w:szCs w:val="18"/>
                <w:lang w:val="en-GB" w:eastAsia="en-GB"/>
              </w:rPr>
              <w:t xml:space="preserve"> </w:t>
            </w:r>
            <w:r w:rsidRPr="008340BB">
              <w:rPr>
                <w:rStyle w:val="FootnoteReference"/>
                <w:b/>
                <w:sz w:val="18"/>
                <w:szCs w:val="18"/>
                <w:lang w:val="en-GB" w:eastAsia="en-GB"/>
              </w:rPr>
              <w:footnoteReference w:id="15"/>
            </w:r>
            <w:r w:rsidRPr="008340BB">
              <w:rPr>
                <w:b/>
                <w:sz w:val="18"/>
                <w:szCs w:val="18"/>
                <w:lang w:val="en-GB" w:eastAsia="en-GB"/>
              </w:rPr>
              <w:t>/Specific objectives corresponding to the investment priority</w:t>
            </w:r>
          </w:p>
          <w:p w14:paraId="6CC18E0D" w14:textId="77777777" w:rsidR="00F1341F" w:rsidRPr="008340BB" w:rsidRDefault="00F1341F" w:rsidP="00F03C1E">
            <w:pPr>
              <w:pStyle w:val="Text1"/>
              <w:ind w:left="0"/>
              <w:rPr>
                <w:i/>
                <w:sz w:val="18"/>
                <w:szCs w:val="18"/>
                <w:lang w:val="en-GB" w:eastAsia="en-GB"/>
              </w:rPr>
            </w:pPr>
          </w:p>
        </w:tc>
        <w:tc>
          <w:tcPr>
            <w:tcW w:w="2000" w:type="dxa"/>
            <w:gridSpan w:val="2"/>
          </w:tcPr>
          <w:p w14:paraId="58737B23" w14:textId="77777777" w:rsidR="00F1341F" w:rsidRPr="008340BB" w:rsidRDefault="00F1341F" w:rsidP="008C66F2">
            <w:pPr>
              <w:pStyle w:val="Text1"/>
              <w:ind w:left="0"/>
              <w:rPr>
                <w:b/>
                <w:sz w:val="18"/>
                <w:szCs w:val="18"/>
                <w:lang w:val="en-GB" w:eastAsia="en-GB"/>
              </w:rPr>
            </w:pPr>
            <w:r w:rsidRPr="008340BB">
              <w:rPr>
                <w:b/>
                <w:sz w:val="18"/>
                <w:szCs w:val="18"/>
                <w:lang w:val="en-GB" w:eastAsia="en-GB"/>
              </w:rPr>
              <w:t>Common and programme-specific result indicators for which a target has been set</w:t>
            </w:r>
          </w:p>
        </w:tc>
      </w:tr>
      <w:tr w:rsidR="00F1341F" w:rsidRPr="008340BB" w14:paraId="30D19B70" w14:textId="77777777" w:rsidTr="00723745">
        <w:tc>
          <w:tcPr>
            <w:tcW w:w="1008" w:type="dxa"/>
          </w:tcPr>
          <w:p w14:paraId="1BDBCBF2" w14:textId="77777777" w:rsidR="00F1341F" w:rsidRPr="008340BB" w:rsidRDefault="00F1341F" w:rsidP="00AD1981">
            <w:pPr>
              <w:spacing w:after="0"/>
              <w:jc w:val="left"/>
              <w:rPr>
                <w:sz w:val="18"/>
                <w:szCs w:val="18"/>
              </w:rPr>
            </w:pPr>
            <w:r w:rsidRPr="008340BB">
              <w:rPr>
                <w:sz w:val="20"/>
              </w:rPr>
              <w:t>1</w:t>
            </w:r>
          </w:p>
        </w:tc>
        <w:tc>
          <w:tcPr>
            <w:tcW w:w="1255" w:type="dxa"/>
          </w:tcPr>
          <w:p w14:paraId="5A2BD4CF" w14:textId="77777777" w:rsidR="00F1341F" w:rsidRPr="008340BB" w:rsidRDefault="00F1341F" w:rsidP="00AD1981">
            <w:pPr>
              <w:pStyle w:val="Text1"/>
              <w:ind w:left="0"/>
              <w:jc w:val="left"/>
              <w:rPr>
                <w:sz w:val="18"/>
                <w:szCs w:val="18"/>
                <w:lang w:val="en-GB" w:eastAsia="en-GB"/>
              </w:rPr>
            </w:pPr>
            <w:r w:rsidRPr="008340BB">
              <w:rPr>
                <w:sz w:val="20"/>
                <w:lang w:val="en-GB" w:eastAsia="en-GB"/>
              </w:rPr>
              <w:t>CF</w:t>
            </w:r>
          </w:p>
        </w:tc>
        <w:tc>
          <w:tcPr>
            <w:tcW w:w="1445" w:type="dxa"/>
          </w:tcPr>
          <w:p w14:paraId="095F50FC" w14:textId="0ABAD3C9" w:rsidR="00A60F3D" w:rsidRPr="00406A4C" w:rsidRDefault="00A60F3D" w:rsidP="00A60F3D">
            <w:pPr>
              <w:spacing w:after="0"/>
              <w:ind w:left="72" w:hanging="180"/>
              <w:jc w:val="center"/>
              <w:rPr>
                <w:sz w:val="20"/>
                <w:lang w:val="bg-BG"/>
              </w:rPr>
            </w:pPr>
          </w:p>
          <w:p w14:paraId="0D85629D" w14:textId="1536DA72" w:rsidR="00E4347A" w:rsidRPr="00406A4C" w:rsidRDefault="00E4347A" w:rsidP="00E4347A">
            <w:pPr>
              <w:spacing w:after="0"/>
              <w:ind w:left="72" w:hanging="180"/>
              <w:jc w:val="center"/>
              <w:rPr>
                <w:sz w:val="20"/>
                <w:lang w:val="bg-BG"/>
              </w:rPr>
            </w:pPr>
          </w:p>
          <w:p w14:paraId="21E39D37" w14:textId="77777777" w:rsidR="005C6113" w:rsidRPr="00406A4C" w:rsidRDefault="005C6113" w:rsidP="005C6113">
            <w:pPr>
              <w:spacing w:after="0"/>
              <w:ind w:left="72" w:hanging="180"/>
              <w:jc w:val="center"/>
              <w:rPr>
                <w:bCs/>
                <w:sz w:val="20"/>
                <w:lang w:val="bg-BG"/>
              </w:rPr>
            </w:pPr>
            <w:r w:rsidRPr="00406A4C">
              <w:rPr>
                <w:bCs/>
                <w:sz w:val="20"/>
                <w:lang w:val="bg-BG"/>
              </w:rPr>
              <w:t>480 354 023,00</w:t>
            </w:r>
          </w:p>
          <w:p w14:paraId="023829B8" w14:textId="77777777" w:rsidR="00E4347A" w:rsidRPr="00406A4C" w:rsidRDefault="00E4347A" w:rsidP="00A60F3D">
            <w:pPr>
              <w:spacing w:after="0"/>
              <w:ind w:left="72" w:hanging="180"/>
              <w:jc w:val="center"/>
              <w:rPr>
                <w:sz w:val="20"/>
                <w:lang w:val="bg-BG"/>
              </w:rPr>
            </w:pPr>
          </w:p>
          <w:p w14:paraId="5E8FF77E" w14:textId="6DC104EF" w:rsidR="00A01812" w:rsidRPr="00406A4C" w:rsidRDefault="00A01812" w:rsidP="00A60F3D">
            <w:pPr>
              <w:spacing w:after="0"/>
              <w:ind w:left="72" w:hanging="180"/>
              <w:jc w:val="center"/>
              <w:rPr>
                <w:sz w:val="20"/>
              </w:rPr>
            </w:pPr>
          </w:p>
        </w:tc>
        <w:tc>
          <w:tcPr>
            <w:tcW w:w="1260" w:type="dxa"/>
          </w:tcPr>
          <w:p w14:paraId="67470788" w14:textId="4F7AD3E4" w:rsidR="008E1756" w:rsidRPr="00406A4C" w:rsidRDefault="008E1756" w:rsidP="00A5165F">
            <w:pPr>
              <w:rPr>
                <w:sz w:val="20"/>
                <w:szCs w:val="22"/>
                <w:lang w:val="x-none" w:eastAsia="bg-BG"/>
              </w:rPr>
            </w:pPr>
          </w:p>
          <w:p w14:paraId="399A8AF9" w14:textId="262FB496" w:rsidR="00A01812" w:rsidRPr="00406A4C" w:rsidRDefault="00E4347A" w:rsidP="00E4347A">
            <w:pPr>
              <w:spacing w:after="0"/>
              <w:ind w:left="145" w:hanging="704"/>
              <w:jc w:val="center"/>
              <w:rPr>
                <w:sz w:val="20"/>
              </w:rPr>
            </w:pPr>
            <w:r w:rsidRPr="00406A4C">
              <w:rPr>
                <w:sz w:val="20"/>
                <w:lang w:val="en-US"/>
              </w:rPr>
              <w:t xml:space="preserve"> </w:t>
            </w:r>
          </w:p>
          <w:p w14:paraId="0362FB58" w14:textId="361199B1" w:rsidR="00A5165F" w:rsidRPr="00406A4C" w:rsidRDefault="00A5165F" w:rsidP="00A5165F">
            <w:pPr>
              <w:spacing w:after="0"/>
              <w:ind w:left="145" w:hanging="704"/>
              <w:jc w:val="center"/>
              <w:rPr>
                <w:sz w:val="20"/>
                <w:lang w:val="en-US"/>
              </w:rPr>
            </w:pPr>
            <w:r w:rsidRPr="00406A4C">
              <w:rPr>
                <w:sz w:val="20"/>
                <w:lang w:val="en-US"/>
              </w:rPr>
              <w:t>31,59 %</w:t>
            </w:r>
          </w:p>
          <w:p w14:paraId="541684FF" w14:textId="161EE096" w:rsidR="00A5165F" w:rsidRPr="00406A4C" w:rsidRDefault="00A5165F" w:rsidP="00E4347A">
            <w:pPr>
              <w:spacing w:after="0"/>
              <w:ind w:left="145" w:hanging="704"/>
              <w:jc w:val="center"/>
              <w:rPr>
                <w:sz w:val="20"/>
              </w:rPr>
            </w:pPr>
          </w:p>
        </w:tc>
        <w:tc>
          <w:tcPr>
            <w:tcW w:w="8280" w:type="dxa"/>
          </w:tcPr>
          <w:p w14:paraId="7EF91DDF" w14:textId="77777777" w:rsidR="00F1341F" w:rsidRPr="008340BB" w:rsidRDefault="00F1341F">
            <w:pPr>
              <w:pStyle w:val="Text1"/>
              <w:ind w:left="0"/>
              <w:rPr>
                <w:sz w:val="20"/>
                <w:lang w:val="en-GB" w:eastAsia="en-GB"/>
              </w:rPr>
            </w:pPr>
            <w:r w:rsidRPr="008340BB">
              <w:rPr>
                <w:rFonts w:ascii="Webdings" w:hAnsi="Webdings" w:cs="Webdings"/>
                <w:sz w:val="20"/>
                <w:lang w:val="en-GB" w:eastAsia="bg-BG"/>
              </w:rPr>
              <w:t></w:t>
            </w:r>
            <w:r w:rsidRPr="008340BB">
              <w:rPr>
                <w:rFonts w:ascii="TimesNewRomanPSMT" w:hAnsi="TimesNewRomanPSMT" w:cs="TimesNewRomanPSMT"/>
                <w:sz w:val="20"/>
                <w:lang w:val="en-GB" w:eastAsia="bg-BG"/>
              </w:rPr>
              <w:t xml:space="preserve">07 - </w:t>
            </w:r>
            <w:r w:rsidRPr="008340BB">
              <w:rPr>
                <w:sz w:val="20"/>
                <w:lang w:val="en-GB" w:eastAsia="en-GB"/>
              </w:rPr>
              <w:t xml:space="preserve">Promoting sustainable transport and removing </w:t>
            </w:r>
            <w:r w:rsidR="003173DE" w:rsidRPr="00C159BC">
              <w:rPr>
                <w:sz w:val="20"/>
              </w:rPr>
              <w:t>bottlenecks</w:t>
            </w:r>
            <w:r w:rsidR="003173DE" w:rsidRPr="008340BB">
              <w:rPr>
                <w:sz w:val="20"/>
                <w:lang w:val="en-GB" w:eastAsia="en-GB"/>
              </w:rPr>
              <w:t xml:space="preserve"> </w:t>
            </w:r>
            <w:r w:rsidRPr="008340BB">
              <w:rPr>
                <w:sz w:val="20"/>
                <w:lang w:val="en-GB" w:eastAsia="en-GB"/>
              </w:rPr>
              <w:t>in key network infrastructures</w:t>
            </w:r>
          </w:p>
          <w:p w14:paraId="35FC0227" w14:textId="77777777" w:rsidR="00F1341F" w:rsidRPr="008340BB" w:rsidRDefault="00F1341F" w:rsidP="007F5837">
            <w:pPr>
              <w:pStyle w:val="Text1"/>
              <w:ind w:left="0"/>
              <w:jc w:val="left"/>
              <w:rPr>
                <w:sz w:val="20"/>
                <w:lang w:val="en-GB" w:eastAsia="en-GB"/>
              </w:rPr>
            </w:pPr>
            <w:r w:rsidRPr="008340BB">
              <w:rPr>
                <w:rFonts w:cs="Webdings"/>
                <w:sz w:val="16"/>
                <w:szCs w:val="16"/>
                <w:lang w:val="en-GB" w:eastAsia="bg-BG"/>
              </w:rPr>
              <w:t xml:space="preserve">     </w:t>
            </w:r>
            <w:r w:rsidRPr="008340BB">
              <w:rPr>
                <w:rFonts w:ascii="Webdings" w:hAnsi="Webdings" w:cs="Webdings"/>
                <w:sz w:val="20"/>
                <w:lang w:val="en-GB" w:eastAsia="bg-BG"/>
              </w:rPr>
              <w:t></w:t>
            </w:r>
            <w:r w:rsidRPr="008340BB">
              <w:rPr>
                <w:rFonts w:ascii="TimesNewRomanPSMT" w:hAnsi="TimesNewRomanPSMT" w:cs="TimesNewRomanPSMT"/>
                <w:sz w:val="20"/>
                <w:lang w:val="en-GB" w:eastAsia="bg-BG"/>
              </w:rPr>
              <w:t>7i -</w:t>
            </w:r>
            <w:r w:rsidRPr="008340BB">
              <w:rPr>
                <w:sz w:val="20"/>
                <w:lang w:val="en-GB" w:eastAsia="en-GB"/>
              </w:rPr>
              <w:t xml:space="preserve"> Supporting a multi-modal Single European Transport Area by investing in </w:t>
            </w:r>
            <w:r w:rsidR="00F326F7">
              <w:rPr>
                <w:sz w:val="20"/>
                <w:lang w:val="en-GB" w:eastAsia="en-GB"/>
              </w:rPr>
              <w:t xml:space="preserve">the </w:t>
            </w:r>
            <w:r w:rsidRPr="008340BB">
              <w:rPr>
                <w:sz w:val="20"/>
                <w:lang w:val="en-GB" w:eastAsia="en-GB"/>
              </w:rPr>
              <w:t>T</w:t>
            </w:r>
            <w:r w:rsidR="00F326F7">
              <w:rPr>
                <w:sz w:val="20"/>
                <w:lang w:val="en-GB" w:eastAsia="en-GB"/>
              </w:rPr>
              <w:t>ENT-T</w:t>
            </w:r>
          </w:p>
          <w:p w14:paraId="1FEB5BAD" w14:textId="77777777" w:rsidR="00F1341F" w:rsidRPr="008340BB" w:rsidRDefault="00F1341F" w:rsidP="00B86CDD">
            <w:pPr>
              <w:pStyle w:val="Text1"/>
              <w:spacing w:after="0"/>
              <w:ind w:left="0"/>
              <w:jc w:val="left"/>
              <w:rPr>
                <w:sz w:val="20"/>
                <w:lang w:val="en-GB" w:eastAsia="en-GB"/>
              </w:rPr>
            </w:pPr>
            <w:r w:rsidRPr="008340BB">
              <w:rPr>
                <w:rFonts w:cs="Webdings"/>
                <w:sz w:val="16"/>
                <w:szCs w:val="16"/>
                <w:lang w:val="en-GB" w:eastAsia="bg-BG"/>
              </w:rPr>
              <w:t xml:space="preserve">     </w:t>
            </w:r>
            <w:r w:rsidRPr="008340BB">
              <w:rPr>
                <w:rFonts w:ascii="Webdings" w:hAnsi="Webdings" w:cs="Webdings"/>
                <w:sz w:val="20"/>
                <w:lang w:val="en-GB" w:eastAsia="bg-BG"/>
              </w:rPr>
              <w:t></w:t>
            </w:r>
            <w:r w:rsidRPr="008340BB">
              <w:rPr>
                <w:rFonts w:ascii="TimesNewRomanPSMT" w:hAnsi="TimesNewRomanPSMT" w:cs="TimesNewRomanPSMT"/>
                <w:sz w:val="20"/>
                <w:lang w:val="en-GB" w:eastAsia="bg-BG"/>
              </w:rPr>
              <w:t xml:space="preserve">1 - </w:t>
            </w:r>
            <w:r w:rsidR="00943870">
              <w:rPr>
                <w:sz w:val="20"/>
                <w:lang w:val="en-GB" w:eastAsia="en-GB"/>
              </w:rPr>
              <w:t>Increasing railway traffic of passenger and freight through improving the quality of the TEN-T railway infrastructure</w:t>
            </w:r>
          </w:p>
          <w:p w14:paraId="2328B698" w14:textId="77777777" w:rsidR="00F1341F" w:rsidRPr="008340BB" w:rsidRDefault="00F1341F" w:rsidP="005F2B9A">
            <w:pPr>
              <w:pStyle w:val="Text1"/>
              <w:spacing w:before="0" w:after="0"/>
              <w:ind w:left="0"/>
              <w:jc w:val="left"/>
              <w:rPr>
                <w:sz w:val="20"/>
                <w:lang w:val="en-GB" w:eastAsia="en-GB"/>
              </w:rPr>
            </w:pPr>
            <w:r w:rsidRPr="008340BB">
              <w:rPr>
                <w:rFonts w:cs="Webdings"/>
                <w:sz w:val="16"/>
                <w:szCs w:val="16"/>
                <w:lang w:eastAsia="bg-BG"/>
              </w:rPr>
              <w:t xml:space="preserve">     </w:t>
            </w:r>
            <w:r w:rsidRPr="008340BB" w:rsidDel="005F2B9A">
              <w:rPr>
                <w:sz w:val="20"/>
                <w:lang w:val="en-GB" w:eastAsia="en-GB"/>
              </w:rPr>
              <w:t xml:space="preserve"> </w:t>
            </w:r>
          </w:p>
        </w:tc>
        <w:tc>
          <w:tcPr>
            <w:tcW w:w="2000" w:type="dxa"/>
            <w:gridSpan w:val="2"/>
          </w:tcPr>
          <w:p w14:paraId="6BF1A847" w14:textId="77777777" w:rsidR="00F1341F" w:rsidRPr="008340BB" w:rsidRDefault="00F1341F" w:rsidP="00FA30BC">
            <w:pPr>
              <w:pStyle w:val="Text1"/>
              <w:ind w:left="0"/>
              <w:jc w:val="left"/>
              <w:rPr>
                <w:sz w:val="18"/>
                <w:szCs w:val="18"/>
                <w:lang w:val="en-GB" w:eastAsia="en-GB"/>
              </w:rPr>
            </w:pPr>
            <w:r w:rsidRPr="008340BB">
              <w:rPr>
                <w:rFonts w:ascii="TimesNewRomanPSMT" w:hAnsi="TimesNewRomanPSMT" w:cs="TimesNewRomanPSMT"/>
                <w:sz w:val="20"/>
                <w:lang w:val="en-GB" w:eastAsia="bg-BG"/>
              </w:rPr>
              <w:t>[1.1, 1.2, 1.3]</w:t>
            </w:r>
          </w:p>
        </w:tc>
      </w:tr>
      <w:tr w:rsidR="00F1341F" w:rsidRPr="008340BB" w14:paraId="5EF77F06" w14:textId="77777777" w:rsidTr="00723745">
        <w:tc>
          <w:tcPr>
            <w:tcW w:w="1008" w:type="dxa"/>
          </w:tcPr>
          <w:p w14:paraId="7444E409" w14:textId="77777777" w:rsidR="00F1341F" w:rsidRPr="008340BB" w:rsidRDefault="00F1341F" w:rsidP="001D2E54">
            <w:pPr>
              <w:pStyle w:val="Text1"/>
              <w:ind w:left="0"/>
              <w:jc w:val="left"/>
              <w:rPr>
                <w:sz w:val="18"/>
                <w:szCs w:val="18"/>
                <w:lang w:val="en-GB" w:eastAsia="en-GB"/>
              </w:rPr>
            </w:pPr>
            <w:r w:rsidRPr="008340BB">
              <w:rPr>
                <w:sz w:val="20"/>
                <w:lang w:val="en-GB" w:eastAsia="en-GB"/>
              </w:rPr>
              <w:t>2</w:t>
            </w:r>
          </w:p>
        </w:tc>
        <w:tc>
          <w:tcPr>
            <w:tcW w:w="1255" w:type="dxa"/>
          </w:tcPr>
          <w:p w14:paraId="11ED30FF" w14:textId="77777777" w:rsidR="00F1341F" w:rsidRPr="008340BB" w:rsidRDefault="00F1341F">
            <w:pPr>
              <w:pStyle w:val="Text1"/>
              <w:ind w:left="0"/>
              <w:rPr>
                <w:sz w:val="18"/>
                <w:szCs w:val="18"/>
                <w:lang w:val="en-GB" w:eastAsia="en-GB"/>
              </w:rPr>
            </w:pPr>
            <w:r w:rsidRPr="008340BB">
              <w:rPr>
                <w:sz w:val="20"/>
                <w:lang w:val="en-GB" w:eastAsia="en-GB"/>
              </w:rPr>
              <w:t>CF</w:t>
            </w:r>
            <w:r w:rsidRPr="008340BB" w:rsidDel="00B27BE6">
              <w:rPr>
                <w:sz w:val="20"/>
                <w:lang w:val="en-GB" w:eastAsia="en-GB"/>
              </w:rPr>
              <w:t xml:space="preserve"> </w:t>
            </w:r>
          </w:p>
        </w:tc>
        <w:tc>
          <w:tcPr>
            <w:tcW w:w="1445" w:type="dxa"/>
          </w:tcPr>
          <w:p w14:paraId="1CD76A63" w14:textId="31DF87A9" w:rsidR="005D69B5" w:rsidRPr="00406A4C" w:rsidRDefault="005D69B5" w:rsidP="005D69B5">
            <w:pPr>
              <w:spacing w:after="0"/>
              <w:ind w:left="566" w:hanging="674"/>
              <w:jc w:val="center"/>
              <w:rPr>
                <w:sz w:val="20"/>
                <w:lang w:val="bg-BG"/>
              </w:rPr>
            </w:pPr>
          </w:p>
          <w:p w14:paraId="50F99F5B" w14:textId="6764249A" w:rsidR="00025F34" w:rsidRPr="00406A4C" w:rsidRDefault="00025F34" w:rsidP="00025F34">
            <w:pPr>
              <w:spacing w:after="0"/>
              <w:ind w:left="566" w:hanging="674"/>
              <w:jc w:val="center"/>
              <w:rPr>
                <w:sz w:val="20"/>
                <w:lang w:val="bg-BG"/>
              </w:rPr>
            </w:pPr>
          </w:p>
          <w:p w14:paraId="26689979" w14:textId="77777777" w:rsidR="00DF1DD3" w:rsidRPr="00406A4C" w:rsidRDefault="00DF1DD3" w:rsidP="00DF1DD3">
            <w:pPr>
              <w:spacing w:after="0"/>
              <w:ind w:left="566" w:hanging="674"/>
              <w:jc w:val="center"/>
              <w:rPr>
                <w:bCs/>
                <w:sz w:val="20"/>
                <w:lang w:val="bg-BG"/>
              </w:rPr>
            </w:pPr>
            <w:r w:rsidRPr="00406A4C">
              <w:rPr>
                <w:bCs/>
                <w:sz w:val="20"/>
                <w:lang w:val="bg-BG"/>
              </w:rPr>
              <w:t>461 289 311,00</w:t>
            </w:r>
          </w:p>
          <w:p w14:paraId="6364CD5A" w14:textId="75FDC93E" w:rsidR="00A72CD3" w:rsidRPr="00406A4C" w:rsidRDefault="00A72CD3" w:rsidP="00A72CD3">
            <w:pPr>
              <w:spacing w:after="0"/>
              <w:ind w:left="566" w:hanging="674"/>
              <w:jc w:val="center"/>
              <w:rPr>
                <w:sz w:val="20"/>
              </w:rPr>
            </w:pPr>
          </w:p>
          <w:p w14:paraId="537D66B3" w14:textId="274C7C79" w:rsidR="005B265C" w:rsidRPr="00406A4C" w:rsidRDefault="005B265C">
            <w:pPr>
              <w:spacing w:after="0"/>
              <w:ind w:left="566" w:hanging="674"/>
              <w:jc w:val="center"/>
              <w:rPr>
                <w:sz w:val="20"/>
              </w:rPr>
            </w:pPr>
          </w:p>
        </w:tc>
        <w:tc>
          <w:tcPr>
            <w:tcW w:w="1260" w:type="dxa"/>
          </w:tcPr>
          <w:p w14:paraId="5584718D" w14:textId="58A9F101" w:rsidR="005D69B5" w:rsidRPr="00406A4C" w:rsidRDefault="005D69B5" w:rsidP="005D69B5">
            <w:pPr>
              <w:spacing w:after="0"/>
              <w:ind w:left="566" w:hanging="494"/>
              <w:jc w:val="center"/>
              <w:rPr>
                <w:sz w:val="20"/>
                <w:lang w:val="en-US"/>
              </w:rPr>
            </w:pPr>
          </w:p>
          <w:p w14:paraId="78BE82F4" w14:textId="6899E354" w:rsidR="009B60A8" w:rsidRPr="00406A4C" w:rsidRDefault="009B60A8" w:rsidP="007B1BA5">
            <w:pPr>
              <w:spacing w:after="0"/>
              <w:ind w:left="4" w:hanging="426"/>
              <w:jc w:val="center"/>
              <w:rPr>
                <w:sz w:val="20"/>
              </w:rPr>
            </w:pPr>
          </w:p>
          <w:p w14:paraId="3794F699" w14:textId="6A216F85" w:rsidR="0020559C" w:rsidRPr="00406A4C" w:rsidRDefault="0020559C" w:rsidP="0020559C">
            <w:pPr>
              <w:spacing w:after="0"/>
              <w:ind w:left="566" w:hanging="494"/>
              <w:jc w:val="left"/>
              <w:rPr>
                <w:sz w:val="20"/>
                <w:lang w:val="bg-BG"/>
              </w:rPr>
            </w:pPr>
            <w:r w:rsidRPr="00406A4C">
              <w:rPr>
                <w:sz w:val="20"/>
                <w:lang w:val="bg-BG"/>
              </w:rPr>
              <w:t xml:space="preserve">30,33 </w:t>
            </w:r>
            <w:r w:rsidRPr="00406A4C">
              <w:rPr>
                <w:sz w:val="20"/>
                <w:lang w:val="en-US"/>
              </w:rPr>
              <w:t>%</w:t>
            </w:r>
          </w:p>
          <w:p w14:paraId="0CD9C67C" w14:textId="4B10F5A5" w:rsidR="005B265C" w:rsidRPr="00406A4C" w:rsidRDefault="005B265C" w:rsidP="00232AB3">
            <w:pPr>
              <w:spacing w:after="0"/>
              <w:ind w:left="566" w:hanging="494"/>
              <w:jc w:val="center"/>
              <w:rPr>
                <w:sz w:val="20"/>
              </w:rPr>
            </w:pPr>
          </w:p>
        </w:tc>
        <w:tc>
          <w:tcPr>
            <w:tcW w:w="8280" w:type="dxa"/>
          </w:tcPr>
          <w:p w14:paraId="19A03447" w14:textId="77777777" w:rsidR="00F1341F" w:rsidRPr="008340BB" w:rsidRDefault="00F1341F" w:rsidP="007F5837">
            <w:pPr>
              <w:pStyle w:val="Text1"/>
              <w:ind w:left="0"/>
              <w:jc w:val="left"/>
              <w:rPr>
                <w:rFonts w:cs="Webdings"/>
                <w:sz w:val="20"/>
                <w:lang w:val="en-GB" w:eastAsia="bg-BG"/>
              </w:rPr>
            </w:pPr>
            <w:r w:rsidRPr="008340BB">
              <w:rPr>
                <w:rFonts w:ascii="Webdings" w:hAnsi="Webdings" w:cs="Webdings"/>
                <w:sz w:val="20"/>
                <w:lang w:val="en-GB" w:eastAsia="bg-BG"/>
              </w:rPr>
              <w:t></w:t>
            </w:r>
            <w:r w:rsidRPr="008340BB">
              <w:rPr>
                <w:rFonts w:ascii="TimesNewRomanPSMT" w:hAnsi="TimesNewRomanPSMT" w:cs="TimesNewRomanPSMT"/>
                <w:sz w:val="20"/>
                <w:lang w:val="en-GB" w:eastAsia="bg-BG"/>
              </w:rPr>
              <w:t>07 -</w:t>
            </w:r>
            <w:r w:rsidRPr="008340BB" w:rsidDel="00551A4C">
              <w:rPr>
                <w:sz w:val="20"/>
                <w:lang w:val="en-GB" w:eastAsia="en-GB"/>
              </w:rPr>
              <w:t xml:space="preserve"> </w:t>
            </w:r>
            <w:r w:rsidRPr="008340BB">
              <w:rPr>
                <w:sz w:val="20"/>
                <w:lang w:val="en-GB" w:eastAsia="en-GB"/>
              </w:rPr>
              <w:t xml:space="preserve">Promoting sustainable transport and removing </w:t>
            </w:r>
            <w:r w:rsidR="002B295D" w:rsidRPr="00C159BC">
              <w:rPr>
                <w:sz w:val="20"/>
              </w:rPr>
              <w:t>bottlenecks</w:t>
            </w:r>
            <w:r w:rsidR="002B295D" w:rsidRPr="008340BB">
              <w:rPr>
                <w:sz w:val="20"/>
                <w:lang w:val="en-GB" w:eastAsia="en-GB"/>
              </w:rPr>
              <w:t xml:space="preserve"> </w:t>
            </w:r>
            <w:r w:rsidRPr="008340BB">
              <w:rPr>
                <w:sz w:val="20"/>
                <w:lang w:val="en-GB" w:eastAsia="en-GB"/>
              </w:rPr>
              <w:t>in key network infrastructures</w:t>
            </w:r>
            <w:r w:rsidRPr="008340BB">
              <w:rPr>
                <w:rFonts w:cs="Webdings"/>
                <w:sz w:val="20"/>
                <w:lang w:val="en-GB" w:eastAsia="bg-BG"/>
              </w:rPr>
              <w:t xml:space="preserve"> </w:t>
            </w:r>
          </w:p>
          <w:p w14:paraId="3202483C" w14:textId="77777777" w:rsidR="00F1341F" w:rsidRPr="008340BB" w:rsidRDefault="00F1341F" w:rsidP="007F5837">
            <w:pPr>
              <w:pStyle w:val="Text1"/>
              <w:ind w:left="0"/>
              <w:jc w:val="left"/>
              <w:rPr>
                <w:sz w:val="18"/>
                <w:szCs w:val="18"/>
                <w:lang w:val="en-GB" w:eastAsia="en-GB"/>
              </w:rPr>
            </w:pPr>
            <w:r w:rsidRPr="008340BB">
              <w:rPr>
                <w:rFonts w:cs="Webdings"/>
                <w:sz w:val="20"/>
                <w:lang w:val="en-GB" w:eastAsia="bg-BG"/>
              </w:rPr>
              <w:t xml:space="preserve">   </w:t>
            </w:r>
            <w:r w:rsidRPr="008340BB">
              <w:rPr>
                <w:rFonts w:ascii="Webdings" w:hAnsi="Webdings" w:cs="Webdings"/>
                <w:sz w:val="20"/>
                <w:lang w:val="en-GB" w:eastAsia="bg-BG"/>
              </w:rPr>
              <w:t></w:t>
            </w:r>
            <w:r w:rsidRPr="008340BB">
              <w:rPr>
                <w:rFonts w:ascii="TimesNewRomanPSMT" w:hAnsi="TimesNewRomanPSMT" w:cs="TimesNewRomanPSMT"/>
                <w:sz w:val="20"/>
                <w:lang w:val="en-GB" w:eastAsia="bg-BG"/>
              </w:rPr>
              <w:t>7i -</w:t>
            </w:r>
            <w:r w:rsidRPr="008340BB" w:rsidDel="000551AE">
              <w:rPr>
                <w:sz w:val="20"/>
                <w:lang w:val="en-GB" w:eastAsia="en-GB"/>
              </w:rPr>
              <w:t xml:space="preserve"> </w:t>
            </w:r>
            <w:r w:rsidRPr="008340BB">
              <w:rPr>
                <w:sz w:val="20"/>
                <w:lang w:val="en-GB" w:eastAsia="en-GB"/>
              </w:rPr>
              <w:t xml:space="preserve">Supporting a multi-modal Single European Transport Area by investing in </w:t>
            </w:r>
            <w:r w:rsidR="00F326F7">
              <w:rPr>
                <w:sz w:val="20"/>
                <w:lang w:val="en-GB" w:eastAsia="en-GB"/>
              </w:rPr>
              <w:t xml:space="preserve">the </w:t>
            </w:r>
            <w:r w:rsidRPr="008340BB">
              <w:rPr>
                <w:sz w:val="20"/>
                <w:lang w:val="en-GB" w:eastAsia="en-GB"/>
              </w:rPr>
              <w:t>T</w:t>
            </w:r>
            <w:r w:rsidR="00F326F7">
              <w:rPr>
                <w:sz w:val="20"/>
                <w:lang w:val="en-GB" w:eastAsia="en-GB"/>
              </w:rPr>
              <w:t>EN-T</w:t>
            </w:r>
          </w:p>
          <w:p w14:paraId="1C99E15E" w14:textId="77777777" w:rsidR="00F1341F" w:rsidRPr="008340BB" w:rsidRDefault="00F1341F">
            <w:pPr>
              <w:pStyle w:val="Text1"/>
              <w:ind w:left="0"/>
              <w:jc w:val="left"/>
              <w:rPr>
                <w:sz w:val="18"/>
                <w:szCs w:val="18"/>
                <w:lang w:val="en-GB" w:eastAsia="en-GB"/>
              </w:rPr>
            </w:pPr>
            <w:r w:rsidRPr="008340BB">
              <w:rPr>
                <w:rFonts w:cs="Webdings"/>
                <w:sz w:val="20"/>
                <w:lang w:val="en-GB" w:eastAsia="bg-BG"/>
              </w:rPr>
              <w:t xml:space="preserve">      </w:t>
            </w:r>
            <w:r w:rsidRPr="008340BB">
              <w:rPr>
                <w:rFonts w:ascii="Webdings" w:hAnsi="Webdings" w:cs="Webdings"/>
                <w:sz w:val="20"/>
                <w:lang w:val="en-GB" w:eastAsia="bg-BG"/>
              </w:rPr>
              <w:t></w:t>
            </w:r>
            <w:r w:rsidRPr="008340BB">
              <w:rPr>
                <w:rFonts w:ascii="TimesNewRomanPSMT" w:hAnsi="TimesNewRomanPSMT" w:cs="TimesNewRomanPSMT"/>
                <w:sz w:val="20"/>
                <w:lang w:val="en-GB" w:eastAsia="bg-BG"/>
              </w:rPr>
              <w:t>1 -</w:t>
            </w:r>
            <w:r w:rsidRPr="008340BB">
              <w:rPr>
                <w:sz w:val="20"/>
                <w:lang w:val="en-GB" w:eastAsia="en-GB"/>
              </w:rPr>
              <w:t xml:space="preserve"> </w:t>
            </w:r>
            <w:r w:rsidR="00943870" w:rsidRPr="00943870">
              <w:rPr>
                <w:sz w:val="20"/>
                <w:lang w:val="en-GB" w:eastAsia="en-GB"/>
              </w:rPr>
              <w:t>Removal of bottlenecks in the TEN-T road network</w:t>
            </w:r>
            <w:r w:rsidRPr="008340BB">
              <w:rPr>
                <w:sz w:val="20"/>
                <w:lang w:val="en-GB" w:eastAsia="en-GB"/>
              </w:rPr>
              <w:t>.</w:t>
            </w:r>
          </w:p>
        </w:tc>
        <w:tc>
          <w:tcPr>
            <w:tcW w:w="2000" w:type="dxa"/>
            <w:gridSpan w:val="2"/>
          </w:tcPr>
          <w:p w14:paraId="56679622" w14:textId="77777777" w:rsidR="00F1341F" w:rsidRPr="008340BB" w:rsidRDefault="00F1341F" w:rsidP="001A45E3">
            <w:pPr>
              <w:pStyle w:val="Text1"/>
              <w:ind w:left="0"/>
              <w:jc w:val="left"/>
              <w:rPr>
                <w:sz w:val="20"/>
                <w:lang w:val="en-GB" w:eastAsia="en-GB"/>
              </w:rPr>
            </w:pPr>
            <w:r w:rsidRPr="008340BB">
              <w:rPr>
                <w:rFonts w:ascii="TimesNewRomanPSMT" w:hAnsi="TimesNewRomanPSMT" w:cs="TimesNewRomanPSMT"/>
                <w:sz w:val="20"/>
                <w:lang w:val="en-GB" w:eastAsia="bg-BG"/>
              </w:rPr>
              <w:t>[2.1]</w:t>
            </w:r>
            <w:r w:rsidRPr="008340BB" w:rsidDel="006A50E7">
              <w:rPr>
                <w:iCs/>
                <w:sz w:val="20"/>
                <w:lang w:val="en-GB" w:eastAsia="en-GB"/>
              </w:rPr>
              <w:t xml:space="preserve"> </w:t>
            </w:r>
          </w:p>
        </w:tc>
      </w:tr>
      <w:tr w:rsidR="00F1341F" w:rsidRPr="008340BB" w14:paraId="25085B1A" w14:textId="77777777" w:rsidTr="007237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266"/>
        </w:trPr>
        <w:tc>
          <w:tcPr>
            <w:tcW w:w="1008" w:type="dxa"/>
            <w:tcBorders>
              <w:top w:val="single" w:sz="4" w:space="0" w:color="auto"/>
              <w:left w:val="single" w:sz="4" w:space="0" w:color="auto"/>
              <w:bottom w:val="single" w:sz="4" w:space="0" w:color="auto"/>
              <w:right w:val="single" w:sz="4" w:space="0" w:color="auto"/>
            </w:tcBorders>
          </w:tcPr>
          <w:p w14:paraId="57D0FFDD" w14:textId="77777777" w:rsidR="00F1341F" w:rsidRPr="008340BB" w:rsidRDefault="00F1341F" w:rsidP="001D2E54">
            <w:pPr>
              <w:pStyle w:val="Text1"/>
              <w:ind w:left="0"/>
              <w:jc w:val="left"/>
              <w:rPr>
                <w:sz w:val="18"/>
                <w:szCs w:val="18"/>
                <w:lang w:val="en-GB" w:eastAsia="en-GB"/>
              </w:rPr>
            </w:pPr>
            <w:r w:rsidRPr="008340BB">
              <w:rPr>
                <w:sz w:val="20"/>
                <w:lang w:val="en-GB" w:eastAsia="en-GB"/>
              </w:rPr>
              <w:t>3</w:t>
            </w:r>
          </w:p>
        </w:tc>
        <w:tc>
          <w:tcPr>
            <w:tcW w:w="1255" w:type="dxa"/>
            <w:tcBorders>
              <w:top w:val="single" w:sz="4" w:space="0" w:color="auto"/>
              <w:left w:val="single" w:sz="4" w:space="0" w:color="auto"/>
              <w:bottom w:val="single" w:sz="4" w:space="0" w:color="auto"/>
              <w:right w:val="single" w:sz="4" w:space="0" w:color="auto"/>
            </w:tcBorders>
          </w:tcPr>
          <w:p w14:paraId="07F4B6B4" w14:textId="77777777" w:rsidR="00F1341F" w:rsidRPr="008340BB" w:rsidRDefault="00F1341F">
            <w:pPr>
              <w:pStyle w:val="Text1"/>
              <w:ind w:left="0"/>
              <w:rPr>
                <w:sz w:val="18"/>
                <w:szCs w:val="18"/>
                <w:lang w:val="en-GB" w:eastAsia="en-GB"/>
              </w:rPr>
            </w:pPr>
            <w:r w:rsidRPr="008340BB">
              <w:rPr>
                <w:sz w:val="20"/>
                <w:lang w:val="en-GB" w:eastAsia="en-GB"/>
              </w:rPr>
              <w:t>ERDF</w:t>
            </w:r>
          </w:p>
        </w:tc>
        <w:tc>
          <w:tcPr>
            <w:tcW w:w="1445" w:type="dxa"/>
            <w:tcBorders>
              <w:top w:val="single" w:sz="4" w:space="0" w:color="auto"/>
              <w:left w:val="single" w:sz="4" w:space="0" w:color="auto"/>
              <w:bottom w:val="single" w:sz="4" w:space="0" w:color="auto"/>
              <w:right w:val="single" w:sz="4" w:space="0" w:color="auto"/>
            </w:tcBorders>
          </w:tcPr>
          <w:p w14:paraId="3602CEC5" w14:textId="77777777" w:rsidR="00DA0D6F" w:rsidRPr="00406A4C" w:rsidRDefault="00DA0D6F" w:rsidP="00DA0D6F">
            <w:pPr>
              <w:spacing w:before="0" w:after="0"/>
              <w:jc w:val="left"/>
              <w:rPr>
                <w:sz w:val="20"/>
                <w:szCs w:val="22"/>
                <w:lang w:val="x-none" w:eastAsia="bg-BG"/>
              </w:rPr>
            </w:pPr>
            <w:r w:rsidRPr="00406A4C">
              <w:rPr>
                <w:sz w:val="20"/>
                <w:szCs w:val="22"/>
                <w:lang w:val="x-none" w:eastAsia="bg-BG"/>
              </w:rPr>
              <w:t>35</w:t>
            </w:r>
            <w:r w:rsidRPr="00406A4C">
              <w:rPr>
                <w:sz w:val="20"/>
                <w:szCs w:val="22"/>
                <w:lang w:val="en-US" w:eastAsia="bg-BG"/>
              </w:rPr>
              <w:t>6</w:t>
            </w:r>
            <w:r w:rsidRPr="00406A4C">
              <w:rPr>
                <w:sz w:val="20"/>
                <w:szCs w:val="22"/>
                <w:lang w:val="x-none" w:eastAsia="bg-BG"/>
              </w:rPr>
              <w:t xml:space="preserve"> 398 597,00</w:t>
            </w:r>
          </w:p>
          <w:p w14:paraId="67866A24" w14:textId="72B2FCC8" w:rsidR="00394526" w:rsidRPr="00406A4C" w:rsidRDefault="00394526" w:rsidP="00394526">
            <w:pPr>
              <w:pStyle w:val="Text1"/>
              <w:ind w:left="0"/>
              <w:rPr>
                <w:sz w:val="20"/>
                <w:lang w:val="x-none"/>
              </w:rPr>
            </w:pPr>
          </w:p>
          <w:p w14:paraId="0D8130C4" w14:textId="6CA21DC3" w:rsidR="00F1341F" w:rsidRPr="00406A4C" w:rsidRDefault="00F1341F" w:rsidP="007C0AD8">
            <w:pPr>
              <w:pStyle w:val="Text1"/>
              <w:ind w:left="0"/>
              <w:rPr>
                <w:sz w:val="20"/>
                <w:lang w:val="en-GB" w:eastAsia="en-GB"/>
              </w:rPr>
            </w:pPr>
          </w:p>
        </w:tc>
        <w:tc>
          <w:tcPr>
            <w:tcW w:w="1260" w:type="dxa"/>
            <w:tcBorders>
              <w:top w:val="single" w:sz="4" w:space="0" w:color="auto"/>
              <w:left w:val="single" w:sz="4" w:space="0" w:color="auto"/>
              <w:bottom w:val="single" w:sz="4" w:space="0" w:color="auto"/>
              <w:right w:val="single" w:sz="4" w:space="0" w:color="auto"/>
            </w:tcBorders>
          </w:tcPr>
          <w:p w14:paraId="55EC0AE5" w14:textId="4A38E7A5" w:rsidR="00DA0D6F" w:rsidRPr="00406A4C" w:rsidRDefault="00DA0D6F" w:rsidP="00DA0D6F">
            <w:pPr>
              <w:rPr>
                <w:sz w:val="20"/>
                <w:szCs w:val="22"/>
                <w:lang w:val="bg-BG" w:eastAsia="bg-BG"/>
              </w:rPr>
            </w:pPr>
            <w:r w:rsidRPr="00406A4C">
              <w:rPr>
                <w:sz w:val="20"/>
                <w:szCs w:val="22"/>
                <w:lang w:val="x-none" w:eastAsia="bg-BG"/>
              </w:rPr>
              <w:lastRenderedPageBreak/>
              <w:t>23,44</w:t>
            </w:r>
            <w:r w:rsidRPr="00406A4C">
              <w:rPr>
                <w:sz w:val="20"/>
                <w:szCs w:val="22"/>
                <w:lang w:val="bg-BG" w:eastAsia="bg-BG"/>
              </w:rPr>
              <w:t xml:space="preserve"> %</w:t>
            </w:r>
          </w:p>
          <w:p w14:paraId="51715ED1" w14:textId="48096886" w:rsidR="00020475" w:rsidRPr="00406A4C" w:rsidRDefault="00020475" w:rsidP="00020475">
            <w:pPr>
              <w:pStyle w:val="Text1"/>
              <w:ind w:left="0"/>
              <w:jc w:val="center"/>
              <w:rPr>
                <w:sz w:val="20"/>
                <w:lang w:val="en-US"/>
              </w:rPr>
            </w:pPr>
          </w:p>
          <w:p w14:paraId="683AD9F2" w14:textId="77777777" w:rsidR="00163D22" w:rsidRPr="00406A4C" w:rsidRDefault="00163D22" w:rsidP="0035087B">
            <w:pPr>
              <w:pStyle w:val="Text1"/>
              <w:ind w:left="0"/>
              <w:jc w:val="center"/>
              <w:rPr>
                <w:sz w:val="20"/>
                <w:lang w:eastAsia="en-GB"/>
              </w:rPr>
            </w:pPr>
          </w:p>
          <w:p w14:paraId="30388DD8" w14:textId="73FE1D61" w:rsidR="00E169E6" w:rsidRPr="00406A4C" w:rsidRDefault="00E169E6" w:rsidP="00ED7BC9">
            <w:pPr>
              <w:pStyle w:val="Text1"/>
              <w:ind w:left="0"/>
              <w:jc w:val="center"/>
              <w:rPr>
                <w:sz w:val="20"/>
                <w:lang w:val="en-GB" w:eastAsia="en-GB"/>
              </w:rPr>
            </w:pPr>
          </w:p>
        </w:tc>
        <w:tc>
          <w:tcPr>
            <w:tcW w:w="8280" w:type="dxa"/>
            <w:tcBorders>
              <w:top w:val="single" w:sz="4" w:space="0" w:color="auto"/>
              <w:left w:val="single" w:sz="4" w:space="0" w:color="auto"/>
              <w:bottom w:val="single" w:sz="4" w:space="0" w:color="auto"/>
              <w:right w:val="single" w:sz="4" w:space="0" w:color="auto"/>
            </w:tcBorders>
          </w:tcPr>
          <w:p w14:paraId="04A66B9E" w14:textId="77777777" w:rsidR="00F1341F" w:rsidRPr="008340BB" w:rsidRDefault="00F1341F" w:rsidP="00A55372">
            <w:pPr>
              <w:pStyle w:val="Text1"/>
              <w:ind w:left="0"/>
              <w:jc w:val="left"/>
              <w:rPr>
                <w:sz w:val="20"/>
                <w:lang w:val="en-GB" w:eastAsia="en-GB"/>
              </w:rPr>
            </w:pPr>
            <w:r w:rsidRPr="008340BB">
              <w:rPr>
                <w:rFonts w:ascii="Webdings" w:hAnsi="Webdings" w:cs="Webdings"/>
                <w:sz w:val="20"/>
                <w:lang w:val="en-GB" w:eastAsia="bg-BG"/>
              </w:rPr>
              <w:lastRenderedPageBreak/>
              <w:t></w:t>
            </w:r>
            <w:r w:rsidRPr="008340BB">
              <w:rPr>
                <w:rFonts w:ascii="TimesNewRomanPSMT" w:hAnsi="TimesNewRomanPSMT" w:cs="TimesNewRomanPSMT"/>
                <w:sz w:val="20"/>
                <w:lang w:val="en-GB" w:eastAsia="bg-BG"/>
              </w:rPr>
              <w:t>04 - Supporting the shift towards a low-carbon economy in all sectors</w:t>
            </w:r>
          </w:p>
          <w:p w14:paraId="7F7B3F32" w14:textId="77777777" w:rsidR="00F1341F" w:rsidRPr="008340BB" w:rsidRDefault="00F1341F" w:rsidP="00155EDD">
            <w:pPr>
              <w:autoSpaceDE w:val="0"/>
              <w:autoSpaceDN w:val="0"/>
              <w:adjustRightInd w:val="0"/>
              <w:spacing w:before="0" w:after="0"/>
              <w:jc w:val="left"/>
              <w:rPr>
                <w:sz w:val="20"/>
                <w:lang w:eastAsia="bg-BG"/>
              </w:rPr>
            </w:pPr>
            <w:r w:rsidRPr="008340BB">
              <w:rPr>
                <w:rFonts w:cs="Webdings"/>
                <w:sz w:val="20"/>
                <w:lang w:eastAsia="bg-BG"/>
              </w:rPr>
              <w:lastRenderedPageBreak/>
              <w:t xml:space="preserve">    </w:t>
            </w:r>
            <w:r w:rsidRPr="008340BB">
              <w:rPr>
                <w:rFonts w:ascii="Webdings" w:hAnsi="Webdings" w:cs="Webdings"/>
                <w:sz w:val="20"/>
                <w:lang w:eastAsia="bg-BG"/>
              </w:rPr>
              <w:t></w:t>
            </w:r>
            <w:r w:rsidRPr="008340BB">
              <w:rPr>
                <w:sz w:val="20"/>
                <w:lang w:eastAsia="bg-BG"/>
              </w:rPr>
              <w:t>4e - Promoting low-carbon strategies for all types of territories, in particular for urban areas, including the promotion of sustainable multimodal urban mobility and mitigation-relevant adaptation measures</w:t>
            </w:r>
          </w:p>
          <w:p w14:paraId="36346736" w14:textId="77777777" w:rsidR="00F1341F" w:rsidRPr="008340BB" w:rsidRDefault="00F1341F" w:rsidP="00A55372">
            <w:pPr>
              <w:pStyle w:val="Text1"/>
              <w:ind w:left="0"/>
              <w:jc w:val="left"/>
              <w:rPr>
                <w:sz w:val="20"/>
                <w:lang w:val="en-GB" w:eastAsia="en-GB"/>
              </w:rPr>
            </w:pPr>
            <w:r w:rsidRPr="008340BB">
              <w:rPr>
                <w:rFonts w:cs="Webdings"/>
                <w:sz w:val="20"/>
                <w:lang w:val="en-GB" w:eastAsia="bg-BG"/>
              </w:rPr>
              <w:t xml:space="preserve">       </w:t>
            </w:r>
            <w:r w:rsidRPr="008340BB">
              <w:rPr>
                <w:rFonts w:ascii="Webdings" w:hAnsi="Webdings" w:cs="Webdings"/>
                <w:sz w:val="20"/>
                <w:lang w:val="en-GB" w:eastAsia="bg-BG"/>
              </w:rPr>
              <w:t></w:t>
            </w:r>
            <w:r w:rsidRPr="008340BB">
              <w:rPr>
                <w:rFonts w:ascii="TimesNewRomanPSMT" w:hAnsi="TimesNewRomanPSMT" w:cs="TimesNewRomanPSMT"/>
                <w:sz w:val="20"/>
                <w:lang w:val="en-GB" w:eastAsia="bg-BG"/>
              </w:rPr>
              <w:t>1 -</w:t>
            </w:r>
            <w:r w:rsidRPr="008340BB" w:rsidDel="00155EDD">
              <w:rPr>
                <w:sz w:val="20"/>
                <w:lang w:val="en-GB" w:eastAsia="en-GB"/>
              </w:rPr>
              <w:t xml:space="preserve"> </w:t>
            </w:r>
            <w:r w:rsidR="00943870" w:rsidRPr="00943870">
              <w:rPr>
                <w:rStyle w:val="hps"/>
                <w:sz w:val="20"/>
                <w:lang w:val="en-GB" w:eastAsia="en-GB"/>
              </w:rPr>
              <w:t>Increased use of metro</w:t>
            </w:r>
          </w:p>
          <w:p w14:paraId="13685AD0" w14:textId="77777777" w:rsidR="00F1341F" w:rsidRPr="008340BB" w:rsidRDefault="00F1341F" w:rsidP="00A55372">
            <w:pPr>
              <w:pStyle w:val="Text1"/>
              <w:ind w:left="0"/>
              <w:jc w:val="left"/>
              <w:rPr>
                <w:sz w:val="20"/>
                <w:lang w:val="en-GB" w:eastAsia="en-GB"/>
              </w:rPr>
            </w:pPr>
            <w:r w:rsidRPr="008340BB">
              <w:rPr>
                <w:rFonts w:ascii="Webdings" w:hAnsi="Webdings" w:cs="Webdings"/>
                <w:sz w:val="20"/>
                <w:lang w:val="en-GB" w:eastAsia="bg-BG"/>
              </w:rPr>
              <w:t></w:t>
            </w:r>
            <w:r w:rsidRPr="008340BB">
              <w:rPr>
                <w:rFonts w:ascii="TimesNewRomanPSMT" w:hAnsi="TimesNewRomanPSMT" w:cs="TimesNewRomanPSMT"/>
                <w:sz w:val="20"/>
                <w:lang w:val="en-GB" w:eastAsia="bg-BG"/>
              </w:rPr>
              <w:t>07 -</w:t>
            </w:r>
            <w:r w:rsidRPr="008340BB" w:rsidDel="00155EDD">
              <w:rPr>
                <w:sz w:val="20"/>
                <w:lang w:val="en-GB" w:eastAsia="en-GB"/>
              </w:rPr>
              <w:t xml:space="preserve"> </w:t>
            </w:r>
            <w:r w:rsidRPr="008340BB">
              <w:rPr>
                <w:sz w:val="20"/>
                <w:lang w:val="en-GB" w:eastAsia="en-GB"/>
              </w:rPr>
              <w:t>Promoting sustainable transport and removing sections with insufficient capacity in all key network infrastructures</w:t>
            </w:r>
          </w:p>
          <w:p w14:paraId="25708906" w14:textId="77777777" w:rsidR="00F1341F" w:rsidRPr="008340BB" w:rsidRDefault="00F1341F" w:rsidP="00A55372">
            <w:pPr>
              <w:pStyle w:val="Text1"/>
              <w:ind w:left="0"/>
              <w:jc w:val="left"/>
              <w:rPr>
                <w:sz w:val="18"/>
                <w:szCs w:val="18"/>
                <w:lang w:val="en-GB" w:eastAsia="en-GB"/>
              </w:rPr>
            </w:pPr>
            <w:r w:rsidRPr="008340BB">
              <w:rPr>
                <w:rFonts w:cs="Webdings"/>
                <w:sz w:val="20"/>
                <w:lang w:val="en-GB" w:eastAsia="bg-BG"/>
              </w:rPr>
              <w:t xml:space="preserve">    </w:t>
            </w:r>
            <w:r w:rsidRPr="008340BB">
              <w:rPr>
                <w:rFonts w:ascii="Webdings" w:hAnsi="Webdings" w:cs="Webdings"/>
                <w:sz w:val="20"/>
                <w:lang w:val="en-GB" w:eastAsia="bg-BG"/>
              </w:rPr>
              <w:t></w:t>
            </w:r>
            <w:r w:rsidRPr="008340BB">
              <w:rPr>
                <w:rFonts w:ascii="TimesNewRomanPSMT" w:hAnsi="TimesNewRomanPSMT" w:cs="TimesNewRomanPSMT"/>
                <w:sz w:val="20"/>
                <w:lang w:val="en-GB" w:eastAsia="bg-BG"/>
              </w:rPr>
              <w:t>7a -</w:t>
            </w:r>
            <w:r w:rsidRPr="008340BB" w:rsidDel="001F44F9">
              <w:rPr>
                <w:sz w:val="20"/>
                <w:lang w:val="en-GB" w:eastAsia="en-GB"/>
              </w:rPr>
              <w:t xml:space="preserve"> </w:t>
            </w:r>
            <w:r w:rsidRPr="008340BB">
              <w:rPr>
                <w:sz w:val="20"/>
                <w:lang w:val="en-GB" w:eastAsia="en-GB"/>
              </w:rPr>
              <w:t xml:space="preserve">Supporting a multi-modal Single European Transport Area by investing in </w:t>
            </w:r>
            <w:r w:rsidR="00CF6269">
              <w:rPr>
                <w:sz w:val="20"/>
                <w:lang w:val="en-GB" w:eastAsia="en-GB"/>
              </w:rPr>
              <w:t>the TEN-T</w:t>
            </w:r>
          </w:p>
          <w:p w14:paraId="69456C24" w14:textId="5A567FB5" w:rsidR="00F1341F" w:rsidRPr="008340BB" w:rsidRDefault="00F1341F" w:rsidP="00C47900">
            <w:pPr>
              <w:pStyle w:val="Text1"/>
              <w:ind w:left="0"/>
              <w:rPr>
                <w:sz w:val="18"/>
                <w:szCs w:val="18"/>
                <w:lang w:val="en-GB" w:eastAsia="en-GB"/>
              </w:rPr>
            </w:pPr>
            <w:r w:rsidRPr="008340BB">
              <w:rPr>
                <w:rFonts w:cs="Webdings"/>
                <w:sz w:val="20"/>
                <w:lang w:val="en-GB" w:eastAsia="bg-BG"/>
              </w:rPr>
              <w:t xml:space="preserve">      </w:t>
            </w:r>
            <w:r w:rsidRPr="008340BB">
              <w:rPr>
                <w:rFonts w:ascii="Webdings" w:hAnsi="Webdings" w:cs="Webdings"/>
                <w:sz w:val="20"/>
                <w:lang w:val="en-GB" w:eastAsia="bg-BG"/>
              </w:rPr>
              <w:t></w:t>
            </w:r>
            <w:r w:rsidRPr="008340BB">
              <w:rPr>
                <w:rFonts w:ascii="TimesNewRomanPSMT" w:hAnsi="TimesNewRomanPSMT" w:cs="TimesNewRomanPSMT"/>
                <w:sz w:val="20"/>
                <w:lang w:val="en-GB" w:eastAsia="bg-BG"/>
              </w:rPr>
              <w:t xml:space="preserve">1 </w:t>
            </w:r>
            <w:r w:rsidR="00F21412">
              <w:rPr>
                <w:rFonts w:ascii="TimesNewRomanPSMT" w:hAnsi="TimesNewRomanPSMT" w:cs="TimesNewRomanPSMT"/>
                <w:sz w:val="20"/>
                <w:lang w:val="en-GB" w:eastAsia="bg-BG"/>
              </w:rPr>
              <w:t>–</w:t>
            </w:r>
            <w:r w:rsidRPr="008340BB">
              <w:rPr>
                <w:sz w:val="20"/>
                <w:lang w:val="en-GB" w:eastAsia="en-GB"/>
              </w:rPr>
              <w:t xml:space="preserve"> </w:t>
            </w:r>
            <w:r w:rsidR="00CC1A5F">
              <w:rPr>
                <w:lang w:val="en-GB"/>
              </w:rPr>
              <w:t>Increased</w:t>
            </w:r>
            <w:r w:rsidR="00F21412">
              <w:rPr>
                <w:lang w:val="en-GB"/>
              </w:rPr>
              <w:t xml:space="preserve"> potential of</w:t>
            </w:r>
            <w:r w:rsidR="00CC1A5F">
              <w:rPr>
                <w:lang w:val="en-GB"/>
              </w:rPr>
              <w:t xml:space="preserve"> intermodal transport</w:t>
            </w:r>
            <w:r w:rsidR="008218C8">
              <w:rPr>
                <w:lang w:val="en-GB"/>
              </w:rPr>
              <w:t xml:space="preserve"> along OEM CNC, section Sofia-Plovdiv-Burgas</w:t>
            </w:r>
          </w:p>
        </w:tc>
        <w:tc>
          <w:tcPr>
            <w:tcW w:w="1989" w:type="dxa"/>
            <w:tcBorders>
              <w:top w:val="single" w:sz="4" w:space="0" w:color="auto"/>
              <w:left w:val="single" w:sz="4" w:space="0" w:color="auto"/>
              <w:bottom w:val="single" w:sz="4" w:space="0" w:color="auto"/>
              <w:right w:val="single" w:sz="4" w:space="0" w:color="auto"/>
            </w:tcBorders>
          </w:tcPr>
          <w:p w14:paraId="27528D6D" w14:textId="77777777" w:rsidR="00F1341F" w:rsidRPr="008340BB" w:rsidRDefault="00F1341F" w:rsidP="00EA5F94">
            <w:pPr>
              <w:pStyle w:val="Text1"/>
              <w:ind w:left="0"/>
              <w:jc w:val="left"/>
              <w:rPr>
                <w:sz w:val="18"/>
                <w:szCs w:val="18"/>
                <w:lang w:val="en-GB" w:eastAsia="en-GB"/>
              </w:rPr>
            </w:pPr>
            <w:r w:rsidRPr="008340BB">
              <w:rPr>
                <w:rFonts w:ascii="TimesNewRomanPSMT" w:hAnsi="TimesNewRomanPSMT" w:cs="TimesNewRomanPSMT"/>
                <w:sz w:val="20"/>
                <w:lang w:val="en-GB" w:eastAsia="bg-BG"/>
              </w:rPr>
              <w:lastRenderedPageBreak/>
              <w:t>[</w:t>
            </w:r>
            <w:r w:rsidR="00EA5F94">
              <w:rPr>
                <w:rFonts w:ascii="TimesNewRomanPSMT" w:hAnsi="TimesNewRomanPSMT" w:cs="TimesNewRomanPSMT"/>
                <w:sz w:val="20"/>
                <w:lang w:val="en-GB" w:eastAsia="bg-BG"/>
              </w:rPr>
              <w:t>6</w:t>
            </w:r>
            <w:r w:rsidRPr="008340BB">
              <w:rPr>
                <w:rFonts w:ascii="TimesNewRomanPSMT" w:hAnsi="TimesNewRomanPSMT" w:cs="TimesNewRomanPSMT"/>
                <w:sz w:val="20"/>
                <w:lang w:val="en-GB" w:eastAsia="bg-BG"/>
              </w:rPr>
              <w:t xml:space="preserve">, </w:t>
            </w:r>
            <w:r w:rsidR="00EA5F94">
              <w:rPr>
                <w:rFonts w:ascii="TimesNewRomanPSMT" w:hAnsi="TimesNewRomanPSMT" w:cs="TimesNewRomanPSMT"/>
                <w:sz w:val="20"/>
                <w:lang w:val="en-GB" w:eastAsia="bg-BG"/>
              </w:rPr>
              <w:t>8</w:t>
            </w:r>
            <w:r w:rsidRPr="008340BB">
              <w:rPr>
                <w:rFonts w:ascii="TimesNewRomanPSMT" w:hAnsi="TimesNewRomanPSMT" w:cs="TimesNewRomanPSMT"/>
                <w:sz w:val="20"/>
                <w:lang w:val="en-GB" w:eastAsia="bg-BG"/>
              </w:rPr>
              <w:t>]</w:t>
            </w:r>
            <w:r w:rsidRPr="008340BB" w:rsidDel="002D4FD0">
              <w:rPr>
                <w:sz w:val="20"/>
                <w:lang w:val="en-GB" w:eastAsia="en-GB"/>
              </w:rPr>
              <w:t xml:space="preserve"> </w:t>
            </w:r>
          </w:p>
        </w:tc>
      </w:tr>
      <w:tr w:rsidR="00B94FA6" w:rsidRPr="008340BB" w14:paraId="13837292" w14:textId="77777777" w:rsidTr="00723745">
        <w:trPr>
          <w:trHeight w:val="701"/>
        </w:trPr>
        <w:tc>
          <w:tcPr>
            <w:tcW w:w="1008" w:type="dxa"/>
            <w:vMerge w:val="restart"/>
          </w:tcPr>
          <w:p w14:paraId="4C9BB961" w14:textId="77777777" w:rsidR="00B94FA6" w:rsidRPr="008340BB" w:rsidRDefault="00B94FA6" w:rsidP="006A46B7">
            <w:pPr>
              <w:pStyle w:val="Text1"/>
              <w:ind w:left="0"/>
              <w:jc w:val="left"/>
              <w:rPr>
                <w:sz w:val="20"/>
                <w:lang w:val="en-GB" w:eastAsia="en-GB"/>
              </w:rPr>
            </w:pPr>
            <w:r w:rsidRPr="008340BB">
              <w:rPr>
                <w:sz w:val="20"/>
                <w:lang w:val="en-GB" w:eastAsia="en-GB"/>
              </w:rPr>
              <w:t>4</w:t>
            </w:r>
          </w:p>
          <w:p w14:paraId="0D239C47" w14:textId="77777777" w:rsidR="00B94FA6" w:rsidRPr="008340BB" w:rsidRDefault="00B94FA6">
            <w:pPr>
              <w:pStyle w:val="Text1"/>
              <w:ind w:left="0"/>
              <w:rPr>
                <w:sz w:val="18"/>
                <w:szCs w:val="18"/>
                <w:lang w:val="en-GB" w:eastAsia="en-GB"/>
              </w:rPr>
            </w:pPr>
          </w:p>
        </w:tc>
        <w:tc>
          <w:tcPr>
            <w:tcW w:w="1255" w:type="dxa"/>
            <w:vMerge w:val="restart"/>
          </w:tcPr>
          <w:p w14:paraId="2A2F01B2" w14:textId="77777777" w:rsidR="00B94FA6" w:rsidRPr="008340BB" w:rsidRDefault="00B94FA6">
            <w:pPr>
              <w:pStyle w:val="Text1"/>
              <w:ind w:left="0"/>
              <w:rPr>
                <w:sz w:val="18"/>
                <w:szCs w:val="18"/>
                <w:lang w:val="en-GB" w:eastAsia="en-GB"/>
              </w:rPr>
            </w:pPr>
            <w:r w:rsidRPr="008340BB">
              <w:rPr>
                <w:sz w:val="20"/>
                <w:lang w:val="en-GB" w:eastAsia="en-GB"/>
              </w:rPr>
              <w:t>ERDF</w:t>
            </w:r>
          </w:p>
        </w:tc>
        <w:tc>
          <w:tcPr>
            <w:tcW w:w="1445" w:type="dxa"/>
            <w:vMerge w:val="restart"/>
          </w:tcPr>
          <w:p w14:paraId="2F34A8B3" w14:textId="77777777" w:rsidR="00B94FA6" w:rsidRPr="00B94FA6" w:rsidRDefault="00B94FA6" w:rsidP="00B94FA6">
            <w:pPr>
              <w:pStyle w:val="Text1"/>
              <w:spacing w:after="0"/>
              <w:ind w:left="0"/>
              <w:rPr>
                <w:sz w:val="20"/>
                <w:lang w:val="x-none"/>
              </w:rPr>
            </w:pPr>
            <w:r w:rsidRPr="00B94FA6">
              <w:rPr>
                <w:sz w:val="20"/>
                <w:lang w:val="x-none"/>
              </w:rPr>
              <w:t>47 495 843,00</w:t>
            </w:r>
          </w:p>
          <w:p w14:paraId="67DC5F58" w14:textId="37327B52" w:rsidR="00B94FA6" w:rsidRPr="008340BB" w:rsidRDefault="00B94FA6" w:rsidP="00391B4F">
            <w:pPr>
              <w:pStyle w:val="Text1"/>
              <w:spacing w:after="0"/>
              <w:ind w:left="0"/>
              <w:rPr>
                <w:sz w:val="20"/>
                <w:lang w:val="en-GB" w:eastAsia="en-GB"/>
              </w:rPr>
            </w:pPr>
          </w:p>
        </w:tc>
        <w:tc>
          <w:tcPr>
            <w:tcW w:w="1260" w:type="dxa"/>
            <w:vMerge w:val="restart"/>
          </w:tcPr>
          <w:p w14:paraId="10AAAAD2" w14:textId="303C8B7F" w:rsidR="00B94FA6" w:rsidRPr="00B94FA6" w:rsidRDefault="00B94FA6" w:rsidP="00B94FA6">
            <w:pPr>
              <w:pStyle w:val="Text1"/>
              <w:spacing w:after="0"/>
              <w:ind w:left="5"/>
              <w:rPr>
                <w:sz w:val="20"/>
              </w:rPr>
            </w:pPr>
            <w:r w:rsidRPr="00B94FA6">
              <w:rPr>
                <w:sz w:val="20"/>
              </w:rPr>
              <w:t>3,12</w:t>
            </w:r>
            <w:r>
              <w:rPr>
                <w:sz w:val="20"/>
                <w:lang w:val="en-US"/>
              </w:rPr>
              <w:t xml:space="preserve"> </w:t>
            </w:r>
            <w:r w:rsidRPr="00B94FA6">
              <w:rPr>
                <w:sz w:val="20"/>
              </w:rPr>
              <w:t>%</w:t>
            </w:r>
          </w:p>
          <w:p w14:paraId="22169D5F" w14:textId="12567A0C" w:rsidR="00B94FA6" w:rsidRPr="008340BB" w:rsidRDefault="00B94FA6" w:rsidP="006924BD">
            <w:pPr>
              <w:pStyle w:val="Text1"/>
              <w:spacing w:after="0"/>
              <w:ind w:left="0"/>
              <w:rPr>
                <w:sz w:val="20"/>
                <w:lang w:val="en-GB" w:eastAsia="en-GB"/>
              </w:rPr>
            </w:pPr>
          </w:p>
          <w:p w14:paraId="72F51247" w14:textId="77777777" w:rsidR="00B94FA6" w:rsidRPr="008340BB" w:rsidRDefault="00B94FA6" w:rsidP="00DE3E40">
            <w:pPr>
              <w:pStyle w:val="Text1"/>
              <w:spacing w:after="0"/>
              <w:ind w:left="0"/>
              <w:rPr>
                <w:sz w:val="24"/>
                <w:szCs w:val="24"/>
                <w:lang w:val="en-GB" w:eastAsia="en-GB"/>
              </w:rPr>
            </w:pPr>
          </w:p>
        </w:tc>
        <w:tc>
          <w:tcPr>
            <w:tcW w:w="8280" w:type="dxa"/>
            <w:vMerge w:val="restart"/>
          </w:tcPr>
          <w:p w14:paraId="3ECB2AD9" w14:textId="77777777" w:rsidR="00B94FA6" w:rsidRDefault="00B94FA6" w:rsidP="00055F6C">
            <w:pPr>
              <w:pStyle w:val="Text1"/>
              <w:ind w:left="0"/>
              <w:jc w:val="left"/>
              <w:rPr>
                <w:rFonts w:cs="Webdings"/>
                <w:sz w:val="20"/>
                <w:lang w:val="en-GB" w:eastAsia="bg-BG"/>
              </w:rPr>
            </w:pPr>
            <w:r w:rsidRPr="008340BB">
              <w:rPr>
                <w:rFonts w:ascii="Webdings" w:hAnsi="Webdings" w:cs="Webdings"/>
                <w:sz w:val="20"/>
                <w:lang w:val="en-GB" w:eastAsia="bg-BG"/>
              </w:rPr>
              <w:t></w:t>
            </w:r>
            <w:r w:rsidRPr="008340BB">
              <w:rPr>
                <w:rFonts w:ascii="TimesNewRomanPSMT" w:hAnsi="TimesNewRomanPSMT" w:cs="TimesNewRomanPSMT"/>
                <w:sz w:val="20"/>
                <w:lang w:val="en-GB" w:eastAsia="bg-BG"/>
              </w:rPr>
              <w:t>07 -</w:t>
            </w:r>
            <w:r w:rsidRPr="008340BB" w:rsidDel="00BB26F5">
              <w:rPr>
                <w:sz w:val="20"/>
                <w:lang w:val="en-GB" w:eastAsia="en-GB"/>
              </w:rPr>
              <w:t xml:space="preserve"> </w:t>
            </w:r>
            <w:r w:rsidRPr="008340BB">
              <w:rPr>
                <w:sz w:val="20"/>
                <w:lang w:val="en-GB" w:eastAsia="en-GB"/>
              </w:rPr>
              <w:t xml:space="preserve">Promoting sustainable transport and removing </w:t>
            </w:r>
            <w:r>
              <w:rPr>
                <w:sz w:val="20"/>
                <w:lang w:val="en-GB" w:eastAsia="en-GB"/>
              </w:rPr>
              <w:t xml:space="preserve">bottlenecks </w:t>
            </w:r>
            <w:r w:rsidRPr="008340BB">
              <w:rPr>
                <w:sz w:val="20"/>
                <w:lang w:val="en-GB" w:eastAsia="en-GB"/>
              </w:rPr>
              <w:t>in key network infrastructures</w:t>
            </w:r>
          </w:p>
          <w:p w14:paraId="1337A6D1" w14:textId="77777777" w:rsidR="00B94FA6" w:rsidRPr="008340BB" w:rsidRDefault="00B94FA6" w:rsidP="00055F6C">
            <w:pPr>
              <w:pStyle w:val="Text1"/>
              <w:ind w:left="0"/>
              <w:jc w:val="left"/>
              <w:rPr>
                <w:sz w:val="18"/>
                <w:szCs w:val="18"/>
                <w:lang w:val="en-GB" w:eastAsia="en-GB"/>
              </w:rPr>
            </w:pPr>
            <w:r w:rsidRPr="008340BB">
              <w:rPr>
                <w:rFonts w:ascii="Webdings" w:hAnsi="Webdings" w:cs="Webdings"/>
                <w:sz w:val="20"/>
                <w:lang w:val="en-GB" w:eastAsia="bg-BG"/>
              </w:rPr>
              <w:t></w:t>
            </w:r>
            <w:r w:rsidRPr="008340BB">
              <w:rPr>
                <w:rFonts w:ascii="TimesNewRomanPSMT" w:hAnsi="TimesNewRomanPSMT" w:cs="TimesNewRomanPSMT"/>
                <w:sz w:val="20"/>
                <w:lang w:val="en-GB" w:eastAsia="bg-BG"/>
              </w:rPr>
              <w:t>7c -</w:t>
            </w:r>
            <w:r w:rsidRPr="008340BB" w:rsidDel="00E771FA">
              <w:rPr>
                <w:sz w:val="20"/>
                <w:lang w:val="en-GB" w:eastAsia="en-GB"/>
              </w:rPr>
              <w:t xml:space="preserve"> </w:t>
            </w:r>
            <w:r w:rsidRPr="008340BB">
              <w:rPr>
                <w:sz w:val="20"/>
                <w:lang w:val="en-GB" w:eastAsia="en-GB"/>
              </w:rPr>
              <w:t>Developing and improving environmentally-friendly including low-noise and low-carbon transport systems including inland waterways and maritime transport, ports, multimodal links and airport infrastructure, in order to promote sustainable regional and local mobility</w:t>
            </w:r>
          </w:p>
          <w:p w14:paraId="59076D8D" w14:textId="77777777" w:rsidR="00B94FA6" w:rsidRPr="008340BB" w:rsidRDefault="00B94FA6" w:rsidP="00055F6C">
            <w:pPr>
              <w:pStyle w:val="Text1"/>
              <w:ind w:left="0"/>
              <w:jc w:val="left"/>
              <w:rPr>
                <w:sz w:val="18"/>
                <w:szCs w:val="18"/>
                <w:lang w:val="en-GB" w:eastAsia="en-GB"/>
              </w:rPr>
            </w:pPr>
            <w:r w:rsidRPr="008340BB">
              <w:rPr>
                <w:rFonts w:cs="Webdings"/>
                <w:sz w:val="20"/>
                <w:lang w:val="en-GB" w:eastAsia="bg-BG"/>
              </w:rPr>
              <w:t xml:space="preserve">       </w:t>
            </w:r>
            <w:r w:rsidRPr="008340BB">
              <w:rPr>
                <w:rFonts w:ascii="Webdings" w:hAnsi="Webdings" w:cs="Webdings"/>
                <w:sz w:val="20"/>
                <w:lang w:val="en-GB" w:eastAsia="bg-BG"/>
              </w:rPr>
              <w:t></w:t>
            </w:r>
            <w:r w:rsidRPr="008340BB">
              <w:rPr>
                <w:rFonts w:ascii="TimesNewRomanPSMT" w:hAnsi="TimesNewRomanPSMT" w:cs="TimesNewRomanPSMT"/>
                <w:sz w:val="20"/>
                <w:lang w:val="en-GB" w:eastAsia="bg-BG"/>
              </w:rPr>
              <w:t>1 -</w:t>
            </w:r>
            <w:r w:rsidRPr="008340BB">
              <w:rPr>
                <w:sz w:val="20"/>
                <w:lang w:val="en-GB" w:eastAsia="en-GB"/>
              </w:rPr>
              <w:t xml:space="preserve"> </w:t>
            </w:r>
            <w:r w:rsidRPr="00CC1A5F">
              <w:rPr>
                <w:rStyle w:val="hps"/>
                <w:sz w:val="20"/>
                <w:lang w:val="en-GB" w:eastAsia="en-GB"/>
              </w:rPr>
              <w:t>Improved transport management through introduction of innovative systems</w:t>
            </w:r>
          </w:p>
          <w:p w14:paraId="37FF6F96" w14:textId="2C8C9DD0" w:rsidR="00B94FA6" w:rsidRPr="008340BB" w:rsidRDefault="00B94FA6" w:rsidP="00FD4C0A">
            <w:pPr>
              <w:pStyle w:val="Text1"/>
              <w:ind w:left="0"/>
              <w:rPr>
                <w:sz w:val="18"/>
                <w:szCs w:val="18"/>
                <w:lang w:val="en-GB" w:eastAsia="en-GB"/>
              </w:rPr>
            </w:pPr>
            <w:r w:rsidRPr="008340BB">
              <w:rPr>
                <w:rFonts w:cs="Webdings"/>
                <w:sz w:val="20"/>
                <w:lang w:val="en-GB" w:eastAsia="bg-BG"/>
              </w:rPr>
              <w:t xml:space="preserve">     </w:t>
            </w:r>
          </w:p>
        </w:tc>
        <w:tc>
          <w:tcPr>
            <w:tcW w:w="2000" w:type="dxa"/>
            <w:gridSpan w:val="2"/>
            <w:tcBorders>
              <w:bottom w:val="nil"/>
            </w:tcBorders>
          </w:tcPr>
          <w:p w14:paraId="5D68AB60" w14:textId="77777777" w:rsidR="00B94FA6" w:rsidRPr="008340BB" w:rsidRDefault="00B94FA6" w:rsidP="00EA5F94">
            <w:pPr>
              <w:pStyle w:val="Text1"/>
              <w:ind w:left="0"/>
              <w:jc w:val="left"/>
              <w:rPr>
                <w:sz w:val="20"/>
                <w:lang w:val="en-GB" w:eastAsia="en-GB"/>
              </w:rPr>
            </w:pPr>
            <w:r w:rsidRPr="008340BB">
              <w:rPr>
                <w:rFonts w:ascii="TimesNewRomanPSMT" w:hAnsi="TimesNewRomanPSMT" w:cs="TimesNewRomanPSMT"/>
                <w:sz w:val="20"/>
                <w:lang w:val="en-GB" w:eastAsia="bg-BG"/>
              </w:rPr>
              <w:t>[</w:t>
            </w:r>
            <w:r>
              <w:rPr>
                <w:rFonts w:ascii="TimesNewRomanPSMT" w:hAnsi="TimesNewRomanPSMT" w:cs="TimesNewRomanPSMT"/>
                <w:sz w:val="20"/>
                <w:lang w:val="en-GB" w:eastAsia="bg-BG"/>
              </w:rPr>
              <w:t>12</w:t>
            </w:r>
            <w:r w:rsidRPr="00247417">
              <w:rPr>
                <w:rFonts w:ascii="TimesNewRomanPSMT" w:hAnsi="TimesNewRomanPSMT" w:cs="TimesNewRomanPSMT"/>
                <w:sz w:val="20"/>
                <w:lang w:val="en-GB" w:eastAsia="bg-BG"/>
              </w:rPr>
              <w:t xml:space="preserve">, </w:t>
            </w:r>
            <w:r>
              <w:rPr>
                <w:rFonts w:ascii="TimesNewRomanPSMT" w:hAnsi="TimesNewRomanPSMT" w:cs="TimesNewRomanPSMT"/>
                <w:sz w:val="20"/>
                <w:lang w:val="en-GB" w:eastAsia="bg-BG"/>
              </w:rPr>
              <w:t>1</w:t>
            </w:r>
            <w:r w:rsidRPr="00247417">
              <w:rPr>
                <w:rFonts w:ascii="TimesNewRomanPSMT" w:hAnsi="TimesNewRomanPSMT" w:cs="TimesNewRomanPSMT"/>
                <w:sz w:val="20"/>
                <w:lang w:val="en-GB" w:eastAsia="bg-BG"/>
              </w:rPr>
              <w:t xml:space="preserve">, </w:t>
            </w:r>
            <w:r>
              <w:rPr>
                <w:rFonts w:ascii="TimesNewRomanPSMT" w:hAnsi="TimesNewRomanPSMT" w:cs="TimesNewRomanPSMT"/>
                <w:sz w:val="20"/>
                <w:lang w:val="en-GB" w:eastAsia="bg-BG"/>
              </w:rPr>
              <w:t>2</w:t>
            </w:r>
            <w:r w:rsidRPr="00247417">
              <w:rPr>
                <w:rFonts w:ascii="TimesNewRomanPSMT" w:hAnsi="TimesNewRomanPSMT" w:cs="TimesNewRomanPSMT"/>
                <w:sz w:val="20"/>
                <w:lang w:val="en-GB" w:eastAsia="bg-BG"/>
              </w:rPr>
              <w:t xml:space="preserve">, </w:t>
            </w:r>
            <w:r>
              <w:rPr>
                <w:rFonts w:ascii="TimesNewRomanPSMT" w:hAnsi="TimesNewRomanPSMT" w:cs="TimesNewRomanPSMT"/>
                <w:sz w:val="20"/>
                <w:lang w:val="en-GB" w:eastAsia="bg-BG"/>
              </w:rPr>
              <w:t>9</w:t>
            </w:r>
            <w:r w:rsidRPr="008340BB">
              <w:rPr>
                <w:rFonts w:ascii="TimesNewRomanPSMT" w:hAnsi="TimesNewRomanPSMT" w:cs="TimesNewRomanPSMT"/>
                <w:sz w:val="20"/>
                <w:lang w:val="en-GB" w:eastAsia="bg-BG"/>
              </w:rPr>
              <w:t>]</w:t>
            </w:r>
            <w:r w:rsidRPr="008340BB" w:rsidDel="00924BF2">
              <w:rPr>
                <w:iCs/>
                <w:sz w:val="20"/>
                <w:lang w:val="en-GB" w:eastAsia="bg-BG"/>
              </w:rPr>
              <w:t xml:space="preserve"> </w:t>
            </w:r>
          </w:p>
        </w:tc>
      </w:tr>
      <w:tr w:rsidR="00B94FA6" w:rsidRPr="008340BB" w14:paraId="1531321E" w14:textId="77777777" w:rsidTr="00723745">
        <w:trPr>
          <w:trHeight w:val="1435"/>
        </w:trPr>
        <w:tc>
          <w:tcPr>
            <w:tcW w:w="1008" w:type="dxa"/>
            <w:vMerge/>
          </w:tcPr>
          <w:p w14:paraId="34CF05B5" w14:textId="77777777" w:rsidR="00B94FA6" w:rsidRPr="008340BB" w:rsidRDefault="00B94FA6" w:rsidP="006A46B7">
            <w:pPr>
              <w:pStyle w:val="Text1"/>
              <w:ind w:left="0"/>
              <w:jc w:val="left"/>
              <w:rPr>
                <w:sz w:val="20"/>
                <w:lang w:val="en-GB" w:eastAsia="en-GB"/>
              </w:rPr>
            </w:pPr>
          </w:p>
        </w:tc>
        <w:tc>
          <w:tcPr>
            <w:tcW w:w="1255" w:type="dxa"/>
            <w:vMerge/>
          </w:tcPr>
          <w:p w14:paraId="051AD337" w14:textId="77777777" w:rsidR="00B94FA6" w:rsidRPr="008340BB" w:rsidRDefault="00B94FA6">
            <w:pPr>
              <w:pStyle w:val="Text1"/>
              <w:ind w:left="0"/>
              <w:rPr>
                <w:sz w:val="20"/>
                <w:lang w:val="en-GB" w:eastAsia="en-GB"/>
              </w:rPr>
            </w:pPr>
          </w:p>
        </w:tc>
        <w:tc>
          <w:tcPr>
            <w:tcW w:w="1445" w:type="dxa"/>
            <w:vMerge/>
          </w:tcPr>
          <w:p w14:paraId="71258C04" w14:textId="77777777" w:rsidR="00B94FA6" w:rsidRPr="008340BB" w:rsidRDefault="00B94FA6" w:rsidP="006924BD">
            <w:pPr>
              <w:pStyle w:val="Text1"/>
              <w:spacing w:after="0"/>
              <w:ind w:left="0"/>
              <w:rPr>
                <w:sz w:val="20"/>
                <w:lang w:val="en-GB" w:eastAsia="en-GB"/>
              </w:rPr>
            </w:pPr>
          </w:p>
        </w:tc>
        <w:tc>
          <w:tcPr>
            <w:tcW w:w="1260" w:type="dxa"/>
            <w:vMerge/>
          </w:tcPr>
          <w:p w14:paraId="487967A5" w14:textId="77777777" w:rsidR="00B94FA6" w:rsidRPr="008340BB" w:rsidRDefault="00B94FA6" w:rsidP="006924BD">
            <w:pPr>
              <w:pStyle w:val="Text1"/>
              <w:spacing w:after="0"/>
              <w:ind w:left="0"/>
              <w:rPr>
                <w:sz w:val="20"/>
                <w:lang w:val="en-GB" w:eastAsia="en-GB"/>
              </w:rPr>
            </w:pPr>
          </w:p>
        </w:tc>
        <w:tc>
          <w:tcPr>
            <w:tcW w:w="8280" w:type="dxa"/>
            <w:vMerge/>
          </w:tcPr>
          <w:p w14:paraId="7489F7E2" w14:textId="77777777" w:rsidR="00B94FA6" w:rsidRPr="008340BB" w:rsidRDefault="00B94FA6" w:rsidP="00055F6C">
            <w:pPr>
              <w:pStyle w:val="Text1"/>
              <w:ind w:left="0"/>
              <w:jc w:val="left"/>
              <w:rPr>
                <w:sz w:val="20"/>
                <w:lang w:val="en-GB" w:eastAsia="en-GB"/>
              </w:rPr>
            </w:pPr>
          </w:p>
        </w:tc>
        <w:tc>
          <w:tcPr>
            <w:tcW w:w="2000" w:type="dxa"/>
            <w:gridSpan w:val="2"/>
            <w:tcBorders>
              <w:top w:val="nil"/>
            </w:tcBorders>
          </w:tcPr>
          <w:p w14:paraId="6BF79C39" w14:textId="77777777" w:rsidR="00B94FA6" w:rsidRPr="008340BB" w:rsidRDefault="00B94FA6" w:rsidP="00055F6C">
            <w:pPr>
              <w:pStyle w:val="Text1"/>
              <w:ind w:left="0"/>
              <w:jc w:val="left"/>
              <w:rPr>
                <w:sz w:val="20"/>
                <w:lang w:val="en-GB" w:eastAsia="en-GB"/>
              </w:rPr>
            </w:pPr>
          </w:p>
        </w:tc>
      </w:tr>
      <w:tr w:rsidR="00F1341F" w:rsidRPr="008340BB" w14:paraId="43951A98" w14:textId="77777777" w:rsidTr="00723745">
        <w:tc>
          <w:tcPr>
            <w:tcW w:w="1008" w:type="dxa"/>
          </w:tcPr>
          <w:p w14:paraId="1B5C62AC" w14:textId="77777777" w:rsidR="00F1341F" w:rsidRPr="008340BB" w:rsidRDefault="00F1341F" w:rsidP="00F63F10">
            <w:pPr>
              <w:pStyle w:val="Text1"/>
              <w:ind w:left="0"/>
              <w:jc w:val="left"/>
              <w:rPr>
                <w:sz w:val="18"/>
                <w:szCs w:val="18"/>
                <w:lang w:val="en-GB" w:eastAsia="en-GB"/>
              </w:rPr>
            </w:pPr>
            <w:r w:rsidRPr="008340BB">
              <w:rPr>
                <w:sz w:val="20"/>
                <w:lang w:val="en-GB" w:eastAsia="en-GB"/>
              </w:rPr>
              <w:t>5</w:t>
            </w:r>
          </w:p>
        </w:tc>
        <w:tc>
          <w:tcPr>
            <w:tcW w:w="1255" w:type="dxa"/>
          </w:tcPr>
          <w:p w14:paraId="424215AF" w14:textId="77777777" w:rsidR="00F1341F" w:rsidRPr="008340BB" w:rsidRDefault="00F1341F">
            <w:pPr>
              <w:pStyle w:val="Text1"/>
              <w:ind w:left="0"/>
              <w:rPr>
                <w:sz w:val="18"/>
                <w:szCs w:val="18"/>
                <w:lang w:val="en-GB" w:eastAsia="en-GB"/>
              </w:rPr>
            </w:pPr>
            <w:r w:rsidRPr="008340BB">
              <w:rPr>
                <w:sz w:val="20"/>
                <w:lang w:val="en-GB" w:eastAsia="en-GB"/>
              </w:rPr>
              <w:t>ERDF</w:t>
            </w:r>
          </w:p>
        </w:tc>
        <w:tc>
          <w:tcPr>
            <w:tcW w:w="1445" w:type="dxa"/>
          </w:tcPr>
          <w:p w14:paraId="222EE833" w14:textId="77777777" w:rsidR="001834F6" w:rsidRPr="002F5FB8" w:rsidRDefault="001834F6" w:rsidP="001834F6">
            <w:pPr>
              <w:pStyle w:val="Text1"/>
              <w:spacing w:after="0"/>
              <w:ind w:left="0"/>
              <w:rPr>
                <w:bCs/>
                <w:sz w:val="20"/>
              </w:rPr>
            </w:pPr>
            <w:r w:rsidRPr="002F5FB8">
              <w:rPr>
                <w:bCs/>
                <w:sz w:val="20"/>
              </w:rPr>
              <w:t>30 217 316,00</w:t>
            </w:r>
          </w:p>
          <w:p w14:paraId="7C46B310" w14:textId="7AD70B3A" w:rsidR="00F1341F" w:rsidRPr="002F5FB8" w:rsidRDefault="00F1341F" w:rsidP="006028D7">
            <w:pPr>
              <w:pStyle w:val="Text1"/>
              <w:spacing w:after="0"/>
              <w:ind w:left="0"/>
              <w:rPr>
                <w:sz w:val="20"/>
                <w:lang w:val="en-GB" w:eastAsia="en-GB"/>
              </w:rPr>
            </w:pPr>
          </w:p>
        </w:tc>
        <w:tc>
          <w:tcPr>
            <w:tcW w:w="1260" w:type="dxa"/>
          </w:tcPr>
          <w:p w14:paraId="672B5CC3" w14:textId="77777777" w:rsidR="002262A4" w:rsidRPr="002F5FB8" w:rsidRDefault="002262A4" w:rsidP="002262A4">
            <w:pPr>
              <w:pStyle w:val="Text1"/>
              <w:spacing w:after="0"/>
              <w:ind w:left="0"/>
              <w:rPr>
                <w:sz w:val="20"/>
                <w:lang w:val="x-none"/>
              </w:rPr>
            </w:pPr>
            <w:r w:rsidRPr="002F5FB8">
              <w:rPr>
                <w:sz w:val="20"/>
                <w:lang w:val="x-none"/>
              </w:rPr>
              <w:t>1,99</w:t>
            </w:r>
          </w:p>
          <w:p w14:paraId="0CC2AFF3" w14:textId="33F1AC84" w:rsidR="00A82E0D" w:rsidRPr="002F5FB8" w:rsidRDefault="00A82E0D" w:rsidP="00A82E0D">
            <w:pPr>
              <w:pStyle w:val="Text1"/>
              <w:spacing w:after="0"/>
              <w:ind w:left="0"/>
              <w:rPr>
                <w:sz w:val="20"/>
                <w:lang w:val="x-none"/>
              </w:rPr>
            </w:pPr>
            <w:r w:rsidRPr="002F5FB8">
              <w:rPr>
                <w:sz w:val="20"/>
                <w:lang w:val="en-US"/>
              </w:rPr>
              <w:t xml:space="preserve"> </w:t>
            </w:r>
            <w:r w:rsidRPr="002F5FB8">
              <w:rPr>
                <w:sz w:val="20"/>
                <w:lang w:val="en-GB"/>
              </w:rPr>
              <w:t>%</w:t>
            </w:r>
          </w:p>
          <w:p w14:paraId="3F505A82" w14:textId="2275BB8B" w:rsidR="00F1341F" w:rsidRPr="002F5FB8" w:rsidRDefault="00F1341F" w:rsidP="00A82E0D">
            <w:pPr>
              <w:pStyle w:val="Text1"/>
              <w:spacing w:after="0"/>
              <w:ind w:left="0"/>
              <w:rPr>
                <w:sz w:val="20"/>
                <w:lang w:val="en-GB" w:eastAsia="en-GB"/>
              </w:rPr>
            </w:pPr>
            <w:r w:rsidRPr="002F5FB8">
              <w:rPr>
                <w:sz w:val="20"/>
                <w:lang w:val="en-GB" w:eastAsia="en-GB"/>
              </w:rPr>
              <w:t xml:space="preserve"> </w:t>
            </w:r>
          </w:p>
        </w:tc>
        <w:tc>
          <w:tcPr>
            <w:tcW w:w="8280" w:type="dxa"/>
          </w:tcPr>
          <w:p w14:paraId="08AD0412" w14:textId="77777777" w:rsidR="00F1341F" w:rsidRPr="00435AC3" w:rsidRDefault="00F1341F" w:rsidP="00094894">
            <w:pPr>
              <w:widowControl w:val="0"/>
              <w:autoSpaceDE w:val="0"/>
              <w:autoSpaceDN w:val="0"/>
              <w:adjustRightInd w:val="0"/>
              <w:ind w:right="61"/>
              <w:jc w:val="left"/>
              <w:rPr>
                <w:sz w:val="20"/>
                <w:lang w:val="en-US"/>
              </w:rPr>
            </w:pPr>
            <w:r w:rsidRPr="008340BB">
              <w:rPr>
                <w:sz w:val="18"/>
                <w:szCs w:val="18"/>
              </w:rPr>
              <w:t>1-</w:t>
            </w:r>
            <w:r w:rsidRPr="008340BB">
              <w:rPr>
                <w:sz w:val="20"/>
              </w:rPr>
              <w:t xml:space="preserve"> </w:t>
            </w:r>
            <w:r w:rsidR="00094894">
              <w:rPr>
                <w:sz w:val="20"/>
                <w:lang w:val="en-US"/>
              </w:rPr>
              <w:t>Establishment of necessary conditions for successful completion of OPT 2007-2013 and implementation of OPTTI 2014-2020, strengthening the administrative capacity and public awareness of OPTTI</w:t>
            </w:r>
          </w:p>
        </w:tc>
        <w:tc>
          <w:tcPr>
            <w:tcW w:w="2000" w:type="dxa"/>
            <w:gridSpan w:val="2"/>
          </w:tcPr>
          <w:p w14:paraId="7081EE05" w14:textId="77777777" w:rsidR="00F1341F" w:rsidRPr="008340BB" w:rsidRDefault="00F1341F" w:rsidP="00EA5F94">
            <w:pPr>
              <w:pStyle w:val="Text1"/>
              <w:ind w:left="0"/>
              <w:jc w:val="left"/>
              <w:rPr>
                <w:sz w:val="20"/>
                <w:lang w:val="en-GB" w:eastAsia="en-GB"/>
              </w:rPr>
            </w:pPr>
            <w:r w:rsidRPr="008340BB">
              <w:rPr>
                <w:rFonts w:ascii="TimesNewRomanPSMT" w:hAnsi="TimesNewRomanPSMT" w:cs="TimesNewRomanPSMT"/>
                <w:sz w:val="20"/>
                <w:lang w:val="en-GB" w:eastAsia="bg-BG"/>
              </w:rPr>
              <w:t>[</w:t>
            </w:r>
            <w:r w:rsidR="00EA5F94">
              <w:rPr>
                <w:rFonts w:ascii="TimesNewRomanPSMT" w:hAnsi="TimesNewRomanPSMT" w:cs="TimesNewRomanPSMT"/>
                <w:sz w:val="20"/>
                <w:lang w:val="en-GB" w:eastAsia="bg-BG"/>
              </w:rPr>
              <w:t>19,17,18,15,16,14</w:t>
            </w:r>
            <w:r w:rsidRPr="008340BB">
              <w:rPr>
                <w:rFonts w:ascii="TimesNewRomanPSMT" w:hAnsi="TimesNewRomanPSMT" w:cs="TimesNewRomanPSMT"/>
                <w:sz w:val="20"/>
                <w:lang w:val="en-GB" w:eastAsia="bg-BG"/>
              </w:rPr>
              <w:t>]</w:t>
            </w:r>
          </w:p>
        </w:tc>
      </w:tr>
      <w:tr w:rsidR="008239F9" w:rsidRPr="008340BB" w14:paraId="5BAFE3AA" w14:textId="77777777" w:rsidTr="008239F9">
        <w:tc>
          <w:tcPr>
            <w:tcW w:w="1008" w:type="dxa"/>
          </w:tcPr>
          <w:p w14:paraId="6893CBD8" w14:textId="5186EC66" w:rsidR="008239F9" w:rsidRPr="002F5FB8" w:rsidRDefault="008239F9" w:rsidP="008239F9">
            <w:pPr>
              <w:pStyle w:val="Text1"/>
              <w:ind w:left="0"/>
              <w:jc w:val="left"/>
              <w:rPr>
                <w:sz w:val="20"/>
                <w:lang w:eastAsia="en-GB"/>
              </w:rPr>
            </w:pPr>
            <w:r w:rsidRPr="002F5FB8">
              <w:rPr>
                <w:sz w:val="20"/>
                <w:lang w:eastAsia="en-GB"/>
              </w:rPr>
              <w:t>6</w:t>
            </w:r>
          </w:p>
        </w:tc>
        <w:tc>
          <w:tcPr>
            <w:tcW w:w="1255" w:type="dxa"/>
          </w:tcPr>
          <w:p w14:paraId="09000C84" w14:textId="5921948F" w:rsidR="008239F9" w:rsidRPr="002F5FB8" w:rsidRDefault="008239F9" w:rsidP="008239F9">
            <w:pPr>
              <w:pStyle w:val="Text1"/>
              <w:ind w:left="0"/>
              <w:rPr>
                <w:sz w:val="20"/>
                <w:lang w:val="en-US" w:eastAsia="en-GB"/>
              </w:rPr>
            </w:pPr>
            <w:r w:rsidRPr="002F5FB8">
              <w:rPr>
                <w:sz w:val="20"/>
                <w:lang w:val="en-US" w:eastAsia="en-GB"/>
              </w:rPr>
              <w:t>CF</w:t>
            </w:r>
          </w:p>
        </w:tc>
        <w:tc>
          <w:tcPr>
            <w:tcW w:w="1445" w:type="dxa"/>
            <w:tcBorders>
              <w:top w:val="single" w:sz="4" w:space="0" w:color="auto"/>
              <w:left w:val="single" w:sz="4" w:space="0" w:color="auto"/>
              <w:bottom w:val="single" w:sz="4" w:space="0" w:color="auto"/>
              <w:right w:val="single" w:sz="4" w:space="0" w:color="auto"/>
            </w:tcBorders>
          </w:tcPr>
          <w:p w14:paraId="5F66C99B" w14:textId="4F850FCA" w:rsidR="000E1894" w:rsidRPr="002F5FB8" w:rsidRDefault="000E1894" w:rsidP="000E1894">
            <w:pPr>
              <w:pStyle w:val="Text1"/>
              <w:ind w:left="0"/>
              <w:rPr>
                <w:bCs/>
                <w:sz w:val="20"/>
              </w:rPr>
            </w:pPr>
            <w:r w:rsidRPr="002F5FB8">
              <w:rPr>
                <w:bCs/>
                <w:sz w:val="20"/>
              </w:rPr>
              <w:t>140 500 000,00</w:t>
            </w:r>
          </w:p>
          <w:p w14:paraId="3EBB9824" w14:textId="77777777" w:rsidR="000E1894" w:rsidRPr="002F5FB8" w:rsidRDefault="000E1894" w:rsidP="000E1894">
            <w:pPr>
              <w:pStyle w:val="Text1"/>
              <w:ind w:left="0"/>
              <w:rPr>
                <w:bCs/>
                <w:sz w:val="20"/>
              </w:rPr>
            </w:pPr>
          </w:p>
          <w:p w14:paraId="1640A8FF" w14:textId="70840DA2" w:rsidR="008239F9" w:rsidRPr="002F5FB8" w:rsidRDefault="008239F9" w:rsidP="008239F9">
            <w:pPr>
              <w:pStyle w:val="Text1"/>
              <w:ind w:left="0"/>
              <w:rPr>
                <w:sz w:val="20"/>
              </w:rPr>
            </w:pPr>
          </w:p>
          <w:p w14:paraId="61ECDEC5" w14:textId="77777777" w:rsidR="008239F9" w:rsidRPr="002F5FB8" w:rsidRDefault="008239F9" w:rsidP="008239F9">
            <w:pPr>
              <w:pStyle w:val="Text1"/>
              <w:spacing w:after="0"/>
              <w:ind w:left="0"/>
              <w:rPr>
                <w:sz w:val="20"/>
                <w:lang w:val="x-none"/>
              </w:rPr>
            </w:pPr>
          </w:p>
        </w:tc>
        <w:tc>
          <w:tcPr>
            <w:tcW w:w="1260" w:type="dxa"/>
            <w:tcBorders>
              <w:top w:val="single" w:sz="4" w:space="0" w:color="auto"/>
              <w:left w:val="single" w:sz="4" w:space="0" w:color="auto"/>
              <w:bottom w:val="single" w:sz="4" w:space="0" w:color="auto"/>
              <w:right w:val="single" w:sz="4" w:space="0" w:color="auto"/>
            </w:tcBorders>
          </w:tcPr>
          <w:p w14:paraId="6AA7FC73" w14:textId="77777777" w:rsidR="00DB50C6" w:rsidRPr="002F5FB8" w:rsidRDefault="00DB50C6" w:rsidP="00DB50C6">
            <w:pPr>
              <w:pStyle w:val="Text1"/>
              <w:ind w:left="0"/>
              <w:rPr>
                <w:sz w:val="20"/>
              </w:rPr>
            </w:pPr>
            <w:r w:rsidRPr="002F5FB8">
              <w:rPr>
                <w:sz w:val="20"/>
              </w:rPr>
              <w:t>9,24</w:t>
            </w:r>
          </w:p>
          <w:p w14:paraId="499FF842" w14:textId="150BF1BF" w:rsidR="008239F9" w:rsidRPr="002F5FB8" w:rsidRDefault="008239F9" w:rsidP="008239F9">
            <w:pPr>
              <w:pStyle w:val="Text1"/>
              <w:ind w:left="0"/>
              <w:rPr>
                <w:sz w:val="20"/>
              </w:rPr>
            </w:pPr>
          </w:p>
          <w:p w14:paraId="572B1BF5" w14:textId="1903C99B" w:rsidR="008239F9" w:rsidRPr="002F5FB8" w:rsidRDefault="008239F9" w:rsidP="008239F9">
            <w:pPr>
              <w:pStyle w:val="Text1"/>
              <w:spacing w:after="0"/>
              <w:ind w:left="0"/>
              <w:rPr>
                <w:sz w:val="20"/>
                <w:lang w:val="x-none"/>
              </w:rPr>
            </w:pPr>
            <w:r w:rsidRPr="002F5FB8">
              <w:rPr>
                <w:sz w:val="20"/>
                <w:lang w:eastAsia="en-GB"/>
              </w:rPr>
              <w:t>%</w:t>
            </w:r>
          </w:p>
        </w:tc>
        <w:tc>
          <w:tcPr>
            <w:tcW w:w="8280" w:type="dxa"/>
          </w:tcPr>
          <w:p w14:paraId="5D2539C9" w14:textId="77777777" w:rsidR="00DE670C" w:rsidRPr="002F5FB8" w:rsidRDefault="00DE670C" w:rsidP="00DE670C">
            <w:pPr>
              <w:widowControl w:val="0"/>
              <w:autoSpaceDE w:val="0"/>
              <w:autoSpaceDN w:val="0"/>
              <w:adjustRightInd w:val="0"/>
              <w:ind w:right="61"/>
              <w:jc w:val="left"/>
              <w:rPr>
                <w:sz w:val="20"/>
              </w:rPr>
            </w:pPr>
            <w:r w:rsidRPr="002F5FB8">
              <w:rPr>
                <w:sz w:val="20"/>
              </w:rPr>
              <w:t>03 "Enhancing the competitiveness of SMEs"</w:t>
            </w:r>
          </w:p>
          <w:p w14:paraId="7826C96E" w14:textId="77777777" w:rsidR="00DE670C" w:rsidRPr="002F5FB8" w:rsidRDefault="00DE670C" w:rsidP="00DE670C">
            <w:pPr>
              <w:widowControl w:val="0"/>
              <w:autoSpaceDE w:val="0"/>
              <w:autoSpaceDN w:val="0"/>
              <w:adjustRightInd w:val="0"/>
              <w:ind w:right="61"/>
              <w:jc w:val="left"/>
              <w:rPr>
                <w:sz w:val="20"/>
              </w:rPr>
            </w:pPr>
            <w:r w:rsidRPr="002F5FB8">
              <w:rPr>
                <w:sz w:val="20"/>
              </w:rPr>
              <w:t>3d) supporting the capacity of SMEs to grow in regional, national and international markets, and to engage in innovation processes</w:t>
            </w:r>
          </w:p>
          <w:p w14:paraId="2BDC7187" w14:textId="2296F772" w:rsidR="008239F9" w:rsidRPr="002F5FB8" w:rsidRDefault="00DE670C" w:rsidP="00763C77">
            <w:pPr>
              <w:widowControl w:val="0"/>
              <w:autoSpaceDE w:val="0"/>
              <w:autoSpaceDN w:val="0"/>
              <w:adjustRightInd w:val="0"/>
              <w:ind w:right="61"/>
              <w:jc w:val="left"/>
              <w:rPr>
                <w:sz w:val="18"/>
                <w:szCs w:val="18"/>
                <w:lang w:val="bg-BG"/>
              </w:rPr>
            </w:pPr>
            <w:r w:rsidRPr="002F5FB8">
              <w:rPr>
                <w:sz w:val="20"/>
              </w:rPr>
              <w:t xml:space="preserve">1 - </w:t>
            </w:r>
            <w:r w:rsidR="00763C77" w:rsidRPr="002F5FB8">
              <w:rPr>
                <w:sz w:val="20"/>
              </w:rPr>
              <w:t>Support for SMEs that are particularly affected by energy price increases</w:t>
            </w:r>
          </w:p>
        </w:tc>
        <w:tc>
          <w:tcPr>
            <w:tcW w:w="2000" w:type="dxa"/>
            <w:gridSpan w:val="2"/>
          </w:tcPr>
          <w:p w14:paraId="42FC149F" w14:textId="77777777" w:rsidR="008239F9" w:rsidRPr="008340BB" w:rsidRDefault="008239F9" w:rsidP="008239F9">
            <w:pPr>
              <w:pStyle w:val="Text1"/>
              <w:ind w:left="0"/>
              <w:jc w:val="left"/>
              <w:rPr>
                <w:rFonts w:ascii="TimesNewRomanPSMT" w:hAnsi="TimesNewRomanPSMT" w:cs="TimesNewRomanPSMT"/>
                <w:sz w:val="20"/>
                <w:lang w:val="en-GB" w:eastAsia="bg-BG"/>
              </w:rPr>
            </w:pPr>
          </w:p>
        </w:tc>
      </w:tr>
      <w:tr w:rsidR="008239F9" w:rsidRPr="008340BB" w14:paraId="30925A1B" w14:textId="77777777" w:rsidTr="008239F9">
        <w:tc>
          <w:tcPr>
            <w:tcW w:w="1008" w:type="dxa"/>
          </w:tcPr>
          <w:p w14:paraId="3A6A74D4" w14:textId="38E9C2C3" w:rsidR="008239F9" w:rsidRPr="002F5FB8" w:rsidRDefault="008239F9" w:rsidP="008239F9">
            <w:pPr>
              <w:pStyle w:val="Text1"/>
              <w:ind w:left="0"/>
              <w:jc w:val="left"/>
              <w:rPr>
                <w:sz w:val="20"/>
                <w:lang w:eastAsia="en-GB"/>
              </w:rPr>
            </w:pPr>
            <w:r w:rsidRPr="002F5FB8">
              <w:rPr>
                <w:sz w:val="20"/>
                <w:lang w:eastAsia="en-GB"/>
              </w:rPr>
              <w:t>6</w:t>
            </w:r>
          </w:p>
        </w:tc>
        <w:tc>
          <w:tcPr>
            <w:tcW w:w="1255" w:type="dxa"/>
          </w:tcPr>
          <w:p w14:paraId="2110AE8D" w14:textId="49CA52C2" w:rsidR="008239F9" w:rsidRPr="002F5FB8" w:rsidRDefault="008239F9" w:rsidP="008239F9">
            <w:pPr>
              <w:pStyle w:val="Text1"/>
              <w:ind w:left="0"/>
              <w:rPr>
                <w:sz w:val="20"/>
                <w:lang w:val="en-GB" w:eastAsia="en-GB"/>
              </w:rPr>
            </w:pPr>
            <w:r w:rsidRPr="002F5FB8">
              <w:rPr>
                <w:sz w:val="20"/>
                <w:lang w:val="en-GB" w:eastAsia="en-GB"/>
              </w:rPr>
              <w:t>ERDF</w:t>
            </w:r>
          </w:p>
        </w:tc>
        <w:tc>
          <w:tcPr>
            <w:tcW w:w="1445" w:type="dxa"/>
            <w:tcBorders>
              <w:top w:val="single" w:sz="4" w:space="0" w:color="auto"/>
              <w:left w:val="single" w:sz="4" w:space="0" w:color="auto"/>
              <w:bottom w:val="single" w:sz="4" w:space="0" w:color="auto"/>
              <w:right w:val="single" w:sz="4" w:space="0" w:color="auto"/>
            </w:tcBorders>
          </w:tcPr>
          <w:p w14:paraId="15B7CCF6" w14:textId="77777777" w:rsidR="008A0D8C" w:rsidRPr="002F5FB8" w:rsidRDefault="008A0D8C" w:rsidP="008A0D8C">
            <w:pPr>
              <w:pStyle w:val="Text1"/>
              <w:ind w:left="0"/>
              <w:rPr>
                <w:bCs/>
                <w:sz w:val="20"/>
              </w:rPr>
            </w:pPr>
            <w:r w:rsidRPr="002F5FB8">
              <w:rPr>
                <w:bCs/>
                <w:sz w:val="20"/>
              </w:rPr>
              <w:t>4 500 000,00</w:t>
            </w:r>
          </w:p>
          <w:p w14:paraId="4159F9AE" w14:textId="0645E376" w:rsidR="008239F9" w:rsidRPr="002F5FB8" w:rsidRDefault="008239F9" w:rsidP="008239F9">
            <w:pPr>
              <w:pStyle w:val="Text1"/>
              <w:ind w:left="0"/>
              <w:rPr>
                <w:sz w:val="20"/>
              </w:rPr>
            </w:pPr>
          </w:p>
          <w:p w14:paraId="18052048" w14:textId="77777777" w:rsidR="008239F9" w:rsidRPr="002F5FB8" w:rsidRDefault="008239F9" w:rsidP="008239F9">
            <w:pPr>
              <w:pStyle w:val="Text1"/>
              <w:spacing w:after="0"/>
              <w:ind w:left="0"/>
              <w:rPr>
                <w:sz w:val="20"/>
                <w:lang w:val="x-none"/>
              </w:rPr>
            </w:pPr>
          </w:p>
        </w:tc>
        <w:tc>
          <w:tcPr>
            <w:tcW w:w="1260" w:type="dxa"/>
            <w:tcBorders>
              <w:top w:val="single" w:sz="4" w:space="0" w:color="auto"/>
              <w:left w:val="single" w:sz="4" w:space="0" w:color="auto"/>
              <w:bottom w:val="single" w:sz="4" w:space="0" w:color="auto"/>
              <w:right w:val="single" w:sz="4" w:space="0" w:color="auto"/>
            </w:tcBorders>
          </w:tcPr>
          <w:p w14:paraId="4D0CB6B2" w14:textId="77777777" w:rsidR="00E120A7" w:rsidRPr="002F5FB8" w:rsidRDefault="00E120A7" w:rsidP="00E120A7">
            <w:pPr>
              <w:pStyle w:val="Text1"/>
              <w:ind w:left="0"/>
              <w:rPr>
                <w:sz w:val="20"/>
              </w:rPr>
            </w:pPr>
            <w:r w:rsidRPr="002F5FB8">
              <w:rPr>
                <w:sz w:val="20"/>
              </w:rPr>
              <w:lastRenderedPageBreak/>
              <w:t>0,30</w:t>
            </w:r>
          </w:p>
          <w:p w14:paraId="33CC4ECB" w14:textId="4233ECC0" w:rsidR="008239F9" w:rsidRPr="002F5FB8" w:rsidRDefault="008239F9" w:rsidP="008239F9">
            <w:pPr>
              <w:pStyle w:val="Text1"/>
              <w:ind w:left="0"/>
              <w:rPr>
                <w:sz w:val="20"/>
              </w:rPr>
            </w:pPr>
          </w:p>
          <w:p w14:paraId="17B42175" w14:textId="3FF79FA2" w:rsidR="008239F9" w:rsidRPr="002F5FB8" w:rsidRDefault="008239F9" w:rsidP="008239F9">
            <w:pPr>
              <w:pStyle w:val="Text1"/>
              <w:spacing w:after="0"/>
              <w:ind w:left="0"/>
              <w:rPr>
                <w:sz w:val="20"/>
                <w:lang w:val="x-none"/>
              </w:rPr>
            </w:pPr>
            <w:r w:rsidRPr="002F5FB8">
              <w:rPr>
                <w:sz w:val="20"/>
                <w:lang w:eastAsia="en-GB"/>
              </w:rPr>
              <w:lastRenderedPageBreak/>
              <w:t>%</w:t>
            </w:r>
          </w:p>
        </w:tc>
        <w:tc>
          <w:tcPr>
            <w:tcW w:w="8280" w:type="dxa"/>
          </w:tcPr>
          <w:p w14:paraId="04FD1FD1" w14:textId="77777777" w:rsidR="00DE670C" w:rsidRPr="002F5FB8" w:rsidRDefault="00DE670C" w:rsidP="00DE670C">
            <w:pPr>
              <w:widowControl w:val="0"/>
              <w:autoSpaceDE w:val="0"/>
              <w:autoSpaceDN w:val="0"/>
              <w:adjustRightInd w:val="0"/>
              <w:ind w:right="61"/>
              <w:jc w:val="left"/>
              <w:rPr>
                <w:sz w:val="20"/>
              </w:rPr>
            </w:pPr>
            <w:r w:rsidRPr="002F5FB8">
              <w:rPr>
                <w:sz w:val="20"/>
              </w:rPr>
              <w:lastRenderedPageBreak/>
              <w:t>03 "Enhancing the competitiveness of SMEs"</w:t>
            </w:r>
          </w:p>
          <w:p w14:paraId="7DBA3CDC" w14:textId="77777777" w:rsidR="00DE670C" w:rsidRPr="002F5FB8" w:rsidRDefault="00DE670C" w:rsidP="00DE670C">
            <w:pPr>
              <w:widowControl w:val="0"/>
              <w:autoSpaceDE w:val="0"/>
              <w:autoSpaceDN w:val="0"/>
              <w:adjustRightInd w:val="0"/>
              <w:ind w:right="61"/>
              <w:jc w:val="left"/>
              <w:rPr>
                <w:sz w:val="20"/>
              </w:rPr>
            </w:pPr>
            <w:r w:rsidRPr="002F5FB8">
              <w:rPr>
                <w:sz w:val="20"/>
              </w:rPr>
              <w:t xml:space="preserve">3d) supporting the capacity of SMEs to grow in regional, national and international markets, and </w:t>
            </w:r>
            <w:r w:rsidRPr="002F5FB8">
              <w:rPr>
                <w:sz w:val="20"/>
              </w:rPr>
              <w:lastRenderedPageBreak/>
              <w:t>to engage in innovation processes</w:t>
            </w:r>
          </w:p>
          <w:p w14:paraId="74743AED" w14:textId="7B8A468E" w:rsidR="008239F9" w:rsidRPr="002F5FB8" w:rsidRDefault="00DE670C" w:rsidP="00763C77">
            <w:pPr>
              <w:widowControl w:val="0"/>
              <w:autoSpaceDE w:val="0"/>
              <w:autoSpaceDN w:val="0"/>
              <w:adjustRightInd w:val="0"/>
              <w:ind w:right="61"/>
              <w:jc w:val="left"/>
              <w:rPr>
                <w:sz w:val="20"/>
              </w:rPr>
            </w:pPr>
            <w:r w:rsidRPr="002F5FB8">
              <w:rPr>
                <w:sz w:val="20"/>
              </w:rPr>
              <w:t xml:space="preserve">1 - </w:t>
            </w:r>
            <w:r w:rsidR="00763C77" w:rsidRPr="002F5FB8">
              <w:rPr>
                <w:sz w:val="20"/>
              </w:rPr>
              <w:t>Support for SMEs that are particularly affected by energy price increases</w:t>
            </w:r>
          </w:p>
        </w:tc>
        <w:tc>
          <w:tcPr>
            <w:tcW w:w="2000" w:type="dxa"/>
            <w:gridSpan w:val="2"/>
          </w:tcPr>
          <w:p w14:paraId="2A05837F" w14:textId="77777777" w:rsidR="008239F9" w:rsidRPr="008340BB" w:rsidRDefault="008239F9" w:rsidP="008239F9">
            <w:pPr>
              <w:pStyle w:val="Text1"/>
              <w:ind w:left="0"/>
              <w:jc w:val="left"/>
              <w:rPr>
                <w:rFonts w:ascii="TimesNewRomanPSMT" w:hAnsi="TimesNewRomanPSMT" w:cs="TimesNewRomanPSMT"/>
                <w:sz w:val="20"/>
                <w:lang w:val="en-GB" w:eastAsia="bg-BG"/>
              </w:rPr>
            </w:pPr>
          </w:p>
        </w:tc>
      </w:tr>
    </w:tbl>
    <w:p w14:paraId="4A2A1EE5" w14:textId="77777777" w:rsidR="00F1341F" w:rsidRPr="008340BB" w:rsidRDefault="00F1341F" w:rsidP="00F03C1E">
      <w:pPr>
        <w:pStyle w:val="Text1"/>
        <w:ind w:left="0"/>
        <w:rPr>
          <w:lang w:val="en-GB"/>
        </w:rPr>
        <w:sectPr w:rsidR="00F1341F" w:rsidRPr="008340BB" w:rsidSect="001E1D6F">
          <w:headerReference w:type="default" r:id="rId9"/>
          <w:footerReference w:type="default" r:id="rId10"/>
          <w:headerReference w:type="first" r:id="rId11"/>
          <w:footerReference w:type="first" r:id="rId12"/>
          <w:pgSz w:w="16838" w:h="11906" w:orient="landscape"/>
          <w:pgMar w:top="1588" w:right="1021" w:bottom="1701" w:left="1021" w:header="601" w:footer="1077" w:gutter="0"/>
          <w:cols w:space="708"/>
          <w:docGrid w:linePitch="326"/>
        </w:sectPr>
      </w:pPr>
    </w:p>
    <w:p w14:paraId="4CF023B0" w14:textId="77777777" w:rsidR="00F1341F" w:rsidRPr="008340BB" w:rsidRDefault="00F1341F" w:rsidP="00686A86">
      <w:pPr>
        <w:pStyle w:val="ManualHeading1"/>
      </w:pPr>
      <w:r w:rsidRPr="008340BB">
        <w:lastRenderedPageBreak/>
        <w:t>SECTION 2</w:t>
      </w:r>
      <w:r w:rsidRPr="008340BB">
        <w:tab/>
        <w:t xml:space="preserve">Priority Axes </w:t>
      </w:r>
    </w:p>
    <w:p w14:paraId="3395F161" w14:textId="77777777" w:rsidR="00F1341F" w:rsidRPr="008340BB" w:rsidRDefault="00F1341F" w:rsidP="00686A86">
      <w:r w:rsidRPr="008340BB">
        <w:t>(Reference: points (b) and (c) of the first subparagraph of Article 96(2) of Regulation (EU) No 1303/2013)</w:t>
      </w:r>
    </w:p>
    <w:p w14:paraId="1A59D2EF" w14:textId="77777777" w:rsidR="00F1341F" w:rsidRPr="008340BB" w:rsidRDefault="00F1341F" w:rsidP="00BB7E37">
      <w:pPr>
        <w:rPr>
          <w:b/>
        </w:rPr>
      </w:pPr>
      <w:r w:rsidRPr="008340BB">
        <w:rPr>
          <w:b/>
        </w:rPr>
        <w:t xml:space="preserve">2.A </w:t>
      </w:r>
      <w:r w:rsidRPr="008340BB">
        <w:rPr>
          <w:b/>
        </w:rPr>
        <w:tab/>
        <w:t xml:space="preserve">A description of the priority axes other than technical assistance </w:t>
      </w:r>
    </w:p>
    <w:p w14:paraId="02FDD340" w14:textId="77777777" w:rsidR="00F1341F" w:rsidRPr="008340BB" w:rsidRDefault="00F1341F" w:rsidP="00445D2B">
      <w:pPr>
        <w:rPr>
          <w:b/>
        </w:rPr>
      </w:pPr>
      <w:r w:rsidRPr="008340BB">
        <w:t>(Reference: point (b) of the first subparagraph of Article 96(2) of Regulation (EU) No 1303/2013)</w:t>
      </w:r>
    </w:p>
    <w:p w14:paraId="5E9DE91C" w14:textId="77777777" w:rsidR="00F1341F" w:rsidRPr="008340BB" w:rsidRDefault="00F1341F" w:rsidP="00B27067">
      <w:pPr>
        <w:rPr>
          <w:b/>
        </w:rPr>
      </w:pPr>
    </w:p>
    <w:p w14:paraId="6B04AD1D" w14:textId="6E673FD1" w:rsidR="00F1341F" w:rsidRPr="008340BB" w:rsidRDefault="00F1341F" w:rsidP="00B27067">
      <w:pPr>
        <w:rPr>
          <w:b/>
        </w:rPr>
      </w:pPr>
      <w:r w:rsidRPr="008340BB">
        <w:rPr>
          <w:b/>
        </w:rPr>
        <w:t>2.A.1 Priority axis</w:t>
      </w:r>
      <w:r w:rsidRPr="008340BB">
        <w:t xml:space="preserve"> </w:t>
      </w:r>
      <w:r w:rsidRPr="008340BB">
        <w:rPr>
          <w:b/>
        </w:rPr>
        <w:t xml:space="preserve">“Development of railway infrastructure along the </w:t>
      </w:r>
      <w:r w:rsidRPr="00CD1188">
        <w:rPr>
          <w:b/>
        </w:rPr>
        <w:t>“core”</w:t>
      </w:r>
      <w:r w:rsidR="002E7591">
        <w:rPr>
          <w:b/>
        </w:rPr>
        <w:t xml:space="preserve"> and “comprehensive” </w:t>
      </w:r>
      <w:r w:rsidR="00BE1286" w:rsidRPr="00CD1188">
        <w:rPr>
          <w:b/>
        </w:rPr>
        <w:t>TEN-T</w:t>
      </w:r>
      <w:r w:rsidRPr="00CD1188">
        <w:rPr>
          <w:b/>
        </w:rPr>
        <w:t>”</w:t>
      </w:r>
      <w:r w:rsidR="0058170A" w:rsidRPr="00CD1188">
        <w:rPr>
          <w:b/>
        </w:rPr>
        <w:t xml:space="preserve"> </w:t>
      </w:r>
    </w:p>
    <w:p w14:paraId="2D722F7E" w14:textId="77777777" w:rsidR="00F1341F" w:rsidRPr="008340BB" w:rsidRDefault="00F1341F" w:rsidP="00B27067"/>
    <w:p w14:paraId="1094B54A" w14:textId="77777777" w:rsidR="00F1341F" w:rsidRPr="008340BB" w:rsidRDefault="00F1341F" w:rsidP="00BF3391">
      <w:pPr>
        <w:ind w:left="1418" w:hanging="1418"/>
      </w:pPr>
      <w:r w:rsidRPr="008340BB">
        <w:rPr>
          <w:b/>
        </w:rPr>
        <w:t>2.A.1.1</w:t>
      </w:r>
      <w:r w:rsidRPr="008340BB">
        <w:rPr>
          <w:b/>
        </w:rPr>
        <w:tab/>
        <w:t xml:space="preserve">Justification for the establishment of a priority axis covering more than one category of region, thematic objective or Fund </w:t>
      </w:r>
      <w:r w:rsidRPr="008340BB">
        <w:t xml:space="preserve"> (where applicable)</w:t>
      </w:r>
    </w:p>
    <w:p w14:paraId="33FB9A6C" w14:textId="77777777" w:rsidR="00F1341F" w:rsidRPr="008340BB" w:rsidRDefault="00F1341F" w:rsidP="00A44429">
      <w:pPr>
        <w:ind w:left="1418" w:hanging="1418"/>
      </w:pPr>
      <w:r w:rsidRPr="008340BB">
        <w:t>(Reference: Article 96(1) of Regulation (EU) No 1303/2013)</w:t>
      </w:r>
    </w:p>
    <w:p w14:paraId="565FE019" w14:textId="77777777" w:rsidR="00F1341F" w:rsidRPr="008340BB" w:rsidRDefault="00F1341F" w:rsidP="00A4442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F1341F" w:rsidRPr="008340BB" w14:paraId="22B5CD28" w14:textId="77777777" w:rsidTr="007F21D2">
        <w:tc>
          <w:tcPr>
            <w:tcW w:w="9286" w:type="dxa"/>
          </w:tcPr>
          <w:p w14:paraId="37250822" w14:textId="77777777" w:rsidR="00F1341F" w:rsidRPr="008340BB" w:rsidRDefault="00F1341F" w:rsidP="007F21D2">
            <w:pPr>
              <w:pStyle w:val="Text1"/>
              <w:ind w:left="0"/>
              <w:rPr>
                <w:i/>
                <w:color w:val="4F81BD"/>
                <w:sz w:val="20"/>
                <w:lang w:val="en-GB" w:eastAsia="en-GB"/>
              </w:rPr>
            </w:pPr>
            <w:r w:rsidRPr="008340BB">
              <w:rPr>
                <w:sz w:val="24"/>
                <w:szCs w:val="24"/>
                <w:lang w:val="en-GB" w:eastAsia="en-GB"/>
              </w:rPr>
              <w:t xml:space="preserve">Priority axis doesn’t cover more than one category of region, thematic objective or fund. </w:t>
            </w:r>
          </w:p>
        </w:tc>
      </w:tr>
    </w:tbl>
    <w:p w14:paraId="338C31FA" w14:textId="77777777" w:rsidR="00F1341F" w:rsidRPr="008340BB" w:rsidRDefault="00F1341F"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4962"/>
      </w:tblGrid>
      <w:tr w:rsidR="00F1341F" w:rsidRPr="008340BB" w14:paraId="16E2C580" w14:textId="77777777" w:rsidTr="00F03C1E">
        <w:trPr>
          <w:trHeight w:val="491"/>
        </w:trPr>
        <w:tc>
          <w:tcPr>
            <w:tcW w:w="3510" w:type="dxa"/>
          </w:tcPr>
          <w:p w14:paraId="24661160" w14:textId="77777777" w:rsidR="00F1341F" w:rsidRPr="008340BB" w:rsidRDefault="00F1341F" w:rsidP="00F03C1E">
            <w:pPr>
              <w:rPr>
                <w:i/>
              </w:rPr>
            </w:pPr>
            <w:r w:rsidRPr="008340BB">
              <w:t>ID of the priority axis</w:t>
            </w:r>
          </w:p>
        </w:tc>
        <w:tc>
          <w:tcPr>
            <w:tcW w:w="4962" w:type="dxa"/>
          </w:tcPr>
          <w:p w14:paraId="7AB54346" w14:textId="77777777" w:rsidR="00F1341F" w:rsidRPr="008340BB" w:rsidRDefault="00F1341F" w:rsidP="00F03C1E">
            <w:pPr>
              <w:pStyle w:val="Text1"/>
              <w:ind w:left="0"/>
              <w:jc w:val="left"/>
              <w:rPr>
                <w:i/>
                <w:color w:val="8DB3E2"/>
                <w:sz w:val="18"/>
                <w:szCs w:val="18"/>
                <w:lang w:val="en-GB" w:eastAsia="en-GB"/>
              </w:rPr>
            </w:pPr>
            <w:r w:rsidRPr="008340BB">
              <w:rPr>
                <w:sz w:val="24"/>
                <w:szCs w:val="24"/>
                <w:lang w:val="en-GB" w:eastAsia="en-GB"/>
              </w:rPr>
              <w:t>1</w:t>
            </w:r>
          </w:p>
        </w:tc>
      </w:tr>
      <w:tr w:rsidR="00F1341F" w:rsidRPr="008340BB" w14:paraId="2C4F13B3" w14:textId="77777777" w:rsidTr="00F03C1E">
        <w:trPr>
          <w:trHeight w:val="422"/>
        </w:trPr>
        <w:tc>
          <w:tcPr>
            <w:tcW w:w="3510" w:type="dxa"/>
          </w:tcPr>
          <w:p w14:paraId="14BF76BA" w14:textId="77777777" w:rsidR="00F1341F" w:rsidRPr="008340BB" w:rsidRDefault="00F1341F" w:rsidP="00F03C1E">
            <w:pPr>
              <w:rPr>
                <w:i/>
              </w:rPr>
            </w:pPr>
            <w:r w:rsidRPr="008340BB">
              <w:t>Title of the priority axis</w:t>
            </w:r>
          </w:p>
        </w:tc>
        <w:tc>
          <w:tcPr>
            <w:tcW w:w="4962" w:type="dxa"/>
          </w:tcPr>
          <w:p w14:paraId="103A6C07" w14:textId="28540887" w:rsidR="00F1341F" w:rsidRPr="008340BB" w:rsidRDefault="00F1341F">
            <w:pPr>
              <w:pStyle w:val="Text1"/>
              <w:ind w:left="0"/>
              <w:rPr>
                <w:i/>
                <w:color w:val="8DB3E2"/>
                <w:sz w:val="18"/>
                <w:szCs w:val="18"/>
                <w:lang w:val="en-GB" w:eastAsia="en-GB"/>
              </w:rPr>
            </w:pPr>
            <w:r w:rsidRPr="008340BB">
              <w:rPr>
                <w:sz w:val="24"/>
                <w:lang w:val="en-GB" w:eastAsia="en-GB"/>
              </w:rPr>
              <w:t xml:space="preserve">Development of railway infrastructure along the “core” </w:t>
            </w:r>
            <w:r w:rsidR="009A60D2">
              <w:rPr>
                <w:sz w:val="24"/>
                <w:lang w:val="en-GB" w:eastAsia="en-GB"/>
              </w:rPr>
              <w:t xml:space="preserve">and “comprehensive” </w:t>
            </w:r>
            <w:r w:rsidR="00BE1286">
              <w:rPr>
                <w:sz w:val="24"/>
                <w:lang w:val="en-GB" w:eastAsia="en-GB"/>
              </w:rPr>
              <w:t>TEN-T</w:t>
            </w:r>
            <w:r w:rsidR="009A60D2">
              <w:rPr>
                <w:sz w:val="24"/>
                <w:lang w:val="en-GB" w:eastAsia="en-GB"/>
              </w:rPr>
              <w:t xml:space="preserve"> </w:t>
            </w:r>
          </w:p>
        </w:tc>
      </w:tr>
    </w:tbl>
    <w:p w14:paraId="70B3749E" w14:textId="77777777" w:rsidR="00F1341F" w:rsidRPr="008340BB" w:rsidRDefault="00F1341F" w:rsidP="00F03C1E">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6"/>
        <w:gridCol w:w="2352"/>
      </w:tblGrid>
      <w:tr w:rsidR="00F1341F" w:rsidRPr="008340BB" w14:paraId="4075F1F6" w14:textId="77777777" w:rsidTr="00BB7E37">
        <w:tc>
          <w:tcPr>
            <w:tcW w:w="4986" w:type="dxa"/>
          </w:tcPr>
          <w:bookmarkStart w:id="24" w:name="Check1"/>
          <w:p w14:paraId="2F8DD340" w14:textId="77777777" w:rsidR="00F1341F" w:rsidRPr="008340BB" w:rsidRDefault="009B1DD8" w:rsidP="00BB7E37">
            <w:pPr>
              <w:pStyle w:val="Text3"/>
              <w:ind w:left="0"/>
            </w:pPr>
            <w:r w:rsidRPr="00435AC3">
              <w:fldChar w:fldCharType="begin">
                <w:ffData>
                  <w:name w:val="Check1"/>
                  <w:enabled/>
                  <w:calcOnExit w:val="0"/>
                  <w:checkBox>
                    <w:sizeAuto/>
                    <w:default w:val="0"/>
                  </w:checkBox>
                </w:ffData>
              </w:fldChar>
            </w:r>
            <w:r w:rsidR="00F1341F" w:rsidRPr="008340BB">
              <w:instrText xml:space="preserve"> FORMCHECKBOX </w:instrText>
            </w:r>
            <w:r w:rsidR="004956FB">
              <w:fldChar w:fldCharType="separate"/>
            </w:r>
            <w:r w:rsidRPr="00435AC3">
              <w:fldChar w:fldCharType="end"/>
            </w:r>
            <w:bookmarkEnd w:id="24"/>
            <w:r w:rsidR="00F1341F" w:rsidRPr="008340BB">
              <w:t xml:space="preserve">  The entire priority axis will be implemented solely through financial instruments </w:t>
            </w:r>
          </w:p>
          <w:p w14:paraId="6EEE0FD8" w14:textId="77777777" w:rsidR="00F1341F" w:rsidRPr="008340BB" w:rsidRDefault="00F1341F" w:rsidP="00BB7E37">
            <w:pPr>
              <w:pStyle w:val="Text3"/>
              <w:ind w:left="0"/>
            </w:pPr>
          </w:p>
        </w:tc>
        <w:tc>
          <w:tcPr>
            <w:tcW w:w="2352" w:type="dxa"/>
          </w:tcPr>
          <w:p w14:paraId="3DE2CA41" w14:textId="77777777" w:rsidR="00F1341F" w:rsidRPr="008340BB" w:rsidRDefault="00F1341F" w:rsidP="00F03C1E">
            <w:pPr>
              <w:pStyle w:val="Text3"/>
              <w:ind w:left="0"/>
            </w:pPr>
            <w:r w:rsidRPr="008340BB">
              <w:rPr>
                <w:i/>
                <w:sz w:val="18"/>
                <w:szCs w:val="18"/>
              </w:rPr>
              <w:t>N/A</w:t>
            </w:r>
          </w:p>
        </w:tc>
      </w:tr>
      <w:bookmarkStart w:id="25" w:name="Check2"/>
      <w:tr w:rsidR="00F1341F" w:rsidRPr="008340BB" w14:paraId="69AE8180" w14:textId="77777777" w:rsidTr="00BB7E37">
        <w:tc>
          <w:tcPr>
            <w:tcW w:w="4986" w:type="dxa"/>
          </w:tcPr>
          <w:p w14:paraId="07D035C0" w14:textId="77777777" w:rsidR="00F1341F" w:rsidRPr="008340BB" w:rsidRDefault="009B1DD8" w:rsidP="00BB7E37">
            <w:pPr>
              <w:pStyle w:val="Text3"/>
              <w:ind w:left="0"/>
            </w:pPr>
            <w:r w:rsidRPr="00435AC3">
              <w:fldChar w:fldCharType="begin">
                <w:ffData>
                  <w:name w:val="Check2"/>
                  <w:enabled/>
                  <w:calcOnExit w:val="0"/>
                  <w:checkBox>
                    <w:sizeAuto/>
                    <w:default w:val="0"/>
                  </w:checkBox>
                </w:ffData>
              </w:fldChar>
            </w:r>
            <w:r w:rsidR="00F1341F" w:rsidRPr="008340BB">
              <w:instrText xml:space="preserve"> FORMCHECKBOX </w:instrText>
            </w:r>
            <w:r w:rsidR="004956FB">
              <w:fldChar w:fldCharType="separate"/>
            </w:r>
            <w:r w:rsidRPr="00435AC3">
              <w:fldChar w:fldCharType="end"/>
            </w:r>
            <w:bookmarkEnd w:id="25"/>
            <w:r w:rsidR="00F1341F" w:rsidRPr="008340BB">
              <w:t xml:space="preserve">  The entire priority axis will be implemented solely though financial instruments set up at Union level </w:t>
            </w:r>
          </w:p>
          <w:p w14:paraId="59AAAFE2" w14:textId="77777777" w:rsidR="00F1341F" w:rsidRPr="008340BB" w:rsidRDefault="00F1341F" w:rsidP="00BB7E37">
            <w:pPr>
              <w:pStyle w:val="Text3"/>
              <w:ind w:left="0"/>
            </w:pPr>
          </w:p>
        </w:tc>
        <w:tc>
          <w:tcPr>
            <w:tcW w:w="2352" w:type="dxa"/>
          </w:tcPr>
          <w:p w14:paraId="042A6698" w14:textId="77777777" w:rsidR="00F1341F" w:rsidRPr="008340BB" w:rsidRDefault="00F1341F" w:rsidP="00F03C1E">
            <w:pPr>
              <w:pStyle w:val="Text3"/>
              <w:ind w:left="0"/>
            </w:pPr>
            <w:r w:rsidRPr="008340BB">
              <w:rPr>
                <w:i/>
                <w:sz w:val="18"/>
                <w:szCs w:val="18"/>
              </w:rPr>
              <w:t>N/A</w:t>
            </w:r>
          </w:p>
        </w:tc>
      </w:tr>
      <w:bookmarkStart w:id="26" w:name="Check3"/>
      <w:tr w:rsidR="00F1341F" w:rsidRPr="008340BB" w14:paraId="43C0C298" w14:textId="77777777" w:rsidTr="00BB7E37">
        <w:tc>
          <w:tcPr>
            <w:tcW w:w="4986" w:type="dxa"/>
          </w:tcPr>
          <w:p w14:paraId="66AAF2C0" w14:textId="77777777" w:rsidR="00F1341F" w:rsidRPr="008340BB" w:rsidRDefault="009B1DD8" w:rsidP="00BB7E37">
            <w:pPr>
              <w:pStyle w:val="Text3"/>
              <w:ind w:left="0"/>
            </w:pPr>
            <w:r w:rsidRPr="00435AC3">
              <w:fldChar w:fldCharType="begin">
                <w:ffData>
                  <w:name w:val="Check3"/>
                  <w:enabled/>
                  <w:calcOnExit w:val="0"/>
                  <w:checkBox>
                    <w:sizeAuto/>
                    <w:default w:val="0"/>
                  </w:checkBox>
                </w:ffData>
              </w:fldChar>
            </w:r>
            <w:r w:rsidR="00F1341F" w:rsidRPr="008340BB">
              <w:instrText xml:space="preserve"> FORMCHECKBOX </w:instrText>
            </w:r>
            <w:r w:rsidR="004956FB">
              <w:fldChar w:fldCharType="separate"/>
            </w:r>
            <w:r w:rsidRPr="00435AC3">
              <w:fldChar w:fldCharType="end"/>
            </w:r>
            <w:bookmarkEnd w:id="26"/>
            <w:r w:rsidR="00F1341F" w:rsidRPr="008340BB">
              <w:t xml:space="preserve"> The entire priority axis will be implemented through community-led local development</w:t>
            </w:r>
          </w:p>
          <w:p w14:paraId="472F9521" w14:textId="77777777" w:rsidR="00F1341F" w:rsidRPr="008340BB" w:rsidRDefault="00F1341F" w:rsidP="00BB7E37">
            <w:pPr>
              <w:pStyle w:val="Text3"/>
              <w:ind w:left="0"/>
            </w:pPr>
          </w:p>
        </w:tc>
        <w:tc>
          <w:tcPr>
            <w:tcW w:w="2352" w:type="dxa"/>
          </w:tcPr>
          <w:p w14:paraId="0778E39D" w14:textId="77777777" w:rsidR="00F1341F" w:rsidRPr="008340BB" w:rsidRDefault="00F1341F" w:rsidP="00F03C1E">
            <w:pPr>
              <w:pStyle w:val="Text3"/>
              <w:ind w:left="0"/>
            </w:pPr>
            <w:r w:rsidRPr="008340BB">
              <w:rPr>
                <w:i/>
                <w:sz w:val="18"/>
                <w:szCs w:val="18"/>
              </w:rPr>
              <w:t>N/A</w:t>
            </w:r>
          </w:p>
        </w:tc>
      </w:tr>
      <w:tr w:rsidR="00F1341F" w:rsidRPr="008340BB" w14:paraId="168F7964" w14:textId="77777777" w:rsidTr="00BB7E37">
        <w:tc>
          <w:tcPr>
            <w:tcW w:w="4986" w:type="dxa"/>
          </w:tcPr>
          <w:p w14:paraId="54F622C6" w14:textId="77777777" w:rsidR="00F1341F" w:rsidRPr="008340BB" w:rsidRDefault="009B1DD8" w:rsidP="00BB7E37">
            <w:pPr>
              <w:pStyle w:val="Text3"/>
              <w:ind w:left="0"/>
            </w:pPr>
            <w:r w:rsidRPr="00435AC3">
              <w:fldChar w:fldCharType="begin">
                <w:ffData>
                  <w:name w:val="Check3"/>
                  <w:enabled/>
                  <w:calcOnExit w:val="0"/>
                  <w:checkBox>
                    <w:sizeAuto/>
                    <w:default w:val="0"/>
                  </w:checkBox>
                </w:ffData>
              </w:fldChar>
            </w:r>
            <w:r w:rsidR="00F1341F" w:rsidRPr="008340BB">
              <w:instrText xml:space="preserve"> FORMCHECKBOX </w:instrText>
            </w:r>
            <w:r w:rsidR="004956FB">
              <w:fldChar w:fldCharType="separate"/>
            </w:r>
            <w:r w:rsidRPr="00435AC3">
              <w:fldChar w:fldCharType="end"/>
            </w:r>
            <w:r w:rsidR="00F1341F" w:rsidRPr="008340BB">
              <w:t xml:space="preserve"> For the ESF: The entire priority axis is dedicated to social innovation or to transnational cooperation, or both</w:t>
            </w:r>
            <w:r w:rsidR="00F1341F" w:rsidRPr="008340BB">
              <w:rPr>
                <w:i/>
              </w:rPr>
              <w:t xml:space="preserve"> </w:t>
            </w:r>
          </w:p>
        </w:tc>
        <w:tc>
          <w:tcPr>
            <w:tcW w:w="2352" w:type="dxa"/>
          </w:tcPr>
          <w:p w14:paraId="01A0F2CE" w14:textId="77777777" w:rsidR="00F1341F" w:rsidRPr="008340BB" w:rsidRDefault="00F1341F" w:rsidP="00F03C1E">
            <w:pPr>
              <w:pStyle w:val="Text3"/>
              <w:ind w:left="0"/>
            </w:pPr>
            <w:r w:rsidRPr="008340BB">
              <w:rPr>
                <w:i/>
                <w:sz w:val="18"/>
                <w:szCs w:val="18"/>
              </w:rPr>
              <w:t>N/A</w:t>
            </w:r>
          </w:p>
        </w:tc>
      </w:tr>
    </w:tbl>
    <w:p w14:paraId="1930BFC8" w14:textId="77777777" w:rsidR="00F1341F" w:rsidRPr="008340BB" w:rsidRDefault="00F1341F" w:rsidP="00AD4AED"/>
    <w:p w14:paraId="7E3A2173" w14:textId="77777777" w:rsidR="00F1341F" w:rsidRPr="008340BB" w:rsidRDefault="00F1341F" w:rsidP="00F03C1E">
      <w:pPr>
        <w:rPr>
          <w:b/>
        </w:rPr>
      </w:pPr>
      <w:r w:rsidRPr="008340BB">
        <w:rPr>
          <w:b/>
        </w:rPr>
        <w:lastRenderedPageBreak/>
        <w:t>2.A.1.2 Fund,  category of region and calculation basis for Union support</w:t>
      </w:r>
    </w:p>
    <w:p w14:paraId="17222D68" w14:textId="77777777" w:rsidR="00F1341F" w:rsidRPr="008340BB" w:rsidRDefault="00F1341F" w:rsidP="00F03C1E">
      <w:pPr>
        <w:rPr>
          <w:b/>
        </w:rPr>
      </w:pPr>
      <w:r w:rsidRPr="008340BB">
        <w:t>(Repeated for each combination under a priority axis)</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4962"/>
      </w:tblGrid>
      <w:tr w:rsidR="00F1341F" w:rsidRPr="008340BB" w14:paraId="2918A803" w14:textId="77777777" w:rsidTr="00BF3391">
        <w:tc>
          <w:tcPr>
            <w:tcW w:w="3544" w:type="dxa"/>
          </w:tcPr>
          <w:p w14:paraId="1534AAF4" w14:textId="77777777" w:rsidR="00F1341F" w:rsidRPr="008340BB" w:rsidRDefault="00F1341F" w:rsidP="00F03C1E">
            <w:pPr>
              <w:rPr>
                <w:i/>
              </w:rPr>
            </w:pPr>
            <w:r w:rsidRPr="008340BB">
              <w:rPr>
                <w:i/>
              </w:rPr>
              <w:t>Fund</w:t>
            </w:r>
          </w:p>
        </w:tc>
        <w:tc>
          <w:tcPr>
            <w:tcW w:w="4962" w:type="dxa"/>
          </w:tcPr>
          <w:p w14:paraId="208F00A6" w14:textId="77777777" w:rsidR="00F1341F" w:rsidRPr="008340BB" w:rsidRDefault="00F1341F" w:rsidP="00F03C1E">
            <w:pPr>
              <w:jc w:val="left"/>
              <w:rPr>
                <w:i/>
                <w:color w:val="8DB3E2"/>
                <w:sz w:val="18"/>
                <w:szCs w:val="18"/>
              </w:rPr>
            </w:pPr>
            <w:r w:rsidRPr="008340BB">
              <w:rPr>
                <w:i/>
                <w:szCs w:val="24"/>
              </w:rPr>
              <w:t>Cohesion fund</w:t>
            </w:r>
            <w:r w:rsidRPr="008340BB">
              <w:rPr>
                <w:i/>
                <w:color w:val="8DB3E2"/>
                <w:sz w:val="18"/>
                <w:szCs w:val="18"/>
              </w:rPr>
              <w:t xml:space="preserve"> </w:t>
            </w:r>
          </w:p>
        </w:tc>
      </w:tr>
      <w:tr w:rsidR="00F1341F" w:rsidRPr="008340BB" w14:paraId="7F70F540" w14:textId="77777777" w:rsidTr="00BF3391">
        <w:tc>
          <w:tcPr>
            <w:tcW w:w="3544" w:type="dxa"/>
          </w:tcPr>
          <w:p w14:paraId="31F24E69" w14:textId="77777777" w:rsidR="00F1341F" w:rsidRPr="008340BB" w:rsidRDefault="00F1341F" w:rsidP="00F03C1E">
            <w:pPr>
              <w:rPr>
                <w:i/>
              </w:rPr>
            </w:pPr>
            <w:r w:rsidRPr="008340BB">
              <w:rPr>
                <w:i/>
              </w:rPr>
              <w:t>Category of region</w:t>
            </w:r>
          </w:p>
        </w:tc>
        <w:tc>
          <w:tcPr>
            <w:tcW w:w="4962" w:type="dxa"/>
          </w:tcPr>
          <w:p w14:paraId="37B6EB63" w14:textId="77777777" w:rsidR="00F1341F" w:rsidRPr="008340BB" w:rsidRDefault="00F1341F" w:rsidP="00F03C1E">
            <w:pPr>
              <w:jc w:val="left"/>
              <w:rPr>
                <w:i/>
                <w:color w:val="8DB3E2"/>
                <w:sz w:val="18"/>
                <w:szCs w:val="18"/>
              </w:rPr>
            </w:pPr>
            <w:r w:rsidRPr="008340BB">
              <w:rPr>
                <w:i/>
                <w:szCs w:val="24"/>
              </w:rPr>
              <w:t>N/A</w:t>
            </w:r>
          </w:p>
        </w:tc>
      </w:tr>
      <w:tr w:rsidR="00F1341F" w:rsidRPr="008340BB" w14:paraId="1E19805A" w14:textId="77777777" w:rsidTr="00BF3391">
        <w:tc>
          <w:tcPr>
            <w:tcW w:w="3544" w:type="dxa"/>
          </w:tcPr>
          <w:p w14:paraId="2B7D929C" w14:textId="77777777" w:rsidR="00F1341F" w:rsidRPr="008340BB" w:rsidRDefault="00F1341F" w:rsidP="00F03C1E">
            <w:pPr>
              <w:rPr>
                <w:i/>
              </w:rPr>
            </w:pPr>
            <w:r w:rsidRPr="008340BB">
              <w:rPr>
                <w:i/>
              </w:rPr>
              <w:t>Calculation basis (public or total)</w:t>
            </w:r>
          </w:p>
        </w:tc>
        <w:tc>
          <w:tcPr>
            <w:tcW w:w="4962" w:type="dxa"/>
          </w:tcPr>
          <w:p w14:paraId="0B6E35FA" w14:textId="77777777" w:rsidR="00F1341F" w:rsidRPr="008340BB" w:rsidRDefault="00F1341F" w:rsidP="00F03C1E">
            <w:pPr>
              <w:jc w:val="left"/>
              <w:rPr>
                <w:i/>
                <w:color w:val="8DB3E2"/>
                <w:sz w:val="18"/>
                <w:szCs w:val="18"/>
              </w:rPr>
            </w:pPr>
            <w:r w:rsidRPr="008340BB">
              <w:rPr>
                <w:i/>
                <w:szCs w:val="24"/>
              </w:rPr>
              <w:t>Public</w:t>
            </w:r>
          </w:p>
        </w:tc>
      </w:tr>
      <w:tr w:rsidR="00F1341F" w:rsidRPr="008340BB" w14:paraId="66E7BD0F" w14:textId="77777777" w:rsidTr="00BF3391">
        <w:tc>
          <w:tcPr>
            <w:tcW w:w="3544" w:type="dxa"/>
          </w:tcPr>
          <w:p w14:paraId="535DCFF1" w14:textId="77777777" w:rsidR="00F1341F" w:rsidRPr="008340BB" w:rsidRDefault="00F1341F" w:rsidP="00F03C1E">
            <w:pPr>
              <w:rPr>
                <w:i/>
              </w:rPr>
            </w:pPr>
            <w:r w:rsidRPr="008340BB">
              <w:rPr>
                <w:i/>
              </w:rPr>
              <w:t>Category of region for outermost regions and northern sparsely populated</w:t>
            </w:r>
            <w:r w:rsidRPr="008340BB" w:rsidDel="00337CA8">
              <w:rPr>
                <w:i/>
              </w:rPr>
              <w:t xml:space="preserve"> </w:t>
            </w:r>
            <w:r w:rsidRPr="008340BB">
              <w:rPr>
                <w:i/>
              </w:rPr>
              <w:t xml:space="preserve"> regions (where applicable)</w:t>
            </w:r>
          </w:p>
        </w:tc>
        <w:tc>
          <w:tcPr>
            <w:tcW w:w="4962" w:type="dxa"/>
          </w:tcPr>
          <w:p w14:paraId="50FF22D2" w14:textId="77777777" w:rsidR="00F1341F" w:rsidRPr="008340BB" w:rsidRDefault="00F1341F" w:rsidP="00F03C1E">
            <w:pPr>
              <w:jc w:val="left"/>
              <w:rPr>
                <w:i/>
                <w:color w:val="8DB3E2"/>
                <w:sz w:val="18"/>
                <w:szCs w:val="18"/>
              </w:rPr>
            </w:pPr>
            <w:r w:rsidRPr="008340BB">
              <w:rPr>
                <w:i/>
                <w:szCs w:val="24"/>
              </w:rPr>
              <w:t>N/A</w:t>
            </w:r>
          </w:p>
        </w:tc>
      </w:tr>
    </w:tbl>
    <w:p w14:paraId="634CE26E" w14:textId="77777777" w:rsidR="00F1341F" w:rsidRPr="008340BB" w:rsidRDefault="00F1341F" w:rsidP="00F03C1E">
      <w:pPr>
        <w:rPr>
          <w:i/>
        </w:rPr>
      </w:pPr>
    </w:p>
    <w:p w14:paraId="17978B14" w14:textId="77777777" w:rsidR="00F1341F" w:rsidRPr="008340BB" w:rsidRDefault="00F1341F" w:rsidP="00B27067">
      <w:r w:rsidRPr="008340BB">
        <w:rPr>
          <w:b/>
        </w:rPr>
        <w:t>2.A.1.3 Investment priority</w:t>
      </w:r>
      <w:r w:rsidRPr="008340BB">
        <w:t xml:space="preserve"> </w:t>
      </w:r>
    </w:p>
    <w:p w14:paraId="2BBF2E12" w14:textId="77777777" w:rsidR="00F1341F" w:rsidRPr="008340BB" w:rsidRDefault="00F1341F" w:rsidP="00B27067">
      <w:r w:rsidRPr="008340BB">
        <w:t xml:space="preserve"> (Repeated for each investment priority under the priority axis)</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4962"/>
      </w:tblGrid>
      <w:tr w:rsidR="00F1341F" w:rsidRPr="008340BB" w14:paraId="55C44A60" w14:textId="77777777" w:rsidTr="00BF3391">
        <w:tc>
          <w:tcPr>
            <w:tcW w:w="3544" w:type="dxa"/>
          </w:tcPr>
          <w:p w14:paraId="60573E08" w14:textId="77777777" w:rsidR="00F1341F" w:rsidRPr="008340BB" w:rsidRDefault="00F1341F" w:rsidP="00F03C1E">
            <w:pPr>
              <w:rPr>
                <w:i/>
              </w:rPr>
            </w:pPr>
            <w:r w:rsidRPr="008340BB">
              <w:rPr>
                <w:i/>
              </w:rPr>
              <w:t>ID</w:t>
            </w:r>
          </w:p>
        </w:tc>
        <w:tc>
          <w:tcPr>
            <w:tcW w:w="4962" w:type="dxa"/>
          </w:tcPr>
          <w:p w14:paraId="0DF39C6A" w14:textId="77777777" w:rsidR="00F1341F" w:rsidRPr="008340BB" w:rsidRDefault="00F1341F">
            <w:pPr>
              <w:pStyle w:val="Text1"/>
              <w:ind w:left="0"/>
              <w:rPr>
                <w:i/>
                <w:sz w:val="24"/>
                <w:szCs w:val="24"/>
                <w:lang w:val="en-GB" w:eastAsia="en-GB"/>
              </w:rPr>
            </w:pPr>
            <w:r w:rsidRPr="008340BB">
              <w:rPr>
                <w:sz w:val="24"/>
                <w:szCs w:val="24"/>
                <w:lang w:val="en-GB" w:eastAsia="bg-BG"/>
              </w:rPr>
              <w:t>7</w:t>
            </w:r>
            <w:r w:rsidR="00D11C41">
              <w:rPr>
                <w:sz w:val="24"/>
                <w:szCs w:val="24"/>
                <w:lang w:val="en-GB" w:eastAsia="bg-BG"/>
              </w:rPr>
              <w:t>(</w:t>
            </w:r>
            <w:r w:rsidRPr="008340BB">
              <w:rPr>
                <w:sz w:val="24"/>
                <w:szCs w:val="24"/>
                <w:lang w:val="en-GB" w:eastAsia="bg-BG"/>
              </w:rPr>
              <w:t>i</w:t>
            </w:r>
            <w:r w:rsidR="00D11C41">
              <w:rPr>
                <w:sz w:val="24"/>
                <w:szCs w:val="24"/>
                <w:lang w:val="en-GB" w:eastAsia="bg-BG"/>
              </w:rPr>
              <w:t>)</w:t>
            </w:r>
          </w:p>
        </w:tc>
      </w:tr>
      <w:tr w:rsidR="00F1341F" w:rsidRPr="008340BB" w14:paraId="7AA67C3B" w14:textId="77777777" w:rsidTr="00BF3391">
        <w:tc>
          <w:tcPr>
            <w:tcW w:w="3544" w:type="dxa"/>
          </w:tcPr>
          <w:p w14:paraId="666623BB" w14:textId="77777777" w:rsidR="00F1341F" w:rsidRPr="008340BB" w:rsidRDefault="00F1341F" w:rsidP="00F03C1E">
            <w:pPr>
              <w:rPr>
                <w:i/>
              </w:rPr>
            </w:pPr>
            <w:r w:rsidRPr="008340BB">
              <w:rPr>
                <w:i/>
              </w:rPr>
              <w:t>Investment priority</w:t>
            </w:r>
          </w:p>
        </w:tc>
        <w:tc>
          <w:tcPr>
            <w:tcW w:w="4962" w:type="dxa"/>
          </w:tcPr>
          <w:p w14:paraId="7775BB7C" w14:textId="77777777" w:rsidR="00F1341F" w:rsidRPr="008340BB" w:rsidRDefault="00F1341F">
            <w:pPr>
              <w:pStyle w:val="Text1"/>
              <w:ind w:left="0"/>
              <w:rPr>
                <w:i/>
                <w:color w:val="8DB3E2"/>
                <w:sz w:val="18"/>
                <w:szCs w:val="18"/>
                <w:lang w:val="en-GB" w:eastAsia="en-GB"/>
              </w:rPr>
            </w:pPr>
            <w:r w:rsidRPr="008340BB">
              <w:rPr>
                <w:i/>
                <w:sz w:val="24"/>
                <w:lang w:val="en-GB" w:eastAsia="en-GB"/>
              </w:rPr>
              <w:t xml:space="preserve">Supporting a multimodal Single European Transport Area by investing in </w:t>
            </w:r>
            <w:r w:rsidR="00350EB0">
              <w:rPr>
                <w:i/>
                <w:sz w:val="24"/>
                <w:lang w:val="en-GB" w:eastAsia="en-GB"/>
              </w:rPr>
              <w:t>the TEN-T</w:t>
            </w:r>
          </w:p>
        </w:tc>
      </w:tr>
    </w:tbl>
    <w:p w14:paraId="5FF8CAC2" w14:textId="77777777" w:rsidR="00F1341F" w:rsidRPr="008340BB" w:rsidRDefault="00F1341F" w:rsidP="00F03C1E">
      <w:pPr>
        <w:rPr>
          <w:i/>
        </w:rPr>
      </w:pPr>
    </w:p>
    <w:p w14:paraId="668760E5" w14:textId="77777777" w:rsidR="00F1341F" w:rsidRPr="008340BB" w:rsidRDefault="00F1341F" w:rsidP="00016192">
      <w:pPr>
        <w:rPr>
          <w:b/>
        </w:rPr>
      </w:pPr>
      <w:r w:rsidRPr="008340BB">
        <w:rPr>
          <w:b/>
        </w:rPr>
        <w:t xml:space="preserve">2.A.1.4 Specific objectives corresponding to the investment priority and expected results </w:t>
      </w:r>
    </w:p>
    <w:p w14:paraId="729D2B06" w14:textId="77777777" w:rsidR="00F1341F" w:rsidRPr="008340BB" w:rsidRDefault="00F1341F" w:rsidP="007624B2">
      <w:r w:rsidRPr="008340BB">
        <w:t>(Repeated for each specific objective under the investment priority)</w:t>
      </w:r>
    </w:p>
    <w:p w14:paraId="12886C5C" w14:textId="77777777" w:rsidR="00F1341F" w:rsidRPr="008340BB" w:rsidRDefault="00F1341F" w:rsidP="007624B2">
      <w:r w:rsidRPr="008340BB">
        <w:t xml:space="preserve"> (Reference: points (b)(i) and (ii) of the first subparagraph of Article 96(2) of Regulation (EU) No 1303/2013)</w:t>
      </w:r>
    </w:p>
    <w:p w14:paraId="16B1BD8C" w14:textId="77777777" w:rsidR="00F1341F" w:rsidRPr="008340BB" w:rsidRDefault="00F1341F"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5103"/>
      </w:tblGrid>
      <w:tr w:rsidR="00F1341F" w:rsidRPr="008340BB" w14:paraId="1A26F4AB" w14:textId="77777777" w:rsidTr="00F03C1E">
        <w:trPr>
          <w:trHeight w:val="491"/>
        </w:trPr>
        <w:tc>
          <w:tcPr>
            <w:tcW w:w="3510" w:type="dxa"/>
          </w:tcPr>
          <w:p w14:paraId="3BC15935" w14:textId="77777777" w:rsidR="00F1341F" w:rsidRPr="008340BB" w:rsidRDefault="00F1341F" w:rsidP="00F03C1E">
            <w:pPr>
              <w:rPr>
                <w:i/>
              </w:rPr>
            </w:pPr>
            <w:r w:rsidRPr="008340BB">
              <w:rPr>
                <w:i/>
              </w:rPr>
              <w:t>ID</w:t>
            </w:r>
          </w:p>
        </w:tc>
        <w:tc>
          <w:tcPr>
            <w:tcW w:w="5103" w:type="dxa"/>
          </w:tcPr>
          <w:p w14:paraId="03882CAF" w14:textId="77777777" w:rsidR="00F1341F" w:rsidRPr="008340BB" w:rsidRDefault="00F1341F" w:rsidP="00F03C1E">
            <w:pPr>
              <w:pStyle w:val="Text1"/>
              <w:ind w:left="0"/>
              <w:jc w:val="left"/>
              <w:rPr>
                <w:i/>
                <w:color w:val="8DB3E2"/>
                <w:sz w:val="18"/>
                <w:szCs w:val="18"/>
                <w:lang w:val="en-GB" w:eastAsia="en-GB"/>
              </w:rPr>
            </w:pPr>
            <w:r w:rsidRPr="008340BB">
              <w:rPr>
                <w:i/>
                <w:sz w:val="24"/>
                <w:szCs w:val="24"/>
                <w:lang w:val="en-GB" w:eastAsia="en-GB"/>
              </w:rPr>
              <w:t>1</w:t>
            </w:r>
          </w:p>
        </w:tc>
      </w:tr>
      <w:tr w:rsidR="00F1341F" w:rsidRPr="008340BB" w14:paraId="6FED8048" w14:textId="77777777" w:rsidTr="00F03C1E">
        <w:trPr>
          <w:trHeight w:val="360"/>
        </w:trPr>
        <w:tc>
          <w:tcPr>
            <w:tcW w:w="3510" w:type="dxa"/>
          </w:tcPr>
          <w:p w14:paraId="6384F559" w14:textId="77777777" w:rsidR="00F1341F" w:rsidRPr="008340BB" w:rsidRDefault="00F1341F" w:rsidP="00BF7CF9">
            <w:pPr>
              <w:rPr>
                <w:i/>
              </w:rPr>
            </w:pPr>
            <w:r w:rsidRPr="008340BB">
              <w:rPr>
                <w:i/>
              </w:rPr>
              <w:t xml:space="preserve">Specific objective </w:t>
            </w:r>
          </w:p>
        </w:tc>
        <w:tc>
          <w:tcPr>
            <w:tcW w:w="5103" w:type="dxa"/>
          </w:tcPr>
          <w:p w14:paraId="7EC53E21" w14:textId="77777777" w:rsidR="00F1341F" w:rsidRPr="00435AC3" w:rsidRDefault="00AB12FE" w:rsidP="00943870">
            <w:pPr>
              <w:pStyle w:val="Text1"/>
              <w:ind w:left="0"/>
              <w:rPr>
                <w:i/>
                <w:color w:val="8DB3E2"/>
                <w:sz w:val="18"/>
                <w:szCs w:val="18"/>
                <w:lang w:eastAsia="en-GB"/>
              </w:rPr>
            </w:pPr>
            <w:r w:rsidRPr="00AB12FE">
              <w:rPr>
                <w:i/>
                <w:sz w:val="24"/>
                <w:szCs w:val="24"/>
                <w:lang w:val="en-GB" w:eastAsia="en-GB"/>
              </w:rPr>
              <w:t>Increasing railway traffic of passenger and freight through improving the quality of the TEN-T railway infrastructure</w:t>
            </w:r>
          </w:p>
        </w:tc>
      </w:tr>
      <w:tr w:rsidR="00F1341F" w:rsidRPr="008340BB" w14:paraId="17D797D7" w14:textId="77777777" w:rsidTr="00F03C1E">
        <w:trPr>
          <w:trHeight w:val="360"/>
        </w:trPr>
        <w:tc>
          <w:tcPr>
            <w:tcW w:w="3510" w:type="dxa"/>
          </w:tcPr>
          <w:p w14:paraId="055F3396" w14:textId="77777777" w:rsidR="00F1341F" w:rsidRPr="008340BB" w:rsidRDefault="00F1341F" w:rsidP="00BF7CF9">
            <w:pPr>
              <w:rPr>
                <w:i/>
              </w:rPr>
            </w:pPr>
            <w:r w:rsidRPr="008340BB">
              <w:rPr>
                <w:i/>
              </w:rPr>
              <w:t>The results that the Member State seeks to achieve with EU support</w:t>
            </w:r>
          </w:p>
        </w:tc>
        <w:tc>
          <w:tcPr>
            <w:tcW w:w="5103" w:type="dxa"/>
          </w:tcPr>
          <w:p w14:paraId="304AA47C" w14:textId="77777777" w:rsidR="00F1341F" w:rsidRPr="008340BB" w:rsidRDefault="00F1341F" w:rsidP="00F927A6">
            <w:pPr>
              <w:numPr>
                <w:ilvl w:val="0"/>
                <w:numId w:val="66"/>
              </w:numPr>
              <w:ind w:left="360"/>
              <w:rPr>
                <w:i/>
              </w:rPr>
            </w:pPr>
            <w:r w:rsidRPr="008340BB">
              <w:rPr>
                <w:i/>
              </w:rPr>
              <w:t>Increased speed on railway lines</w:t>
            </w:r>
          </w:p>
          <w:p w14:paraId="3A94FC38" w14:textId="77777777" w:rsidR="00F1341F" w:rsidRPr="008340BB" w:rsidRDefault="00F1341F" w:rsidP="00F927A6">
            <w:pPr>
              <w:numPr>
                <w:ilvl w:val="0"/>
                <w:numId w:val="65"/>
              </w:numPr>
              <w:ind w:left="360"/>
              <w:rPr>
                <w:i/>
              </w:rPr>
            </w:pPr>
            <w:r w:rsidRPr="008340BB">
              <w:rPr>
                <w:i/>
              </w:rPr>
              <w:t>Increased interoperability in railway transport</w:t>
            </w:r>
          </w:p>
          <w:p w14:paraId="009CBBA7" w14:textId="77777777" w:rsidR="00F1341F" w:rsidRPr="008340BB" w:rsidRDefault="00F1341F">
            <w:pPr>
              <w:numPr>
                <w:ilvl w:val="0"/>
                <w:numId w:val="65"/>
              </w:numPr>
              <w:ind w:left="360"/>
              <w:rPr>
                <w:i/>
                <w:color w:val="8DB3E2"/>
                <w:sz w:val="18"/>
                <w:szCs w:val="18"/>
              </w:rPr>
            </w:pPr>
            <w:r w:rsidRPr="008340BB">
              <w:rPr>
                <w:i/>
              </w:rPr>
              <w:t xml:space="preserve">Growth in passenger and freight railway transport </w:t>
            </w:r>
          </w:p>
        </w:tc>
      </w:tr>
    </w:tbl>
    <w:p w14:paraId="44E8BFFD" w14:textId="77777777" w:rsidR="00F1341F" w:rsidRPr="008340BB" w:rsidRDefault="00F1341F" w:rsidP="001966AC"/>
    <w:p w14:paraId="301A2AAF" w14:textId="77777777" w:rsidR="00F1341F" w:rsidRPr="008340BB" w:rsidRDefault="00F1341F" w:rsidP="001966AC">
      <w:pPr>
        <w:sectPr w:rsidR="00F1341F" w:rsidRPr="008340BB" w:rsidSect="001E1D6F">
          <w:headerReference w:type="default" r:id="rId13"/>
          <w:footerReference w:type="default" r:id="rId14"/>
          <w:headerReference w:type="first" r:id="rId15"/>
          <w:footerReference w:type="first" r:id="rId16"/>
          <w:pgSz w:w="11906" w:h="16838"/>
          <w:pgMar w:top="1021" w:right="1418" w:bottom="1021" w:left="1418" w:header="601" w:footer="1077" w:gutter="0"/>
          <w:cols w:space="708"/>
          <w:docGrid w:linePitch="326"/>
        </w:sectPr>
      </w:pPr>
    </w:p>
    <w:p w14:paraId="76E44E97" w14:textId="77777777" w:rsidR="00F1341F" w:rsidRPr="008340BB" w:rsidRDefault="00F1341F" w:rsidP="006626C9">
      <w:r w:rsidRPr="008340BB">
        <w:rPr>
          <w:b/>
        </w:rPr>
        <w:lastRenderedPageBreak/>
        <w:t xml:space="preserve">Table 3: </w:t>
      </w:r>
      <w:r w:rsidRPr="008340BB">
        <w:rPr>
          <w:b/>
        </w:rPr>
        <w:tab/>
      </w:r>
      <w:r w:rsidRPr="00AF6D58">
        <w:rPr>
          <w:b/>
        </w:rPr>
        <w:t xml:space="preserve">Programme-specific result indicators, by specific objective </w:t>
      </w:r>
      <w:r w:rsidRPr="00AF6D58">
        <w:t>(for the ERDF and the Cohesion Fund)</w:t>
      </w:r>
    </w:p>
    <w:p w14:paraId="2FA800F3" w14:textId="77777777" w:rsidR="00F1341F" w:rsidRPr="008340BB" w:rsidRDefault="00F1341F" w:rsidP="00261A02">
      <w:pPr>
        <w:rPr>
          <w:b/>
        </w:rPr>
      </w:pPr>
    </w:p>
    <w:p w14:paraId="5B393B20" w14:textId="77777777" w:rsidR="00F1341F" w:rsidRPr="008340BB" w:rsidRDefault="00F1341F" w:rsidP="00261A02">
      <w:pPr>
        <w:rPr>
          <w:szCs w:val="24"/>
        </w:rPr>
      </w:pPr>
      <w:r w:rsidRPr="008340BB">
        <w:rPr>
          <w:szCs w:val="24"/>
        </w:rPr>
        <w:t>(Reference: point (b)(ii) of the first subparagraph of Article 96(2) of Regulation (EU) No 1303/2013</w:t>
      </w:r>
    </w:p>
    <w:p w14:paraId="3D9E1417" w14:textId="77777777" w:rsidR="00F1341F" w:rsidRPr="008340BB" w:rsidRDefault="00F1341F" w:rsidP="001966AC"/>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12"/>
        <w:gridCol w:w="2251"/>
        <w:gridCol w:w="1881"/>
        <w:gridCol w:w="1556"/>
        <w:gridCol w:w="1649"/>
        <w:gridCol w:w="1375"/>
        <w:gridCol w:w="2091"/>
        <w:gridCol w:w="1673"/>
        <w:gridCol w:w="1258"/>
      </w:tblGrid>
      <w:tr w:rsidR="00F3627C" w:rsidRPr="008340BB" w14:paraId="6BD808E8" w14:textId="77777777" w:rsidTr="00F3627C">
        <w:trPr>
          <w:trHeight w:val="531"/>
        </w:trPr>
        <w:tc>
          <w:tcPr>
            <w:tcW w:w="1184" w:type="pct"/>
            <w:gridSpan w:val="2"/>
          </w:tcPr>
          <w:p w14:paraId="74758B8C" w14:textId="77777777" w:rsidR="00F3627C" w:rsidRPr="00435AC3" w:rsidRDefault="003E0A51" w:rsidP="00F03C1E">
            <w:pPr>
              <w:pStyle w:val="ListBullet"/>
              <w:tabs>
                <w:tab w:val="clear" w:pos="360"/>
                <w:tab w:val="left" w:pos="720"/>
              </w:tabs>
              <w:ind w:left="0" w:firstLine="0"/>
              <w:rPr>
                <w:b/>
                <w:i/>
                <w:sz w:val="18"/>
                <w:szCs w:val="18"/>
                <w:lang w:val="en-US"/>
              </w:rPr>
            </w:pPr>
            <w:r>
              <w:rPr>
                <w:b/>
                <w:i/>
                <w:sz w:val="18"/>
                <w:szCs w:val="18"/>
                <w:lang w:val="en-US"/>
              </w:rPr>
              <w:t xml:space="preserve">Specific objective </w:t>
            </w:r>
          </w:p>
        </w:tc>
        <w:tc>
          <w:tcPr>
            <w:tcW w:w="3816" w:type="pct"/>
            <w:gridSpan w:val="7"/>
          </w:tcPr>
          <w:p w14:paraId="5C7767DA" w14:textId="77777777" w:rsidR="00F3627C" w:rsidRPr="008340BB" w:rsidRDefault="00AF5D59" w:rsidP="00F03C1E">
            <w:pPr>
              <w:pStyle w:val="ListBullet"/>
              <w:tabs>
                <w:tab w:val="clear" w:pos="360"/>
                <w:tab w:val="left" w:pos="720"/>
              </w:tabs>
              <w:ind w:left="0" w:firstLine="0"/>
              <w:rPr>
                <w:b/>
                <w:i/>
                <w:sz w:val="18"/>
                <w:szCs w:val="18"/>
              </w:rPr>
            </w:pPr>
            <w:r w:rsidRPr="00AB12FE">
              <w:rPr>
                <w:i/>
                <w:szCs w:val="24"/>
              </w:rPr>
              <w:t>Increasing railway traffic of passenger and freight through improving the quality of the TEN-T railway infrastructure</w:t>
            </w:r>
          </w:p>
        </w:tc>
      </w:tr>
      <w:tr w:rsidR="00F1341F" w:rsidRPr="008340BB" w14:paraId="0CB6832B" w14:textId="77777777" w:rsidTr="00F03C1E">
        <w:trPr>
          <w:trHeight w:val="531"/>
        </w:trPr>
        <w:tc>
          <w:tcPr>
            <w:tcW w:w="436" w:type="pct"/>
          </w:tcPr>
          <w:p w14:paraId="59DAB001" w14:textId="77777777" w:rsidR="00F1341F" w:rsidRPr="008340BB" w:rsidRDefault="00F1341F" w:rsidP="00F03C1E">
            <w:pPr>
              <w:pStyle w:val="ListBullet"/>
              <w:tabs>
                <w:tab w:val="clear" w:pos="360"/>
                <w:tab w:val="left" w:pos="720"/>
              </w:tabs>
              <w:ind w:left="0" w:firstLine="0"/>
              <w:rPr>
                <w:b/>
                <w:i/>
                <w:sz w:val="18"/>
                <w:szCs w:val="18"/>
              </w:rPr>
            </w:pPr>
            <w:r w:rsidRPr="008340BB">
              <w:rPr>
                <w:b/>
                <w:i/>
                <w:sz w:val="18"/>
                <w:szCs w:val="18"/>
              </w:rPr>
              <w:t>ID</w:t>
            </w:r>
          </w:p>
        </w:tc>
        <w:tc>
          <w:tcPr>
            <w:tcW w:w="748" w:type="pct"/>
          </w:tcPr>
          <w:p w14:paraId="359EFCCB" w14:textId="77777777" w:rsidR="00F1341F" w:rsidRPr="008340BB" w:rsidRDefault="00F1341F" w:rsidP="00F03C1E">
            <w:pPr>
              <w:pStyle w:val="ListBullet"/>
              <w:tabs>
                <w:tab w:val="clear" w:pos="360"/>
                <w:tab w:val="left" w:pos="720"/>
              </w:tabs>
              <w:ind w:left="0" w:firstLine="0"/>
              <w:rPr>
                <w:b/>
                <w:i/>
                <w:sz w:val="18"/>
                <w:szCs w:val="18"/>
              </w:rPr>
            </w:pPr>
            <w:r w:rsidRPr="008340BB">
              <w:rPr>
                <w:b/>
                <w:i/>
                <w:sz w:val="18"/>
                <w:szCs w:val="18"/>
              </w:rPr>
              <w:t xml:space="preserve">Indicator </w:t>
            </w:r>
          </w:p>
        </w:tc>
        <w:tc>
          <w:tcPr>
            <w:tcW w:w="625" w:type="pct"/>
          </w:tcPr>
          <w:p w14:paraId="2F54B6D6" w14:textId="77777777" w:rsidR="00F1341F" w:rsidRPr="008340BB" w:rsidRDefault="00F1341F" w:rsidP="00BF7CF9">
            <w:pPr>
              <w:snapToGrid w:val="0"/>
              <w:rPr>
                <w:b/>
                <w:i/>
                <w:sz w:val="18"/>
                <w:szCs w:val="18"/>
              </w:rPr>
            </w:pPr>
            <w:r w:rsidRPr="008340BB">
              <w:rPr>
                <w:b/>
                <w:i/>
                <w:sz w:val="18"/>
                <w:szCs w:val="18"/>
              </w:rPr>
              <w:t>Measurement unit</w:t>
            </w:r>
          </w:p>
        </w:tc>
        <w:tc>
          <w:tcPr>
            <w:tcW w:w="517" w:type="pct"/>
          </w:tcPr>
          <w:p w14:paraId="5FF70755" w14:textId="77777777" w:rsidR="00F1341F" w:rsidRPr="008340BB" w:rsidRDefault="00F1341F" w:rsidP="00A11273">
            <w:pPr>
              <w:pStyle w:val="ListBullet"/>
              <w:tabs>
                <w:tab w:val="clear" w:pos="360"/>
                <w:tab w:val="left" w:pos="720"/>
              </w:tabs>
              <w:ind w:left="0" w:firstLine="0"/>
              <w:rPr>
                <w:b/>
                <w:i/>
                <w:sz w:val="18"/>
                <w:szCs w:val="18"/>
              </w:rPr>
            </w:pPr>
            <w:r w:rsidRPr="008340BB">
              <w:rPr>
                <w:b/>
                <w:i/>
                <w:sz w:val="18"/>
                <w:szCs w:val="18"/>
              </w:rPr>
              <w:t>Category of region (where relevant)</w:t>
            </w:r>
          </w:p>
        </w:tc>
        <w:tc>
          <w:tcPr>
            <w:tcW w:w="548" w:type="pct"/>
          </w:tcPr>
          <w:p w14:paraId="22E12EAF" w14:textId="77777777" w:rsidR="00F1341F" w:rsidRPr="008340BB" w:rsidRDefault="00F1341F" w:rsidP="00BF7CF9">
            <w:pPr>
              <w:pStyle w:val="ListBullet"/>
              <w:tabs>
                <w:tab w:val="clear" w:pos="360"/>
                <w:tab w:val="left" w:pos="720"/>
              </w:tabs>
              <w:ind w:left="0" w:firstLine="0"/>
              <w:rPr>
                <w:b/>
                <w:i/>
                <w:sz w:val="18"/>
                <w:szCs w:val="18"/>
              </w:rPr>
            </w:pPr>
            <w:r w:rsidRPr="008340BB">
              <w:rPr>
                <w:b/>
                <w:i/>
                <w:sz w:val="18"/>
                <w:szCs w:val="18"/>
              </w:rPr>
              <w:t xml:space="preserve">Baseline value </w:t>
            </w:r>
          </w:p>
        </w:tc>
        <w:tc>
          <w:tcPr>
            <w:tcW w:w="457" w:type="pct"/>
          </w:tcPr>
          <w:p w14:paraId="33C8AB25" w14:textId="77777777" w:rsidR="00F1341F" w:rsidRPr="008340BB" w:rsidRDefault="00F1341F" w:rsidP="00BF7CF9">
            <w:pPr>
              <w:snapToGrid w:val="0"/>
              <w:rPr>
                <w:b/>
                <w:i/>
                <w:sz w:val="18"/>
                <w:szCs w:val="18"/>
              </w:rPr>
            </w:pPr>
            <w:r w:rsidRPr="008340BB">
              <w:rPr>
                <w:b/>
                <w:i/>
                <w:sz w:val="18"/>
                <w:szCs w:val="18"/>
              </w:rPr>
              <w:t>Baseline year</w:t>
            </w:r>
          </w:p>
        </w:tc>
        <w:tc>
          <w:tcPr>
            <w:tcW w:w="695" w:type="pct"/>
          </w:tcPr>
          <w:p w14:paraId="345A6D6E" w14:textId="77777777" w:rsidR="00F1341F" w:rsidRPr="008340BB" w:rsidRDefault="00F1341F" w:rsidP="00BF7CF9">
            <w:pPr>
              <w:pStyle w:val="ListBullet"/>
              <w:tabs>
                <w:tab w:val="clear" w:pos="360"/>
                <w:tab w:val="left" w:pos="720"/>
              </w:tabs>
              <w:ind w:left="0" w:firstLine="0"/>
              <w:rPr>
                <w:b/>
                <w:i/>
                <w:sz w:val="18"/>
                <w:szCs w:val="18"/>
              </w:rPr>
            </w:pPr>
            <w:r w:rsidRPr="008340BB">
              <w:rPr>
                <w:b/>
                <w:i/>
                <w:sz w:val="18"/>
                <w:szCs w:val="18"/>
              </w:rPr>
              <w:t>Target value</w:t>
            </w:r>
            <w:r w:rsidRPr="008340BB">
              <w:rPr>
                <w:rStyle w:val="FootnoteReference"/>
                <w:b/>
                <w:i/>
                <w:sz w:val="18"/>
                <w:szCs w:val="18"/>
              </w:rPr>
              <w:footnoteReference w:id="16"/>
            </w:r>
            <w:r w:rsidRPr="008340BB">
              <w:rPr>
                <w:b/>
                <w:i/>
                <w:sz w:val="18"/>
                <w:szCs w:val="18"/>
              </w:rPr>
              <w:t xml:space="preserve"> (2023) </w:t>
            </w:r>
          </w:p>
        </w:tc>
        <w:tc>
          <w:tcPr>
            <w:tcW w:w="556" w:type="pct"/>
          </w:tcPr>
          <w:p w14:paraId="0C24D747" w14:textId="77777777" w:rsidR="00F1341F" w:rsidRPr="008340BB" w:rsidRDefault="00F1341F" w:rsidP="00BF7CF9">
            <w:pPr>
              <w:pStyle w:val="ListBullet"/>
              <w:tabs>
                <w:tab w:val="clear" w:pos="360"/>
                <w:tab w:val="left" w:pos="720"/>
              </w:tabs>
              <w:ind w:left="0" w:firstLine="0"/>
              <w:rPr>
                <w:b/>
                <w:i/>
                <w:sz w:val="18"/>
                <w:szCs w:val="18"/>
              </w:rPr>
            </w:pPr>
            <w:r w:rsidRPr="008340BB">
              <w:rPr>
                <w:b/>
                <w:i/>
                <w:sz w:val="18"/>
                <w:szCs w:val="18"/>
              </w:rPr>
              <w:t>Source of data</w:t>
            </w:r>
          </w:p>
        </w:tc>
        <w:tc>
          <w:tcPr>
            <w:tcW w:w="418" w:type="pct"/>
          </w:tcPr>
          <w:p w14:paraId="7C6368C0" w14:textId="77777777" w:rsidR="00F1341F" w:rsidRPr="008340BB" w:rsidRDefault="00F1341F" w:rsidP="00F03C1E">
            <w:pPr>
              <w:pStyle w:val="ListBullet"/>
              <w:tabs>
                <w:tab w:val="clear" w:pos="360"/>
                <w:tab w:val="left" w:pos="720"/>
              </w:tabs>
              <w:ind w:left="0" w:firstLine="0"/>
              <w:rPr>
                <w:b/>
                <w:i/>
                <w:sz w:val="18"/>
                <w:szCs w:val="18"/>
              </w:rPr>
            </w:pPr>
            <w:r w:rsidRPr="008340BB">
              <w:rPr>
                <w:b/>
                <w:i/>
                <w:sz w:val="18"/>
                <w:szCs w:val="18"/>
              </w:rPr>
              <w:t>Frequency of reporting</w:t>
            </w:r>
          </w:p>
        </w:tc>
      </w:tr>
      <w:tr w:rsidR="00F1341F" w:rsidRPr="008340BB" w14:paraId="1CFAE5F4" w14:textId="77777777" w:rsidTr="00F03C1E">
        <w:trPr>
          <w:trHeight w:val="870"/>
        </w:trPr>
        <w:tc>
          <w:tcPr>
            <w:tcW w:w="436" w:type="pct"/>
          </w:tcPr>
          <w:p w14:paraId="50D2AE02" w14:textId="77777777" w:rsidR="00F1341F" w:rsidRPr="008340BB" w:rsidRDefault="00F1341F" w:rsidP="00F03C1E">
            <w:pPr>
              <w:pStyle w:val="ListBullet"/>
              <w:tabs>
                <w:tab w:val="clear" w:pos="360"/>
                <w:tab w:val="left" w:pos="720"/>
              </w:tabs>
              <w:ind w:left="0" w:firstLine="0"/>
              <w:rPr>
                <w:i/>
                <w:sz w:val="18"/>
                <w:szCs w:val="18"/>
              </w:rPr>
            </w:pPr>
            <w:r w:rsidRPr="008340BB">
              <w:rPr>
                <w:i/>
                <w:sz w:val="18"/>
                <w:szCs w:val="18"/>
              </w:rPr>
              <w:t>1.1</w:t>
            </w:r>
          </w:p>
        </w:tc>
        <w:tc>
          <w:tcPr>
            <w:tcW w:w="748" w:type="pct"/>
          </w:tcPr>
          <w:p w14:paraId="3D6A7511" w14:textId="77777777" w:rsidR="00F1341F" w:rsidRPr="008340BB" w:rsidRDefault="00F1341F" w:rsidP="00F03C1E">
            <w:pPr>
              <w:pStyle w:val="ListBullet"/>
              <w:tabs>
                <w:tab w:val="clear" w:pos="360"/>
                <w:tab w:val="left" w:pos="720"/>
              </w:tabs>
              <w:ind w:left="0" w:firstLine="0"/>
              <w:rPr>
                <w:b/>
                <w:sz w:val="18"/>
                <w:szCs w:val="18"/>
              </w:rPr>
            </w:pPr>
            <w:r w:rsidRPr="008340BB">
              <w:rPr>
                <w:i/>
                <w:sz w:val="20"/>
              </w:rPr>
              <w:t>Permissible maximum speed</w:t>
            </w:r>
          </w:p>
        </w:tc>
        <w:tc>
          <w:tcPr>
            <w:tcW w:w="625" w:type="pct"/>
          </w:tcPr>
          <w:p w14:paraId="3819EE0F" w14:textId="77777777" w:rsidR="00F1341F" w:rsidRPr="008340BB" w:rsidRDefault="00F1341F" w:rsidP="00F03C1E">
            <w:pPr>
              <w:snapToGrid w:val="0"/>
              <w:rPr>
                <w:i/>
                <w:sz w:val="18"/>
                <w:szCs w:val="18"/>
              </w:rPr>
            </w:pPr>
            <w:r w:rsidRPr="008340BB">
              <w:rPr>
                <w:i/>
                <w:sz w:val="18"/>
                <w:szCs w:val="18"/>
              </w:rPr>
              <w:t>km/h</w:t>
            </w:r>
          </w:p>
        </w:tc>
        <w:tc>
          <w:tcPr>
            <w:tcW w:w="517" w:type="pct"/>
          </w:tcPr>
          <w:p w14:paraId="55CE89F8" w14:textId="77777777" w:rsidR="00F1341F" w:rsidRPr="008340BB" w:rsidRDefault="00F1341F" w:rsidP="00F03C1E">
            <w:pPr>
              <w:pStyle w:val="ListBullet"/>
              <w:tabs>
                <w:tab w:val="clear" w:pos="360"/>
                <w:tab w:val="left" w:pos="720"/>
              </w:tabs>
              <w:ind w:left="0" w:firstLine="0"/>
              <w:rPr>
                <w:b/>
                <w:sz w:val="18"/>
                <w:szCs w:val="18"/>
              </w:rPr>
            </w:pPr>
            <w:r w:rsidRPr="008340BB">
              <w:rPr>
                <w:i/>
                <w:sz w:val="20"/>
              </w:rPr>
              <w:t>N/A</w:t>
            </w:r>
          </w:p>
        </w:tc>
        <w:tc>
          <w:tcPr>
            <w:tcW w:w="548" w:type="pct"/>
          </w:tcPr>
          <w:p w14:paraId="6F8FC4BC" w14:textId="0136A8BC" w:rsidR="00F1341F" w:rsidRPr="008340BB" w:rsidRDefault="00EF0F0A" w:rsidP="00713398">
            <w:pPr>
              <w:snapToGrid w:val="0"/>
              <w:rPr>
                <w:b/>
                <w:sz w:val="18"/>
                <w:szCs w:val="18"/>
              </w:rPr>
            </w:pPr>
            <w:r w:rsidRPr="00EF0F0A">
              <w:rPr>
                <w:i/>
                <w:iCs/>
                <w:sz w:val="18"/>
                <w:szCs w:val="18"/>
                <w:lang w:val="en-US"/>
              </w:rPr>
              <w:t xml:space="preserve"> </w:t>
            </w:r>
            <w:r w:rsidR="00713398" w:rsidRPr="00713398">
              <w:rPr>
                <w:i/>
                <w:iCs/>
                <w:sz w:val="18"/>
                <w:szCs w:val="18"/>
                <w:lang w:val="en-US"/>
              </w:rPr>
              <w:t>99.4</w:t>
            </w:r>
            <w:r w:rsidR="00F1341F" w:rsidRPr="008340BB">
              <w:rPr>
                <w:i/>
                <w:sz w:val="18"/>
                <w:szCs w:val="18"/>
              </w:rPr>
              <w:t xml:space="preserve"> km/h</w:t>
            </w:r>
          </w:p>
        </w:tc>
        <w:tc>
          <w:tcPr>
            <w:tcW w:w="457" w:type="pct"/>
          </w:tcPr>
          <w:p w14:paraId="797B51BC" w14:textId="77777777" w:rsidR="00F1341F" w:rsidRPr="008340BB" w:rsidRDefault="00F1341F" w:rsidP="00F03C1E">
            <w:pPr>
              <w:snapToGrid w:val="0"/>
              <w:rPr>
                <w:b/>
                <w:i/>
                <w:sz w:val="18"/>
                <w:szCs w:val="18"/>
              </w:rPr>
            </w:pPr>
            <w:r w:rsidRPr="008340BB">
              <w:rPr>
                <w:i/>
                <w:iCs/>
                <w:sz w:val="18"/>
                <w:szCs w:val="18"/>
                <w:lang w:eastAsia="bg-BG"/>
              </w:rPr>
              <w:t>2013</w:t>
            </w:r>
          </w:p>
        </w:tc>
        <w:tc>
          <w:tcPr>
            <w:tcW w:w="695" w:type="pct"/>
          </w:tcPr>
          <w:p w14:paraId="0AFB99CD" w14:textId="5D0E5525" w:rsidR="00F1341F" w:rsidRPr="008340BB" w:rsidRDefault="00EF0F0A" w:rsidP="00BC43BC">
            <w:pPr>
              <w:pStyle w:val="ListBullet"/>
              <w:tabs>
                <w:tab w:val="clear" w:pos="360"/>
                <w:tab w:val="left" w:pos="720"/>
              </w:tabs>
              <w:ind w:left="0" w:firstLine="0"/>
              <w:rPr>
                <w:i/>
                <w:sz w:val="18"/>
                <w:szCs w:val="18"/>
              </w:rPr>
            </w:pPr>
            <w:r w:rsidRPr="00EF0F0A">
              <w:rPr>
                <w:i/>
                <w:iCs/>
                <w:sz w:val="18"/>
                <w:szCs w:val="18"/>
                <w:lang w:val="bg-BG" w:eastAsia="bg-BG"/>
              </w:rPr>
              <w:t xml:space="preserve"> </w:t>
            </w:r>
            <w:r w:rsidR="00F1341F" w:rsidRPr="008340BB" w:rsidDel="009E542B">
              <w:rPr>
                <w:i/>
                <w:iCs/>
                <w:sz w:val="18"/>
                <w:szCs w:val="18"/>
                <w:lang w:eastAsia="bg-BG"/>
              </w:rPr>
              <w:t xml:space="preserve"> </w:t>
            </w:r>
            <w:r w:rsidR="00626526" w:rsidRPr="00626526">
              <w:rPr>
                <w:i/>
                <w:iCs/>
                <w:sz w:val="18"/>
                <w:szCs w:val="18"/>
                <w:lang w:val="bg-BG" w:eastAsia="bg-BG"/>
              </w:rPr>
              <w:t xml:space="preserve">124,8  </w:t>
            </w:r>
            <w:r w:rsidR="00F1341F" w:rsidRPr="008340BB">
              <w:rPr>
                <w:i/>
                <w:iCs/>
                <w:sz w:val="18"/>
                <w:szCs w:val="18"/>
                <w:lang w:eastAsia="bg-BG"/>
              </w:rPr>
              <w:t>km/h</w:t>
            </w:r>
          </w:p>
        </w:tc>
        <w:tc>
          <w:tcPr>
            <w:tcW w:w="556" w:type="pct"/>
          </w:tcPr>
          <w:p w14:paraId="714814BA" w14:textId="77777777" w:rsidR="00F1341F" w:rsidRPr="008340BB" w:rsidRDefault="00F1341F">
            <w:pPr>
              <w:pStyle w:val="ListBullet"/>
              <w:tabs>
                <w:tab w:val="clear" w:pos="360"/>
              </w:tabs>
              <w:ind w:left="0" w:firstLine="0"/>
              <w:jc w:val="left"/>
              <w:rPr>
                <w:b/>
                <w:i/>
                <w:sz w:val="20"/>
              </w:rPr>
            </w:pPr>
            <w:r w:rsidRPr="008340BB">
              <w:rPr>
                <w:i/>
                <w:iCs/>
                <w:sz w:val="18"/>
                <w:szCs w:val="18"/>
                <w:lang w:eastAsia="bg-BG"/>
              </w:rPr>
              <w:t xml:space="preserve">Network statement, </w:t>
            </w:r>
            <w:r w:rsidR="00083B64">
              <w:rPr>
                <w:i/>
                <w:iCs/>
                <w:sz w:val="18"/>
                <w:szCs w:val="18"/>
                <w:lang w:eastAsia="bg-BG"/>
              </w:rPr>
              <w:t>NRIC</w:t>
            </w:r>
          </w:p>
        </w:tc>
        <w:tc>
          <w:tcPr>
            <w:tcW w:w="418" w:type="pct"/>
          </w:tcPr>
          <w:p w14:paraId="755019CE" w14:textId="77777777" w:rsidR="00F1341F" w:rsidRPr="008340BB" w:rsidRDefault="004F2F5A" w:rsidP="00F03C1E">
            <w:pPr>
              <w:pStyle w:val="ListBullet"/>
              <w:tabs>
                <w:tab w:val="clear" w:pos="360"/>
              </w:tabs>
              <w:ind w:left="0" w:firstLine="0"/>
              <w:rPr>
                <w:b/>
                <w:i/>
                <w:sz w:val="20"/>
              </w:rPr>
            </w:pPr>
            <w:r w:rsidRPr="004F2F5A">
              <w:rPr>
                <w:i/>
                <w:iCs/>
                <w:sz w:val="18"/>
                <w:szCs w:val="18"/>
                <w:lang w:eastAsia="bg-BG"/>
              </w:rPr>
              <w:t>annually</w:t>
            </w:r>
          </w:p>
        </w:tc>
      </w:tr>
      <w:tr w:rsidR="00F1341F" w:rsidRPr="008340BB" w14:paraId="5B4D5042" w14:textId="77777777" w:rsidTr="00F03C1E">
        <w:trPr>
          <w:trHeight w:val="1729"/>
        </w:trPr>
        <w:tc>
          <w:tcPr>
            <w:tcW w:w="436" w:type="pct"/>
          </w:tcPr>
          <w:p w14:paraId="60548DB1" w14:textId="77777777" w:rsidR="00F1341F" w:rsidRPr="008340BB" w:rsidRDefault="00F1341F" w:rsidP="00F03C1E">
            <w:pPr>
              <w:pStyle w:val="Text1"/>
              <w:ind w:left="0"/>
              <w:jc w:val="left"/>
              <w:rPr>
                <w:i/>
                <w:sz w:val="18"/>
                <w:szCs w:val="18"/>
                <w:lang w:val="en-GB" w:eastAsia="en-GB"/>
              </w:rPr>
            </w:pPr>
            <w:r w:rsidRPr="008340BB">
              <w:rPr>
                <w:i/>
                <w:sz w:val="18"/>
                <w:szCs w:val="18"/>
                <w:lang w:val="en-GB" w:eastAsia="en-GB"/>
              </w:rPr>
              <w:t>1.2</w:t>
            </w:r>
          </w:p>
        </w:tc>
        <w:tc>
          <w:tcPr>
            <w:tcW w:w="748" w:type="pct"/>
          </w:tcPr>
          <w:p w14:paraId="26CCA727" w14:textId="77777777" w:rsidR="00F1341F" w:rsidRPr="008340BB" w:rsidRDefault="00F1341F">
            <w:pPr>
              <w:pStyle w:val="Text1"/>
              <w:spacing w:after="0"/>
              <w:ind w:left="0"/>
              <w:jc w:val="left"/>
              <w:rPr>
                <w:i/>
                <w:sz w:val="18"/>
                <w:szCs w:val="18"/>
                <w:lang w:val="en-GB" w:eastAsia="en-GB"/>
              </w:rPr>
            </w:pPr>
            <w:r w:rsidRPr="004550CA">
              <w:rPr>
                <w:i/>
                <w:iCs/>
                <w:sz w:val="18"/>
                <w:szCs w:val="18"/>
                <w:lang w:val="en-GB" w:eastAsia="bg-BG"/>
              </w:rPr>
              <w:t>Passenger transport performance</w:t>
            </w:r>
          </w:p>
        </w:tc>
        <w:tc>
          <w:tcPr>
            <w:tcW w:w="625" w:type="pct"/>
          </w:tcPr>
          <w:p w14:paraId="14355392" w14:textId="77777777" w:rsidR="00F1341F" w:rsidRPr="008340BB" w:rsidRDefault="00F1341F" w:rsidP="00F03C1E">
            <w:pPr>
              <w:snapToGrid w:val="0"/>
              <w:rPr>
                <w:i/>
                <w:sz w:val="18"/>
                <w:szCs w:val="18"/>
              </w:rPr>
            </w:pPr>
            <w:r w:rsidRPr="008340BB">
              <w:rPr>
                <w:i/>
                <w:iCs/>
                <w:sz w:val="18"/>
                <w:szCs w:val="18"/>
                <w:lang w:eastAsia="bg-BG"/>
              </w:rPr>
              <w:t>million passenger-km</w:t>
            </w:r>
          </w:p>
        </w:tc>
        <w:tc>
          <w:tcPr>
            <w:tcW w:w="517" w:type="pct"/>
          </w:tcPr>
          <w:p w14:paraId="5CD3B7B1" w14:textId="77777777" w:rsidR="00F1341F" w:rsidRPr="008340BB" w:rsidRDefault="00F1341F" w:rsidP="00F03C1E">
            <w:pPr>
              <w:pStyle w:val="ListBullet"/>
              <w:tabs>
                <w:tab w:val="clear" w:pos="360"/>
                <w:tab w:val="left" w:pos="720"/>
              </w:tabs>
              <w:ind w:left="0" w:firstLine="0"/>
              <w:jc w:val="left"/>
              <w:rPr>
                <w:i/>
                <w:sz w:val="18"/>
                <w:szCs w:val="18"/>
              </w:rPr>
            </w:pPr>
            <w:r w:rsidRPr="008340BB">
              <w:rPr>
                <w:i/>
                <w:sz w:val="20"/>
              </w:rPr>
              <w:t>N/A</w:t>
            </w:r>
          </w:p>
        </w:tc>
        <w:tc>
          <w:tcPr>
            <w:tcW w:w="548" w:type="pct"/>
          </w:tcPr>
          <w:p w14:paraId="413AEF39" w14:textId="3266912D" w:rsidR="00F1341F" w:rsidRPr="008340BB" w:rsidRDefault="00F1341F" w:rsidP="004C2E10">
            <w:pPr>
              <w:pStyle w:val="ListBullet"/>
              <w:tabs>
                <w:tab w:val="clear" w:pos="360"/>
                <w:tab w:val="left" w:pos="720"/>
              </w:tabs>
              <w:ind w:left="0" w:firstLine="0"/>
              <w:jc w:val="left"/>
              <w:rPr>
                <w:i/>
                <w:sz w:val="18"/>
                <w:szCs w:val="18"/>
                <w:highlight w:val="yellow"/>
              </w:rPr>
            </w:pPr>
            <w:r w:rsidRPr="008340BB">
              <w:rPr>
                <w:i/>
                <w:iCs/>
                <w:sz w:val="18"/>
                <w:szCs w:val="18"/>
                <w:lang w:eastAsia="bg-BG"/>
              </w:rPr>
              <w:t>1 825.8</w:t>
            </w:r>
          </w:p>
        </w:tc>
        <w:tc>
          <w:tcPr>
            <w:tcW w:w="457" w:type="pct"/>
          </w:tcPr>
          <w:p w14:paraId="0CF82318" w14:textId="77777777" w:rsidR="00F1341F" w:rsidRPr="008340BB" w:rsidRDefault="00F1341F" w:rsidP="00D42C0D">
            <w:pPr>
              <w:snapToGrid w:val="0"/>
              <w:rPr>
                <w:i/>
                <w:sz w:val="18"/>
                <w:szCs w:val="18"/>
              </w:rPr>
            </w:pPr>
            <w:r w:rsidRPr="008340BB">
              <w:rPr>
                <w:i/>
                <w:iCs/>
                <w:sz w:val="18"/>
                <w:szCs w:val="18"/>
                <w:lang w:eastAsia="bg-BG"/>
              </w:rPr>
              <w:t>2013</w:t>
            </w:r>
          </w:p>
        </w:tc>
        <w:tc>
          <w:tcPr>
            <w:tcW w:w="695" w:type="pct"/>
          </w:tcPr>
          <w:p w14:paraId="26670AD7" w14:textId="2EC0AD0B" w:rsidR="00F1341F" w:rsidRPr="008340BB" w:rsidRDefault="004C132C" w:rsidP="00F03C1E">
            <w:pPr>
              <w:pStyle w:val="ListBullet"/>
              <w:tabs>
                <w:tab w:val="clear" w:pos="360"/>
                <w:tab w:val="left" w:pos="720"/>
              </w:tabs>
              <w:ind w:left="0" w:firstLine="0"/>
              <w:rPr>
                <w:i/>
                <w:sz w:val="18"/>
                <w:szCs w:val="18"/>
                <w:highlight w:val="yellow"/>
              </w:rPr>
            </w:pPr>
            <w:r>
              <w:rPr>
                <w:i/>
                <w:iCs/>
                <w:sz w:val="18"/>
                <w:szCs w:val="18"/>
                <w:lang w:val="bg-BG" w:eastAsia="bg-BG"/>
              </w:rPr>
              <w:t xml:space="preserve">1 000 </w:t>
            </w:r>
          </w:p>
        </w:tc>
        <w:tc>
          <w:tcPr>
            <w:tcW w:w="556" w:type="pct"/>
          </w:tcPr>
          <w:p w14:paraId="5A1799A5" w14:textId="77777777" w:rsidR="00F1341F" w:rsidRPr="008340BB" w:rsidRDefault="00F1341F" w:rsidP="00F03C1E">
            <w:pPr>
              <w:pStyle w:val="ListBullet"/>
              <w:tabs>
                <w:tab w:val="clear" w:pos="360"/>
                <w:tab w:val="left" w:pos="720"/>
              </w:tabs>
              <w:ind w:left="0" w:firstLine="0"/>
              <w:rPr>
                <w:i/>
                <w:sz w:val="18"/>
                <w:szCs w:val="18"/>
              </w:rPr>
            </w:pPr>
            <w:r w:rsidRPr="008340BB">
              <w:rPr>
                <w:i/>
                <w:sz w:val="18"/>
                <w:szCs w:val="18"/>
              </w:rPr>
              <w:t>NSI</w:t>
            </w:r>
          </w:p>
        </w:tc>
        <w:tc>
          <w:tcPr>
            <w:tcW w:w="418" w:type="pct"/>
          </w:tcPr>
          <w:p w14:paraId="566E29FA" w14:textId="77777777" w:rsidR="00F1341F" w:rsidRPr="008340BB" w:rsidRDefault="004F2F5A" w:rsidP="00F03C1E">
            <w:pPr>
              <w:pStyle w:val="ListBullet"/>
              <w:tabs>
                <w:tab w:val="clear" w:pos="360"/>
                <w:tab w:val="left" w:pos="720"/>
              </w:tabs>
              <w:ind w:left="0" w:firstLine="0"/>
              <w:jc w:val="left"/>
              <w:rPr>
                <w:i/>
                <w:sz w:val="18"/>
                <w:szCs w:val="18"/>
              </w:rPr>
            </w:pPr>
            <w:r w:rsidRPr="004F2F5A">
              <w:rPr>
                <w:i/>
                <w:iCs/>
                <w:sz w:val="18"/>
                <w:szCs w:val="18"/>
                <w:lang w:eastAsia="bg-BG"/>
              </w:rPr>
              <w:t>annually</w:t>
            </w:r>
          </w:p>
        </w:tc>
      </w:tr>
      <w:tr w:rsidR="00F1341F" w:rsidRPr="008340BB" w14:paraId="20CA2556" w14:textId="77777777" w:rsidTr="00F03C1E">
        <w:trPr>
          <w:trHeight w:val="1729"/>
        </w:trPr>
        <w:tc>
          <w:tcPr>
            <w:tcW w:w="436" w:type="pct"/>
          </w:tcPr>
          <w:p w14:paraId="400CD828" w14:textId="77777777" w:rsidR="00F1341F" w:rsidRPr="008340BB" w:rsidRDefault="00F1341F" w:rsidP="005D4581">
            <w:pPr>
              <w:pStyle w:val="Text1"/>
              <w:ind w:left="0"/>
              <w:jc w:val="left"/>
              <w:rPr>
                <w:i/>
                <w:sz w:val="18"/>
                <w:szCs w:val="18"/>
                <w:lang w:val="en-GB" w:eastAsia="en-GB"/>
              </w:rPr>
            </w:pPr>
            <w:r w:rsidRPr="008340BB">
              <w:rPr>
                <w:i/>
                <w:sz w:val="18"/>
                <w:szCs w:val="18"/>
                <w:lang w:val="en-GB" w:eastAsia="en-GB"/>
              </w:rPr>
              <w:t>1.3</w:t>
            </w:r>
          </w:p>
        </w:tc>
        <w:tc>
          <w:tcPr>
            <w:tcW w:w="748" w:type="pct"/>
          </w:tcPr>
          <w:p w14:paraId="47CD4AC0" w14:textId="77777777" w:rsidR="00F1341F" w:rsidRPr="008340BB" w:rsidRDefault="00F1341F" w:rsidP="005D4581">
            <w:pPr>
              <w:pStyle w:val="Text1"/>
              <w:spacing w:after="0"/>
              <w:ind w:left="0"/>
              <w:jc w:val="left"/>
              <w:rPr>
                <w:i/>
                <w:iCs/>
                <w:sz w:val="18"/>
                <w:szCs w:val="18"/>
                <w:lang w:val="en-GB" w:eastAsia="bg-BG"/>
              </w:rPr>
            </w:pPr>
            <w:r w:rsidRPr="004550CA">
              <w:rPr>
                <w:i/>
                <w:iCs/>
                <w:sz w:val="18"/>
                <w:szCs w:val="18"/>
                <w:lang w:val="en-GB" w:eastAsia="bg-BG"/>
              </w:rPr>
              <w:t>Freight transport performance</w:t>
            </w:r>
          </w:p>
        </w:tc>
        <w:tc>
          <w:tcPr>
            <w:tcW w:w="625" w:type="pct"/>
          </w:tcPr>
          <w:p w14:paraId="29B987E2" w14:textId="77777777" w:rsidR="00F1341F" w:rsidRPr="008340BB" w:rsidRDefault="00F1341F" w:rsidP="001F3093">
            <w:pPr>
              <w:snapToGrid w:val="0"/>
              <w:rPr>
                <w:i/>
                <w:iCs/>
                <w:sz w:val="18"/>
                <w:szCs w:val="18"/>
                <w:lang w:eastAsia="bg-BG"/>
              </w:rPr>
            </w:pPr>
            <w:r w:rsidRPr="008340BB">
              <w:rPr>
                <w:i/>
                <w:iCs/>
                <w:sz w:val="18"/>
                <w:szCs w:val="18"/>
                <w:lang w:eastAsia="bg-BG"/>
              </w:rPr>
              <w:t>million tonne-km</w:t>
            </w:r>
          </w:p>
        </w:tc>
        <w:tc>
          <w:tcPr>
            <w:tcW w:w="517" w:type="pct"/>
          </w:tcPr>
          <w:p w14:paraId="4D9EC4AA" w14:textId="77777777" w:rsidR="00F1341F" w:rsidRPr="008340BB" w:rsidRDefault="00F1341F" w:rsidP="00F03C1E">
            <w:pPr>
              <w:pStyle w:val="ListBullet"/>
              <w:tabs>
                <w:tab w:val="clear" w:pos="360"/>
                <w:tab w:val="left" w:pos="720"/>
              </w:tabs>
              <w:ind w:left="0" w:firstLine="0"/>
              <w:jc w:val="left"/>
              <w:rPr>
                <w:i/>
                <w:sz w:val="20"/>
              </w:rPr>
            </w:pPr>
            <w:r w:rsidRPr="008340BB">
              <w:rPr>
                <w:i/>
                <w:sz w:val="20"/>
              </w:rPr>
              <w:t>N/A</w:t>
            </w:r>
          </w:p>
        </w:tc>
        <w:tc>
          <w:tcPr>
            <w:tcW w:w="548" w:type="pct"/>
          </w:tcPr>
          <w:p w14:paraId="5EEB863F" w14:textId="77777777" w:rsidR="00F1341F" w:rsidRPr="009166AF" w:rsidRDefault="009166AF" w:rsidP="00E53A73">
            <w:pPr>
              <w:pStyle w:val="ListBullet"/>
              <w:tabs>
                <w:tab w:val="clear" w:pos="360"/>
                <w:tab w:val="left" w:pos="720"/>
              </w:tabs>
              <w:ind w:left="0" w:firstLine="0"/>
              <w:jc w:val="left"/>
              <w:rPr>
                <w:i/>
                <w:iCs/>
                <w:sz w:val="18"/>
                <w:szCs w:val="18"/>
                <w:highlight w:val="yellow"/>
                <w:lang w:eastAsia="bg-BG"/>
              </w:rPr>
            </w:pPr>
            <w:r>
              <w:rPr>
                <w:i/>
                <w:iCs/>
                <w:sz w:val="18"/>
                <w:szCs w:val="18"/>
                <w:lang w:eastAsia="bg-BG"/>
              </w:rPr>
              <w:t>3 246</w:t>
            </w:r>
          </w:p>
        </w:tc>
        <w:tc>
          <w:tcPr>
            <w:tcW w:w="457" w:type="pct"/>
          </w:tcPr>
          <w:p w14:paraId="0C8A0C96" w14:textId="77777777" w:rsidR="00F1341F" w:rsidRPr="00DC0475" w:rsidRDefault="00F1341F" w:rsidP="00D42C0D">
            <w:pPr>
              <w:snapToGrid w:val="0"/>
              <w:rPr>
                <w:i/>
                <w:iCs/>
                <w:sz w:val="18"/>
                <w:szCs w:val="18"/>
                <w:lang w:eastAsia="bg-BG"/>
              </w:rPr>
            </w:pPr>
            <w:r w:rsidRPr="00DC0475">
              <w:rPr>
                <w:i/>
                <w:iCs/>
                <w:sz w:val="18"/>
                <w:szCs w:val="18"/>
                <w:lang w:eastAsia="bg-BG"/>
              </w:rPr>
              <w:t>2013</w:t>
            </w:r>
          </w:p>
        </w:tc>
        <w:tc>
          <w:tcPr>
            <w:tcW w:w="695" w:type="pct"/>
          </w:tcPr>
          <w:p w14:paraId="271186F9" w14:textId="30BB495D" w:rsidR="00F1341F" w:rsidRPr="00A828C5" w:rsidRDefault="004C132C" w:rsidP="00C63956">
            <w:pPr>
              <w:pStyle w:val="ListBullet"/>
              <w:tabs>
                <w:tab w:val="clear" w:pos="360"/>
                <w:tab w:val="left" w:pos="720"/>
              </w:tabs>
              <w:ind w:left="0" w:firstLine="0"/>
              <w:rPr>
                <w:rFonts w:ascii="TimesNewRomanPSMT" w:hAnsi="TimesNewRomanPSMT" w:cs="TimesNewRomanPSMT"/>
                <w:sz w:val="16"/>
                <w:szCs w:val="16"/>
                <w:highlight w:val="yellow"/>
                <w:lang w:eastAsia="bg-BG"/>
              </w:rPr>
            </w:pPr>
            <w:r>
              <w:rPr>
                <w:i/>
                <w:sz w:val="18"/>
                <w:szCs w:val="18"/>
                <w:lang w:val="bg-BG" w:eastAsia="bg-BG"/>
              </w:rPr>
              <w:t xml:space="preserve">4 000 </w:t>
            </w:r>
          </w:p>
        </w:tc>
        <w:tc>
          <w:tcPr>
            <w:tcW w:w="556" w:type="pct"/>
          </w:tcPr>
          <w:p w14:paraId="6673C5F0" w14:textId="77777777" w:rsidR="00F1341F" w:rsidRPr="008340BB" w:rsidRDefault="00F1341F" w:rsidP="00F03C1E">
            <w:pPr>
              <w:pStyle w:val="ListBullet"/>
              <w:tabs>
                <w:tab w:val="clear" w:pos="360"/>
                <w:tab w:val="left" w:pos="720"/>
              </w:tabs>
              <w:ind w:left="0" w:firstLine="0"/>
              <w:rPr>
                <w:i/>
                <w:sz w:val="18"/>
                <w:szCs w:val="18"/>
              </w:rPr>
            </w:pPr>
            <w:r w:rsidRPr="008340BB">
              <w:rPr>
                <w:i/>
                <w:sz w:val="18"/>
                <w:szCs w:val="18"/>
              </w:rPr>
              <w:t>NSI</w:t>
            </w:r>
          </w:p>
        </w:tc>
        <w:tc>
          <w:tcPr>
            <w:tcW w:w="418" w:type="pct"/>
          </w:tcPr>
          <w:p w14:paraId="027D6CF8" w14:textId="77777777" w:rsidR="00F1341F" w:rsidRPr="008340BB" w:rsidRDefault="004F2F5A" w:rsidP="00F03C1E">
            <w:pPr>
              <w:pStyle w:val="ListBullet"/>
              <w:tabs>
                <w:tab w:val="clear" w:pos="360"/>
                <w:tab w:val="left" w:pos="720"/>
              </w:tabs>
              <w:ind w:left="0" w:firstLine="0"/>
              <w:jc w:val="left"/>
              <w:rPr>
                <w:i/>
                <w:iCs/>
                <w:sz w:val="18"/>
                <w:szCs w:val="18"/>
                <w:lang w:eastAsia="bg-BG"/>
              </w:rPr>
            </w:pPr>
            <w:r w:rsidRPr="004F2F5A">
              <w:rPr>
                <w:i/>
                <w:iCs/>
                <w:sz w:val="18"/>
                <w:szCs w:val="18"/>
                <w:lang w:eastAsia="bg-BG"/>
              </w:rPr>
              <w:t>annually</w:t>
            </w:r>
          </w:p>
        </w:tc>
      </w:tr>
      <w:tr w:rsidR="00241EDF" w:rsidRPr="008340BB" w14:paraId="474F3881" w14:textId="77777777" w:rsidTr="00F03C1E">
        <w:trPr>
          <w:trHeight w:val="1729"/>
        </w:trPr>
        <w:tc>
          <w:tcPr>
            <w:tcW w:w="436" w:type="pct"/>
          </w:tcPr>
          <w:p w14:paraId="594C6D6B" w14:textId="77777777" w:rsidR="00241EDF" w:rsidRPr="008340BB" w:rsidRDefault="00241EDF" w:rsidP="005D4581">
            <w:pPr>
              <w:pStyle w:val="Text1"/>
              <w:ind w:left="0"/>
              <w:jc w:val="left"/>
              <w:rPr>
                <w:i/>
                <w:sz w:val="18"/>
                <w:szCs w:val="18"/>
                <w:lang w:val="en-GB" w:eastAsia="en-GB"/>
              </w:rPr>
            </w:pPr>
          </w:p>
        </w:tc>
        <w:tc>
          <w:tcPr>
            <w:tcW w:w="748" w:type="pct"/>
          </w:tcPr>
          <w:p w14:paraId="09A67F1F" w14:textId="0EDE4825" w:rsidR="005B718C" w:rsidRPr="001D0E5C" w:rsidRDefault="005B718C" w:rsidP="005B718C">
            <w:pPr>
              <w:pStyle w:val="Text1"/>
              <w:ind w:left="0" w:hanging="3"/>
              <w:rPr>
                <w:i/>
                <w:iCs/>
                <w:sz w:val="18"/>
                <w:szCs w:val="18"/>
                <w:lang w:eastAsia="bg-BG"/>
              </w:rPr>
            </w:pPr>
            <w:r w:rsidRPr="001D0E5C">
              <w:rPr>
                <w:i/>
                <w:iCs/>
                <w:sz w:val="18"/>
                <w:szCs w:val="18"/>
                <w:lang w:val="en" w:eastAsia="bg-BG"/>
              </w:rPr>
              <w:t xml:space="preserve">Number of accidents at the locations of removed railway crossings </w:t>
            </w:r>
            <w:r w:rsidRPr="001D0E5C">
              <w:rPr>
                <w:i/>
                <w:iCs/>
                <w:sz w:val="18"/>
                <w:szCs w:val="18"/>
                <w:lang w:val="en-US" w:eastAsia="bg-BG"/>
              </w:rPr>
              <w:t>along</w:t>
            </w:r>
            <w:r w:rsidRPr="001D0E5C">
              <w:rPr>
                <w:i/>
                <w:iCs/>
                <w:sz w:val="18"/>
                <w:szCs w:val="18"/>
                <w:lang w:val="en" w:eastAsia="bg-BG"/>
              </w:rPr>
              <w:t xml:space="preserve"> the modernized railway sections</w:t>
            </w:r>
          </w:p>
          <w:p w14:paraId="640E88D2" w14:textId="2122B6B1" w:rsidR="00241EDF" w:rsidRPr="001D0E5C" w:rsidRDefault="00241EDF" w:rsidP="005D4581">
            <w:pPr>
              <w:pStyle w:val="Text1"/>
              <w:spacing w:after="0"/>
              <w:ind w:left="0"/>
              <w:jc w:val="left"/>
              <w:rPr>
                <w:i/>
                <w:iCs/>
                <w:sz w:val="18"/>
                <w:szCs w:val="18"/>
                <w:lang w:eastAsia="bg-BG"/>
              </w:rPr>
            </w:pPr>
          </w:p>
        </w:tc>
        <w:tc>
          <w:tcPr>
            <w:tcW w:w="625" w:type="pct"/>
          </w:tcPr>
          <w:p w14:paraId="1CA3D029" w14:textId="66FE823D" w:rsidR="00241EDF" w:rsidRPr="001D0E5C" w:rsidRDefault="001D0E5C" w:rsidP="001F3093">
            <w:pPr>
              <w:snapToGrid w:val="0"/>
              <w:rPr>
                <w:i/>
                <w:iCs/>
                <w:sz w:val="18"/>
                <w:szCs w:val="18"/>
                <w:lang w:eastAsia="bg-BG"/>
              </w:rPr>
            </w:pPr>
            <w:r w:rsidRPr="001D0E5C">
              <w:rPr>
                <w:i/>
                <w:iCs/>
                <w:sz w:val="18"/>
                <w:szCs w:val="18"/>
                <w:lang w:val="en" w:eastAsia="bg-BG"/>
              </w:rPr>
              <w:t>Number</w:t>
            </w:r>
          </w:p>
        </w:tc>
        <w:tc>
          <w:tcPr>
            <w:tcW w:w="517" w:type="pct"/>
          </w:tcPr>
          <w:p w14:paraId="53756FA3" w14:textId="1D0886D8" w:rsidR="00241EDF" w:rsidRPr="001D0E5C" w:rsidRDefault="001D0E5C" w:rsidP="00F03C1E">
            <w:pPr>
              <w:pStyle w:val="ListBullet"/>
              <w:tabs>
                <w:tab w:val="clear" w:pos="360"/>
                <w:tab w:val="left" w:pos="720"/>
              </w:tabs>
              <w:ind w:left="0" w:firstLine="0"/>
              <w:jc w:val="left"/>
              <w:rPr>
                <w:i/>
                <w:sz w:val="20"/>
              </w:rPr>
            </w:pPr>
            <w:r w:rsidRPr="001D0E5C">
              <w:rPr>
                <w:i/>
                <w:sz w:val="20"/>
              </w:rPr>
              <w:t>N/A</w:t>
            </w:r>
          </w:p>
        </w:tc>
        <w:tc>
          <w:tcPr>
            <w:tcW w:w="548" w:type="pct"/>
          </w:tcPr>
          <w:p w14:paraId="5B48A9A3" w14:textId="1BFA461F" w:rsidR="00241EDF" w:rsidRPr="001D0E5C" w:rsidRDefault="0033669D" w:rsidP="00E53A73">
            <w:pPr>
              <w:pStyle w:val="ListBullet"/>
              <w:tabs>
                <w:tab w:val="clear" w:pos="360"/>
                <w:tab w:val="left" w:pos="720"/>
              </w:tabs>
              <w:ind w:left="0" w:firstLine="0"/>
              <w:jc w:val="left"/>
              <w:rPr>
                <w:i/>
                <w:iCs/>
                <w:sz w:val="18"/>
                <w:szCs w:val="18"/>
                <w:lang w:eastAsia="bg-BG"/>
              </w:rPr>
            </w:pPr>
            <w:r>
              <w:rPr>
                <w:i/>
                <w:iCs/>
                <w:sz w:val="18"/>
                <w:szCs w:val="18"/>
                <w:lang w:val="bg-BG" w:eastAsia="bg-BG"/>
              </w:rPr>
              <w:t>4</w:t>
            </w:r>
          </w:p>
        </w:tc>
        <w:tc>
          <w:tcPr>
            <w:tcW w:w="457" w:type="pct"/>
          </w:tcPr>
          <w:p w14:paraId="0DA0C1DD" w14:textId="3265EFB8" w:rsidR="00241EDF" w:rsidRPr="00DC0475" w:rsidRDefault="001D0E5C" w:rsidP="00D42C0D">
            <w:pPr>
              <w:snapToGrid w:val="0"/>
              <w:rPr>
                <w:i/>
                <w:iCs/>
                <w:sz w:val="18"/>
                <w:szCs w:val="18"/>
                <w:lang w:eastAsia="bg-BG"/>
              </w:rPr>
            </w:pPr>
            <w:r>
              <w:rPr>
                <w:i/>
                <w:iCs/>
                <w:sz w:val="18"/>
                <w:szCs w:val="18"/>
                <w:lang w:eastAsia="bg-BG"/>
              </w:rPr>
              <w:t>2013</w:t>
            </w:r>
          </w:p>
        </w:tc>
        <w:tc>
          <w:tcPr>
            <w:tcW w:w="695" w:type="pct"/>
          </w:tcPr>
          <w:p w14:paraId="6B39E11F" w14:textId="09E54CA7" w:rsidR="00241EDF" w:rsidRPr="00B5130A" w:rsidRDefault="00902472" w:rsidP="00C63956">
            <w:pPr>
              <w:pStyle w:val="ListBullet"/>
              <w:tabs>
                <w:tab w:val="clear" w:pos="360"/>
                <w:tab w:val="left" w:pos="720"/>
              </w:tabs>
              <w:ind w:left="0" w:firstLine="0"/>
              <w:rPr>
                <w:i/>
                <w:sz w:val="18"/>
                <w:szCs w:val="18"/>
                <w:lang w:eastAsia="bg-BG"/>
              </w:rPr>
            </w:pPr>
            <w:r>
              <w:rPr>
                <w:i/>
                <w:sz w:val="18"/>
                <w:szCs w:val="18"/>
                <w:lang w:eastAsia="bg-BG"/>
              </w:rPr>
              <w:t>2</w:t>
            </w:r>
          </w:p>
        </w:tc>
        <w:tc>
          <w:tcPr>
            <w:tcW w:w="556" w:type="pct"/>
          </w:tcPr>
          <w:p w14:paraId="267E580D" w14:textId="15B2260F" w:rsidR="00241EDF" w:rsidRPr="008340BB" w:rsidRDefault="001D0E5C" w:rsidP="00F03C1E">
            <w:pPr>
              <w:pStyle w:val="ListBullet"/>
              <w:tabs>
                <w:tab w:val="clear" w:pos="360"/>
                <w:tab w:val="left" w:pos="720"/>
              </w:tabs>
              <w:ind w:left="0" w:firstLine="0"/>
              <w:rPr>
                <w:i/>
                <w:sz w:val="18"/>
                <w:szCs w:val="18"/>
              </w:rPr>
            </w:pPr>
            <w:r w:rsidRPr="001D0E5C">
              <w:rPr>
                <w:i/>
                <w:iCs/>
                <w:sz w:val="18"/>
                <w:szCs w:val="18"/>
              </w:rPr>
              <w:t>NRIC</w:t>
            </w:r>
          </w:p>
        </w:tc>
        <w:tc>
          <w:tcPr>
            <w:tcW w:w="418" w:type="pct"/>
          </w:tcPr>
          <w:p w14:paraId="5804B2E1" w14:textId="065C3F0A" w:rsidR="00241EDF" w:rsidRPr="004F2F5A" w:rsidRDefault="001D0E5C" w:rsidP="00F03C1E">
            <w:pPr>
              <w:pStyle w:val="ListBullet"/>
              <w:tabs>
                <w:tab w:val="clear" w:pos="360"/>
                <w:tab w:val="left" w:pos="720"/>
              </w:tabs>
              <w:ind w:left="0" w:firstLine="0"/>
              <w:jc w:val="left"/>
              <w:rPr>
                <w:i/>
                <w:iCs/>
                <w:sz w:val="18"/>
                <w:szCs w:val="18"/>
                <w:lang w:eastAsia="bg-BG"/>
              </w:rPr>
            </w:pPr>
            <w:r w:rsidRPr="001D0E5C">
              <w:rPr>
                <w:i/>
                <w:iCs/>
                <w:sz w:val="18"/>
                <w:szCs w:val="18"/>
                <w:lang w:eastAsia="bg-BG"/>
              </w:rPr>
              <w:t>annually</w:t>
            </w:r>
          </w:p>
        </w:tc>
      </w:tr>
      <w:tr w:rsidR="00241EDF" w:rsidRPr="008340BB" w14:paraId="715799F4" w14:textId="77777777" w:rsidTr="00F03C1E">
        <w:trPr>
          <w:trHeight w:val="1729"/>
        </w:trPr>
        <w:tc>
          <w:tcPr>
            <w:tcW w:w="436" w:type="pct"/>
          </w:tcPr>
          <w:p w14:paraId="4B15559A" w14:textId="77777777" w:rsidR="00241EDF" w:rsidRPr="008340BB" w:rsidRDefault="00241EDF" w:rsidP="005D4581">
            <w:pPr>
              <w:pStyle w:val="Text1"/>
              <w:ind w:left="0"/>
              <w:jc w:val="left"/>
              <w:rPr>
                <w:i/>
                <w:sz w:val="18"/>
                <w:szCs w:val="18"/>
                <w:lang w:val="en-GB" w:eastAsia="en-GB"/>
              </w:rPr>
            </w:pPr>
          </w:p>
        </w:tc>
        <w:tc>
          <w:tcPr>
            <w:tcW w:w="748" w:type="pct"/>
          </w:tcPr>
          <w:p w14:paraId="3C443425" w14:textId="3E040D4E" w:rsidR="00781905" w:rsidRPr="00781905" w:rsidRDefault="00781905" w:rsidP="00781905">
            <w:pPr>
              <w:pStyle w:val="Text1"/>
              <w:ind w:left="0"/>
              <w:rPr>
                <w:i/>
                <w:iCs/>
                <w:sz w:val="18"/>
                <w:szCs w:val="18"/>
                <w:lang w:eastAsia="bg-BG"/>
              </w:rPr>
            </w:pPr>
            <w:r w:rsidRPr="00781905">
              <w:rPr>
                <w:i/>
                <w:iCs/>
                <w:sz w:val="18"/>
                <w:szCs w:val="18"/>
                <w:lang w:val="en" w:eastAsia="bg-BG"/>
              </w:rPr>
              <w:t>Number of conflict points at the pl</w:t>
            </w:r>
            <w:r>
              <w:rPr>
                <w:i/>
                <w:iCs/>
                <w:sz w:val="18"/>
                <w:szCs w:val="18"/>
                <w:lang w:val="en" w:eastAsia="bg-BG"/>
              </w:rPr>
              <w:t>aces of the removed crossings along th</w:t>
            </w:r>
            <w:r w:rsidRPr="00781905">
              <w:rPr>
                <w:i/>
                <w:iCs/>
                <w:sz w:val="18"/>
                <w:szCs w:val="18"/>
                <w:lang w:val="en" w:eastAsia="bg-BG"/>
              </w:rPr>
              <w:t>e modernized railway sections</w:t>
            </w:r>
          </w:p>
          <w:p w14:paraId="0C81C87E" w14:textId="77777777" w:rsidR="00241EDF" w:rsidRPr="008340BB" w:rsidRDefault="00241EDF" w:rsidP="005D4581">
            <w:pPr>
              <w:pStyle w:val="Text1"/>
              <w:spacing w:after="0"/>
              <w:ind w:left="0"/>
              <w:jc w:val="left"/>
              <w:rPr>
                <w:i/>
                <w:iCs/>
                <w:sz w:val="18"/>
                <w:szCs w:val="18"/>
                <w:lang w:val="en-GB" w:eastAsia="bg-BG"/>
              </w:rPr>
            </w:pPr>
          </w:p>
        </w:tc>
        <w:tc>
          <w:tcPr>
            <w:tcW w:w="625" w:type="pct"/>
          </w:tcPr>
          <w:p w14:paraId="69F5518D" w14:textId="3C0A7C87" w:rsidR="00241EDF" w:rsidRPr="008340BB" w:rsidRDefault="00781905" w:rsidP="001F3093">
            <w:pPr>
              <w:snapToGrid w:val="0"/>
              <w:rPr>
                <w:i/>
                <w:iCs/>
                <w:sz w:val="18"/>
                <w:szCs w:val="18"/>
                <w:lang w:eastAsia="bg-BG"/>
              </w:rPr>
            </w:pPr>
            <w:r w:rsidRPr="00781905">
              <w:rPr>
                <w:i/>
                <w:iCs/>
                <w:sz w:val="18"/>
                <w:szCs w:val="18"/>
                <w:lang w:val="en" w:eastAsia="bg-BG"/>
              </w:rPr>
              <w:t>Number</w:t>
            </w:r>
          </w:p>
        </w:tc>
        <w:tc>
          <w:tcPr>
            <w:tcW w:w="517" w:type="pct"/>
          </w:tcPr>
          <w:p w14:paraId="03468EE1" w14:textId="07B2090F" w:rsidR="00241EDF" w:rsidRPr="008340BB" w:rsidRDefault="00781905" w:rsidP="00F03C1E">
            <w:pPr>
              <w:pStyle w:val="ListBullet"/>
              <w:tabs>
                <w:tab w:val="clear" w:pos="360"/>
                <w:tab w:val="left" w:pos="720"/>
              </w:tabs>
              <w:ind w:left="0" w:firstLine="0"/>
              <w:jc w:val="left"/>
              <w:rPr>
                <w:i/>
                <w:sz w:val="20"/>
              </w:rPr>
            </w:pPr>
            <w:r w:rsidRPr="00781905">
              <w:rPr>
                <w:i/>
                <w:sz w:val="20"/>
              </w:rPr>
              <w:t>N/A</w:t>
            </w:r>
          </w:p>
        </w:tc>
        <w:tc>
          <w:tcPr>
            <w:tcW w:w="548" w:type="pct"/>
          </w:tcPr>
          <w:p w14:paraId="44E3FC7E" w14:textId="6B60E079" w:rsidR="00241EDF" w:rsidRDefault="0033669D" w:rsidP="00E53A73">
            <w:pPr>
              <w:pStyle w:val="ListBullet"/>
              <w:tabs>
                <w:tab w:val="clear" w:pos="360"/>
                <w:tab w:val="left" w:pos="720"/>
              </w:tabs>
              <w:ind w:left="0" w:firstLine="0"/>
              <w:jc w:val="left"/>
              <w:rPr>
                <w:i/>
                <w:iCs/>
                <w:sz w:val="18"/>
                <w:szCs w:val="18"/>
                <w:lang w:eastAsia="bg-BG"/>
              </w:rPr>
            </w:pPr>
            <w:r w:rsidRPr="0033669D">
              <w:rPr>
                <w:i/>
                <w:iCs/>
                <w:sz w:val="18"/>
                <w:szCs w:val="18"/>
                <w:lang w:val="bg-BG" w:eastAsia="bg-BG"/>
              </w:rPr>
              <w:t>1</w:t>
            </w:r>
            <w:r w:rsidRPr="0033669D">
              <w:rPr>
                <w:i/>
                <w:iCs/>
                <w:sz w:val="18"/>
                <w:szCs w:val="18"/>
                <w:lang w:val="en-US" w:eastAsia="bg-BG"/>
              </w:rPr>
              <w:t>29</w:t>
            </w:r>
          </w:p>
        </w:tc>
        <w:tc>
          <w:tcPr>
            <w:tcW w:w="457" w:type="pct"/>
          </w:tcPr>
          <w:p w14:paraId="795A54CD" w14:textId="0D0F0FD5" w:rsidR="00241EDF" w:rsidRPr="00E84D35" w:rsidRDefault="00781905" w:rsidP="00D42C0D">
            <w:pPr>
              <w:snapToGrid w:val="0"/>
              <w:rPr>
                <w:i/>
                <w:iCs/>
                <w:sz w:val="18"/>
                <w:szCs w:val="18"/>
                <w:lang w:eastAsia="bg-BG"/>
              </w:rPr>
            </w:pPr>
            <w:r w:rsidRPr="00E84D35">
              <w:rPr>
                <w:i/>
                <w:iCs/>
                <w:sz w:val="18"/>
                <w:szCs w:val="18"/>
                <w:lang w:eastAsia="bg-BG"/>
              </w:rPr>
              <w:t>2013</w:t>
            </w:r>
          </w:p>
        </w:tc>
        <w:tc>
          <w:tcPr>
            <w:tcW w:w="695" w:type="pct"/>
          </w:tcPr>
          <w:p w14:paraId="7C2C0AD5" w14:textId="4A876858" w:rsidR="00655FD9" w:rsidRPr="00E84D35" w:rsidRDefault="00655FD9" w:rsidP="00C63956">
            <w:pPr>
              <w:pStyle w:val="ListBullet"/>
              <w:tabs>
                <w:tab w:val="clear" w:pos="360"/>
                <w:tab w:val="left" w:pos="720"/>
              </w:tabs>
              <w:ind w:left="0" w:firstLine="0"/>
              <w:rPr>
                <w:i/>
                <w:sz w:val="18"/>
                <w:szCs w:val="18"/>
                <w:lang w:val="en-US" w:eastAsia="bg-BG"/>
              </w:rPr>
            </w:pPr>
            <w:r w:rsidRPr="00E84D35">
              <w:rPr>
                <w:i/>
                <w:sz w:val="18"/>
                <w:szCs w:val="18"/>
                <w:lang w:val="en-US" w:eastAsia="bg-BG"/>
              </w:rPr>
              <w:t>84</w:t>
            </w:r>
          </w:p>
          <w:p w14:paraId="197423F4" w14:textId="54D50C1C" w:rsidR="00241EDF" w:rsidRPr="00E84D35" w:rsidRDefault="00241EDF" w:rsidP="00C63956">
            <w:pPr>
              <w:pStyle w:val="ListBullet"/>
              <w:tabs>
                <w:tab w:val="clear" w:pos="360"/>
                <w:tab w:val="left" w:pos="720"/>
              </w:tabs>
              <w:ind w:left="0" w:firstLine="0"/>
              <w:rPr>
                <w:i/>
                <w:sz w:val="18"/>
                <w:szCs w:val="18"/>
                <w:lang w:eastAsia="bg-BG"/>
              </w:rPr>
            </w:pPr>
          </w:p>
        </w:tc>
        <w:tc>
          <w:tcPr>
            <w:tcW w:w="556" w:type="pct"/>
          </w:tcPr>
          <w:p w14:paraId="1793F546" w14:textId="7AA71A44" w:rsidR="00241EDF" w:rsidRPr="008340BB" w:rsidRDefault="00781905" w:rsidP="00F03C1E">
            <w:pPr>
              <w:pStyle w:val="ListBullet"/>
              <w:tabs>
                <w:tab w:val="clear" w:pos="360"/>
                <w:tab w:val="left" w:pos="720"/>
              </w:tabs>
              <w:ind w:left="0" w:firstLine="0"/>
              <w:rPr>
                <w:i/>
                <w:sz w:val="18"/>
                <w:szCs w:val="18"/>
              </w:rPr>
            </w:pPr>
            <w:r w:rsidRPr="00781905">
              <w:rPr>
                <w:i/>
                <w:iCs/>
                <w:sz w:val="18"/>
                <w:szCs w:val="18"/>
              </w:rPr>
              <w:t>NRIC</w:t>
            </w:r>
          </w:p>
        </w:tc>
        <w:tc>
          <w:tcPr>
            <w:tcW w:w="418" w:type="pct"/>
          </w:tcPr>
          <w:p w14:paraId="223549A9" w14:textId="3274416F" w:rsidR="00241EDF" w:rsidRPr="004F2F5A" w:rsidRDefault="00781905" w:rsidP="00F03C1E">
            <w:pPr>
              <w:pStyle w:val="ListBullet"/>
              <w:tabs>
                <w:tab w:val="clear" w:pos="360"/>
                <w:tab w:val="left" w:pos="720"/>
              </w:tabs>
              <w:ind w:left="0" w:firstLine="0"/>
              <w:jc w:val="left"/>
              <w:rPr>
                <w:i/>
                <w:iCs/>
                <w:sz w:val="18"/>
                <w:szCs w:val="18"/>
                <w:lang w:eastAsia="bg-BG"/>
              </w:rPr>
            </w:pPr>
            <w:r w:rsidRPr="00781905">
              <w:rPr>
                <w:i/>
                <w:iCs/>
                <w:sz w:val="18"/>
                <w:szCs w:val="18"/>
                <w:lang w:eastAsia="bg-BG"/>
              </w:rPr>
              <w:t>annually</w:t>
            </w:r>
          </w:p>
        </w:tc>
      </w:tr>
    </w:tbl>
    <w:p w14:paraId="0607136A" w14:textId="77777777" w:rsidR="00F1341F" w:rsidRPr="008340BB" w:rsidRDefault="00F1341F" w:rsidP="00F03C1E">
      <w:pPr>
        <w:suppressAutoHyphens/>
      </w:pPr>
    </w:p>
    <w:p w14:paraId="52AF7395" w14:textId="0C3E7C3F" w:rsidR="00F1341F" w:rsidRPr="00AE0B2E" w:rsidRDefault="00945E7D" w:rsidP="00F03C1E">
      <w:pPr>
        <w:suppressAutoHyphens/>
        <w:rPr>
          <w:rStyle w:val="hps"/>
          <w:lang w:val="bg-BG"/>
        </w:rPr>
      </w:pPr>
      <w:r>
        <w:rPr>
          <w:lang w:val="en-US"/>
        </w:rPr>
        <w:t xml:space="preserve">Defining </w:t>
      </w:r>
      <w:r>
        <w:t>t</w:t>
      </w:r>
      <w:r w:rsidR="002F3FCA" w:rsidRPr="002F3FCA">
        <w:t>he target value for the permissible maximum speeds by rail we take into account the target value for the line Plovdiv-Burgas</w:t>
      </w:r>
      <w:r w:rsidR="00CF06F1">
        <w:t xml:space="preserve"> </w:t>
      </w:r>
      <w:r w:rsidR="00CF06F1" w:rsidRPr="00CF06F1">
        <w:t>which, although it will not be fully functional in its entirety by the end of 2023, still has sections completed and put into operation</w:t>
      </w:r>
      <w:r w:rsidR="00DF755C">
        <w:t>.</w:t>
      </w:r>
      <w:r w:rsidR="002F3FCA" w:rsidRPr="002F3FCA">
        <w:t xml:space="preserve"> The project for modernization of the section Elin Pelin - Kostenets </w:t>
      </w:r>
      <w:r w:rsidR="00DF755C">
        <w:t xml:space="preserve">and the project for modernization of the section Voluyak – Dragoman </w:t>
      </w:r>
      <w:r w:rsidR="002F3FCA" w:rsidRPr="002F3FCA">
        <w:t>will not be fully operational by the end of 2023.</w:t>
      </w:r>
      <w:r w:rsidR="00C82275" w:rsidRPr="00C82275">
        <w:t xml:space="preserve"> The base</w:t>
      </w:r>
      <w:r w:rsidR="00C82275">
        <w:t>line</w:t>
      </w:r>
      <w:r w:rsidR="00C82275" w:rsidRPr="00C82275">
        <w:t xml:space="preserve"> value of the indicator for maximum permissible speeds on the railway is determined on the basis of the current speed.</w:t>
      </w:r>
      <w:r w:rsidR="00C82275">
        <w:t xml:space="preserve"> </w:t>
      </w:r>
      <w:r w:rsidR="00F1341F" w:rsidRPr="00DC0475">
        <w:t xml:space="preserve">The baseline indicator values for </w:t>
      </w:r>
      <w:r w:rsidR="00F5376B" w:rsidRPr="00A828C5">
        <w:t>passenger and freig</w:t>
      </w:r>
      <w:r w:rsidR="00F5376B" w:rsidRPr="008340BB">
        <w:t>ht transport performance</w:t>
      </w:r>
      <w:r w:rsidR="00F1341F" w:rsidRPr="008340BB">
        <w:t xml:space="preserve"> refers to the entire railway network. </w:t>
      </w:r>
      <w:r w:rsidR="00F1341F" w:rsidRPr="008340BB">
        <w:rPr>
          <w:rStyle w:val="hps"/>
        </w:rPr>
        <w:t>.</w:t>
      </w:r>
      <w:r w:rsidR="00F1341F" w:rsidRPr="008340BB">
        <w:t xml:space="preserve"> </w:t>
      </w:r>
      <w:r w:rsidR="00F1341F" w:rsidRPr="008340BB">
        <w:rPr>
          <w:rStyle w:val="hps"/>
        </w:rPr>
        <w:t>Considering the</w:t>
      </w:r>
      <w:r w:rsidR="00F1341F" w:rsidRPr="008340BB">
        <w:t xml:space="preserve"> </w:t>
      </w:r>
      <w:r w:rsidR="00F1341F" w:rsidRPr="008340BB">
        <w:rPr>
          <w:rStyle w:val="hps"/>
        </w:rPr>
        <w:t>negative trend of the</w:t>
      </w:r>
      <w:r w:rsidR="00F1341F" w:rsidRPr="008340BB">
        <w:t xml:space="preserve"> </w:t>
      </w:r>
      <w:r w:rsidR="00F1341F" w:rsidRPr="008340BB">
        <w:rPr>
          <w:rStyle w:val="hps"/>
        </w:rPr>
        <w:t>decline in</w:t>
      </w:r>
      <w:r w:rsidR="00F1341F" w:rsidRPr="008340BB">
        <w:t xml:space="preserve"> </w:t>
      </w:r>
      <w:r w:rsidR="00F1341F" w:rsidRPr="008340BB">
        <w:rPr>
          <w:rStyle w:val="hps"/>
        </w:rPr>
        <w:t>demand for passenger</w:t>
      </w:r>
      <w:r w:rsidR="00F1341F" w:rsidRPr="008340BB">
        <w:t xml:space="preserve"> </w:t>
      </w:r>
      <w:r w:rsidR="00F5376B" w:rsidRPr="008340BB">
        <w:rPr>
          <w:rStyle w:val="hps"/>
        </w:rPr>
        <w:t>trips</w:t>
      </w:r>
      <w:r w:rsidR="00F5376B" w:rsidRPr="008340BB">
        <w:t xml:space="preserve"> </w:t>
      </w:r>
      <w:r w:rsidR="00F1341F" w:rsidRPr="008340BB">
        <w:rPr>
          <w:rStyle w:val="hps"/>
        </w:rPr>
        <w:t>by rail</w:t>
      </w:r>
      <w:r w:rsidR="00F1341F" w:rsidRPr="008340BB">
        <w:t xml:space="preserve"> it is defined </w:t>
      </w:r>
      <w:r w:rsidR="005E20E1">
        <w:t xml:space="preserve">the </w:t>
      </w:r>
      <w:r w:rsidR="00F1341F" w:rsidRPr="008340BB">
        <w:t xml:space="preserve">target value for passenger </w:t>
      </w:r>
      <w:r w:rsidR="00F5376B" w:rsidRPr="008340BB">
        <w:t xml:space="preserve">transport </w:t>
      </w:r>
      <w:r w:rsidR="00F1341F" w:rsidRPr="008340BB">
        <w:t xml:space="preserve">performance </w:t>
      </w:r>
      <w:r w:rsidR="00F1341F" w:rsidRPr="008340BB">
        <w:rPr>
          <w:rStyle w:val="hps"/>
        </w:rPr>
        <w:t>until 2023.</w:t>
      </w:r>
      <w:r w:rsidR="00F1341F" w:rsidRPr="008340BB">
        <w:t xml:space="preserve"> </w:t>
      </w:r>
      <w:r w:rsidR="00F1341F" w:rsidRPr="008340BB">
        <w:rPr>
          <w:rStyle w:val="hps"/>
        </w:rPr>
        <w:t xml:space="preserve">The </w:t>
      </w:r>
      <w:r w:rsidR="00F1341F" w:rsidRPr="008340BB">
        <w:t xml:space="preserve">target value </w:t>
      </w:r>
      <w:r w:rsidR="00F1341F" w:rsidRPr="008340BB">
        <w:rPr>
          <w:rStyle w:val="hps"/>
        </w:rPr>
        <w:t>in terms</w:t>
      </w:r>
      <w:r w:rsidR="00F1341F" w:rsidRPr="008340BB">
        <w:t xml:space="preserve"> </w:t>
      </w:r>
      <w:r w:rsidR="00F1341F" w:rsidRPr="008340BB">
        <w:rPr>
          <w:rStyle w:val="hps"/>
        </w:rPr>
        <w:t xml:space="preserve">of the freight </w:t>
      </w:r>
      <w:r w:rsidR="002F758E" w:rsidRPr="008340BB">
        <w:rPr>
          <w:rStyle w:val="hps"/>
        </w:rPr>
        <w:t xml:space="preserve">transport </w:t>
      </w:r>
      <w:r w:rsidR="00F1341F" w:rsidRPr="008340BB">
        <w:rPr>
          <w:rStyle w:val="hps"/>
        </w:rPr>
        <w:t>performance</w:t>
      </w:r>
      <w:r w:rsidR="00F1341F" w:rsidRPr="008340BB">
        <w:t xml:space="preserve"> </w:t>
      </w:r>
      <w:r w:rsidR="00F1341F" w:rsidRPr="008340BB">
        <w:rPr>
          <w:rStyle w:val="hps"/>
        </w:rPr>
        <w:t xml:space="preserve">is </w:t>
      </w:r>
      <w:r w:rsidR="005E20E1">
        <w:rPr>
          <w:rStyle w:val="hps"/>
          <w:lang w:val="en-US"/>
        </w:rPr>
        <w:t xml:space="preserve">growing. </w:t>
      </w:r>
      <w:r w:rsidR="00AE0B2E">
        <w:rPr>
          <w:rStyle w:val="hps"/>
          <w:lang w:val="bg-BG"/>
        </w:rPr>
        <w:t xml:space="preserve">  </w:t>
      </w:r>
    </w:p>
    <w:p w14:paraId="0410617E" w14:textId="2CD76B86" w:rsidR="00AB320F" w:rsidRDefault="00AB320F" w:rsidP="00AB320F">
      <w:pPr>
        <w:suppressAutoHyphens/>
        <w:rPr>
          <w:lang w:val="en"/>
        </w:rPr>
      </w:pPr>
      <w:r>
        <w:rPr>
          <w:lang w:val="en"/>
        </w:rPr>
        <w:t>The baseline</w:t>
      </w:r>
      <w:r w:rsidRPr="00AB320F">
        <w:rPr>
          <w:lang w:val="en"/>
        </w:rPr>
        <w:t xml:space="preserve"> value of the indicator for the number of accidents is </w:t>
      </w:r>
      <w:r w:rsidR="002B5E7C">
        <w:rPr>
          <w:lang w:val="bg-BG"/>
        </w:rPr>
        <w:t>4</w:t>
      </w:r>
      <w:r w:rsidRPr="00AB320F">
        <w:rPr>
          <w:lang w:val="en"/>
        </w:rPr>
        <w:t>, referring to the projects “Rehabilitation of the railway line</w:t>
      </w:r>
      <w:r>
        <w:rPr>
          <w:lang w:val="en"/>
        </w:rPr>
        <w:t xml:space="preserve"> Plovdiv - Burgas, Phase 2” – 4,</w:t>
      </w:r>
      <w:r w:rsidRPr="00AB320F">
        <w:rPr>
          <w:lang w:val="en"/>
        </w:rPr>
        <w:t xml:space="preserve"> "Modernization of the railway section September - Plovdiv: part of the Trans - European railway network - construction of</w:t>
      </w:r>
      <w:r>
        <w:rPr>
          <w:lang w:val="en"/>
        </w:rPr>
        <w:t xml:space="preserve"> four road overpasses" - 0 </w:t>
      </w:r>
      <w:r w:rsidRPr="00AB320F">
        <w:rPr>
          <w:lang w:val="en"/>
        </w:rPr>
        <w:t>and "Modernization of the railway line Sofia-Dragoman-border with Serbia, sec</w:t>
      </w:r>
      <w:r>
        <w:rPr>
          <w:lang w:val="en"/>
        </w:rPr>
        <w:t>tion Voluyak-Dragoman"</w:t>
      </w:r>
      <w:r w:rsidR="002B5E7C">
        <w:rPr>
          <w:lang w:val="en-US"/>
        </w:rPr>
        <w:t>, phase</w:t>
      </w:r>
      <w:r>
        <w:rPr>
          <w:lang w:val="en"/>
        </w:rPr>
        <w:t xml:space="preserve"> </w:t>
      </w:r>
      <w:r w:rsidR="00A57771">
        <w:rPr>
          <w:lang w:val="en"/>
        </w:rPr>
        <w:t xml:space="preserve">1 </w:t>
      </w:r>
      <w:r>
        <w:rPr>
          <w:lang w:val="en"/>
        </w:rPr>
        <w:t xml:space="preserve">- </w:t>
      </w:r>
      <w:r w:rsidR="002B5E7C">
        <w:rPr>
          <w:lang w:val="en"/>
        </w:rPr>
        <w:t>0</w:t>
      </w:r>
      <w:r w:rsidRPr="00AB320F">
        <w:rPr>
          <w:lang w:val="en"/>
        </w:rPr>
        <w:t>.</w:t>
      </w:r>
      <w:r w:rsidR="002B5E7C">
        <w:rPr>
          <w:lang w:val="en"/>
        </w:rPr>
        <w:t xml:space="preserve"> </w:t>
      </w:r>
      <w:r w:rsidR="000D501F" w:rsidRPr="000D501F">
        <w:rPr>
          <w:lang w:val="en"/>
        </w:rPr>
        <w:t>The target value is determined on the basis of the project for the rehabilitation of the railway line Plovdiv - Burgas, which will not be</w:t>
      </w:r>
      <w:r w:rsidR="009E1177">
        <w:rPr>
          <w:lang w:val="en"/>
        </w:rPr>
        <w:t xml:space="preserve"> fully completed and functional</w:t>
      </w:r>
      <w:r w:rsidR="000D501F" w:rsidRPr="000D501F">
        <w:rPr>
          <w:lang w:val="en"/>
        </w:rPr>
        <w:t xml:space="preserve"> in its entirety by 2023, but will have sections completed and put into operation.</w:t>
      </w:r>
    </w:p>
    <w:p w14:paraId="6AE5DDDB" w14:textId="49AE9583" w:rsidR="00B27CA7" w:rsidRDefault="00B27CA7" w:rsidP="00AB320F">
      <w:pPr>
        <w:suppressAutoHyphens/>
        <w:rPr>
          <w:lang w:val="en"/>
        </w:rPr>
      </w:pPr>
    </w:p>
    <w:p w14:paraId="3E8815CD" w14:textId="02A393EE" w:rsidR="009E0DFD" w:rsidRPr="00E84D35" w:rsidRDefault="009E0DFD" w:rsidP="00B8453D">
      <w:pPr>
        <w:suppressAutoHyphens/>
        <w:rPr>
          <w:lang w:val="en"/>
        </w:rPr>
      </w:pPr>
      <w:r w:rsidRPr="009E0DFD">
        <w:rPr>
          <w:lang w:val="en"/>
        </w:rPr>
        <w:lastRenderedPageBreak/>
        <w:t>With each railway crossing removed, 3 conflict points are removed - 2. conflict points for the risk of unregulated crossing of the railway line by the vehicles on each of the lanes and 1 conflict point for the risk of unregulated passage of people / animals across the railway line. Accordingly, the base</w:t>
      </w:r>
      <w:r w:rsidR="000965A9">
        <w:rPr>
          <w:lang w:val="en"/>
        </w:rPr>
        <w:t>line</w:t>
      </w:r>
      <w:r w:rsidRPr="009E0DFD">
        <w:rPr>
          <w:lang w:val="en"/>
        </w:rPr>
        <w:t xml:space="preserve"> value of the indicator was calculated by calculating the number of conflict points for 4</w:t>
      </w:r>
      <w:r w:rsidR="00F238C0">
        <w:rPr>
          <w:lang w:val="en"/>
        </w:rPr>
        <w:t>3</w:t>
      </w:r>
      <w:r w:rsidRPr="009E0DFD">
        <w:rPr>
          <w:lang w:val="en"/>
        </w:rPr>
        <w:t xml:space="preserve"> crossings.</w:t>
      </w:r>
      <w:r w:rsidR="00B8453D" w:rsidRPr="00B8453D">
        <w:t xml:space="preserve"> </w:t>
      </w:r>
      <w:r w:rsidR="00B8453D" w:rsidRPr="00B8453D">
        <w:rPr>
          <w:lang w:val="en"/>
        </w:rPr>
        <w:t xml:space="preserve">As of 2023, </w:t>
      </w:r>
      <w:r w:rsidR="00CA14A7" w:rsidRPr="00E84D35">
        <w:rPr>
          <w:lang w:val="en"/>
        </w:rPr>
        <w:t>15</w:t>
      </w:r>
      <w:r w:rsidR="00B8453D" w:rsidRPr="00B8453D">
        <w:rPr>
          <w:lang w:val="en"/>
        </w:rPr>
        <w:t xml:space="preserve"> crossings have been removed * 3 confl. points = </w:t>
      </w:r>
      <w:r w:rsidR="00CA14A7" w:rsidRPr="00E84D35">
        <w:rPr>
          <w:iCs/>
          <w:lang w:val="bg-BG"/>
        </w:rPr>
        <w:t>45</w:t>
      </w:r>
      <w:r w:rsidR="001F2E71" w:rsidRPr="00E84D35">
        <w:t xml:space="preserve"> </w:t>
      </w:r>
      <w:r w:rsidR="001F2E71" w:rsidRPr="00E84D35">
        <w:rPr>
          <w:lang w:val="en"/>
        </w:rPr>
        <w:t>i.e. the target value for 2023 is 84 pcs. formed by</w:t>
      </w:r>
      <w:r w:rsidR="00086299" w:rsidRPr="00E84D35">
        <w:rPr>
          <w:lang w:val="bg-BG"/>
        </w:rPr>
        <w:t xml:space="preserve"> </w:t>
      </w:r>
      <w:r w:rsidR="00B8453D" w:rsidRPr="00E84D35">
        <w:rPr>
          <w:lang w:val="en"/>
        </w:rPr>
        <w:t>129-</w:t>
      </w:r>
      <w:r w:rsidR="00AC3629" w:rsidRPr="00E84D35">
        <w:rPr>
          <w:lang w:val="en"/>
        </w:rPr>
        <w:t>45</w:t>
      </w:r>
      <w:r w:rsidR="00B8453D" w:rsidRPr="00E84D35">
        <w:rPr>
          <w:lang w:val="en"/>
        </w:rPr>
        <w:t>=</w:t>
      </w:r>
      <w:r w:rsidR="00AC3629" w:rsidRPr="00E84D35">
        <w:rPr>
          <w:iCs/>
          <w:lang w:val="bg-BG"/>
        </w:rPr>
        <w:t>84</w:t>
      </w:r>
      <w:r w:rsidR="00B8453D" w:rsidRPr="00E84D35">
        <w:rPr>
          <w:lang w:val="en"/>
        </w:rPr>
        <w:t xml:space="preserve"> – remaining conflict points until 2025.</w:t>
      </w:r>
      <w:r w:rsidR="007B78BC" w:rsidRPr="00E84D35">
        <w:t xml:space="preserve"> </w:t>
      </w:r>
      <w:r w:rsidR="007B78BC" w:rsidRPr="00E84D35">
        <w:rPr>
          <w:lang w:val="en"/>
        </w:rPr>
        <w:t>In the period 2024 and 2025, 28 crossings will be removed * 3 conf. points = 84, i.e. from the target value for 2023 /84/ we subtract those that will be removed in the period 2024-2025 and get 84-84=0. By 2025, the target value of the indicator will be "0", i.e. conflict points will be eliminated.</w:t>
      </w:r>
    </w:p>
    <w:p w14:paraId="49E58B65" w14:textId="77777777" w:rsidR="00F91B66" w:rsidRPr="00E84D35" w:rsidRDefault="00F91B66" w:rsidP="00B8453D">
      <w:pPr>
        <w:suppressAutoHyphens/>
        <w:rPr>
          <w:lang w:val="bg-BG"/>
        </w:rPr>
      </w:pPr>
    </w:p>
    <w:p w14:paraId="49AA8EA4" w14:textId="586EC443" w:rsidR="00B27CA7" w:rsidRPr="00A63F93" w:rsidRDefault="009D7338" w:rsidP="00AB320F">
      <w:pPr>
        <w:suppressAutoHyphens/>
      </w:pPr>
      <w:r w:rsidRPr="00E84D35">
        <w:t xml:space="preserve">Removed level crossings - Stage 1 of "Plovdiv - Burgas, Phase 2" - </w:t>
      </w:r>
      <w:r w:rsidR="00C66EE6" w:rsidRPr="00E84D35">
        <w:rPr>
          <w:lang w:val="bg-BG"/>
        </w:rPr>
        <w:t>11</w:t>
      </w:r>
      <w:r w:rsidRPr="00E84D35">
        <w:t xml:space="preserve"> pieces, "September - Plovdiv: part of the Trans-European railway network - construction of four road overpasses</w:t>
      </w:r>
      <w:r w:rsidR="00A63F93" w:rsidRPr="00E84D35">
        <w:t>" - 4 pieces</w:t>
      </w:r>
      <w:r w:rsidR="00A8469C" w:rsidRPr="00E84D35">
        <w:t xml:space="preserve"> or the target value of the indicator for 2023 will be 11+4=15 pcs</w:t>
      </w:r>
      <w:r w:rsidR="00A63F93" w:rsidRPr="00E84D35">
        <w:t>. After the entire</w:t>
      </w:r>
      <w:r w:rsidRPr="00E84D35">
        <w:t xml:space="preserve"> completion of "Plovdiv - Burgas, Phase 2", there will be 43 railway crossings removed</w:t>
      </w:r>
      <w:r w:rsidR="00A8469C" w:rsidRPr="00E84D35">
        <w:rPr>
          <w:lang w:val="bg-BG"/>
        </w:rPr>
        <w:t xml:space="preserve"> </w:t>
      </w:r>
      <w:r w:rsidR="00A8469C" w:rsidRPr="00E84D35">
        <w:rPr>
          <w:iCs/>
          <w:lang w:val="bg-BG"/>
        </w:rPr>
        <w:t xml:space="preserve">- </w:t>
      </w:r>
      <w:r w:rsidR="00902DA4" w:rsidRPr="00E84D35">
        <w:rPr>
          <w:iCs/>
        </w:rPr>
        <w:t>15 pcs. removed by 2023 and 28 removed by 2025</w:t>
      </w:r>
      <w:r w:rsidRPr="00E84D35">
        <w:t>.</w:t>
      </w:r>
    </w:p>
    <w:p w14:paraId="110449BD" w14:textId="77777777" w:rsidR="00AB320F" w:rsidRPr="008340BB" w:rsidRDefault="00AB320F" w:rsidP="00F03C1E">
      <w:pPr>
        <w:suppressAutoHyphens/>
      </w:pPr>
    </w:p>
    <w:p w14:paraId="2FF1FE43" w14:textId="77777777" w:rsidR="00F1341F" w:rsidRPr="008340BB" w:rsidRDefault="00F1341F" w:rsidP="00F03C1E">
      <w:pPr>
        <w:suppressAutoHyphens/>
      </w:pPr>
    </w:p>
    <w:p w14:paraId="71B40FBA" w14:textId="77777777" w:rsidR="00F1341F" w:rsidRPr="008340BB" w:rsidRDefault="00F1341F" w:rsidP="00F03C1E">
      <w:pPr>
        <w:suppressAutoHyphens/>
        <w:sectPr w:rsidR="00F1341F" w:rsidRPr="008340BB" w:rsidSect="001E1D6F">
          <w:headerReference w:type="default" r:id="rId17"/>
          <w:footerReference w:type="default" r:id="rId18"/>
          <w:headerReference w:type="first" r:id="rId19"/>
          <w:footerReference w:type="first" r:id="rId20"/>
          <w:pgSz w:w="16838" w:h="11906" w:orient="landscape"/>
          <w:pgMar w:top="1418" w:right="1021" w:bottom="1418" w:left="1021" w:header="601" w:footer="1077" w:gutter="0"/>
          <w:cols w:space="708"/>
          <w:docGrid w:linePitch="326"/>
        </w:sectPr>
      </w:pPr>
    </w:p>
    <w:p w14:paraId="23CC4609" w14:textId="77777777" w:rsidR="00F1341F" w:rsidRPr="008340BB" w:rsidRDefault="00F1341F" w:rsidP="006626C9">
      <w:pPr>
        <w:ind w:left="1418" w:hanging="1418"/>
      </w:pPr>
      <w:r w:rsidRPr="008340BB">
        <w:rPr>
          <w:b/>
        </w:rPr>
        <w:lastRenderedPageBreak/>
        <w:t xml:space="preserve">Table 4: </w:t>
      </w:r>
      <w:r w:rsidRPr="008340BB">
        <w:rPr>
          <w:b/>
        </w:rPr>
        <w:tab/>
        <w:t xml:space="preserve">Common result indicators for which a target value has been set and programme specific result indicators corresponding to the specific objective (by investment priority and category of region) </w:t>
      </w:r>
      <w:r w:rsidRPr="008340BB">
        <w:t>(for the ESF)</w:t>
      </w:r>
    </w:p>
    <w:p w14:paraId="6EA79DA9" w14:textId="77777777" w:rsidR="00F1341F" w:rsidRPr="008340BB" w:rsidRDefault="00F1341F" w:rsidP="00924A40">
      <w:pPr>
        <w:rPr>
          <w:b/>
        </w:rPr>
      </w:pPr>
    </w:p>
    <w:p w14:paraId="2F5846CB" w14:textId="77777777" w:rsidR="00F1341F" w:rsidRPr="008340BB" w:rsidRDefault="00F1341F" w:rsidP="00924A40">
      <w:r w:rsidRPr="008340BB">
        <w:t>(Reference: point (b)(ii) of the first subparagraph of Article 96(2) of Regulation (EU) No 1303/2013)</w:t>
      </w:r>
    </w:p>
    <w:p w14:paraId="68A0B0E3" w14:textId="77777777" w:rsidR="00F1341F" w:rsidRPr="008340BB" w:rsidRDefault="00F1341F" w:rsidP="00BF3391">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6"/>
        <w:gridCol w:w="2149"/>
        <w:gridCol w:w="1395"/>
        <w:gridCol w:w="1398"/>
        <w:gridCol w:w="1535"/>
        <w:gridCol w:w="326"/>
        <w:gridCol w:w="326"/>
        <w:gridCol w:w="326"/>
        <w:gridCol w:w="1255"/>
        <w:gridCol w:w="903"/>
        <w:gridCol w:w="530"/>
        <w:gridCol w:w="9"/>
        <w:gridCol w:w="466"/>
        <w:gridCol w:w="469"/>
        <w:gridCol w:w="976"/>
        <w:gridCol w:w="1191"/>
      </w:tblGrid>
      <w:tr w:rsidR="00F1341F" w:rsidRPr="008340BB" w14:paraId="1AD029A3" w14:textId="77777777" w:rsidTr="00A938FF">
        <w:trPr>
          <w:trHeight w:val="620"/>
        </w:trPr>
        <w:tc>
          <w:tcPr>
            <w:tcW w:w="449" w:type="pct"/>
            <w:vMerge w:val="restart"/>
          </w:tcPr>
          <w:p w14:paraId="77AED7D1" w14:textId="77777777" w:rsidR="00F1341F" w:rsidRPr="008340BB" w:rsidRDefault="00F1341F" w:rsidP="008C66F2">
            <w:pPr>
              <w:pStyle w:val="ListBullet"/>
              <w:tabs>
                <w:tab w:val="clear" w:pos="360"/>
                <w:tab w:val="left" w:pos="720"/>
              </w:tabs>
              <w:spacing w:before="60" w:after="60"/>
              <w:ind w:left="0" w:firstLine="0"/>
              <w:rPr>
                <w:b/>
                <w:i/>
                <w:sz w:val="16"/>
                <w:szCs w:val="16"/>
              </w:rPr>
            </w:pPr>
            <w:r w:rsidRPr="008340BB">
              <w:rPr>
                <w:b/>
                <w:i/>
                <w:sz w:val="16"/>
                <w:szCs w:val="16"/>
              </w:rPr>
              <w:t>ID</w:t>
            </w:r>
          </w:p>
        </w:tc>
        <w:tc>
          <w:tcPr>
            <w:tcW w:w="738" w:type="pct"/>
            <w:vMerge w:val="restart"/>
          </w:tcPr>
          <w:p w14:paraId="099A6796" w14:textId="77777777" w:rsidR="00F1341F" w:rsidRPr="008340BB" w:rsidRDefault="00F1341F" w:rsidP="008C66F2">
            <w:pPr>
              <w:pStyle w:val="ListBullet"/>
              <w:tabs>
                <w:tab w:val="clear" w:pos="360"/>
                <w:tab w:val="left" w:pos="720"/>
              </w:tabs>
              <w:spacing w:before="60" w:after="60"/>
              <w:ind w:left="0" w:firstLine="0"/>
              <w:rPr>
                <w:b/>
                <w:i/>
                <w:sz w:val="16"/>
                <w:szCs w:val="16"/>
              </w:rPr>
            </w:pPr>
            <w:r w:rsidRPr="008340BB">
              <w:rPr>
                <w:b/>
                <w:i/>
                <w:sz w:val="16"/>
                <w:szCs w:val="16"/>
              </w:rPr>
              <w:t xml:space="preserve">Indicator </w:t>
            </w:r>
          </w:p>
        </w:tc>
        <w:tc>
          <w:tcPr>
            <w:tcW w:w="479" w:type="pct"/>
            <w:vMerge w:val="restart"/>
          </w:tcPr>
          <w:p w14:paraId="0384A64F" w14:textId="77777777" w:rsidR="00F1341F" w:rsidRPr="008340BB" w:rsidRDefault="00F1341F" w:rsidP="008C66F2">
            <w:pPr>
              <w:pStyle w:val="ListBullet"/>
              <w:tabs>
                <w:tab w:val="clear" w:pos="360"/>
                <w:tab w:val="left" w:pos="720"/>
              </w:tabs>
              <w:spacing w:before="60" w:after="60"/>
              <w:ind w:left="0" w:firstLine="0"/>
              <w:rPr>
                <w:b/>
                <w:i/>
                <w:sz w:val="16"/>
                <w:szCs w:val="16"/>
              </w:rPr>
            </w:pPr>
            <w:r w:rsidRPr="008340BB">
              <w:rPr>
                <w:b/>
                <w:i/>
                <w:sz w:val="16"/>
                <w:szCs w:val="16"/>
              </w:rPr>
              <w:t xml:space="preserve">Category of region </w:t>
            </w:r>
          </w:p>
        </w:tc>
        <w:tc>
          <w:tcPr>
            <w:tcW w:w="480" w:type="pct"/>
            <w:vMerge w:val="restart"/>
          </w:tcPr>
          <w:p w14:paraId="12ECDCC0" w14:textId="77777777" w:rsidR="00F1341F" w:rsidRPr="008340BB" w:rsidRDefault="00F1341F" w:rsidP="008C66F2">
            <w:pPr>
              <w:pStyle w:val="ListBullet"/>
              <w:tabs>
                <w:tab w:val="clear" w:pos="360"/>
                <w:tab w:val="left" w:pos="720"/>
              </w:tabs>
              <w:spacing w:before="60" w:after="60"/>
              <w:ind w:left="0" w:firstLine="0"/>
              <w:rPr>
                <w:b/>
                <w:i/>
                <w:sz w:val="16"/>
                <w:szCs w:val="16"/>
              </w:rPr>
            </w:pPr>
            <w:r w:rsidRPr="008340BB">
              <w:rPr>
                <w:b/>
                <w:i/>
                <w:sz w:val="16"/>
                <w:szCs w:val="16"/>
              </w:rPr>
              <w:t>Measurement unit for indicator</w:t>
            </w:r>
          </w:p>
        </w:tc>
        <w:tc>
          <w:tcPr>
            <w:tcW w:w="527" w:type="pct"/>
            <w:vMerge w:val="restart"/>
          </w:tcPr>
          <w:p w14:paraId="23DD6022" w14:textId="77777777" w:rsidR="00F1341F" w:rsidRPr="008340BB" w:rsidRDefault="00F1341F" w:rsidP="008C66F2">
            <w:pPr>
              <w:snapToGrid w:val="0"/>
              <w:spacing w:before="60" w:after="60"/>
              <w:rPr>
                <w:b/>
                <w:i/>
                <w:sz w:val="16"/>
                <w:szCs w:val="16"/>
              </w:rPr>
            </w:pPr>
            <w:r w:rsidRPr="008340BB">
              <w:rPr>
                <w:b/>
                <w:i/>
                <w:sz w:val="16"/>
                <w:szCs w:val="16"/>
              </w:rPr>
              <w:t>Common output indicator used as basis for target setting</w:t>
            </w:r>
          </w:p>
        </w:tc>
        <w:tc>
          <w:tcPr>
            <w:tcW w:w="336" w:type="pct"/>
            <w:gridSpan w:val="3"/>
          </w:tcPr>
          <w:p w14:paraId="7EBDBC88" w14:textId="77777777" w:rsidR="00F1341F" w:rsidRPr="008340BB" w:rsidRDefault="00F1341F" w:rsidP="008C66F2">
            <w:pPr>
              <w:pStyle w:val="ListBullet"/>
              <w:tabs>
                <w:tab w:val="clear" w:pos="360"/>
                <w:tab w:val="left" w:pos="720"/>
              </w:tabs>
              <w:spacing w:before="60" w:after="60"/>
              <w:ind w:left="0" w:firstLine="0"/>
              <w:rPr>
                <w:b/>
                <w:i/>
                <w:sz w:val="16"/>
                <w:szCs w:val="16"/>
              </w:rPr>
            </w:pPr>
            <w:r w:rsidRPr="008340BB">
              <w:rPr>
                <w:b/>
                <w:i/>
                <w:sz w:val="16"/>
                <w:szCs w:val="16"/>
              </w:rPr>
              <w:t xml:space="preserve">Baseline value </w:t>
            </w:r>
          </w:p>
        </w:tc>
        <w:tc>
          <w:tcPr>
            <w:tcW w:w="431" w:type="pct"/>
            <w:vMerge w:val="restart"/>
          </w:tcPr>
          <w:p w14:paraId="4FF6B8D9" w14:textId="77777777" w:rsidR="00F1341F" w:rsidRPr="008340BB" w:rsidRDefault="00F1341F" w:rsidP="008C66F2">
            <w:pPr>
              <w:pStyle w:val="ListBullet"/>
              <w:tabs>
                <w:tab w:val="clear" w:pos="360"/>
                <w:tab w:val="left" w:pos="720"/>
              </w:tabs>
              <w:spacing w:before="60" w:after="60"/>
              <w:ind w:left="0" w:firstLine="0"/>
              <w:rPr>
                <w:b/>
                <w:i/>
                <w:sz w:val="16"/>
                <w:szCs w:val="16"/>
              </w:rPr>
            </w:pPr>
            <w:r w:rsidRPr="008340BB">
              <w:rPr>
                <w:b/>
                <w:i/>
                <w:sz w:val="16"/>
                <w:szCs w:val="16"/>
              </w:rPr>
              <w:t>Measurement unit for baseline and target</w:t>
            </w:r>
          </w:p>
        </w:tc>
        <w:tc>
          <w:tcPr>
            <w:tcW w:w="310" w:type="pct"/>
            <w:vMerge w:val="restart"/>
          </w:tcPr>
          <w:p w14:paraId="471E3805" w14:textId="77777777" w:rsidR="00F1341F" w:rsidRPr="008340BB" w:rsidRDefault="00F1341F" w:rsidP="008C66F2">
            <w:pPr>
              <w:pStyle w:val="ListBullet"/>
              <w:tabs>
                <w:tab w:val="clear" w:pos="360"/>
                <w:tab w:val="left" w:pos="720"/>
              </w:tabs>
              <w:spacing w:before="60" w:after="60"/>
              <w:ind w:left="0" w:firstLine="0"/>
              <w:rPr>
                <w:b/>
                <w:i/>
                <w:sz w:val="16"/>
                <w:szCs w:val="16"/>
              </w:rPr>
            </w:pPr>
            <w:r w:rsidRPr="008340BB">
              <w:rPr>
                <w:b/>
                <w:i/>
                <w:sz w:val="16"/>
                <w:szCs w:val="16"/>
              </w:rPr>
              <w:t>Baseline year</w:t>
            </w:r>
          </w:p>
        </w:tc>
        <w:tc>
          <w:tcPr>
            <w:tcW w:w="506" w:type="pct"/>
            <w:gridSpan w:val="4"/>
          </w:tcPr>
          <w:p w14:paraId="6D57F3D3" w14:textId="77777777" w:rsidR="00F1341F" w:rsidRPr="008340BB" w:rsidRDefault="00F1341F" w:rsidP="00BF3391">
            <w:pPr>
              <w:snapToGrid w:val="0"/>
              <w:spacing w:before="60" w:after="60"/>
              <w:rPr>
                <w:b/>
                <w:i/>
                <w:sz w:val="16"/>
                <w:szCs w:val="16"/>
              </w:rPr>
            </w:pPr>
            <w:r w:rsidRPr="008340BB">
              <w:rPr>
                <w:b/>
                <w:i/>
                <w:sz w:val="16"/>
                <w:szCs w:val="16"/>
              </w:rPr>
              <w:t>Target value</w:t>
            </w:r>
            <w:r w:rsidRPr="008340BB">
              <w:rPr>
                <w:rStyle w:val="FootnoteReference"/>
                <w:b/>
                <w:i/>
                <w:sz w:val="16"/>
                <w:szCs w:val="16"/>
              </w:rPr>
              <w:footnoteReference w:id="17"/>
            </w:r>
            <w:r w:rsidRPr="008340BB">
              <w:rPr>
                <w:b/>
                <w:i/>
                <w:sz w:val="16"/>
                <w:szCs w:val="16"/>
              </w:rPr>
              <w:t xml:space="preserve"> (2023)</w:t>
            </w:r>
          </w:p>
        </w:tc>
        <w:tc>
          <w:tcPr>
            <w:tcW w:w="335" w:type="pct"/>
            <w:vMerge w:val="restart"/>
          </w:tcPr>
          <w:p w14:paraId="6231E7F3" w14:textId="77777777" w:rsidR="00F1341F" w:rsidRPr="0067246B" w:rsidRDefault="00F1341F" w:rsidP="008C66F2">
            <w:pPr>
              <w:pStyle w:val="ListBullet"/>
              <w:tabs>
                <w:tab w:val="clear" w:pos="360"/>
                <w:tab w:val="left" w:pos="720"/>
              </w:tabs>
              <w:spacing w:before="60" w:after="60"/>
              <w:ind w:left="0" w:firstLine="0"/>
              <w:rPr>
                <w:b/>
                <w:i/>
                <w:sz w:val="16"/>
                <w:szCs w:val="16"/>
              </w:rPr>
            </w:pPr>
            <w:r w:rsidRPr="0067246B">
              <w:rPr>
                <w:b/>
                <w:i/>
                <w:sz w:val="16"/>
                <w:szCs w:val="16"/>
              </w:rPr>
              <w:t>Source of data</w:t>
            </w:r>
          </w:p>
        </w:tc>
        <w:tc>
          <w:tcPr>
            <w:tcW w:w="409" w:type="pct"/>
            <w:vMerge w:val="restart"/>
          </w:tcPr>
          <w:p w14:paraId="2F9C50B0" w14:textId="77777777" w:rsidR="00F1341F" w:rsidRPr="00020ADD" w:rsidRDefault="00F1341F" w:rsidP="008C66F2">
            <w:pPr>
              <w:pStyle w:val="ListBullet"/>
              <w:tabs>
                <w:tab w:val="clear" w:pos="360"/>
                <w:tab w:val="left" w:pos="720"/>
              </w:tabs>
              <w:spacing w:before="60" w:after="60"/>
              <w:ind w:left="0" w:firstLine="0"/>
              <w:rPr>
                <w:b/>
                <w:i/>
                <w:sz w:val="16"/>
                <w:szCs w:val="16"/>
              </w:rPr>
            </w:pPr>
            <w:r w:rsidRPr="00020ADD">
              <w:rPr>
                <w:b/>
                <w:i/>
                <w:sz w:val="16"/>
                <w:szCs w:val="16"/>
              </w:rPr>
              <w:t>Frequency of reporting</w:t>
            </w:r>
          </w:p>
        </w:tc>
      </w:tr>
      <w:tr w:rsidR="00F1341F" w:rsidRPr="008340BB" w14:paraId="2EC53558" w14:textId="77777777" w:rsidTr="00A938FF">
        <w:trPr>
          <w:trHeight w:val="619"/>
        </w:trPr>
        <w:tc>
          <w:tcPr>
            <w:tcW w:w="449" w:type="pct"/>
            <w:vMerge/>
          </w:tcPr>
          <w:p w14:paraId="3EDA0072" w14:textId="77777777" w:rsidR="00F1341F" w:rsidRPr="008340BB" w:rsidRDefault="00F1341F" w:rsidP="00F03C1E">
            <w:pPr>
              <w:pStyle w:val="ListBullet"/>
              <w:tabs>
                <w:tab w:val="clear" w:pos="360"/>
                <w:tab w:val="left" w:pos="720"/>
              </w:tabs>
              <w:spacing w:before="60" w:after="60"/>
              <w:ind w:left="0" w:firstLine="0"/>
              <w:rPr>
                <w:b/>
                <w:i/>
                <w:sz w:val="16"/>
                <w:szCs w:val="16"/>
              </w:rPr>
            </w:pPr>
          </w:p>
        </w:tc>
        <w:tc>
          <w:tcPr>
            <w:tcW w:w="738" w:type="pct"/>
            <w:vMerge/>
          </w:tcPr>
          <w:p w14:paraId="4C4FF206" w14:textId="77777777" w:rsidR="00F1341F" w:rsidRPr="008340BB" w:rsidRDefault="00F1341F" w:rsidP="00F03C1E">
            <w:pPr>
              <w:pStyle w:val="ListBullet"/>
              <w:tabs>
                <w:tab w:val="clear" w:pos="360"/>
                <w:tab w:val="left" w:pos="720"/>
              </w:tabs>
              <w:spacing w:before="60" w:after="60"/>
              <w:ind w:left="0" w:firstLine="0"/>
              <w:rPr>
                <w:b/>
                <w:i/>
                <w:sz w:val="16"/>
                <w:szCs w:val="16"/>
              </w:rPr>
            </w:pPr>
          </w:p>
        </w:tc>
        <w:tc>
          <w:tcPr>
            <w:tcW w:w="479" w:type="pct"/>
            <w:vMerge/>
          </w:tcPr>
          <w:p w14:paraId="3204BD80" w14:textId="77777777" w:rsidR="00F1341F" w:rsidRPr="008340BB" w:rsidRDefault="00F1341F" w:rsidP="00F03C1E">
            <w:pPr>
              <w:pStyle w:val="ListBullet"/>
              <w:tabs>
                <w:tab w:val="clear" w:pos="360"/>
                <w:tab w:val="left" w:pos="720"/>
              </w:tabs>
              <w:spacing w:before="60" w:after="60"/>
              <w:ind w:left="0" w:firstLine="0"/>
              <w:rPr>
                <w:b/>
                <w:i/>
                <w:sz w:val="16"/>
                <w:szCs w:val="16"/>
              </w:rPr>
            </w:pPr>
          </w:p>
        </w:tc>
        <w:tc>
          <w:tcPr>
            <w:tcW w:w="480" w:type="pct"/>
            <w:vMerge/>
          </w:tcPr>
          <w:p w14:paraId="7AE6B1DC" w14:textId="77777777" w:rsidR="00F1341F" w:rsidRPr="008340BB" w:rsidRDefault="00F1341F" w:rsidP="00F03C1E">
            <w:pPr>
              <w:pStyle w:val="ListBullet"/>
              <w:tabs>
                <w:tab w:val="clear" w:pos="360"/>
                <w:tab w:val="left" w:pos="720"/>
              </w:tabs>
              <w:spacing w:before="60" w:after="60"/>
              <w:ind w:left="0" w:firstLine="0"/>
              <w:rPr>
                <w:b/>
                <w:i/>
                <w:sz w:val="16"/>
                <w:szCs w:val="16"/>
              </w:rPr>
            </w:pPr>
          </w:p>
        </w:tc>
        <w:tc>
          <w:tcPr>
            <w:tcW w:w="527" w:type="pct"/>
            <w:vMerge/>
          </w:tcPr>
          <w:p w14:paraId="7F42475E" w14:textId="77777777" w:rsidR="00F1341F" w:rsidRPr="008340BB" w:rsidRDefault="00F1341F" w:rsidP="00F03C1E">
            <w:pPr>
              <w:snapToGrid w:val="0"/>
              <w:spacing w:before="60" w:after="60"/>
              <w:rPr>
                <w:b/>
                <w:i/>
                <w:sz w:val="16"/>
                <w:szCs w:val="16"/>
              </w:rPr>
            </w:pPr>
          </w:p>
        </w:tc>
        <w:tc>
          <w:tcPr>
            <w:tcW w:w="112" w:type="pct"/>
          </w:tcPr>
          <w:p w14:paraId="2CB8EA7E" w14:textId="77777777" w:rsidR="00F1341F" w:rsidRPr="008340BB" w:rsidRDefault="00F1341F" w:rsidP="00F03C1E">
            <w:pPr>
              <w:pStyle w:val="ListBullet"/>
              <w:tabs>
                <w:tab w:val="clear" w:pos="360"/>
                <w:tab w:val="left" w:pos="720"/>
              </w:tabs>
              <w:spacing w:before="60" w:after="60"/>
              <w:ind w:left="0" w:firstLine="0"/>
              <w:rPr>
                <w:b/>
                <w:i/>
                <w:sz w:val="16"/>
                <w:szCs w:val="16"/>
              </w:rPr>
            </w:pPr>
            <w:r w:rsidRPr="008340BB">
              <w:rPr>
                <w:sz w:val="16"/>
                <w:szCs w:val="16"/>
              </w:rPr>
              <w:t>M</w:t>
            </w:r>
          </w:p>
        </w:tc>
        <w:tc>
          <w:tcPr>
            <w:tcW w:w="112" w:type="pct"/>
          </w:tcPr>
          <w:p w14:paraId="4D08BBAA" w14:textId="77777777" w:rsidR="00F1341F" w:rsidRPr="008340BB" w:rsidRDefault="00F1341F" w:rsidP="00F03C1E">
            <w:pPr>
              <w:pStyle w:val="ListBullet"/>
              <w:tabs>
                <w:tab w:val="clear" w:pos="360"/>
                <w:tab w:val="left" w:pos="720"/>
              </w:tabs>
              <w:spacing w:before="60" w:after="60"/>
              <w:ind w:left="0" w:firstLine="0"/>
              <w:rPr>
                <w:b/>
                <w:i/>
                <w:sz w:val="16"/>
                <w:szCs w:val="16"/>
              </w:rPr>
            </w:pPr>
            <w:r w:rsidRPr="008340BB">
              <w:rPr>
                <w:sz w:val="16"/>
                <w:szCs w:val="16"/>
              </w:rPr>
              <w:t>W</w:t>
            </w:r>
          </w:p>
        </w:tc>
        <w:tc>
          <w:tcPr>
            <w:tcW w:w="112" w:type="pct"/>
          </w:tcPr>
          <w:p w14:paraId="63144511" w14:textId="77777777" w:rsidR="00F1341F" w:rsidRPr="008340BB" w:rsidRDefault="00F1341F" w:rsidP="00F03C1E">
            <w:pPr>
              <w:pStyle w:val="ListBullet"/>
              <w:tabs>
                <w:tab w:val="clear" w:pos="360"/>
                <w:tab w:val="left" w:pos="720"/>
              </w:tabs>
              <w:spacing w:before="60" w:after="60"/>
              <w:ind w:left="0" w:firstLine="0"/>
              <w:rPr>
                <w:b/>
                <w:i/>
                <w:sz w:val="16"/>
                <w:szCs w:val="16"/>
              </w:rPr>
            </w:pPr>
            <w:r w:rsidRPr="008340BB">
              <w:rPr>
                <w:sz w:val="16"/>
                <w:szCs w:val="16"/>
              </w:rPr>
              <w:t>T</w:t>
            </w:r>
          </w:p>
        </w:tc>
        <w:tc>
          <w:tcPr>
            <w:tcW w:w="431" w:type="pct"/>
            <w:vMerge/>
          </w:tcPr>
          <w:p w14:paraId="1BAA94FD" w14:textId="77777777" w:rsidR="00F1341F" w:rsidRPr="008340BB" w:rsidRDefault="00F1341F" w:rsidP="00F03C1E">
            <w:pPr>
              <w:pStyle w:val="ListBullet"/>
              <w:tabs>
                <w:tab w:val="clear" w:pos="360"/>
                <w:tab w:val="left" w:pos="720"/>
              </w:tabs>
              <w:spacing w:before="60" w:after="60"/>
              <w:ind w:left="0" w:firstLine="0"/>
              <w:rPr>
                <w:b/>
                <w:i/>
                <w:sz w:val="16"/>
                <w:szCs w:val="16"/>
              </w:rPr>
            </w:pPr>
          </w:p>
        </w:tc>
        <w:tc>
          <w:tcPr>
            <w:tcW w:w="310" w:type="pct"/>
            <w:vMerge/>
          </w:tcPr>
          <w:p w14:paraId="7A227264" w14:textId="77777777" w:rsidR="00F1341F" w:rsidRPr="008340BB" w:rsidRDefault="00F1341F" w:rsidP="00F03C1E">
            <w:pPr>
              <w:pStyle w:val="ListBullet"/>
              <w:tabs>
                <w:tab w:val="clear" w:pos="360"/>
                <w:tab w:val="left" w:pos="720"/>
              </w:tabs>
              <w:spacing w:before="60" w:after="60"/>
              <w:ind w:left="0" w:firstLine="0"/>
              <w:rPr>
                <w:b/>
                <w:i/>
                <w:sz w:val="16"/>
                <w:szCs w:val="16"/>
              </w:rPr>
            </w:pPr>
          </w:p>
        </w:tc>
        <w:tc>
          <w:tcPr>
            <w:tcW w:w="185" w:type="pct"/>
            <w:gridSpan w:val="2"/>
          </w:tcPr>
          <w:p w14:paraId="168B6748" w14:textId="77777777" w:rsidR="00F1341F" w:rsidRPr="008340BB" w:rsidRDefault="00F1341F" w:rsidP="00F03C1E">
            <w:pPr>
              <w:snapToGrid w:val="0"/>
              <w:spacing w:before="60" w:after="60"/>
              <w:rPr>
                <w:b/>
                <w:i/>
                <w:sz w:val="16"/>
                <w:szCs w:val="16"/>
              </w:rPr>
            </w:pPr>
            <w:r w:rsidRPr="008340BB">
              <w:rPr>
                <w:sz w:val="16"/>
                <w:szCs w:val="16"/>
              </w:rPr>
              <w:t>M</w:t>
            </w:r>
          </w:p>
        </w:tc>
        <w:tc>
          <w:tcPr>
            <w:tcW w:w="160" w:type="pct"/>
          </w:tcPr>
          <w:p w14:paraId="7D05FFDB" w14:textId="77777777" w:rsidR="00F1341F" w:rsidRPr="008340BB" w:rsidRDefault="00F1341F" w:rsidP="00F03C1E">
            <w:pPr>
              <w:snapToGrid w:val="0"/>
              <w:spacing w:before="60" w:after="60"/>
              <w:rPr>
                <w:b/>
                <w:i/>
                <w:sz w:val="16"/>
                <w:szCs w:val="16"/>
              </w:rPr>
            </w:pPr>
            <w:r w:rsidRPr="008340BB">
              <w:rPr>
                <w:sz w:val="16"/>
                <w:szCs w:val="16"/>
              </w:rPr>
              <w:t>W</w:t>
            </w:r>
          </w:p>
        </w:tc>
        <w:tc>
          <w:tcPr>
            <w:tcW w:w="161" w:type="pct"/>
          </w:tcPr>
          <w:p w14:paraId="6A35786E" w14:textId="77777777" w:rsidR="00F1341F" w:rsidRPr="008340BB" w:rsidRDefault="00F1341F" w:rsidP="00F03C1E">
            <w:pPr>
              <w:snapToGrid w:val="0"/>
              <w:spacing w:before="60" w:after="60"/>
              <w:rPr>
                <w:b/>
                <w:i/>
                <w:sz w:val="16"/>
                <w:szCs w:val="16"/>
              </w:rPr>
            </w:pPr>
            <w:r w:rsidRPr="008340BB">
              <w:rPr>
                <w:sz w:val="16"/>
                <w:szCs w:val="16"/>
              </w:rPr>
              <w:t>T</w:t>
            </w:r>
          </w:p>
        </w:tc>
        <w:tc>
          <w:tcPr>
            <w:tcW w:w="335" w:type="pct"/>
            <w:vMerge/>
          </w:tcPr>
          <w:p w14:paraId="205A082D" w14:textId="77777777" w:rsidR="00F1341F" w:rsidRPr="008340BB" w:rsidRDefault="00F1341F" w:rsidP="00F03C1E">
            <w:pPr>
              <w:pStyle w:val="ListBullet"/>
              <w:tabs>
                <w:tab w:val="clear" w:pos="360"/>
                <w:tab w:val="left" w:pos="720"/>
              </w:tabs>
              <w:spacing w:before="60" w:after="60"/>
              <w:ind w:left="0" w:firstLine="0"/>
              <w:rPr>
                <w:b/>
                <w:i/>
                <w:sz w:val="16"/>
                <w:szCs w:val="16"/>
              </w:rPr>
            </w:pPr>
          </w:p>
        </w:tc>
        <w:tc>
          <w:tcPr>
            <w:tcW w:w="409" w:type="pct"/>
            <w:vMerge/>
          </w:tcPr>
          <w:p w14:paraId="38F8759F" w14:textId="77777777" w:rsidR="00F1341F" w:rsidRPr="008340BB" w:rsidRDefault="00F1341F" w:rsidP="00F03C1E">
            <w:pPr>
              <w:pStyle w:val="ListBullet"/>
              <w:tabs>
                <w:tab w:val="clear" w:pos="360"/>
                <w:tab w:val="left" w:pos="720"/>
              </w:tabs>
              <w:spacing w:before="60" w:after="60"/>
              <w:ind w:left="0" w:firstLine="0"/>
              <w:rPr>
                <w:b/>
                <w:sz w:val="16"/>
                <w:szCs w:val="16"/>
              </w:rPr>
            </w:pPr>
          </w:p>
        </w:tc>
      </w:tr>
      <w:tr w:rsidR="00F1341F" w:rsidRPr="008340BB" w14:paraId="4DD373C9" w14:textId="77777777" w:rsidTr="00A938FF">
        <w:trPr>
          <w:trHeight w:val="652"/>
        </w:trPr>
        <w:tc>
          <w:tcPr>
            <w:tcW w:w="449" w:type="pct"/>
          </w:tcPr>
          <w:p w14:paraId="5E9C4FFA" w14:textId="77777777" w:rsidR="00F1341F" w:rsidRPr="008340BB" w:rsidRDefault="00F1341F" w:rsidP="00F03C1E">
            <w:pPr>
              <w:pStyle w:val="Text1"/>
              <w:spacing w:before="60" w:after="60"/>
              <w:ind w:left="0"/>
              <w:jc w:val="left"/>
              <w:rPr>
                <w:i/>
                <w:sz w:val="16"/>
                <w:szCs w:val="16"/>
                <w:lang w:val="en-GB" w:eastAsia="en-GB"/>
              </w:rPr>
            </w:pPr>
            <w:r w:rsidRPr="008340BB">
              <w:rPr>
                <w:i/>
                <w:sz w:val="16"/>
                <w:szCs w:val="16"/>
                <w:lang w:val="en-GB" w:eastAsia="en-GB"/>
              </w:rPr>
              <w:t>N/A</w:t>
            </w:r>
          </w:p>
        </w:tc>
        <w:tc>
          <w:tcPr>
            <w:tcW w:w="738" w:type="pct"/>
          </w:tcPr>
          <w:p w14:paraId="2DB50FF3" w14:textId="77777777" w:rsidR="00F1341F" w:rsidRPr="008340BB" w:rsidRDefault="00F1341F">
            <w:r w:rsidRPr="008340BB">
              <w:rPr>
                <w:i/>
                <w:sz w:val="16"/>
                <w:szCs w:val="16"/>
              </w:rPr>
              <w:t>N/A</w:t>
            </w:r>
          </w:p>
        </w:tc>
        <w:tc>
          <w:tcPr>
            <w:tcW w:w="479" w:type="pct"/>
          </w:tcPr>
          <w:p w14:paraId="1631A6DC" w14:textId="77777777" w:rsidR="00F1341F" w:rsidRPr="008340BB" w:rsidRDefault="00F1341F">
            <w:r w:rsidRPr="008340BB">
              <w:rPr>
                <w:i/>
                <w:sz w:val="16"/>
                <w:szCs w:val="16"/>
              </w:rPr>
              <w:t>N/A</w:t>
            </w:r>
          </w:p>
        </w:tc>
        <w:tc>
          <w:tcPr>
            <w:tcW w:w="480" w:type="pct"/>
          </w:tcPr>
          <w:p w14:paraId="09DB07A3" w14:textId="77777777" w:rsidR="00F1341F" w:rsidRPr="008340BB" w:rsidRDefault="00F1341F">
            <w:r w:rsidRPr="008340BB">
              <w:rPr>
                <w:i/>
                <w:sz w:val="16"/>
                <w:szCs w:val="16"/>
              </w:rPr>
              <w:t>N/A</w:t>
            </w:r>
          </w:p>
        </w:tc>
        <w:tc>
          <w:tcPr>
            <w:tcW w:w="527" w:type="pct"/>
          </w:tcPr>
          <w:p w14:paraId="32C0B728" w14:textId="77777777" w:rsidR="00F1341F" w:rsidRPr="008340BB" w:rsidRDefault="00F1341F">
            <w:r w:rsidRPr="008340BB">
              <w:rPr>
                <w:i/>
                <w:sz w:val="16"/>
                <w:szCs w:val="16"/>
              </w:rPr>
              <w:t>N/A</w:t>
            </w:r>
          </w:p>
        </w:tc>
        <w:tc>
          <w:tcPr>
            <w:tcW w:w="112" w:type="pct"/>
          </w:tcPr>
          <w:p w14:paraId="263F4330" w14:textId="77777777" w:rsidR="00F1341F" w:rsidRPr="008340BB" w:rsidRDefault="00F1341F">
            <w:r w:rsidRPr="008340BB">
              <w:rPr>
                <w:i/>
                <w:sz w:val="16"/>
                <w:szCs w:val="16"/>
              </w:rPr>
              <w:t>N/A</w:t>
            </w:r>
          </w:p>
        </w:tc>
        <w:tc>
          <w:tcPr>
            <w:tcW w:w="112" w:type="pct"/>
          </w:tcPr>
          <w:p w14:paraId="6401511E" w14:textId="77777777" w:rsidR="00F1341F" w:rsidRPr="008340BB" w:rsidRDefault="00F1341F">
            <w:r w:rsidRPr="008340BB">
              <w:rPr>
                <w:i/>
                <w:sz w:val="16"/>
                <w:szCs w:val="16"/>
              </w:rPr>
              <w:t>N/A</w:t>
            </w:r>
          </w:p>
        </w:tc>
        <w:tc>
          <w:tcPr>
            <w:tcW w:w="112" w:type="pct"/>
          </w:tcPr>
          <w:p w14:paraId="2191CD15" w14:textId="77777777" w:rsidR="00F1341F" w:rsidRPr="008340BB" w:rsidRDefault="00F1341F">
            <w:r w:rsidRPr="008340BB">
              <w:rPr>
                <w:i/>
                <w:sz w:val="16"/>
                <w:szCs w:val="16"/>
              </w:rPr>
              <w:t>N/A</w:t>
            </w:r>
          </w:p>
        </w:tc>
        <w:tc>
          <w:tcPr>
            <w:tcW w:w="431" w:type="pct"/>
          </w:tcPr>
          <w:p w14:paraId="717568A8" w14:textId="77777777" w:rsidR="00F1341F" w:rsidRPr="008340BB" w:rsidRDefault="00F1341F">
            <w:r w:rsidRPr="008340BB">
              <w:rPr>
                <w:i/>
                <w:sz w:val="16"/>
                <w:szCs w:val="16"/>
              </w:rPr>
              <w:t>N/A</w:t>
            </w:r>
          </w:p>
        </w:tc>
        <w:tc>
          <w:tcPr>
            <w:tcW w:w="310" w:type="pct"/>
          </w:tcPr>
          <w:p w14:paraId="403CE08E" w14:textId="77777777" w:rsidR="00F1341F" w:rsidRPr="008340BB" w:rsidRDefault="00F1341F">
            <w:r w:rsidRPr="008340BB">
              <w:rPr>
                <w:i/>
                <w:sz w:val="16"/>
                <w:szCs w:val="16"/>
              </w:rPr>
              <w:t>N/A</w:t>
            </w:r>
          </w:p>
        </w:tc>
        <w:tc>
          <w:tcPr>
            <w:tcW w:w="182" w:type="pct"/>
          </w:tcPr>
          <w:p w14:paraId="7A7F743C" w14:textId="77777777" w:rsidR="00F1341F" w:rsidRPr="008340BB" w:rsidRDefault="00F1341F">
            <w:r w:rsidRPr="008340BB">
              <w:rPr>
                <w:i/>
                <w:sz w:val="16"/>
                <w:szCs w:val="16"/>
              </w:rPr>
              <w:t>N/A</w:t>
            </w:r>
          </w:p>
        </w:tc>
        <w:tc>
          <w:tcPr>
            <w:tcW w:w="163" w:type="pct"/>
            <w:gridSpan w:val="2"/>
          </w:tcPr>
          <w:p w14:paraId="069B1B09" w14:textId="77777777" w:rsidR="00F1341F" w:rsidRPr="008340BB" w:rsidRDefault="00F1341F">
            <w:r w:rsidRPr="008340BB">
              <w:rPr>
                <w:i/>
                <w:sz w:val="16"/>
                <w:szCs w:val="16"/>
              </w:rPr>
              <w:t>N/A</w:t>
            </w:r>
          </w:p>
        </w:tc>
        <w:tc>
          <w:tcPr>
            <w:tcW w:w="161" w:type="pct"/>
          </w:tcPr>
          <w:p w14:paraId="0768D7DA" w14:textId="77777777" w:rsidR="00F1341F" w:rsidRPr="008340BB" w:rsidRDefault="00F1341F">
            <w:r w:rsidRPr="008340BB">
              <w:rPr>
                <w:i/>
                <w:sz w:val="16"/>
                <w:szCs w:val="16"/>
              </w:rPr>
              <w:t>N/A</w:t>
            </w:r>
          </w:p>
        </w:tc>
        <w:tc>
          <w:tcPr>
            <w:tcW w:w="335" w:type="pct"/>
          </w:tcPr>
          <w:p w14:paraId="5C2D86C8" w14:textId="77777777" w:rsidR="00F1341F" w:rsidRPr="008340BB" w:rsidRDefault="00F1341F">
            <w:r w:rsidRPr="008340BB">
              <w:rPr>
                <w:i/>
                <w:sz w:val="16"/>
                <w:szCs w:val="16"/>
              </w:rPr>
              <w:t>N/A</w:t>
            </w:r>
          </w:p>
        </w:tc>
        <w:tc>
          <w:tcPr>
            <w:tcW w:w="409" w:type="pct"/>
          </w:tcPr>
          <w:p w14:paraId="59989686" w14:textId="77777777" w:rsidR="00F1341F" w:rsidRPr="008340BB" w:rsidRDefault="00F1341F">
            <w:r w:rsidRPr="008340BB">
              <w:rPr>
                <w:i/>
                <w:sz w:val="16"/>
                <w:szCs w:val="16"/>
              </w:rPr>
              <w:t>N/A</w:t>
            </w:r>
          </w:p>
        </w:tc>
      </w:tr>
      <w:tr w:rsidR="00F1341F" w:rsidRPr="008340BB" w14:paraId="429AFEEB" w14:textId="77777777" w:rsidTr="00A938FF">
        <w:trPr>
          <w:trHeight w:val="665"/>
        </w:trPr>
        <w:tc>
          <w:tcPr>
            <w:tcW w:w="449" w:type="pct"/>
          </w:tcPr>
          <w:p w14:paraId="440DCF72" w14:textId="77777777" w:rsidR="00F1341F" w:rsidRPr="008340BB" w:rsidRDefault="00F1341F" w:rsidP="00F03C1E">
            <w:pPr>
              <w:pStyle w:val="Text1"/>
              <w:spacing w:before="60" w:after="60"/>
              <w:ind w:left="0"/>
              <w:jc w:val="left"/>
              <w:rPr>
                <w:i/>
                <w:sz w:val="16"/>
                <w:szCs w:val="16"/>
                <w:lang w:val="en-GB" w:eastAsia="en-GB"/>
              </w:rPr>
            </w:pPr>
            <w:r w:rsidRPr="008340BB">
              <w:rPr>
                <w:i/>
                <w:sz w:val="16"/>
                <w:szCs w:val="16"/>
                <w:lang w:val="en-GB" w:eastAsia="en-GB"/>
              </w:rPr>
              <w:t>N/A</w:t>
            </w:r>
          </w:p>
        </w:tc>
        <w:tc>
          <w:tcPr>
            <w:tcW w:w="738" w:type="pct"/>
          </w:tcPr>
          <w:p w14:paraId="60DC11B1" w14:textId="77777777" w:rsidR="00F1341F" w:rsidRPr="008340BB" w:rsidRDefault="00F1341F">
            <w:r w:rsidRPr="008340BB">
              <w:rPr>
                <w:i/>
                <w:sz w:val="16"/>
                <w:szCs w:val="16"/>
              </w:rPr>
              <w:t>N/A</w:t>
            </w:r>
          </w:p>
        </w:tc>
        <w:tc>
          <w:tcPr>
            <w:tcW w:w="479" w:type="pct"/>
          </w:tcPr>
          <w:p w14:paraId="759FA5DD" w14:textId="77777777" w:rsidR="00F1341F" w:rsidRPr="008340BB" w:rsidRDefault="00F1341F">
            <w:r w:rsidRPr="008340BB">
              <w:rPr>
                <w:i/>
                <w:sz w:val="16"/>
                <w:szCs w:val="16"/>
              </w:rPr>
              <w:t>N/A</w:t>
            </w:r>
          </w:p>
        </w:tc>
        <w:tc>
          <w:tcPr>
            <w:tcW w:w="480" w:type="pct"/>
          </w:tcPr>
          <w:p w14:paraId="08AB0513" w14:textId="77777777" w:rsidR="00F1341F" w:rsidRPr="008340BB" w:rsidRDefault="00F1341F">
            <w:r w:rsidRPr="008340BB">
              <w:rPr>
                <w:i/>
                <w:sz w:val="16"/>
                <w:szCs w:val="16"/>
              </w:rPr>
              <w:t>N/A</w:t>
            </w:r>
          </w:p>
        </w:tc>
        <w:tc>
          <w:tcPr>
            <w:tcW w:w="527" w:type="pct"/>
          </w:tcPr>
          <w:p w14:paraId="23EE720F" w14:textId="77777777" w:rsidR="00F1341F" w:rsidRPr="008340BB" w:rsidRDefault="00F1341F">
            <w:r w:rsidRPr="008340BB">
              <w:rPr>
                <w:i/>
                <w:sz w:val="16"/>
                <w:szCs w:val="16"/>
              </w:rPr>
              <w:t>N/A</w:t>
            </w:r>
          </w:p>
        </w:tc>
        <w:tc>
          <w:tcPr>
            <w:tcW w:w="112" w:type="pct"/>
          </w:tcPr>
          <w:p w14:paraId="0D9A8038" w14:textId="77777777" w:rsidR="00F1341F" w:rsidRPr="008340BB" w:rsidRDefault="00F1341F">
            <w:r w:rsidRPr="008340BB">
              <w:rPr>
                <w:i/>
                <w:sz w:val="16"/>
                <w:szCs w:val="16"/>
              </w:rPr>
              <w:t>N/A</w:t>
            </w:r>
          </w:p>
        </w:tc>
        <w:tc>
          <w:tcPr>
            <w:tcW w:w="112" w:type="pct"/>
          </w:tcPr>
          <w:p w14:paraId="7B35A4DB" w14:textId="77777777" w:rsidR="00F1341F" w:rsidRPr="008340BB" w:rsidRDefault="00F1341F">
            <w:r w:rsidRPr="008340BB">
              <w:rPr>
                <w:i/>
                <w:sz w:val="16"/>
                <w:szCs w:val="16"/>
              </w:rPr>
              <w:t>N/A</w:t>
            </w:r>
          </w:p>
        </w:tc>
        <w:tc>
          <w:tcPr>
            <w:tcW w:w="112" w:type="pct"/>
          </w:tcPr>
          <w:p w14:paraId="54024E75" w14:textId="77777777" w:rsidR="00F1341F" w:rsidRPr="008340BB" w:rsidRDefault="00F1341F">
            <w:r w:rsidRPr="008340BB">
              <w:rPr>
                <w:i/>
                <w:sz w:val="16"/>
                <w:szCs w:val="16"/>
              </w:rPr>
              <w:t>N/A</w:t>
            </w:r>
          </w:p>
        </w:tc>
        <w:tc>
          <w:tcPr>
            <w:tcW w:w="431" w:type="pct"/>
          </w:tcPr>
          <w:p w14:paraId="7788C3BB" w14:textId="77777777" w:rsidR="00F1341F" w:rsidRPr="008340BB" w:rsidRDefault="00F1341F">
            <w:r w:rsidRPr="008340BB">
              <w:rPr>
                <w:i/>
                <w:sz w:val="16"/>
                <w:szCs w:val="16"/>
              </w:rPr>
              <w:t>N/A</w:t>
            </w:r>
          </w:p>
        </w:tc>
        <w:tc>
          <w:tcPr>
            <w:tcW w:w="310" w:type="pct"/>
          </w:tcPr>
          <w:p w14:paraId="54C9C5FB" w14:textId="77777777" w:rsidR="00F1341F" w:rsidRPr="008340BB" w:rsidRDefault="00F1341F">
            <w:r w:rsidRPr="008340BB">
              <w:rPr>
                <w:i/>
                <w:sz w:val="16"/>
                <w:szCs w:val="16"/>
              </w:rPr>
              <w:t>N/A</w:t>
            </w:r>
          </w:p>
        </w:tc>
        <w:tc>
          <w:tcPr>
            <w:tcW w:w="182" w:type="pct"/>
          </w:tcPr>
          <w:p w14:paraId="5BBD217F" w14:textId="77777777" w:rsidR="00F1341F" w:rsidRPr="008340BB" w:rsidRDefault="00F1341F">
            <w:r w:rsidRPr="008340BB">
              <w:rPr>
                <w:i/>
                <w:sz w:val="16"/>
                <w:szCs w:val="16"/>
              </w:rPr>
              <w:t>N/A</w:t>
            </w:r>
          </w:p>
        </w:tc>
        <w:tc>
          <w:tcPr>
            <w:tcW w:w="163" w:type="pct"/>
            <w:gridSpan w:val="2"/>
          </w:tcPr>
          <w:p w14:paraId="01BAF3E3" w14:textId="77777777" w:rsidR="00F1341F" w:rsidRPr="008340BB" w:rsidRDefault="00F1341F">
            <w:r w:rsidRPr="008340BB">
              <w:rPr>
                <w:i/>
                <w:sz w:val="16"/>
                <w:szCs w:val="16"/>
              </w:rPr>
              <w:t>N/A</w:t>
            </w:r>
          </w:p>
        </w:tc>
        <w:tc>
          <w:tcPr>
            <w:tcW w:w="161" w:type="pct"/>
          </w:tcPr>
          <w:p w14:paraId="7C2AEA68" w14:textId="77777777" w:rsidR="00F1341F" w:rsidRPr="008340BB" w:rsidRDefault="00F1341F">
            <w:r w:rsidRPr="008340BB">
              <w:rPr>
                <w:i/>
                <w:sz w:val="16"/>
                <w:szCs w:val="16"/>
              </w:rPr>
              <w:t>N/A</w:t>
            </w:r>
          </w:p>
        </w:tc>
        <w:tc>
          <w:tcPr>
            <w:tcW w:w="335" w:type="pct"/>
          </w:tcPr>
          <w:p w14:paraId="156F98AA" w14:textId="77777777" w:rsidR="00F1341F" w:rsidRPr="008340BB" w:rsidRDefault="00F1341F">
            <w:r w:rsidRPr="008340BB">
              <w:rPr>
                <w:i/>
                <w:sz w:val="16"/>
                <w:szCs w:val="16"/>
              </w:rPr>
              <w:t>N/A</w:t>
            </w:r>
          </w:p>
        </w:tc>
        <w:tc>
          <w:tcPr>
            <w:tcW w:w="409" w:type="pct"/>
          </w:tcPr>
          <w:p w14:paraId="75406621" w14:textId="77777777" w:rsidR="00F1341F" w:rsidRPr="008340BB" w:rsidRDefault="00F1341F">
            <w:r w:rsidRPr="008340BB">
              <w:rPr>
                <w:i/>
                <w:sz w:val="16"/>
                <w:szCs w:val="16"/>
              </w:rPr>
              <w:t>N/A</w:t>
            </w:r>
          </w:p>
        </w:tc>
      </w:tr>
    </w:tbl>
    <w:p w14:paraId="4F324BD2" w14:textId="77777777" w:rsidR="00F1341F" w:rsidRPr="008340BB" w:rsidRDefault="00F1341F" w:rsidP="00E37828">
      <w:pPr>
        <w:tabs>
          <w:tab w:val="left" w:pos="720"/>
        </w:tabs>
        <w:spacing w:before="0" w:after="240"/>
        <w:jc w:val="center"/>
        <w:rPr>
          <w:b/>
          <w:lang w:eastAsia="en-US"/>
        </w:rPr>
      </w:pPr>
    </w:p>
    <w:p w14:paraId="579397F2" w14:textId="77777777" w:rsidR="00F1341F" w:rsidRPr="008340BB" w:rsidRDefault="00F1341F" w:rsidP="00924A40">
      <w:pPr>
        <w:tabs>
          <w:tab w:val="left" w:pos="720"/>
        </w:tabs>
        <w:spacing w:before="0" w:after="240"/>
        <w:jc w:val="left"/>
        <w:rPr>
          <w:b/>
          <w:lang w:eastAsia="en-US"/>
        </w:rPr>
      </w:pPr>
      <w:r w:rsidRPr="008340BB">
        <w:rPr>
          <w:b/>
          <w:lang w:eastAsia="en-US"/>
        </w:rPr>
        <w:br w:type="page"/>
      </w:r>
      <w:r w:rsidRPr="008340BB">
        <w:rPr>
          <w:b/>
          <w:lang w:eastAsia="en-US"/>
        </w:rPr>
        <w:lastRenderedPageBreak/>
        <w:t xml:space="preserve">Table 4a: </w:t>
      </w:r>
      <w:r w:rsidRPr="008340BB">
        <w:rPr>
          <w:b/>
          <w:lang w:eastAsia="en-US"/>
        </w:rPr>
        <w:tab/>
        <w:t xml:space="preserve">YEI result indicators and programme-specific result indicators corresponding to the specific objective </w:t>
      </w:r>
    </w:p>
    <w:p w14:paraId="543904E4" w14:textId="77777777" w:rsidR="00F1341F" w:rsidRPr="008340BB" w:rsidRDefault="00F1341F" w:rsidP="00496ED7">
      <w:pPr>
        <w:tabs>
          <w:tab w:val="left" w:pos="720"/>
        </w:tabs>
        <w:spacing w:before="0" w:after="240"/>
        <w:jc w:val="left"/>
        <w:rPr>
          <w:lang w:eastAsia="en-US"/>
        </w:rPr>
      </w:pPr>
      <w:r w:rsidRPr="008340BB">
        <w:rPr>
          <w:lang w:eastAsia="en-US"/>
        </w:rPr>
        <w:t xml:space="preserve">(by priority axis or by part of a priority axis) </w:t>
      </w:r>
    </w:p>
    <w:p w14:paraId="2A7D80D6" w14:textId="77777777" w:rsidR="00F1341F" w:rsidRPr="008340BB" w:rsidRDefault="00F1341F" w:rsidP="00496ED7">
      <w:pPr>
        <w:tabs>
          <w:tab w:val="left" w:pos="720"/>
        </w:tabs>
        <w:spacing w:before="0" w:after="240"/>
        <w:jc w:val="left"/>
        <w:rPr>
          <w:lang w:eastAsia="en-US"/>
        </w:rPr>
      </w:pPr>
      <w:r w:rsidRPr="008340BB">
        <w:rPr>
          <w:lang w:eastAsia="en-US"/>
        </w:rPr>
        <w:t xml:space="preserve"> (</w:t>
      </w:r>
      <w:r w:rsidRPr="008340BB">
        <w:rPr>
          <w:szCs w:val="24"/>
          <w:lang w:eastAsia="en-US"/>
        </w:rPr>
        <w:t xml:space="preserve">Reference: Article 19(3) of Regulation (EU) No </w:t>
      </w:r>
      <w:r w:rsidRPr="008340BB">
        <w:rPr>
          <w:szCs w:val="24"/>
        </w:rPr>
        <w:t>1304/2013 of the European Parliament and of the Council</w:t>
      </w:r>
      <w:r w:rsidRPr="008340BB">
        <w:rPr>
          <w:rStyle w:val="FootnoteReference"/>
          <w:lang w:eastAsia="en-US"/>
        </w:rPr>
        <w:footnoteReference w:id="18"/>
      </w:r>
      <w:r w:rsidRPr="008340BB">
        <w:rPr>
          <w:lang w:eastAsia="en-US"/>
        </w:rPr>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10"/>
        <w:gridCol w:w="2149"/>
        <w:gridCol w:w="1398"/>
        <w:gridCol w:w="1535"/>
        <w:gridCol w:w="326"/>
        <w:gridCol w:w="326"/>
        <w:gridCol w:w="326"/>
        <w:gridCol w:w="1256"/>
        <w:gridCol w:w="874"/>
        <w:gridCol w:w="532"/>
        <w:gridCol w:w="37"/>
        <w:gridCol w:w="466"/>
        <w:gridCol w:w="466"/>
        <w:gridCol w:w="977"/>
        <w:gridCol w:w="1187"/>
      </w:tblGrid>
      <w:tr w:rsidR="00F1341F" w:rsidRPr="008340BB" w14:paraId="2F4424CD" w14:textId="77777777" w:rsidTr="002F0F99">
        <w:trPr>
          <w:trHeight w:val="620"/>
        </w:trPr>
        <w:tc>
          <w:tcPr>
            <w:tcW w:w="497" w:type="pct"/>
            <w:vMerge w:val="restart"/>
          </w:tcPr>
          <w:p w14:paraId="2BC45BB3" w14:textId="77777777" w:rsidR="00F1341F" w:rsidRPr="0067246B" w:rsidRDefault="00F1341F" w:rsidP="008C66F2">
            <w:pPr>
              <w:tabs>
                <w:tab w:val="left" w:pos="720"/>
              </w:tabs>
              <w:spacing w:before="60" w:after="60"/>
              <w:rPr>
                <w:b/>
                <w:i/>
                <w:sz w:val="16"/>
                <w:szCs w:val="16"/>
                <w:lang w:eastAsia="en-US"/>
              </w:rPr>
            </w:pPr>
            <w:r w:rsidRPr="0067246B" w:rsidDel="00496ED7">
              <w:rPr>
                <w:lang w:eastAsia="en-US"/>
              </w:rPr>
              <w:t xml:space="preserve"> </w:t>
            </w:r>
            <w:r w:rsidRPr="0067246B">
              <w:rPr>
                <w:b/>
                <w:i/>
                <w:sz w:val="16"/>
                <w:szCs w:val="16"/>
                <w:lang w:eastAsia="en-US"/>
              </w:rPr>
              <w:t>ID</w:t>
            </w:r>
          </w:p>
        </w:tc>
        <w:tc>
          <w:tcPr>
            <w:tcW w:w="816" w:type="pct"/>
            <w:vMerge w:val="restart"/>
          </w:tcPr>
          <w:p w14:paraId="26FEA038" w14:textId="77777777" w:rsidR="00F1341F" w:rsidRPr="00020ADD" w:rsidRDefault="00F1341F" w:rsidP="008C66F2">
            <w:pPr>
              <w:tabs>
                <w:tab w:val="left" w:pos="720"/>
              </w:tabs>
              <w:spacing w:before="60" w:after="60"/>
              <w:rPr>
                <w:b/>
                <w:i/>
                <w:sz w:val="16"/>
                <w:szCs w:val="16"/>
                <w:lang w:eastAsia="en-US"/>
              </w:rPr>
            </w:pPr>
            <w:r w:rsidRPr="00020ADD">
              <w:rPr>
                <w:b/>
                <w:i/>
                <w:sz w:val="16"/>
                <w:szCs w:val="16"/>
                <w:lang w:eastAsia="en-US"/>
              </w:rPr>
              <w:t xml:space="preserve">Indicator </w:t>
            </w:r>
          </w:p>
        </w:tc>
        <w:tc>
          <w:tcPr>
            <w:tcW w:w="531" w:type="pct"/>
            <w:vMerge w:val="restart"/>
          </w:tcPr>
          <w:p w14:paraId="1155550B" w14:textId="77777777" w:rsidR="00F1341F" w:rsidRPr="00020ADD" w:rsidRDefault="00F1341F" w:rsidP="008C66F2">
            <w:pPr>
              <w:tabs>
                <w:tab w:val="left" w:pos="720"/>
              </w:tabs>
              <w:spacing w:before="60" w:after="60"/>
              <w:rPr>
                <w:b/>
                <w:i/>
                <w:sz w:val="16"/>
                <w:szCs w:val="16"/>
                <w:lang w:eastAsia="en-US"/>
              </w:rPr>
            </w:pPr>
            <w:r w:rsidRPr="00020ADD">
              <w:rPr>
                <w:b/>
                <w:i/>
                <w:sz w:val="16"/>
                <w:szCs w:val="16"/>
                <w:lang w:eastAsia="en-US"/>
              </w:rPr>
              <w:t>Measurement unit for indicator</w:t>
            </w:r>
          </w:p>
        </w:tc>
        <w:tc>
          <w:tcPr>
            <w:tcW w:w="583" w:type="pct"/>
            <w:vMerge w:val="restart"/>
          </w:tcPr>
          <w:p w14:paraId="11AC5287" w14:textId="77777777" w:rsidR="00F1341F" w:rsidRPr="00020ADD" w:rsidRDefault="00F1341F" w:rsidP="008C66F2">
            <w:pPr>
              <w:snapToGrid w:val="0"/>
              <w:spacing w:before="60" w:after="60"/>
              <w:rPr>
                <w:b/>
                <w:i/>
                <w:sz w:val="16"/>
                <w:szCs w:val="16"/>
                <w:lang w:eastAsia="en-US"/>
              </w:rPr>
            </w:pPr>
            <w:r w:rsidRPr="00020ADD">
              <w:rPr>
                <w:b/>
                <w:i/>
                <w:sz w:val="16"/>
                <w:szCs w:val="16"/>
                <w:lang w:eastAsia="en-US"/>
              </w:rPr>
              <w:t>Common output indicator used as basis for target setting</w:t>
            </w:r>
          </w:p>
        </w:tc>
        <w:tc>
          <w:tcPr>
            <w:tcW w:w="372" w:type="pct"/>
            <w:gridSpan w:val="3"/>
          </w:tcPr>
          <w:p w14:paraId="1AE6BC1E" w14:textId="77777777" w:rsidR="00F1341F" w:rsidRPr="00DC0475" w:rsidRDefault="00F1341F" w:rsidP="008C66F2">
            <w:pPr>
              <w:tabs>
                <w:tab w:val="left" w:pos="720"/>
              </w:tabs>
              <w:spacing w:before="60" w:after="60"/>
              <w:rPr>
                <w:b/>
                <w:i/>
                <w:sz w:val="16"/>
                <w:szCs w:val="16"/>
                <w:lang w:eastAsia="en-US"/>
              </w:rPr>
            </w:pPr>
            <w:r w:rsidRPr="00DC0475">
              <w:rPr>
                <w:b/>
                <w:i/>
                <w:sz w:val="16"/>
                <w:szCs w:val="16"/>
                <w:lang w:eastAsia="en-US"/>
              </w:rPr>
              <w:t xml:space="preserve">Baseline value </w:t>
            </w:r>
          </w:p>
        </w:tc>
        <w:tc>
          <w:tcPr>
            <w:tcW w:w="477" w:type="pct"/>
            <w:vMerge w:val="restart"/>
          </w:tcPr>
          <w:p w14:paraId="20CB91C8" w14:textId="77777777" w:rsidR="00F1341F" w:rsidRPr="00B5130A" w:rsidRDefault="00F1341F" w:rsidP="008C66F2">
            <w:pPr>
              <w:tabs>
                <w:tab w:val="left" w:pos="720"/>
              </w:tabs>
              <w:spacing w:before="60" w:after="60"/>
              <w:rPr>
                <w:b/>
                <w:i/>
                <w:sz w:val="16"/>
                <w:szCs w:val="16"/>
                <w:lang w:eastAsia="en-US"/>
              </w:rPr>
            </w:pPr>
            <w:r w:rsidRPr="00B5130A">
              <w:rPr>
                <w:b/>
                <w:i/>
                <w:sz w:val="16"/>
                <w:szCs w:val="16"/>
                <w:lang w:eastAsia="en-US"/>
              </w:rPr>
              <w:t>Measurement unit for baseline and target</w:t>
            </w:r>
          </w:p>
        </w:tc>
        <w:tc>
          <w:tcPr>
            <w:tcW w:w="332" w:type="pct"/>
            <w:vMerge w:val="restart"/>
          </w:tcPr>
          <w:p w14:paraId="3CA4790D" w14:textId="77777777" w:rsidR="00F1341F" w:rsidRPr="00A828C5" w:rsidRDefault="00F1341F" w:rsidP="008C66F2">
            <w:pPr>
              <w:tabs>
                <w:tab w:val="left" w:pos="720"/>
              </w:tabs>
              <w:spacing w:before="60" w:after="60"/>
              <w:rPr>
                <w:b/>
                <w:i/>
                <w:sz w:val="16"/>
                <w:szCs w:val="16"/>
                <w:lang w:eastAsia="en-US"/>
              </w:rPr>
            </w:pPr>
            <w:r w:rsidRPr="00A828C5">
              <w:rPr>
                <w:b/>
                <w:i/>
                <w:sz w:val="16"/>
                <w:szCs w:val="16"/>
                <w:lang w:eastAsia="en-US"/>
              </w:rPr>
              <w:t>Baseline year</w:t>
            </w:r>
          </w:p>
        </w:tc>
        <w:tc>
          <w:tcPr>
            <w:tcW w:w="570" w:type="pct"/>
            <w:gridSpan w:val="4"/>
          </w:tcPr>
          <w:p w14:paraId="0CC4C7EF" w14:textId="77777777" w:rsidR="00F1341F" w:rsidRPr="008340BB" w:rsidRDefault="00F1341F" w:rsidP="00BF3391">
            <w:pPr>
              <w:snapToGrid w:val="0"/>
              <w:spacing w:before="60" w:after="60"/>
              <w:rPr>
                <w:b/>
                <w:i/>
                <w:sz w:val="16"/>
                <w:szCs w:val="16"/>
                <w:lang w:eastAsia="en-US"/>
              </w:rPr>
            </w:pPr>
            <w:r w:rsidRPr="008340BB">
              <w:rPr>
                <w:b/>
                <w:i/>
                <w:sz w:val="16"/>
                <w:szCs w:val="16"/>
                <w:lang w:eastAsia="en-US"/>
              </w:rPr>
              <w:t>Target value</w:t>
            </w:r>
            <w:r w:rsidRPr="008340BB">
              <w:rPr>
                <w:rStyle w:val="FootnoteReference"/>
              </w:rPr>
              <w:footnoteReference w:id="19"/>
            </w:r>
            <w:r w:rsidRPr="008340BB">
              <w:rPr>
                <w:b/>
                <w:i/>
                <w:sz w:val="16"/>
                <w:szCs w:val="16"/>
                <w:lang w:eastAsia="en-US"/>
              </w:rPr>
              <w:t xml:space="preserve"> (2023)</w:t>
            </w:r>
          </w:p>
        </w:tc>
        <w:tc>
          <w:tcPr>
            <w:tcW w:w="371" w:type="pct"/>
            <w:vMerge w:val="restart"/>
          </w:tcPr>
          <w:p w14:paraId="7436D7FD" w14:textId="77777777" w:rsidR="00F1341F" w:rsidRPr="0067246B" w:rsidRDefault="00F1341F" w:rsidP="008C66F2">
            <w:pPr>
              <w:tabs>
                <w:tab w:val="left" w:pos="720"/>
              </w:tabs>
              <w:spacing w:before="60" w:after="60"/>
              <w:rPr>
                <w:b/>
                <w:i/>
                <w:sz w:val="16"/>
                <w:szCs w:val="16"/>
                <w:lang w:eastAsia="en-US"/>
              </w:rPr>
            </w:pPr>
            <w:r w:rsidRPr="0067246B">
              <w:rPr>
                <w:b/>
                <w:i/>
                <w:sz w:val="16"/>
                <w:szCs w:val="16"/>
                <w:lang w:eastAsia="en-US"/>
              </w:rPr>
              <w:t>Source of data</w:t>
            </w:r>
          </w:p>
        </w:tc>
        <w:tc>
          <w:tcPr>
            <w:tcW w:w="451" w:type="pct"/>
            <w:vMerge w:val="restart"/>
          </w:tcPr>
          <w:p w14:paraId="7708FFA4" w14:textId="77777777" w:rsidR="00F1341F" w:rsidRPr="00020ADD" w:rsidRDefault="00F1341F" w:rsidP="008C66F2">
            <w:pPr>
              <w:tabs>
                <w:tab w:val="left" w:pos="720"/>
              </w:tabs>
              <w:spacing w:before="60" w:after="60"/>
              <w:rPr>
                <w:b/>
                <w:i/>
                <w:sz w:val="16"/>
                <w:szCs w:val="16"/>
                <w:lang w:eastAsia="en-US"/>
              </w:rPr>
            </w:pPr>
            <w:r w:rsidRPr="00020ADD">
              <w:rPr>
                <w:b/>
                <w:i/>
                <w:sz w:val="16"/>
                <w:szCs w:val="16"/>
                <w:lang w:eastAsia="en-US"/>
              </w:rPr>
              <w:t>Frequency of reporting</w:t>
            </w:r>
          </w:p>
        </w:tc>
      </w:tr>
      <w:tr w:rsidR="00F1341F" w:rsidRPr="008340BB" w14:paraId="1C36DFC0" w14:textId="77777777" w:rsidTr="002F0F99">
        <w:trPr>
          <w:trHeight w:val="619"/>
        </w:trPr>
        <w:tc>
          <w:tcPr>
            <w:tcW w:w="497" w:type="pct"/>
            <w:vMerge/>
          </w:tcPr>
          <w:p w14:paraId="64448770" w14:textId="77777777" w:rsidR="00F1341F" w:rsidRPr="008340BB" w:rsidRDefault="00F1341F" w:rsidP="00E37828">
            <w:pPr>
              <w:tabs>
                <w:tab w:val="left" w:pos="720"/>
              </w:tabs>
              <w:spacing w:before="60" w:after="60"/>
              <w:rPr>
                <w:b/>
                <w:i/>
                <w:sz w:val="16"/>
                <w:szCs w:val="16"/>
                <w:lang w:eastAsia="en-US"/>
              </w:rPr>
            </w:pPr>
          </w:p>
        </w:tc>
        <w:tc>
          <w:tcPr>
            <w:tcW w:w="816" w:type="pct"/>
            <w:vMerge/>
          </w:tcPr>
          <w:p w14:paraId="340CD205" w14:textId="77777777" w:rsidR="00F1341F" w:rsidRPr="008340BB" w:rsidRDefault="00F1341F" w:rsidP="00E37828">
            <w:pPr>
              <w:tabs>
                <w:tab w:val="left" w:pos="720"/>
              </w:tabs>
              <w:spacing w:before="60" w:after="60"/>
              <w:rPr>
                <w:b/>
                <w:i/>
                <w:sz w:val="16"/>
                <w:szCs w:val="16"/>
                <w:lang w:eastAsia="en-US"/>
              </w:rPr>
            </w:pPr>
          </w:p>
        </w:tc>
        <w:tc>
          <w:tcPr>
            <w:tcW w:w="531" w:type="pct"/>
            <w:vMerge/>
          </w:tcPr>
          <w:p w14:paraId="6AE1C6BB" w14:textId="77777777" w:rsidR="00F1341F" w:rsidRPr="008340BB" w:rsidRDefault="00F1341F" w:rsidP="00E37828">
            <w:pPr>
              <w:tabs>
                <w:tab w:val="left" w:pos="720"/>
              </w:tabs>
              <w:spacing w:before="60" w:after="60"/>
              <w:rPr>
                <w:b/>
                <w:i/>
                <w:sz w:val="16"/>
                <w:szCs w:val="16"/>
                <w:lang w:eastAsia="en-US"/>
              </w:rPr>
            </w:pPr>
          </w:p>
        </w:tc>
        <w:tc>
          <w:tcPr>
            <w:tcW w:w="583" w:type="pct"/>
            <w:vMerge/>
          </w:tcPr>
          <w:p w14:paraId="7291E79F" w14:textId="77777777" w:rsidR="00F1341F" w:rsidRPr="008340BB" w:rsidRDefault="00F1341F" w:rsidP="00E37828">
            <w:pPr>
              <w:snapToGrid w:val="0"/>
              <w:spacing w:before="60" w:after="60"/>
              <w:rPr>
                <w:b/>
                <w:i/>
                <w:sz w:val="16"/>
                <w:szCs w:val="16"/>
                <w:lang w:eastAsia="en-US"/>
              </w:rPr>
            </w:pPr>
          </w:p>
        </w:tc>
        <w:tc>
          <w:tcPr>
            <w:tcW w:w="124" w:type="pct"/>
          </w:tcPr>
          <w:p w14:paraId="626FA9FB" w14:textId="77777777" w:rsidR="00F1341F" w:rsidRPr="008340BB" w:rsidRDefault="00F1341F" w:rsidP="00E37828">
            <w:pPr>
              <w:tabs>
                <w:tab w:val="left" w:pos="720"/>
              </w:tabs>
              <w:spacing w:before="60" w:after="60"/>
              <w:rPr>
                <w:b/>
                <w:i/>
                <w:sz w:val="16"/>
                <w:szCs w:val="16"/>
                <w:lang w:eastAsia="en-US"/>
              </w:rPr>
            </w:pPr>
            <w:r w:rsidRPr="008340BB">
              <w:rPr>
                <w:sz w:val="16"/>
                <w:szCs w:val="16"/>
                <w:lang w:eastAsia="en-US"/>
              </w:rPr>
              <w:t>M</w:t>
            </w:r>
          </w:p>
        </w:tc>
        <w:tc>
          <w:tcPr>
            <w:tcW w:w="124" w:type="pct"/>
          </w:tcPr>
          <w:p w14:paraId="70D8FFB0" w14:textId="77777777" w:rsidR="00F1341F" w:rsidRPr="008340BB" w:rsidRDefault="00F1341F" w:rsidP="00E37828">
            <w:pPr>
              <w:tabs>
                <w:tab w:val="left" w:pos="720"/>
              </w:tabs>
              <w:spacing w:before="60" w:after="60"/>
              <w:rPr>
                <w:b/>
                <w:i/>
                <w:sz w:val="16"/>
                <w:szCs w:val="16"/>
                <w:lang w:eastAsia="en-US"/>
              </w:rPr>
            </w:pPr>
            <w:r w:rsidRPr="008340BB">
              <w:rPr>
                <w:sz w:val="16"/>
                <w:szCs w:val="16"/>
                <w:lang w:eastAsia="en-US"/>
              </w:rPr>
              <w:t>W</w:t>
            </w:r>
          </w:p>
        </w:tc>
        <w:tc>
          <w:tcPr>
            <w:tcW w:w="124" w:type="pct"/>
          </w:tcPr>
          <w:p w14:paraId="4FD5E64B" w14:textId="77777777" w:rsidR="00F1341F" w:rsidRPr="008340BB" w:rsidRDefault="00F1341F" w:rsidP="00E37828">
            <w:pPr>
              <w:tabs>
                <w:tab w:val="left" w:pos="720"/>
              </w:tabs>
              <w:spacing w:before="60" w:after="60"/>
              <w:rPr>
                <w:b/>
                <w:i/>
                <w:sz w:val="16"/>
                <w:szCs w:val="16"/>
                <w:lang w:eastAsia="en-US"/>
              </w:rPr>
            </w:pPr>
            <w:r w:rsidRPr="008340BB">
              <w:rPr>
                <w:sz w:val="16"/>
                <w:szCs w:val="16"/>
                <w:lang w:eastAsia="en-US"/>
              </w:rPr>
              <w:t>T</w:t>
            </w:r>
          </w:p>
        </w:tc>
        <w:tc>
          <w:tcPr>
            <w:tcW w:w="477" w:type="pct"/>
            <w:vMerge/>
          </w:tcPr>
          <w:p w14:paraId="5BF09FB0" w14:textId="77777777" w:rsidR="00F1341F" w:rsidRPr="008340BB" w:rsidRDefault="00F1341F" w:rsidP="00E37828">
            <w:pPr>
              <w:tabs>
                <w:tab w:val="left" w:pos="720"/>
              </w:tabs>
              <w:spacing w:before="60" w:after="60"/>
              <w:rPr>
                <w:b/>
                <w:i/>
                <w:sz w:val="16"/>
                <w:szCs w:val="16"/>
                <w:lang w:eastAsia="en-US"/>
              </w:rPr>
            </w:pPr>
          </w:p>
        </w:tc>
        <w:tc>
          <w:tcPr>
            <w:tcW w:w="332" w:type="pct"/>
            <w:vMerge/>
          </w:tcPr>
          <w:p w14:paraId="392B17FA" w14:textId="77777777" w:rsidR="00F1341F" w:rsidRPr="008340BB" w:rsidRDefault="00F1341F" w:rsidP="00E37828">
            <w:pPr>
              <w:tabs>
                <w:tab w:val="left" w:pos="720"/>
              </w:tabs>
              <w:spacing w:before="60" w:after="60"/>
              <w:rPr>
                <w:b/>
                <w:i/>
                <w:sz w:val="16"/>
                <w:szCs w:val="16"/>
                <w:lang w:eastAsia="en-US"/>
              </w:rPr>
            </w:pPr>
          </w:p>
        </w:tc>
        <w:tc>
          <w:tcPr>
            <w:tcW w:w="216" w:type="pct"/>
            <w:gridSpan w:val="2"/>
          </w:tcPr>
          <w:p w14:paraId="4543A105" w14:textId="77777777" w:rsidR="00F1341F" w:rsidRPr="008340BB" w:rsidRDefault="00F1341F" w:rsidP="00E37828">
            <w:pPr>
              <w:snapToGrid w:val="0"/>
              <w:spacing w:before="60" w:after="60"/>
              <w:rPr>
                <w:b/>
                <w:i/>
                <w:sz w:val="16"/>
                <w:szCs w:val="16"/>
                <w:lang w:eastAsia="en-US"/>
              </w:rPr>
            </w:pPr>
            <w:r w:rsidRPr="008340BB">
              <w:rPr>
                <w:sz w:val="16"/>
                <w:szCs w:val="16"/>
                <w:lang w:eastAsia="en-US"/>
              </w:rPr>
              <w:t>M</w:t>
            </w:r>
          </w:p>
        </w:tc>
        <w:tc>
          <w:tcPr>
            <w:tcW w:w="177" w:type="pct"/>
          </w:tcPr>
          <w:p w14:paraId="4E85166E" w14:textId="77777777" w:rsidR="00F1341F" w:rsidRPr="008340BB" w:rsidRDefault="00F1341F" w:rsidP="00E37828">
            <w:pPr>
              <w:snapToGrid w:val="0"/>
              <w:spacing w:before="60" w:after="60"/>
              <w:rPr>
                <w:b/>
                <w:i/>
                <w:sz w:val="16"/>
                <w:szCs w:val="16"/>
                <w:lang w:eastAsia="en-US"/>
              </w:rPr>
            </w:pPr>
            <w:r w:rsidRPr="008340BB">
              <w:rPr>
                <w:sz w:val="16"/>
                <w:szCs w:val="16"/>
                <w:lang w:eastAsia="en-US"/>
              </w:rPr>
              <w:t>W</w:t>
            </w:r>
          </w:p>
        </w:tc>
        <w:tc>
          <w:tcPr>
            <w:tcW w:w="177" w:type="pct"/>
          </w:tcPr>
          <w:p w14:paraId="62BA5D17" w14:textId="77777777" w:rsidR="00F1341F" w:rsidRPr="008340BB" w:rsidRDefault="00F1341F" w:rsidP="00E37828">
            <w:pPr>
              <w:snapToGrid w:val="0"/>
              <w:spacing w:before="60" w:after="60"/>
              <w:rPr>
                <w:b/>
                <w:i/>
                <w:sz w:val="16"/>
                <w:szCs w:val="16"/>
                <w:lang w:eastAsia="en-US"/>
              </w:rPr>
            </w:pPr>
            <w:r w:rsidRPr="008340BB">
              <w:rPr>
                <w:sz w:val="16"/>
                <w:szCs w:val="16"/>
                <w:lang w:eastAsia="en-US"/>
              </w:rPr>
              <w:t>T</w:t>
            </w:r>
          </w:p>
        </w:tc>
        <w:tc>
          <w:tcPr>
            <w:tcW w:w="371" w:type="pct"/>
            <w:vMerge/>
          </w:tcPr>
          <w:p w14:paraId="2292211C" w14:textId="77777777" w:rsidR="00F1341F" w:rsidRPr="008340BB" w:rsidRDefault="00F1341F" w:rsidP="00E37828">
            <w:pPr>
              <w:tabs>
                <w:tab w:val="left" w:pos="720"/>
              </w:tabs>
              <w:spacing w:before="60" w:after="60"/>
              <w:rPr>
                <w:b/>
                <w:i/>
                <w:sz w:val="16"/>
                <w:szCs w:val="16"/>
                <w:lang w:eastAsia="en-US"/>
              </w:rPr>
            </w:pPr>
          </w:p>
        </w:tc>
        <w:tc>
          <w:tcPr>
            <w:tcW w:w="451" w:type="pct"/>
            <w:vMerge/>
          </w:tcPr>
          <w:p w14:paraId="5B0CFC46" w14:textId="77777777" w:rsidR="00F1341F" w:rsidRPr="008340BB" w:rsidRDefault="00F1341F" w:rsidP="00E37828">
            <w:pPr>
              <w:tabs>
                <w:tab w:val="left" w:pos="720"/>
              </w:tabs>
              <w:spacing w:before="60" w:after="60"/>
              <w:rPr>
                <w:b/>
                <w:sz w:val="16"/>
                <w:szCs w:val="16"/>
                <w:lang w:eastAsia="en-US"/>
              </w:rPr>
            </w:pPr>
          </w:p>
        </w:tc>
      </w:tr>
      <w:tr w:rsidR="00F1341F" w:rsidRPr="008340BB" w14:paraId="461C7A06" w14:textId="77777777" w:rsidTr="002F0F99">
        <w:trPr>
          <w:trHeight w:val="652"/>
        </w:trPr>
        <w:tc>
          <w:tcPr>
            <w:tcW w:w="497" w:type="pct"/>
          </w:tcPr>
          <w:p w14:paraId="003285D2" w14:textId="77777777" w:rsidR="00F1341F" w:rsidRPr="008340BB" w:rsidRDefault="00F1341F" w:rsidP="00E37828">
            <w:pPr>
              <w:spacing w:before="60" w:after="60"/>
              <w:jc w:val="left"/>
              <w:rPr>
                <w:i/>
                <w:sz w:val="16"/>
                <w:szCs w:val="16"/>
                <w:lang w:eastAsia="en-US"/>
              </w:rPr>
            </w:pPr>
            <w:r w:rsidRPr="008340BB">
              <w:rPr>
                <w:i/>
                <w:sz w:val="16"/>
                <w:szCs w:val="16"/>
              </w:rPr>
              <w:t>N/A</w:t>
            </w:r>
          </w:p>
        </w:tc>
        <w:tc>
          <w:tcPr>
            <w:tcW w:w="816" w:type="pct"/>
          </w:tcPr>
          <w:p w14:paraId="2D447E31" w14:textId="77777777" w:rsidR="00F1341F" w:rsidRPr="008340BB" w:rsidRDefault="00F1341F">
            <w:r w:rsidRPr="008340BB">
              <w:rPr>
                <w:i/>
                <w:sz w:val="16"/>
                <w:szCs w:val="16"/>
              </w:rPr>
              <w:t>N/A</w:t>
            </w:r>
          </w:p>
        </w:tc>
        <w:tc>
          <w:tcPr>
            <w:tcW w:w="531" w:type="pct"/>
          </w:tcPr>
          <w:p w14:paraId="37A9DA6C" w14:textId="77777777" w:rsidR="00F1341F" w:rsidRPr="008340BB" w:rsidRDefault="00F1341F">
            <w:r w:rsidRPr="008340BB">
              <w:rPr>
                <w:i/>
                <w:sz w:val="16"/>
                <w:szCs w:val="16"/>
              </w:rPr>
              <w:t>N/A</w:t>
            </w:r>
          </w:p>
        </w:tc>
        <w:tc>
          <w:tcPr>
            <w:tcW w:w="583" w:type="pct"/>
          </w:tcPr>
          <w:p w14:paraId="0A2D2114" w14:textId="77777777" w:rsidR="00F1341F" w:rsidRPr="008340BB" w:rsidRDefault="00F1341F">
            <w:r w:rsidRPr="008340BB">
              <w:rPr>
                <w:i/>
                <w:sz w:val="16"/>
                <w:szCs w:val="16"/>
              </w:rPr>
              <w:t>N/A</w:t>
            </w:r>
          </w:p>
        </w:tc>
        <w:tc>
          <w:tcPr>
            <w:tcW w:w="372" w:type="pct"/>
            <w:gridSpan w:val="3"/>
          </w:tcPr>
          <w:p w14:paraId="005AA674" w14:textId="77777777" w:rsidR="00F1341F" w:rsidRPr="008340BB" w:rsidRDefault="00F1341F">
            <w:r w:rsidRPr="008340BB">
              <w:rPr>
                <w:i/>
                <w:sz w:val="16"/>
                <w:szCs w:val="16"/>
              </w:rPr>
              <w:t>N/A</w:t>
            </w:r>
          </w:p>
        </w:tc>
        <w:tc>
          <w:tcPr>
            <w:tcW w:w="477" w:type="pct"/>
          </w:tcPr>
          <w:p w14:paraId="30B06DBC" w14:textId="77777777" w:rsidR="00F1341F" w:rsidRPr="008340BB" w:rsidRDefault="00F1341F">
            <w:r w:rsidRPr="008340BB">
              <w:rPr>
                <w:i/>
                <w:sz w:val="16"/>
                <w:szCs w:val="16"/>
              </w:rPr>
              <w:t>N/A</w:t>
            </w:r>
          </w:p>
        </w:tc>
        <w:tc>
          <w:tcPr>
            <w:tcW w:w="332" w:type="pct"/>
          </w:tcPr>
          <w:p w14:paraId="7B6E849C" w14:textId="77777777" w:rsidR="00F1341F" w:rsidRPr="008340BB" w:rsidRDefault="00F1341F">
            <w:r w:rsidRPr="008340BB">
              <w:rPr>
                <w:i/>
                <w:sz w:val="16"/>
                <w:szCs w:val="16"/>
              </w:rPr>
              <w:t>N/A</w:t>
            </w:r>
          </w:p>
        </w:tc>
        <w:tc>
          <w:tcPr>
            <w:tcW w:w="202" w:type="pct"/>
          </w:tcPr>
          <w:p w14:paraId="59E24F8E" w14:textId="77777777" w:rsidR="00F1341F" w:rsidRPr="008340BB" w:rsidRDefault="00F1341F">
            <w:r w:rsidRPr="008340BB">
              <w:rPr>
                <w:i/>
                <w:sz w:val="16"/>
                <w:szCs w:val="16"/>
              </w:rPr>
              <w:t>N/A</w:t>
            </w:r>
          </w:p>
        </w:tc>
        <w:tc>
          <w:tcPr>
            <w:tcW w:w="191" w:type="pct"/>
            <w:gridSpan w:val="2"/>
          </w:tcPr>
          <w:p w14:paraId="5A12D03A" w14:textId="77777777" w:rsidR="00F1341F" w:rsidRPr="008340BB" w:rsidRDefault="00F1341F">
            <w:r w:rsidRPr="008340BB">
              <w:rPr>
                <w:i/>
                <w:sz w:val="16"/>
                <w:szCs w:val="16"/>
              </w:rPr>
              <w:t>N/A</w:t>
            </w:r>
          </w:p>
        </w:tc>
        <w:tc>
          <w:tcPr>
            <w:tcW w:w="177" w:type="pct"/>
          </w:tcPr>
          <w:p w14:paraId="1ECB3284" w14:textId="77777777" w:rsidR="00F1341F" w:rsidRPr="008340BB" w:rsidRDefault="00F1341F">
            <w:r w:rsidRPr="008340BB">
              <w:rPr>
                <w:i/>
                <w:sz w:val="16"/>
                <w:szCs w:val="16"/>
              </w:rPr>
              <w:t>N/A</w:t>
            </w:r>
          </w:p>
        </w:tc>
        <w:tc>
          <w:tcPr>
            <w:tcW w:w="371" w:type="pct"/>
          </w:tcPr>
          <w:p w14:paraId="745DA593" w14:textId="77777777" w:rsidR="00F1341F" w:rsidRPr="008340BB" w:rsidRDefault="00F1341F">
            <w:r w:rsidRPr="008340BB">
              <w:rPr>
                <w:i/>
                <w:sz w:val="16"/>
                <w:szCs w:val="16"/>
              </w:rPr>
              <w:t>N/A</w:t>
            </w:r>
          </w:p>
        </w:tc>
        <w:tc>
          <w:tcPr>
            <w:tcW w:w="451" w:type="pct"/>
          </w:tcPr>
          <w:p w14:paraId="47A5FE60" w14:textId="77777777" w:rsidR="00F1341F" w:rsidRPr="008340BB" w:rsidRDefault="00F1341F">
            <w:r w:rsidRPr="008340BB">
              <w:rPr>
                <w:i/>
                <w:sz w:val="16"/>
                <w:szCs w:val="16"/>
              </w:rPr>
              <w:t>N/A</w:t>
            </w:r>
          </w:p>
        </w:tc>
      </w:tr>
    </w:tbl>
    <w:p w14:paraId="4D820727" w14:textId="77777777" w:rsidR="00F1341F" w:rsidRPr="008340BB" w:rsidRDefault="00F1341F" w:rsidP="00F03C1E">
      <w:pPr>
        <w:suppressAutoHyphens/>
        <w:rPr>
          <w:b/>
        </w:rPr>
        <w:sectPr w:rsidR="00F1341F" w:rsidRPr="008340BB" w:rsidSect="001E1D6F">
          <w:pgSz w:w="16838" w:h="11906" w:orient="landscape"/>
          <w:pgMar w:top="1021" w:right="1134" w:bottom="1021" w:left="1134" w:header="601" w:footer="1077" w:gutter="0"/>
          <w:cols w:space="708"/>
          <w:docGrid w:linePitch="326"/>
        </w:sectPr>
      </w:pPr>
    </w:p>
    <w:p w14:paraId="10594E3E" w14:textId="77777777" w:rsidR="00F1341F" w:rsidRPr="008340BB" w:rsidRDefault="00F1341F" w:rsidP="007001A3">
      <w:pPr>
        <w:suppressAutoHyphens/>
        <w:rPr>
          <w:b/>
        </w:rPr>
      </w:pPr>
      <w:r w:rsidRPr="008340BB">
        <w:rPr>
          <w:b/>
        </w:rPr>
        <w:lastRenderedPageBreak/>
        <w:t xml:space="preserve">2.A.1.5  </w:t>
      </w:r>
      <w:r w:rsidRPr="008340BB">
        <w:rPr>
          <w:b/>
        </w:rPr>
        <w:tab/>
        <w:t xml:space="preserve">Action to be supported under the investment priority </w:t>
      </w:r>
    </w:p>
    <w:p w14:paraId="4D1B69A7" w14:textId="77777777" w:rsidR="00F1341F" w:rsidRPr="008340BB" w:rsidRDefault="00F1341F" w:rsidP="007001A3">
      <w:pPr>
        <w:suppressAutoHyphens/>
      </w:pPr>
      <w:r w:rsidRPr="008340BB">
        <w:t>(by investment priority)</w:t>
      </w:r>
    </w:p>
    <w:p w14:paraId="2FB1104C" w14:textId="77777777" w:rsidR="00F1341F" w:rsidRPr="008340BB" w:rsidRDefault="00F1341F" w:rsidP="007001A3">
      <w:pPr>
        <w:suppressAutoHyphens/>
        <w:rPr>
          <w:b/>
        </w:rPr>
      </w:pPr>
    </w:p>
    <w:p w14:paraId="36CB0B47" w14:textId="77777777" w:rsidR="00F1341F" w:rsidRPr="008340BB" w:rsidRDefault="00F1341F" w:rsidP="00BF3391">
      <w:pPr>
        <w:pStyle w:val="ManualHeading3"/>
        <w:tabs>
          <w:tab w:val="clear" w:pos="850"/>
        </w:tabs>
        <w:ind w:left="1418" w:hanging="1418"/>
        <w:rPr>
          <w:b/>
        </w:rPr>
      </w:pPr>
      <w:r w:rsidRPr="008340BB">
        <w:rPr>
          <w:b/>
        </w:rPr>
        <w:t xml:space="preserve">2.A.1.5.1 </w:t>
      </w:r>
      <w:r w:rsidRPr="008340BB">
        <w:rPr>
          <w:b/>
        </w:rPr>
        <w:tab/>
        <w:t>Description of the type and examples of actions to be supported and their expected contribution to the specific objectives including, where appropriate,  the identification of main target groups, specific territories targeted and  types of beneficiaries</w:t>
      </w:r>
    </w:p>
    <w:p w14:paraId="267C6A34" w14:textId="77777777" w:rsidR="00F1341F" w:rsidRPr="008340BB" w:rsidRDefault="00F1341F" w:rsidP="00BF3391">
      <w:pPr>
        <w:pStyle w:val="ManualHeading3"/>
        <w:tabs>
          <w:tab w:val="clear" w:pos="850"/>
        </w:tabs>
        <w:ind w:left="1418" w:hanging="1418"/>
        <w:rPr>
          <w:i w:val="0"/>
        </w:rPr>
      </w:pPr>
      <w:r w:rsidRPr="008340BB">
        <w:rPr>
          <w:i w:val="0"/>
        </w:rPr>
        <w:t>(Reference: point (b)(iii) of the first subparagraph of Article 96 (2) of Regulation (EU) No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58CC482E" w14:textId="77777777" w:rsidTr="00F03C1E">
        <w:trPr>
          <w:trHeight w:val="518"/>
        </w:trPr>
        <w:tc>
          <w:tcPr>
            <w:tcW w:w="2235" w:type="dxa"/>
          </w:tcPr>
          <w:p w14:paraId="0E030457" w14:textId="77777777" w:rsidR="00F1341F" w:rsidRPr="008340BB" w:rsidRDefault="00F1341F" w:rsidP="00F03C1E">
            <w:pPr>
              <w:rPr>
                <w:i/>
                <w:color w:val="8DB3E2"/>
                <w:sz w:val="18"/>
                <w:szCs w:val="18"/>
              </w:rPr>
            </w:pPr>
            <w:r w:rsidRPr="008340BB">
              <w:rPr>
                <w:i/>
              </w:rPr>
              <w:t>Investment priority</w:t>
            </w:r>
          </w:p>
        </w:tc>
        <w:tc>
          <w:tcPr>
            <w:tcW w:w="6443" w:type="dxa"/>
          </w:tcPr>
          <w:p w14:paraId="24CA40F8" w14:textId="77777777" w:rsidR="008205CB" w:rsidRPr="00DF7588" w:rsidRDefault="00F1341F">
            <w:pPr>
              <w:rPr>
                <w:i/>
              </w:rPr>
            </w:pPr>
            <w:r w:rsidRPr="00DF7588">
              <w:rPr>
                <w:i/>
                <w:szCs w:val="24"/>
                <w:lang w:eastAsia="bg-BG"/>
              </w:rPr>
              <w:t>7</w:t>
            </w:r>
            <w:r w:rsidR="00D11C41" w:rsidRPr="00DF7588">
              <w:rPr>
                <w:i/>
                <w:szCs w:val="24"/>
                <w:lang w:eastAsia="bg-BG"/>
              </w:rPr>
              <w:t>(</w:t>
            </w:r>
            <w:r w:rsidRPr="00DF7588">
              <w:rPr>
                <w:i/>
                <w:szCs w:val="24"/>
                <w:lang w:eastAsia="bg-BG"/>
              </w:rPr>
              <w:t>i</w:t>
            </w:r>
            <w:r w:rsidR="00D11C41" w:rsidRPr="00DF7588">
              <w:rPr>
                <w:i/>
                <w:szCs w:val="24"/>
                <w:lang w:eastAsia="bg-BG"/>
              </w:rPr>
              <w:t>)</w:t>
            </w:r>
            <w:r w:rsidRPr="00DF7588">
              <w:rPr>
                <w:i/>
                <w:szCs w:val="24"/>
                <w:lang w:eastAsia="bg-BG"/>
              </w:rPr>
              <w:t xml:space="preserve"> -</w:t>
            </w:r>
            <w:r w:rsidRPr="00DF7588">
              <w:rPr>
                <w:i/>
                <w:lang w:eastAsia="bg-BG"/>
              </w:rPr>
              <w:t xml:space="preserve"> </w:t>
            </w:r>
            <w:r w:rsidRPr="00DF7588">
              <w:rPr>
                <w:i/>
              </w:rPr>
              <w:t xml:space="preserve">Supporting a multimodal Single European Transport Area by investing in </w:t>
            </w:r>
            <w:r w:rsidR="008205CB" w:rsidRPr="00DF7588">
              <w:rPr>
                <w:i/>
              </w:rPr>
              <w:t>the TEN-T</w:t>
            </w:r>
          </w:p>
          <w:p w14:paraId="7E2B28E1" w14:textId="77777777" w:rsidR="00F1341F" w:rsidRPr="008340BB" w:rsidRDefault="00F1341F">
            <w:pPr>
              <w:rPr>
                <w:i/>
                <w:color w:val="8DB3E2"/>
                <w:sz w:val="18"/>
                <w:szCs w:val="18"/>
              </w:rPr>
            </w:pPr>
          </w:p>
        </w:tc>
      </w:tr>
      <w:tr w:rsidR="00F1341F" w:rsidRPr="008340BB" w14:paraId="7B0450B9" w14:textId="77777777" w:rsidTr="00F03C1E">
        <w:trPr>
          <w:trHeight w:val="819"/>
        </w:trPr>
        <w:tc>
          <w:tcPr>
            <w:tcW w:w="8678" w:type="dxa"/>
            <w:gridSpan w:val="2"/>
          </w:tcPr>
          <w:p w14:paraId="2FFA0413" w14:textId="77777777" w:rsidR="00F1341F" w:rsidRPr="008340BB" w:rsidRDefault="00F1341F" w:rsidP="008F5422">
            <w:pPr>
              <w:autoSpaceDE w:val="0"/>
              <w:autoSpaceDN w:val="0"/>
              <w:adjustRightInd w:val="0"/>
              <w:rPr>
                <w:b/>
                <w:bCs/>
                <w:lang w:eastAsia="bg-BG"/>
              </w:rPr>
            </w:pPr>
            <w:r w:rsidRPr="008340BB">
              <w:rPr>
                <w:b/>
                <w:bCs/>
                <w:lang w:eastAsia="bg-BG"/>
              </w:rPr>
              <w:t>Examples of actions eligible to be financed:</w:t>
            </w:r>
          </w:p>
          <w:p w14:paraId="257B0DF1" w14:textId="7CC910BF" w:rsidR="00F1341F" w:rsidRPr="008340BB" w:rsidRDefault="00F1341F" w:rsidP="00961ACE">
            <w:pPr>
              <w:ind w:right="2"/>
            </w:pPr>
            <w:r w:rsidRPr="008340BB">
              <w:t xml:space="preserve">Construction, modernisation, rehabilitation, electrification and establishment of signalling and telecommunication systems of railway sections </w:t>
            </w:r>
            <w:r w:rsidR="00B36C13">
              <w:t>on the "core" and "comprehensive</w:t>
            </w:r>
            <w:r w:rsidR="00B36C13" w:rsidRPr="00B36C13">
              <w:t>" Trans-European Transport Network, including the development of multimodal urban rail to improve connectivity and accessibility on the Trans-European Transport Network</w:t>
            </w:r>
            <w:r w:rsidR="00B36C13">
              <w:t xml:space="preserve"> </w:t>
            </w:r>
            <w:r w:rsidR="00EC4927" w:rsidRPr="00EC4927">
              <w:t xml:space="preserve">and technical assistance measures for preparation/completion of preparation of </w:t>
            </w:r>
            <w:r w:rsidR="003C2719">
              <w:t xml:space="preserve">railway </w:t>
            </w:r>
            <w:r w:rsidR="00EC4927" w:rsidRPr="00EC4927">
              <w:t xml:space="preserve">investment projects </w:t>
            </w:r>
            <w:r w:rsidR="00B36C13">
              <w:t>including in urban area</w:t>
            </w:r>
            <w:r w:rsidRPr="008340BB">
              <w:t>.</w:t>
            </w:r>
          </w:p>
          <w:p w14:paraId="7CD2A380" w14:textId="60E18D10" w:rsidR="00F1341F" w:rsidRDefault="00F1341F" w:rsidP="00961ACE">
            <w:pPr>
              <w:widowControl w:val="0"/>
              <w:autoSpaceDE w:val="0"/>
              <w:autoSpaceDN w:val="0"/>
              <w:adjustRightInd w:val="0"/>
              <w:ind w:right="2"/>
            </w:pPr>
            <w:r w:rsidRPr="008340BB">
              <w:t xml:space="preserve">The activities for the improvement and modernisation of the railway line from Plovdiv to Burgas are mainly directed towards modernisation and renewal of infrastructural systems and introduction of speed trains from Sofia to Burgas. </w:t>
            </w:r>
            <w:r w:rsidR="00275B78" w:rsidRPr="00275B78">
              <w:t>During the 2014-2020 program</w:t>
            </w:r>
            <w:r w:rsidR="00A63D95">
              <w:t>ming</w:t>
            </w:r>
            <w:r w:rsidR="00275B78" w:rsidRPr="00275B78">
              <w:t xml:space="preserve"> period, it is necessary to provide financing for Stage 1 of t</w:t>
            </w:r>
            <w:r w:rsidR="00275B78">
              <w:t xml:space="preserve">he modernization </w:t>
            </w:r>
            <w:r w:rsidR="000232E4">
              <w:t>of Plovdiv</w:t>
            </w:r>
            <w:r w:rsidR="00275B78" w:rsidRPr="00275B78">
              <w:t xml:space="preserve"> - Burgas railway line, phase 2</w:t>
            </w:r>
            <w:r w:rsidR="00275B78">
              <w:t xml:space="preserve">. </w:t>
            </w:r>
            <w:r w:rsidRPr="008340BB">
              <w:t>The modernisation of the railway line Plovdiv</w:t>
            </w:r>
            <w:r w:rsidR="002D57B4" w:rsidRPr="008340BB">
              <w:t xml:space="preserve"> </w:t>
            </w:r>
            <w:r w:rsidRPr="008340BB">
              <w:t xml:space="preserve">- Burgas is required to be completed during the programming period 2014-2020 and in addition to the investment in the programming period 2007-2013 provisions should be made for </w:t>
            </w:r>
            <w:r w:rsidR="00F962C9">
              <w:t xml:space="preserve">modernisation/rehabilitation of sections Skutare-Orizovo, Stralja-Tzerkovski, </w:t>
            </w:r>
            <w:r w:rsidR="007879A3">
              <w:t xml:space="preserve">as well as partial </w:t>
            </w:r>
            <w:r w:rsidR="00F962C9">
              <w:t xml:space="preserve">modernisation of sections Orizovo-Mihailovo, Yambol-Zimnitza etc., </w:t>
            </w:r>
            <w:r w:rsidR="002A6E33">
              <w:rPr>
                <w:lang w:val="en-US"/>
              </w:rPr>
              <w:t xml:space="preserve">including </w:t>
            </w:r>
            <w:r w:rsidR="002A6E33" w:rsidRPr="002A6E33">
              <w:rPr>
                <w:lang w:val="en-US"/>
              </w:rPr>
              <w:t>design and establishment of systems for signalization and telecommunication</w:t>
            </w:r>
            <w:r w:rsidR="00687D20">
              <w:t xml:space="preserve"> </w:t>
            </w:r>
            <w:r w:rsidR="00687D20" w:rsidRPr="00687D20">
              <w:rPr>
                <w:lang w:val="en-US"/>
              </w:rPr>
              <w:t>which will continue and end in the period 2021-2027</w:t>
            </w:r>
            <w:r w:rsidRPr="008340BB">
              <w:t xml:space="preserve">. </w:t>
            </w:r>
            <w:r w:rsidR="00815D88">
              <w:t xml:space="preserve">In addition a separate </w:t>
            </w:r>
            <w:r w:rsidR="00815D88" w:rsidRPr="00815D88">
              <w:t xml:space="preserve">“non major” </w:t>
            </w:r>
            <w:r w:rsidR="00815D88">
              <w:t xml:space="preserve">project is envisaged for </w:t>
            </w:r>
            <w:r w:rsidR="00195E48">
              <w:t>design and modernization</w:t>
            </w:r>
            <w:r w:rsidR="00815D88" w:rsidRPr="00815D88">
              <w:t xml:space="preserve"> of traction substations Burgas, Karnobat and Yambol</w:t>
            </w:r>
            <w:r w:rsidR="00815D88">
              <w:t xml:space="preserve">. </w:t>
            </w:r>
            <w:r w:rsidRPr="008340BB">
              <w:t>The project for modernisation of the railway line Plovdiv- Burgas is a priority project according to the General Transport Master Plan.</w:t>
            </w:r>
          </w:p>
          <w:p w14:paraId="348C469F" w14:textId="6E003F37" w:rsidR="00535B5F" w:rsidRPr="008340BB" w:rsidRDefault="00535B5F" w:rsidP="00961ACE">
            <w:pPr>
              <w:widowControl w:val="0"/>
              <w:autoSpaceDE w:val="0"/>
              <w:autoSpaceDN w:val="0"/>
              <w:adjustRightInd w:val="0"/>
              <w:ind w:right="2"/>
            </w:pPr>
            <w:r w:rsidRPr="00535B5F">
              <w:t>According to the project for the rehabilitation of the railway line</w:t>
            </w:r>
            <w:r>
              <w:t xml:space="preserve"> Plovdiv - Burgas, phase 2, NRIC</w:t>
            </w:r>
            <w:r w:rsidRPr="00535B5F">
              <w:t xml:space="preserve"> updated the scheme for the technical and financial implementation of the activities, in the period of eligibility of the costs. The implementation of components and activities that will be financed under OPTTI are: Component 1 - Design and construction of signaling and telecommunications systems on the Plovdiv-Burgas railway line - 43.73%; Component 2</w:t>
            </w:r>
            <w:r>
              <w:t xml:space="preserve"> </w:t>
            </w:r>
            <w:r w:rsidRPr="00535B5F">
              <w:t>-</w:t>
            </w:r>
            <w:r>
              <w:t xml:space="preserve"> </w:t>
            </w:r>
            <w:r w:rsidRPr="00535B5F">
              <w:t>Construction of overpasses/underpasses for the railway line Plovdiv-Burgas at the place of existing crossings-removal of railway crossings and construction of overpasses - 55.74%; Component 3 - Construction of a protected forest belt in the Chernograd-Aitos mountain range - 100%; Component 4-Rehabilitation of the Skutare-Orizovo railway section - 99.51%; Component 5 - Modernization of the railway section Orizovo - Mihailovo - 51.06%, and traction substation Chirpan - 100%; Component 6</w:t>
            </w:r>
            <w:r>
              <w:rPr>
                <w:lang w:val="bg-BG"/>
              </w:rPr>
              <w:t xml:space="preserve"> </w:t>
            </w:r>
            <w:r w:rsidRPr="00535B5F">
              <w:t>-</w:t>
            </w:r>
            <w:r>
              <w:rPr>
                <w:lang w:val="bg-BG"/>
              </w:rPr>
              <w:t xml:space="preserve"> </w:t>
            </w:r>
            <w:r w:rsidRPr="00535B5F">
              <w:t xml:space="preserve">Modernization of the railway section Yambol - Zimnitsa, near Zavoy </w:t>
            </w:r>
            <w:r w:rsidRPr="00535B5F">
              <w:lastRenderedPageBreak/>
              <w:t>station - 0%; Component 7-Reconstruction of the shuttle development at Zimnitsa station and rehabilitation of the contact network at Zimnitsa and Straldzha stations - 60.93%; Component 8</w:t>
            </w:r>
            <w:r>
              <w:rPr>
                <w:lang w:val="bg-BG"/>
              </w:rPr>
              <w:t xml:space="preserve"> </w:t>
            </w:r>
            <w:r w:rsidRPr="00535B5F">
              <w:t>-</w:t>
            </w:r>
            <w:r>
              <w:rPr>
                <w:lang w:val="bg-BG"/>
              </w:rPr>
              <w:t xml:space="preserve"> </w:t>
            </w:r>
            <w:r w:rsidRPr="00535B5F">
              <w:t>Rehabilitation of the railway section Straldzha - Tserkovski - 100%; Alienation procedures – 100%.</w:t>
            </w:r>
          </w:p>
          <w:p w14:paraId="517D332A" w14:textId="78A827EE" w:rsidR="00A601EF" w:rsidRDefault="00F1341F" w:rsidP="00A601EF">
            <w:pPr>
              <w:ind w:right="2"/>
            </w:pPr>
            <w:r w:rsidRPr="008340BB">
              <w:t xml:space="preserve">Regarding the modernisation of the railway line Sofia-Plovdiv, which started during programming period </w:t>
            </w:r>
            <w:r w:rsidR="004067C3">
              <w:t xml:space="preserve">2007-2013 </w:t>
            </w:r>
            <w:r w:rsidRPr="008340BB">
              <w:t xml:space="preserve">(section Septemvri-Plovdiv), it is necessary during programming period 2014-2020 to provide for the construction of the section </w:t>
            </w:r>
            <w:r w:rsidR="00875549">
              <w:t xml:space="preserve">Elin Pelin </w:t>
            </w:r>
            <w:r w:rsidR="00BD1750">
              <w:t>–</w:t>
            </w:r>
            <w:r w:rsidR="00875549">
              <w:t xml:space="preserve"> Kostenetz</w:t>
            </w:r>
            <w:r w:rsidR="00BD1750">
              <w:rPr>
                <w:lang w:val="bg-BG"/>
              </w:rPr>
              <w:t xml:space="preserve"> </w:t>
            </w:r>
            <w:r w:rsidR="00BD1750">
              <w:rPr>
                <w:lang w:val="en-US"/>
              </w:rPr>
              <w:t>Phase 1</w:t>
            </w:r>
            <w:r w:rsidRPr="008340BB">
              <w:t xml:space="preserve">. </w:t>
            </w:r>
            <w:r w:rsidR="000C1893">
              <w:t xml:space="preserve">The necessary funds for the rest of the sections along railway line Sofia-Septemvri are ensured under CEF. </w:t>
            </w:r>
            <w:r w:rsidRPr="008340BB">
              <w:t xml:space="preserve">Along with the modernisation of the railway line Plovdiv-Burgas (during </w:t>
            </w:r>
            <w:r w:rsidR="001A5CAE">
              <w:t>programming periods</w:t>
            </w:r>
            <w:r w:rsidRPr="008340BB">
              <w:t xml:space="preserve"> </w:t>
            </w:r>
            <w:r w:rsidR="00882744">
              <w:t>2007-2013</w:t>
            </w:r>
            <w:r w:rsidR="001A5CAE">
              <w:t>, 2014-2020 and 2021-2027</w:t>
            </w:r>
            <w:r w:rsidRPr="008340BB">
              <w:t xml:space="preserve">) provisions will be made for a high-speed route with improved reliability and increased capacity in the section between the capital and the Black Sea.  The project </w:t>
            </w:r>
            <w:r w:rsidR="00D76AAE">
              <w:t>is</w:t>
            </w:r>
            <w:r w:rsidRPr="008340BB">
              <w:t xml:space="preserve"> a priority according to the </w:t>
            </w:r>
            <w:r w:rsidR="00205484" w:rsidRPr="00205484">
              <w:t xml:space="preserve">Bulgarian </w:t>
            </w:r>
            <w:r w:rsidRPr="008340BB">
              <w:t>General Transport Master Plan</w:t>
            </w:r>
            <w:r w:rsidR="00A601EF">
              <w:t>.</w:t>
            </w:r>
            <w:r w:rsidR="00205484">
              <w:t xml:space="preserve"> </w:t>
            </w:r>
          </w:p>
          <w:p w14:paraId="38D9F637" w14:textId="5B6F2221" w:rsidR="00A601EF" w:rsidRPr="00A601EF" w:rsidRDefault="00A601EF" w:rsidP="00A601EF">
            <w:pPr>
              <w:ind w:right="2"/>
              <w:rPr>
                <w:lang w:val="en-US"/>
              </w:rPr>
            </w:pPr>
            <w:r>
              <w:t xml:space="preserve">Regarding </w:t>
            </w:r>
            <w:r w:rsidRPr="00A601EF">
              <w:t>the section Elin Pelin - Kostenetz</w:t>
            </w:r>
            <w:r w:rsidRPr="00A601EF">
              <w:rPr>
                <w:lang w:val="en-US"/>
              </w:rPr>
              <w:t xml:space="preserve"> NRIC </w:t>
            </w:r>
            <w:r>
              <w:rPr>
                <w:lang w:val="en-US"/>
              </w:rPr>
              <w:t>updated the</w:t>
            </w:r>
            <w:r w:rsidRPr="00A601EF">
              <w:rPr>
                <w:lang w:val="en-US"/>
              </w:rPr>
              <w:t xml:space="preserve"> scheme for financial and technical implementation of the activities within the project eligibility period based on the financial offers and construction technology proposed by the selected contractors. In order to achieve the expected objectives and outputs from the overall project implementation, actions were undertaken aimed at implementation of a part of the project scope with funds provided by OPTTI 2014-2020 and phasing out of a part of it for the implementation with funds from the forthcoming </w:t>
            </w:r>
            <w:r w:rsidRPr="000F2EBB">
              <w:rPr>
                <w:lang w:val="en-US"/>
              </w:rPr>
              <w:t>Transport Connectivity Programme 2021-2027.</w:t>
            </w:r>
            <w:r w:rsidRPr="00A601EF">
              <w:rPr>
                <w:lang w:val="en-US"/>
              </w:rPr>
              <w:t xml:space="preserve"> On the basis of the cost estimations made, the following activities will be financed under OPTTI:</w:t>
            </w:r>
          </w:p>
          <w:p w14:paraId="1CC774FF" w14:textId="5ACAAD86" w:rsidR="00A601EF" w:rsidRPr="00A601EF" w:rsidRDefault="00A601EF" w:rsidP="00A601EF">
            <w:pPr>
              <w:ind w:right="2"/>
              <w:rPr>
                <w:lang w:val="en-US"/>
              </w:rPr>
            </w:pPr>
            <w:r w:rsidRPr="00A601EF">
              <w:rPr>
                <w:b/>
                <w:bCs/>
                <w:lang w:val="en-US"/>
              </w:rPr>
              <w:t>Lot 1</w:t>
            </w:r>
            <w:r w:rsidRPr="00A601EF">
              <w:rPr>
                <w:lang w:val="en-US"/>
              </w:rPr>
              <w:t xml:space="preserve"> “Modernization of the railway section from km </w:t>
            </w:r>
            <w:r w:rsidRPr="00A601EF">
              <w:rPr>
                <w:lang w:val="bg-BG"/>
              </w:rPr>
              <w:t xml:space="preserve">22+554 </w:t>
            </w:r>
            <w:r w:rsidRPr="00A601EF">
              <w:rPr>
                <w:lang w:val="en-US"/>
              </w:rPr>
              <w:t>to</w:t>
            </w:r>
            <w:r w:rsidRPr="00A601EF">
              <w:rPr>
                <w:lang w:val="bg-BG"/>
              </w:rPr>
              <w:t xml:space="preserve"> </w:t>
            </w:r>
            <w:r w:rsidRPr="00A601EF">
              <w:rPr>
                <w:lang w:val="en-US"/>
              </w:rPr>
              <w:t>km</w:t>
            </w:r>
            <w:r w:rsidRPr="00A601EF">
              <w:rPr>
                <w:lang w:val="bg-BG"/>
              </w:rPr>
              <w:t xml:space="preserve"> 42+200“</w:t>
            </w:r>
            <w:r w:rsidRPr="00A601EF">
              <w:rPr>
                <w:lang w:val="en-US"/>
              </w:rPr>
              <w:t>:</w:t>
            </w:r>
            <w:r w:rsidRPr="00A601EF">
              <w:rPr>
                <w:lang w:val="bg-BG"/>
              </w:rPr>
              <w:t xml:space="preserve"> 100 % </w:t>
            </w:r>
            <w:r w:rsidRPr="00A601EF">
              <w:rPr>
                <w:lang w:val="en-US"/>
              </w:rPr>
              <w:t>of design</w:t>
            </w:r>
            <w:r w:rsidRPr="00A601EF">
              <w:rPr>
                <w:lang w:val="bg-BG"/>
              </w:rPr>
              <w:t xml:space="preserve">, </w:t>
            </w:r>
            <w:r w:rsidRPr="00A601EF">
              <w:rPr>
                <w:lang w:val="en-US"/>
              </w:rPr>
              <w:t xml:space="preserve">earthworks, </w:t>
            </w:r>
            <w:r w:rsidR="002F780E">
              <w:rPr>
                <w:lang w:val="en-US"/>
              </w:rPr>
              <w:t>100</w:t>
            </w:r>
            <w:r w:rsidR="00F87557">
              <w:rPr>
                <w:lang w:val="en-US"/>
              </w:rPr>
              <w:t xml:space="preserve"> </w:t>
            </w:r>
            <w:r w:rsidR="002F780E">
              <w:rPr>
                <w:lang w:val="en-US"/>
              </w:rPr>
              <w:t>% of Tunnel 1 and 23</w:t>
            </w:r>
            <w:r w:rsidR="00F87557">
              <w:rPr>
                <w:lang w:val="en-US"/>
              </w:rPr>
              <w:t xml:space="preserve"> </w:t>
            </w:r>
            <w:r w:rsidR="002F780E">
              <w:rPr>
                <w:lang w:val="en-US"/>
              </w:rPr>
              <w:t>% of Tunnel 2</w:t>
            </w:r>
            <w:r w:rsidRPr="00A601EF">
              <w:rPr>
                <w:lang w:val="en-US"/>
              </w:rPr>
              <w:t xml:space="preserve">. </w:t>
            </w:r>
          </w:p>
          <w:p w14:paraId="75138BF5" w14:textId="2C6FCA11" w:rsidR="00A601EF" w:rsidRPr="005972E5" w:rsidRDefault="00A601EF" w:rsidP="00A601EF">
            <w:pPr>
              <w:ind w:right="2"/>
              <w:rPr>
                <w:lang w:val="bg-BG"/>
              </w:rPr>
            </w:pPr>
            <w:r w:rsidRPr="00A601EF">
              <w:rPr>
                <w:b/>
                <w:lang w:val="en-US"/>
              </w:rPr>
              <w:t>Lot</w:t>
            </w:r>
            <w:r w:rsidRPr="00A601EF">
              <w:rPr>
                <w:b/>
                <w:lang w:val="bg-BG"/>
              </w:rPr>
              <w:t xml:space="preserve"> 2</w:t>
            </w:r>
            <w:r w:rsidRPr="00A601EF">
              <w:rPr>
                <w:lang w:val="bg-BG"/>
              </w:rPr>
              <w:t xml:space="preserve"> </w:t>
            </w:r>
            <w:r w:rsidRPr="00A601EF">
              <w:rPr>
                <w:lang w:val="en-US"/>
              </w:rPr>
              <w:t>“Modernization of the railway section from km</w:t>
            </w:r>
            <w:r w:rsidRPr="00A601EF">
              <w:rPr>
                <w:lang w:val="bg-BG"/>
              </w:rPr>
              <w:t xml:space="preserve"> 42+200 </w:t>
            </w:r>
            <w:r w:rsidRPr="00A601EF">
              <w:rPr>
                <w:lang w:val="en-US"/>
              </w:rPr>
              <w:t>to</w:t>
            </w:r>
            <w:r w:rsidRPr="00A601EF">
              <w:rPr>
                <w:lang w:val="bg-BG"/>
              </w:rPr>
              <w:t xml:space="preserve"> </w:t>
            </w:r>
            <w:r w:rsidRPr="00A601EF">
              <w:rPr>
                <w:lang w:val="en-US"/>
              </w:rPr>
              <w:t>km</w:t>
            </w:r>
            <w:r w:rsidRPr="00A601EF">
              <w:rPr>
                <w:lang w:val="bg-BG"/>
              </w:rPr>
              <w:t xml:space="preserve"> 62+400</w:t>
            </w:r>
            <w:r w:rsidRPr="00A601EF">
              <w:rPr>
                <w:lang w:val="en-US"/>
              </w:rPr>
              <w:t>”:</w:t>
            </w:r>
            <w:r w:rsidRPr="00A601EF">
              <w:rPr>
                <w:lang w:val="bg-BG"/>
              </w:rPr>
              <w:t xml:space="preserve"> 100 %</w:t>
            </w:r>
            <w:r w:rsidRPr="00A601EF">
              <w:rPr>
                <w:lang w:val="en-US"/>
              </w:rPr>
              <w:t xml:space="preserve"> of </w:t>
            </w:r>
            <w:r w:rsidR="004421C1" w:rsidRPr="004421C1">
              <w:rPr>
                <w:lang w:val="en-US"/>
              </w:rPr>
              <w:t>design, dismantling activities, 4 road overpasses, 53% superstructure, 1 bridge, 35% catenary, 27% signaling and telecommunications</w:t>
            </w:r>
            <w:r w:rsidRPr="00A601EF">
              <w:rPr>
                <w:lang w:val="en-US"/>
              </w:rPr>
              <w:t xml:space="preserve">. </w:t>
            </w:r>
          </w:p>
          <w:p w14:paraId="69E9BC28" w14:textId="05428DB5" w:rsidR="00A601EF" w:rsidRPr="00A601EF" w:rsidRDefault="00A601EF" w:rsidP="00A601EF">
            <w:pPr>
              <w:ind w:right="2"/>
              <w:rPr>
                <w:lang w:val="en-US"/>
              </w:rPr>
            </w:pPr>
            <w:r w:rsidRPr="00A601EF">
              <w:rPr>
                <w:b/>
                <w:lang w:val="en-US"/>
              </w:rPr>
              <w:t>Lot</w:t>
            </w:r>
            <w:r w:rsidRPr="00A601EF">
              <w:rPr>
                <w:b/>
                <w:lang w:val="bg-BG"/>
              </w:rPr>
              <w:t xml:space="preserve"> 3</w:t>
            </w:r>
            <w:r w:rsidRPr="00A601EF">
              <w:rPr>
                <w:b/>
                <w:lang w:val="en-US"/>
              </w:rPr>
              <w:t xml:space="preserve"> </w:t>
            </w:r>
            <w:r w:rsidRPr="00A601EF">
              <w:rPr>
                <w:bCs/>
                <w:lang w:val="en-US"/>
              </w:rPr>
              <w:t>“Modernization of the railway section from km</w:t>
            </w:r>
            <w:r w:rsidRPr="00A601EF">
              <w:rPr>
                <w:lang w:val="bg-BG"/>
              </w:rPr>
              <w:t xml:space="preserve"> 62+400 </w:t>
            </w:r>
            <w:r w:rsidRPr="00A601EF">
              <w:rPr>
                <w:lang w:val="en-US"/>
              </w:rPr>
              <w:t>to</w:t>
            </w:r>
            <w:r w:rsidRPr="00A601EF">
              <w:rPr>
                <w:lang w:val="bg-BG"/>
              </w:rPr>
              <w:t xml:space="preserve"> </w:t>
            </w:r>
            <w:r w:rsidRPr="00A601EF">
              <w:rPr>
                <w:lang w:val="en-US"/>
              </w:rPr>
              <w:t>km</w:t>
            </w:r>
            <w:r w:rsidRPr="00A601EF">
              <w:rPr>
                <w:lang w:val="bg-BG"/>
              </w:rPr>
              <w:t xml:space="preserve"> 73+598</w:t>
            </w:r>
            <w:r w:rsidRPr="00A601EF">
              <w:rPr>
                <w:lang w:val="en-US"/>
              </w:rPr>
              <w:t>”:</w:t>
            </w:r>
            <w:r w:rsidRPr="00A601EF">
              <w:rPr>
                <w:lang w:val="bg-BG"/>
              </w:rPr>
              <w:t xml:space="preserve"> 100 % </w:t>
            </w:r>
            <w:r w:rsidRPr="00A601EF">
              <w:rPr>
                <w:lang w:val="en-US"/>
              </w:rPr>
              <w:t>of design and</w:t>
            </w:r>
            <w:r w:rsidRPr="00A601EF">
              <w:rPr>
                <w:lang w:val="bg-BG"/>
              </w:rPr>
              <w:t xml:space="preserve"> </w:t>
            </w:r>
            <w:r w:rsidRPr="00A601EF">
              <w:rPr>
                <w:lang w:val="en-US"/>
              </w:rPr>
              <w:t>earthworks</w:t>
            </w:r>
            <w:r w:rsidRPr="00A601EF">
              <w:rPr>
                <w:lang w:val="bg-BG"/>
              </w:rPr>
              <w:t xml:space="preserve">, </w:t>
            </w:r>
            <w:r w:rsidR="005972E5">
              <w:rPr>
                <w:lang w:val="bg-BG"/>
              </w:rPr>
              <w:t>40% Tunnel 3,</w:t>
            </w:r>
            <w:r w:rsidR="000A2455" w:rsidRPr="000A2455">
              <w:rPr>
                <w:lang w:val="bg-BG"/>
              </w:rPr>
              <w:t>28% Tunnel 4, 10% Tunnel 6, 38% Tunnel 9, 34% Tunnel 10, 4 bridges, 50% culverts, 93% roads.</w:t>
            </w:r>
            <w:r w:rsidRPr="00A601EF">
              <w:rPr>
                <w:lang w:val="en-US"/>
              </w:rPr>
              <w:t xml:space="preserve"> </w:t>
            </w:r>
          </w:p>
          <w:p w14:paraId="37D7543F" w14:textId="3D8451F2" w:rsidR="00F1341F" w:rsidRPr="008340BB" w:rsidRDefault="00A601EF" w:rsidP="00A601EF">
            <w:pPr>
              <w:ind w:right="2"/>
            </w:pPr>
            <w:r w:rsidRPr="00A601EF">
              <w:rPr>
                <w:lang w:val="en-US"/>
              </w:rPr>
              <w:t>In addition, associated activities such as land acquisition, supervision, machinery and equipment, technical assistance, etc. are also included for financing under OPTTI.</w:t>
            </w:r>
          </w:p>
          <w:p w14:paraId="5AC7BA58" w14:textId="37E7BA1A" w:rsidR="00F1341F" w:rsidRDefault="00F1341F" w:rsidP="00997E66">
            <w:pPr>
              <w:ind w:right="2"/>
            </w:pPr>
            <w:r w:rsidRPr="008340BB">
              <w:t>The modernisation of the railway line Sofia-Plovdiv, together with the completion of the reconstruction and electrification of the railway line Plovdiv</w:t>
            </w:r>
            <w:r w:rsidR="002F758E" w:rsidRPr="008340BB">
              <w:t xml:space="preserve"> </w:t>
            </w:r>
            <w:r w:rsidRPr="008340BB">
              <w:t>-</w:t>
            </w:r>
            <w:r w:rsidR="002F758E" w:rsidRPr="008340BB">
              <w:t xml:space="preserve"> </w:t>
            </w:r>
            <w:r w:rsidRPr="008340BB">
              <w:t>Svilengrad along corridors IV and IX: section Parvomay</w:t>
            </w:r>
            <w:r w:rsidR="002F758E" w:rsidRPr="008340BB">
              <w:t xml:space="preserve"> </w:t>
            </w:r>
            <w:r w:rsidRPr="008340BB">
              <w:t>-</w:t>
            </w:r>
            <w:r w:rsidR="002F758E" w:rsidRPr="008340BB">
              <w:t xml:space="preserve"> </w:t>
            </w:r>
            <w:r w:rsidRPr="008340BB">
              <w:t>Svilengrad and the electrification and reconstruction of the railway line Svilengrad</w:t>
            </w:r>
            <w:r w:rsidR="002F758E" w:rsidRPr="008340BB">
              <w:t xml:space="preserve"> </w:t>
            </w:r>
            <w:r w:rsidRPr="008340BB">
              <w:t>-</w:t>
            </w:r>
            <w:r w:rsidR="002F758E" w:rsidRPr="008340BB">
              <w:t xml:space="preserve"> </w:t>
            </w:r>
            <w:r w:rsidRPr="008340BB">
              <w:t>Turkish border under Operational Programme “Transport” in programming period 2007 -2013 will provide greater reliability and quality of travel along the route Sofia-Plovdiv-Istanbul.</w:t>
            </w:r>
          </w:p>
          <w:p w14:paraId="4135EAE9" w14:textId="69404F71" w:rsidR="00011E40" w:rsidRPr="00E87379" w:rsidRDefault="003C7768" w:rsidP="005D3AE4">
            <w:pPr>
              <w:ind w:right="2"/>
              <w:rPr>
                <w:lang w:val="en-US"/>
              </w:rPr>
            </w:pPr>
            <w:r w:rsidRPr="000E797C">
              <w:rPr>
                <w:bCs/>
                <w:lang w:val="en-US"/>
              </w:rPr>
              <w:t>Sofia – Dragoman – Serbian border Railway line</w:t>
            </w:r>
            <w:r w:rsidRPr="003C7768">
              <w:rPr>
                <w:lang w:val="en-US"/>
              </w:rPr>
              <w:t xml:space="preserve"> </w:t>
            </w:r>
            <w:r w:rsidR="00FB13EB" w:rsidRPr="000E797C">
              <w:rPr>
                <w:bCs/>
                <w:lang w:val="en-US"/>
              </w:rPr>
              <w:t>i</w:t>
            </w:r>
            <w:r w:rsidRPr="003C7768">
              <w:rPr>
                <w:lang w:val="en-US"/>
              </w:rPr>
              <w:t xml:space="preserve">s </w:t>
            </w:r>
            <w:r w:rsidR="00FB13EB">
              <w:rPr>
                <w:lang w:val="en-US"/>
              </w:rPr>
              <w:t>a part of</w:t>
            </w:r>
            <w:r w:rsidRPr="003C7768">
              <w:rPr>
                <w:lang w:val="en-US"/>
              </w:rPr>
              <w:t xml:space="preserve"> the Core TEN-T and the core national transport axes.</w:t>
            </w:r>
            <w:r w:rsidR="0029525B" w:rsidRPr="0029525B">
              <w:rPr>
                <w:rFonts w:eastAsia="Times New Roman"/>
                <w:szCs w:val="24"/>
                <w:lang w:val="en-US" w:eastAsia="en-US"/>
              </w:rPr>
              <w:t xml:space="preserve"> </w:t>
            </w:r>
            <w:r w:rsidR="0029525B" w:rsidRPr="0029525B">
              <w:rPr>
                <w:lang w:val="en-US"/>
              </w:rPr>
              <w:t xml:space="preserve">The </w:t>
            </w:r>
            <w:r w:rsidR="00FB13EB">
              <w:rPr>
                <w:lang w:val="en-US"/>
              </w:rPr>
              <w:t>planned modernization</w:t>
            </w:r>
            <w:r w:rsidR="0029525B" w:rsidRPr="0029525B">
              <w:rPr>
                <w:lang w:val="en-US"/>
              </w:rPr>
              <w:t xml:space="preserve"> </w:t>
            </w:r>
            <w:r w:rsidR="000D0346">
              <w:rPr>
                <w:lang w:val="en-US"/>
              </w:rPr>
              <w:t xml:space="preserve">of </w:t>
            </w:r>
            <w:r w:rsidR="000D0346" w:rsidRPr="000D0346">
              <w:rPr>
                <w:bCs/>
                <w:lang w:val="en-US"/>
              </w:rPr>
              <w:t>section Voluyak – Dragoman</w:t>
            </w:r>
            <w:r w:rsidR="000D0346" w:rsidRPr="000D0346">
              <w:rPr>
                <w:b/>
                <w:bCs/>
                <w:lang w:val="en-US"/>
              </w:rPr>
              <w:t xml:space="preserve"> </w:t>
            </w:r>
            <w:r w:rsidR="00011E40">
              <w:rPr>
                <w:b/>
                <w:bCs/>
                <w:lang w:val="en-US"/>
              </w:rPr>
              <w:t>/</w:t>
            </w:r>
            <w:r w:rsidR="00011E40" w:rsidRPr="00E52793">
              <w:rPr>
                <w:bCs/>
                <w:lang w:val="en-US"/>
              </w:rPr>
              <w:t>phase 1</w:t>
            </w:r>
            <w:r w:rsidR="00011E40" w:rsidRPr="00E52793">
              <w:rPr>
                <w:b/>
                <w:bCs/>
                <w:lang w:val="en-US"/>
              </w:rPr>
              <w:t xml:space="preserve"> </w:t>
            </w:r>
            <w:r w:rsidR="00011E40" w:rsidRPr="00E52793">
              <w:rPr>
                <w:bCs/>
                <w:lang w:val="en-US"/>
              </w:rPr>
              <w:t xml:space="preserve">under OPTTI and phase 2 </w:t>
            </w:r>
            <w:r w:rsidR="006B731D" w:rsidRPr="00E52793">
              <w:rPr>
                <w:bCs/>
                <w:lang w:val="en-US"/>
              </w:rPr>
              <w:t>in programming period 2021-2027</w:t>
            </w:r>
            <w:r w:rsidR="00011E40" w:rsidRPr="00E52793">
              <w:rPr>
                <w:b/>
                <w:bCs/>
                <w:lang w:val="en-US"/>
              </w:rPr>
              <w:t>/</w:t>
            </w:r>
            <w:r w:rsidR="00011E40">
              <w:rPr>
                <w:b/>
                <w:bCs/>
                <w:lang w:val="en-US"/>
              </w:rPr>
              <w:t xml:space="preserve"> </w:t>
            </w:r>
            <w:r w:rsidR="0029525B" w:rsidRPr="0029525B">
              <w:rPr>
                <w:lang w:val="en-US"/>
              </w:rPr>
              <w:t xml:space="preserve">will result in enhanced security and safety in the railway transport. </w:t>
            </w:r>
            <w:r w:rsidR="00304CDF" w:rsidRPr="00304CDF">
              <w:rPr>
                <w:lang w:val="en-US"/>
              </w:rPr>
              <w:t xml:space="preserve">The activities </w:t>
            </w:r>
            <w:r w:rsidR="00304CDF">
              <w:rPr>
                <w:lang w:val="en-US"/>
              </w:rPr>
              <w:t xml:space="preserve">in the scope of </w:t>
            </w:r>
            <w:r w:rsidR="00011E40">
              <w:rPr>
                <w:lang w:val="en-US"/>
              </w:rPr>
              <w:t xml:space="preserve">phase 1 of </w:t>
            </w:r>
            <w:r w:rsidR="000E797C">
              <w:rPr>
                <w:lang w:val="en-US"/>
              </w:rPr>
              <w:t>the project</w:t>
            </w:r>
            <w:r w:rsidR="003334E2">
              <w:rPr>
                <w:lang w:val="en-US"/>
              </w:rPr>
              <w:t xml:space="preserve"> </w:t>
            </w:r>
            <w:r w:rsidR="00304CDF">
              <w:rPr>
                <w:lang w:val="en-US"/>
              </w:rPr>
              <w:t>include</w:t>
            </w:r>
            <w:r w:rsidR="00011E40">
              <w:rPr>
                <w:lang w:val="en-US"/>
              </w:rPr>
              <w:t xml:space="preserve"> works on: </w:t>
            </w:r>
            <w:r w:rsidR="00E87379">
              <w:rPr>
                <w:lang w:val="bg-BG"/>
              </w:rPr>
              <w:t>1</w:t>
            </w:r>
            <w:r w:rsidR="00E87379" w:rsidRPr="00E87379">
              <w:rPr>
                <w:lang w:val="en-US"/>
              </w:rPr>
              <w:t>)</w:t>
            </w:r>
            <w:r w:rsidR="00E87379">
              <w:rPr>
                <w:lang w:val="bg-BG"/>
              </w:rPr>
              <w:t xml:space="preserve"> </w:t>
            </w:r>
            <w:r w:rsidR="001B6E51">
              <w:rPr>
                <w:lang w:val="en-US"/>
              </w:rPr>
              <w:t>design of: railway, draining</w:t>
            </w:r>
            <w:r w:rsidR="00E87379" w:rsidRPr="00E87379">
              <w:rPr>
                <w:lang w:val="en-US"/>
              </w:rPr>
              <w:t>, ditches and drainages, facilities (</w:t>
            </w:r>
            <w:r w:rsidR="001B6E51">
              <w:rPr>
                <w:lang w:val="en-US"/>
              </w:rPr>
              <w:t>DDP</w:t>
            </w:r>
            <w:r w:rsidR="00E87379" w:rsidRPr="00E87379">
              <w:rPr>
                <w:lang w:val="en-US"/>
              </w:rPr>
              <w:t xml:space="preserve"> for the new ones); noise protection facilities in urban areas and fences for the areas of the stations; railway tracks, new catenary and renewal / modernization of the existing one; reception buildings, signaling and telecommunications;</w:t>
            </w:r>
            <w:r w:rsidR="004F26C0">
              <w:t xml:space="preserve"> </w:t>
            </w:r>
            <w:r w:rsidR="004F26C0" w:rsidRPr="004F26C0">
              <w:rPr>
                <w:lang w:val="en-US"/>
              </w:rPr>
              <w:t xml:space="preserve">2) </w:t>
            </w:r>
            <w:r w:rsidR="004A7BBB" w:rsidRPr="004A7BBB">
              <w:rPr>
                <w:lang w:val="en-US"/>
              </w:rPr>
              <w:t xml:space="preserve">railway </w:t>
            </w:r>
            <w:r w:rsidR="004A7BBB" w:rsidRPr="004A7BBB">
              <w:rPr>
                <w:lang w:val="en-US"/>
              </w:rPr>
              <w:lastRenderedPageBreak/>
              <w:t>construction, drainage, ditches and drains - new railway from km 15+825 to km 21+306 with a total length of 5,484 m, from km 24+500 to km 26+800 with a total length of 2,300 m and from km 34+460 to 35+800 with a total length of 1,340</w:t>
            </w:r>
            <w:r w:rsidR="00D4022C">
              <w:rPr>
                <w:lang w:val="bg-BG"/>
              </w:rPr>
              <w:t xml:space="preserve"> </w:t>
            </w:r>
            <w:r w:rsidR="004A7BBB" w:rsidRPr="004A7BBB">
              <w:rPr>
                <w:lang w:val="en-US"/>
              </w:rPr>
              <w:t xml:space="preserve">m; renewed/modernized railway - from km 9+200 to km 21+306 with a length of 12,106 km; from km 36+100 to km 42+537 with a length of 6,438 km; from km 27+622 to km 36+100 with a total length of 8,478 km; from km 37+100 to km 38+100 with a total length of 1,000 m; railway bridges - preparatory works and alignment of the facilities at km 25+706, km 28+580, and km 28+780; tracks in the stations - Kostinbrod - lower construction of 3 tracks; catenary - making foundations for </w:t>
            </w:r>
            <w:r w:rsidR="00D4022C">
              <w:rPr>
                <w:lang w:val="en-US"/>
              </w:rPr>
              <w:t>catenary</w:t>
            </w:r>
            <w:r w:rsidR="004A7BBB" w:rsidRPr="004A7BBB">
              <w:rPr>
                <w:lang w:val="en-US"/>
              </w:rPr>
              <w:t xml:space="preserve"> pillars.</w:t>
            </w:r>
            <w:r w:rsidR="004A7BBB">
              <w:rPr>
                <w:lang w:val="bg-BG"/>
              </w:rPr>
              <w:t xml:space="preserve"> </w:t>
            </w:r>
          </w:p>
          <w:p w14:paraId="7378E73F" w14:textId="700BA54A" w:rsidR="006F29F0" w:rsidRPr="008340BB" w:rsidRDefault="00AA296A" w:rsidP="00997E66">
            <w:pPr>
              <w:ind w:right="2"/>
            </w:pPr>
            <w:r>
              <w:rPr>
                <w:lang w:val="en-US"/>
              </w:rPr>
              <w:t>In addition, t</w:t>
            </w:r>
            <w:r w:rsidR="006846D0" w:rsidRPr="006846D0">
              <w:rPr>
                <w:lang w:val="en-US"/>
              </w:rPr>
              <w:t>hree traction substations will be modernized and put into operation, along with the adjacent infrastructure in compliance with the applicable legislation.</w:t>
            </w:r>
            <w:r w:rsidR="006846D0">
              <w:rPr>
                <w:lang w:val="en-US"/>
              </w:rPr>
              <w:t xml:space="preserve"> </w:t>
            </w:r>
            <w:r w:rsidR="00167763" w:rsidRPr="00167763">
              <w:rPr>
                <w:lang w:val="en-US"/>
              </w:rPr>
              <w:t xml:space="preserve">The project includes  modernization of the existing traction substations in Varna and Razgrad, </w:t>
            </w:r>
            <w:r w:rsidR="004851A5" w:rsidRPr="004851A5">
              <w:rPr>
                <w:lang w:val="en-US"/>
              </w:rPr>
              <w:t>as well as construction of a new substation in Ruse /phase 1 under OPTTI 2014-2020 and phase 2 in the program</w:t>
            </w:r>
            <w:r w:rsidR="0037055A">
              <w:rPr>
                <w:lang w:val="en-US"/>
              </w:rPr>
              <w:t>ming</w:t>
            </w:r>
            <w:r w:rsidR="004851A5" w:rsidRPr="004851A5">
              <w:rPr>
                <w:lang w:val="en-US"/>
              </w:rPr>
              <w:t xml:space="preserve"> period 2021-2027/</w:t>
            </w:r>
            <w:r w:rsidR="004851A5">
              <w:rPr>
                <w:lang w:val="en-US"/>
              </w:rPr>
              <w:t xml:space="preserve"> </w:t>
            </w:r>
            <w:r w:rsidR="00167763" w:rsidRPr="00167763">
              <w:rPr>
                <w:lang w:val="en-US"/>
              </w:rPr>
              <w:t>to service railway lines being part of the core and comprehensive TEN-T.</w:t>
            </w:r>
            <w:r w:rsidR="001D1769">
              <w:rPr>
                <w:lang w:val="en-US"/>
              </w:rPr>
              <w:t xml:space="preserve"> </w:t>
            </w:r>
            <w:r w:rsidR="005840E0" w:rsidRPr="005840E0">
              <w:rPr>
                <w:lang w:val="en-US"/>
              </w:rPr>
              <w:t xml:space="preserve">Activities within the scope of phase 1 of the project include works on: completed technical and operational design for the three </w:t>
            </w:r>
            <w:r w:rsidR="005840E0">
              <w:rPr>
                <w:lang w:val="en-US"/>
              </w:rPr>
              <w:t>traction substations</w:t>
            </w:r>
            <w:r w:rsidR="005840E0" w:rsidRPr="005840E0">
              <w:rPr>
                <w:lang w:val="en-US"/>
              </w:rPr>
              <w:t>; completed deliveries and constr</w:t>
            </w:r>
            <w:r w:rsidR="005840E0">
              <w:rPr>
                <w:lang w:val="en-US"/>
              </w:rPr>
              <w:t>uction for Varna and Razgrad traction substations; implementation of Ruse traction substation</w:t>
            </w:r>
            <w:r w:rsidR="005840E0" w:rsidRPr="005840E0">
              <w:rPr>
                <w:lang w:val="en-US"/>
              </w:rPr>
              <w:t xml:space="preserve"> 44.48%. The Ruse traction substation will be implemented in two consecutive program</w:t>
            </w:r>
            <w:r w:rsidR="005840E0">
              <w:rPr>
                <w:lang w:val="en-US"/>
              </w:rPr>
              <w:t>ming</w:t>
            </w:r>
            <w:r w:rsidR="005840E0" w:rsidRPr="005840E0">
              <w:rPr>
                <w:lang w:val="en-US"/>
              </w:rPr>
              <w:t xml:space="preserve"> periods.</w:t>
            </w:r>
            <w:r w:rsidR="005840E0">
              <w:rPr>
                <w:lang w:val="en-US"/>
              </w:rPr>
              <w:t xml:space="preserve"> </w:t>
            </w:r>
            <w:r w:rsidR="00167763" w:rsidRPr="00167763">
              <w:rPr>
                <w:lang w:val="en-US"/>
              </w:rPr>
              <w:t>The main objective of the project is to provide reliable power supply and achieve interoperability, as well as to reduce energy costs and train travel delays due to power supply failures in the section.</w:t>
            </w:r>
          </w:p>
          <w:p w14:paraId="3B44AA6B" w14:textId="77777777" w:rsidR="00F1341F" w:rsidRPr="008340BB" w:rsidRDefault="00F1341F" w:rsidP="00997E66">
            <w:pPr>
              <w:widowControl w:val="0"/>
              <w:autoSpaceDE w:val="0"/>
              <w:autoSpaceDN w:val="0"/>
              <w:adjustRightInd w:val="0"/>
              <w:ind w:right="2"/>
            </w:pPr>
            <w:r w:rsidRPr="008340BB">
              <w:rPr>
                <w:rStyle w:val="hps"/>
              </w:rPr>
              <w:t>To implement</w:t>
            </w:r>
            <w:r w:rsidRPr="008340BB">
              <w:t xml:space="preserve"> </w:t>
            </w:r>
            <w:r w:rsidRPr="008340BB">
              <w:rPr>
                <w:rStyle w:val="hps"/>
              </w:rPr>
              <w:t>these activities</w:t>
            </w:r>
            <w:r w:rsidRPr="008340BB">
              <w:t xml:space="preserve"> </w:t>
            </w:r>
            <w:r w:rsidRPr="008340BB">
              <w:rPr>
                <w:rStyle w:val="hps"/>
              </w:rPr>
              <w:t>within the framework of this</w:t>
            </w:r>
            <w:r w:rsidRPr="008340BB">
              <w:t xml:space="preserve"> </w:t>
            </w:r>
            <w:r w:rsidRPr="008340BB">
              <w:rPr>
                <w:rStyle w:val="hps"/>
              </w:rPr>
              <w:t>priority axis of</w:t>
            </w:r>
            <w:r w:rsidRPr="008340BB">
              <w:t xml:space="preserve"> </w:t>
            </w:r>
            <w:r w:rsidRPr="008340BB">
              <w:rPr>
                <w:rStyle w:val="hps"/>
              </w:rPr>
              <w:t>OPTTI</w:t>
            </w:r>
            <w:r w:rsidRPr="008340BB">
              <w:t xml:space="preserve"> </w:t>
            </w:r>
            <w:r w:rsidRPr="008340BB">
              <w:rPr>
                <w:rStyle w:val="hps"/>
              </w:rPr>
              <w:t>2014-2020</w:t>
            </w:r>
            <w:r w:rsidRPr="008340BB">
              <w:t xml:space="preserve"> it </w:t>
            </w:r>
            <w:r w:rsidRPr="008340BB">
              <w:rPr>
                <w:rStyle w:val="hps"/>
              </w:rPr>
              <w:t>is envisaged funding of</w:t>
            </w:r>
            <w:r w:rsidRPr="008340BB">
              <w:t xml:space="preserve"> </w:t>
            </w:r>
            <w:r w:rsidRPr="008340BB">
              <w:rPr>
                <w:rStyle w:val="hps"/>
              </w:rPr>
              <w:t>the following investment</w:t>
            </w:r>
            <w:r w:rsidRPr="008340BB">
              <w:t xml:space="preserve"> </w:t>
            </w:r>
            <w:r w:rsidRPr="008340BB">
              <w:rPr>
                <w:rStyle w:val="hps"/>
              </w:rPr>
              <w:t>projects</w:t>
            </w:r>
            <w:r w:rsidRPr="008340BB">
              <w:t>:</w:t>
            </w:r>
          </w:p>
          <w:p w14:paraId="544AACA7" w14:textId="09640E5E" w:rsidR="00F1341F" w:rsidRPr="008340BB" w:rsidRDefault="00F1341F" w:rsidP="002F758E">
            <w:pPr>
              <w:widowControl w:val="0"/>
              <w:numPr>
                <w:ilvl w:val="0"/>
                <w:numId w:val="82"/>
              </w:numPr>
              <w:autoSpaceDE w:val="0"/>
              <w:autoSpaceDN w:val="0"/>
              <w:adjustRightInd w:val="0"/>
              <w:ind w:right="2"/>
            </w:pPr>
            <w:r w:rsidRPr="008340BB">
              <w:rPr>
                <w:rStyle w:val="hps"/>
              </w:rPr>
              <w:t>Rehabilitation of the railway</w:t>
            </w:r>
            <w:r w:rsidRPr="008340BB">
              <w:t xml:space="preserve"> </w:t>
            </w:r>
            <w:r w:rsidR="00D76AAE">
              <w:rPr>
                <w:rStyle w:val="hps"/>
              </w:rPr>
              <w:t>line</w:t>
            </w:r>
            <w:r w:rsidRPr="008340BB">
              <w:t xml:space="preserve"> </w:t>
            </w:r>
            <w:r w:rsidRPr="008340BB">
              <w:rPr>
                <w:rStyle w:val="hps"/>
              </w:rPr>
              <w:t>Plovdiv</w:t>
            </w:r>
            <w:r w:rsidR="002F758E" w:rsidRPr="008340BB">
              <w:rPr>
                <w:rStyle w:val="hps"/>
              </w:rPr>
              <w:t xml:space="preserve"> </w:t>
            </w:r>
            <w:r w:rsidRPr="008340BB">
              <w:rPr>
                <w:rStyle w:val="hps"/>
              </w:rPr>
              <w:t>-</w:t>
            </w:r>
            <w:r w:rsidR="002F758E" w:rsidRPr="008340BB">
              <w:rPr>
                <w:rStyle w:val="hps"/>
              </w:rPr>
              <w:t xml:space="preserve"> </w:t>
            </w:r>
            <w:r w:rsidRPr="008340BB">
              <w:t xml:space="preserve">Burgas </w:t>
            </w:r>
            <w:r w:rsidRPr="008340BB">
              <w:rPr>
                <w:rStyle w:val="hps"/>
              </w:rPr>
              <w:t>Phase</w:t>
            </w:r>
            <w:r w:rsidRPr="008340BB">
              <w:t xml:space="preserve"> </w:t>
            </w:r>
            <w:r w:rsidRPr="008340BB">
              <w:rPr>
                <w:rStyle w:val="hps"/>
              </w:rPr>
              <w:t>II</w:t>
            </w:r>
            <w:r w:rsidR="005A65E9">
              <w:rPr>
                <w:rStyle w:val="hps"/>
              </w:rPr>
              <w:t>, Stage 1</w:t>
            </w:r>
            <w:r w:rsidRPr="008340BB">
              <w:t>;</w:t>
            </w:r>
          </w:p>
          <w:p w14:paraId="4FCE5E14" w14:textId="4D679CA1" w:rsidR="00F1341F" w:rsidRDefault="00F1341F" w:rsidP="002F758E">
            <w:pPr>
              <w:widowControl w:val="0"/>
              <w:numPr>
                <w:ilvl w:val="0"/>
                <w:numId w:val="82"/>
              </w:numPr>
              <w:autoSpaceDE w:val="0"/>
              <w:autoSpaceDN w:val="0"/>
              <w:adjustRightInd w:val="0"/>
              <w:ind w:right="2"/>
              <w:rPr>
                <w:rStyle w:val="hps"/>
              </w:rPr>
            </w:pPr>
            <w:r w:rsidRPr="008340BB">
              <w:rPr>
                <w:rStyle w:val="hps"/>
              </w:rPr>
              <w:t>Modernisation</w:t>
            </w:r>
            <w:r w:rsidRPr="008340BB">
              <w:t xml:space="preserve"> </w:t>
            </w:r>
            <w:r w:rsidRPr="008340BB">
              <w:rPr>
                <w:rStyle w:val="hps"/>
              </w:rPr>
              <w:t>of the railway line</w:t>
            </w:r>
            <w:r w:rsidRPr="008340BB">
              <w:t xml:space="preserve"> </w:t>
            </w:r>
            <w:r w:rsidRPr="008340BB">
              <w:rPr>
                <w:rStyle w:val="hps"/>
              </w:rPr>
              <w:t>Sofia</w:t>
            </w:r>
            <w:r w:rsidR="002D57B4" w:rsidRPr="008340BB">
              <w:rPr>
                <w:rStyle w:val="hps"/>
              </w:rPr>
              <w:t xml:space="preserve"> </w:t>
            </w:r>
            <w:r w:rsidRPr="008340BB">
              <w:rPr>
                <w:rStyle w:val="alt-edited"/>
              </w:rPr>
              <w:t>-</w:t>
            </w:r>
            <w:r w:rsidR="002D57B4" w:rsidRPr="008340BB">
              <w:rPr>
                <w:rStyle w:val="alt-edited"/>
              </w:rPr>
              <w:t xml:space="preserve"> </w:t>
            </w:r>
            <w:r w:rsidR="00D76AAE">
              <w:rPr>
                <w:rStyle w:val="alt-edited"/>
              </w:rPr>
              <w:t>Plovdiv</w:t>
            </w:r>
            <w:r w:rsidRPr="008340BB">
              <w:t xml:space="preserve"> </w:t>
            </w:r>
            <w:r w:rsidRPr="008340BB">
              <w:rPr>
                <w:rStyle w:val="hps"/>
              </w:rPr>
              <w:t>in the section Elin Pelin</w:t>
            </w:r>
            <w:r w:rsidR="002F758E" w:rsidRPr="008340BB">
              <w:rPr>
                <w:rStyle w:val="hps"/>
              </w:rPr>
              <w:t xml:space="preserve"> </w:t>
            </w:r>
            <w:r w:rsidR="00A601EF">
              <w:rPr>
                <w:rStyle w:val="alt-edited"/>
              </w:rPr>
              <w:t>–</w:t>
            </w:r>
            <w:r w:rsidR="002F758E" w:rsidRPr="008340BB">
              <w:rPr>
                <w:rStyle w:val="alt-edited"/>
              </w:rPr>
              <w:t xml:space="preserve"> </w:t>
            </w:r>
            <w:r w:rsidR="00D76AAE">
              <w:rPr>
                <w:rStyle w:val="alt-edited"/>
              </w:rPr>
              <w:t>Kostenetz</w:t>
            </w:r>
            <w:r w:rsidR="00A601EF">
              <w:rPr>
                <w:rStyle w:val="alt-edited"/>
              </w:rPr>
              <w:t xml:space="preserve"> Phase I</w:t>
            </w:r>
            <w:r w:rsidR="006F29F0">
              <w:rPr>
                <w:rStyle w:val="hps"/>
              </w:rPr>
              <w:t>;</w:t>
            </w:r>
          </w:p>
          <w:p w14:paraId="0B57F6B1" w14:textId="15BDE048" w:rsidR="006F29F0" w:rsidRPr="00357D0D" w:rsidRDefault="006F29F0" w:rsidP="002F758E">
            <w:pPr>
              <w:widowControl w:val="0"/>
              <w:numPr>
                <w:ilvl w:val="0"/>
                <w:numId w:val="82"/>
              </w:numPr>
              <w:autoSpaceDE w:val="0"/>
              <w:autoSpaceDN w:val="0"/>
              <w:adjustRightInd w:val="0"/>
              <w:ind w:right="2"/>
            </w:pPr>
            <w:r w:rsidRPr="00357D0D">
              <w:rPr>
                <w:bCs/>
                <w:lang w:val="en-US"/>
              </w:rPr>
              <w:t>Modernization of Sofia – Dragoman – Serbian border Railway line</w:t>
            </w:r>
            <w:r w:rsidRPr="006F29F0">
              <w:rPr>
                <w:lang w:val="en-US"/>
              </w:rPr>
              <w:t xml:space="preserve">, </w:t>
            </w:r>
            <w:r w:rsidRPr="00357D0D">
              <w:rPr>
                <w:bCs/>
                <w:lang w:val="en-US"/>
              </w:rPr>
              <w:t>section Voluyak – Dragoman</w:t>
            </w:r>
            <w:r w:rsidR="0030681A">
              <w:rPr>
                <w:bCs/>
                <w:lang w:val="en-US"/>
              </w:rPr>
              <w:t>, phase I</w:t>
            </w:r>
            <w:r>
              <w:rPr>
                <w:bCs/>
                <w:lang w:val="en-US"/>
              </w:rPr>
              <w:t>;</w:t>
            </w:r>
          </w:p>
          <w:p w14:paraId="342D6187" w14:textId="7298036F" w:rsidR="006F29F0" w:rsidRPr="006F29F0" w:rsidRDefault="006F29F0" w:rsidP="006F29F0">
            <w:pPr>
              <w:widowControl w:val="0"/>
              <w:numPr>
                <w:ilvl w:val="0"/>
                <w:numId w:val="82"/>
              </w:numPr>
              <w:autoSpaceDE w:val="0"/>
              <w:autoSpaceDN w:val="0"/>
              <w:adjustRightInd w:val="0"/>
              <w:ind w:right="2"/>
            </w:pPr>
            <w:r w:rsidRPr="006F29F0">
              <w:t xml:space="preserve">Modernisation </w:t>
            </w:r>
            <w:r w:rsidR="00167763">
              <w:t>of traction substations Razgrad and</w:t>
            </w:r>
            <w:r w:rsidRPr="006F29F0">
              <w:t xml:space="preserve"> Varna and </w:t>
            </w:r>
            <w:r w:rsidR="00167763">
              <w:t xml:space="preserve">construction of </w:t>
            </w:r>
            <w:r w:rsidR="00EF6072">
              <w:t xml:space="preserve">traction substation </w:t>
            </w:r>
            <w:r w:rsidRPr="006F29F0">
              <w:t>Ruse</w:t>
            </w:r>
            <w:r w:rsidR="00CB5D8C">
              <w:t>, phase 1</w:t>
            </w:r>
            <w:r>
              <w:t>.</w:t>
            </w:r>
          </w:p>
          <w:p w14:paraId="3AFC162F" w14:textId="1AF09938" w:rsidR="00F1341F" w:rsidRPr="008340BB" w:rsidRDefault="00F1341F" w:rsidP="00997E66">
            <w:pPr>
              <w:widowControl w:val="0"/>
              <w:autoSpaceDE w:val="0"/>
              <w:autoSpaceDN w:val="0"/>
              <w:adjustRightInd w:val="0"/>
              <w:ind w:right="2"/>
            </w:pPr>
            <w:r w:rsidRPr="008340BB">
              <w:rPr>
                <w:rStyle w:val="hps"/>
              </w:rPr>
              <w:t>The projects</w:t>
            </w:r>
            <w:r w:rsidRPr="008340BB">
              <w:t xml:space="preserve"> </w:t>
            </w:r>
            <w:r w:rsidRPr="008340BB">
              <w:rPr>
                <w:rStyle w:val="hps"/>
              </w:rPr>
              <w:t>are part of the</w:t>
            </w:r>
            <w:r w:rsidRPr="008340BB">
              <w:t xml:space="preserve"> </w:t>
            </w:r>
            <w:r w:rsidRPr="008340BB">
              <w:rPr>
                <w:rStyle w:val="hps"/>
              </w:rPr>
              <w:t>Trans-European</w:t>
            </w:r>
            <w:r w:rsidRPr="008340BB">
              <w:t xml:space="preserve"> </w:t>
            </w:r>
            <w:r w:rsidRPr="008340BB">
              <w:rPr>
                <w:rStyle w:val="hps"/>
              </w:rPr>
              <w:t xml:space="preserve">Transport Network. </w:t>
            </w:r>
          </w:p>
          <w:p w14:paraId="73EBD8A5" w14:textId="62AB80B4" w:rsidR="00F1341F" w:rsidRPr="008340BB" w:rsidRDefault="00F1341F" w:rsidP="008F5422">
            <w:pPr>
              <w:pStyle w:val="Default"/>
              <w:spacing w:before="120" w:after="120"/>
              <w:jc w:val="both"/>
              <w:rPr>
                <w:lang w:val="en-GB"/>
              </w:rPr>
            </w:pPr>
            <w:r w:rsidRPr="008340BB">
              <w:rPr>
                <w:rStyle w:val="hps"/>
                <w:lang w:val="en-GB"/>
              </w:rPr>
              <w:t>For funding under</w:t>
            </w:r>
            <w:r w:rsidRPr="008340BB">
              <w:rPr>
                <w:lang w:val="en-GB"/>
              </w:rPr>
              <w:t xml:space="preserve"> </w:t>
            </w:r>
            <w:r w:rsidRPr="008340BB">
              <w:rPr>
                <w:rStyle w:val="hps"/>
                <w:lang w:val="en-GB"/>
              </w:rPr>
              <w:t>the Connecting</w:t>
            </w:r>
            <w:r w:rsidRPr="008340BB">
              <w:rPr>
                <w:lang w:val="en-GB"/>
              </w:rPr>
              <w:t xml:space="preserve"> </w:t>
            </w:r>
            <w:r w:rsidRPr="008340BB">
              <w:rPr>
                <w:rStyle w:val="hps"/>
                <w:lang w:val="en-GB"/>
              </w:rPr>
              <w:t>Europe Facility</w:t>
            </w:r>
            <w:r w:rsidRPr="008340BB">
              <w:rPr>
                <w:lang w:val="en-GB"/>
              </w:rPr>
              <w:t xml:space="preserve"> </w:t>
            </w:r>
            <w:r w:rsidRPr="008340BB">
              <w:rPr>
                <w:rStyle w:val="hps"/>
                <w:lang w:val="en-GB"/>
              </w:rPr>
              <w:t>are envisaged</w:t>
            </w:r>
            <w:r w:rsidRPr="008340BB">
              <w:rPr>
                <w:lang w:val="en-GB"/>
              </w:rPr>
              <w:t xml:space="preserve"> </w:t>
            </w:r>
            <w:r w:rsidRPr="008340BB">
              <w:rPr>
                <w:rStyle w:val="hps"/>
                <w:lang w:val="en-GB"/>
              </w:rPr>
              <w:t>investments along the</w:t>
            </w:r>
            <w:r w:rsidRPr="008340BB">
              <w:rPr>
                <w:lang w:val="en-GB"/>
              </w:rPr>
              <w:t xml:space="preserve"> </w:t>
            </w:r>
            <w:r w:rsidRPr="008340BB">
              <w:rPr>
                <w:rStyle w:val="hps"/>
                <w:lang w:val="en-GB"/>
              </w:rPr>
              <w:t>directions</w:t>
            </w:r>
            <w:r w:rsidRPr="008340BB">
              <w:rPr>
                <w:lang w:val="en-GB"/>
              </w:rPr>
              <w:t xml:space="preserve"> </w:t>
            </w:r>
            <w:r w:rsidR="00962164">
              <w:rPr>
                <w:rStyle w:val="hps"/>
                <w:lang w:val="en-GB"/>
              </w:rPr>
              <w:t>Voluyak</w:t>
            </w:r>
            <w:r w:rsidRPr="008340BB">
              <w:rPr>
                <w:rStyle w:val="atn"/>
                <w:lang w:val="en-GB"/>
              </w:rPr>
              <w:t>-</w:t>
            </w:r>
            <w:r w:rsidR="002D57B4" w:rsidRPr="008340BB">
              <w:rPr>
                <w:rStyle w:val="atn"/>
                <w:lang w:val="en-GB"/>
              </w:rPr>
              <w:t xml:space="preserve"> </w:t>
            </w:r>
            <w:r w:rsidRPr="008340BB">
              <w:rPr>
                <w:lang w:val="en-GB"/>
              </w:rPr>
              <w:t>Sofia-</w:t>
            </w:r>
            <w:r w:rsidRPr="008340BB">
              <w:rPr>
                <w:rStyle w:val="hps"/>
                <w:lang w:val="en-GB"/>
              </w:rPr>
              <w:t>Elin Pelin</w:t>
            </w:r>
            <w:r w:rsidRPr="008340BB">
              <w:rPr>
                <w:lang w:val="en-GB"/>
              </w:rPr>
              <w:t xml:space="preserve"> and </w:t>
            </w:r>
            <w:r w:rsidR="00962164">
              <w:rPr>
                <w:lang w:val="en-GB"/>
              </w:rPr>
              <w:t>Kostenetz-Septemvri</w:t>
            </w:r>
            <w:r w:rsidRPr="008340BB">
              <w:rPr>
                <w:lang w:val="en-GB"/>
              </w:rPr>
              <w:t xml:space="preserve">. The </w:t>
            </w:r>
            <w:r w:rsidRPr="008340BB">
              <w:rPr>
                <w:rStyle w:val="hps"/>
                <w:lang w:val="en-GB"/>
              </w:rPr>
              <w:t>preparation works</w:t>
            </w:r>
            <w:r w:rsidRPr="008340BB">
              <w:rPr>
                <w:lang w:val="en-GB"/>
              </w:rPr>
              <w:t xml:space="preserve"> </w:t>
            </w:r>
            <w:r w:rsidRPr="008340BB">
              <w:rPr>
                <w:rStyle w:val="hps"/>
                <w:lang w:val="en-GB"/>
              </w:rPr>
              <w:t>for carrying out the construction</w:t>
            </w:r>
            <w:r w:rsidRPr="008340BB">
              <w:rPr>
                <w:lang w:val="en-GB"/>
              </w:rPr>
              <w:t xml:space="preserve"> </w:t>
            </w:r>
            <w:r w:rsidRPr="008340BB">
              <w:rPr>
                <w:rStyle w:val="hps"/>
                <w:lang w:val="en-GB"/>
              </w:rPr>
              <w:t>are</w:t>
            </w:r>
            <w:r w:rsidRPr="008340BB">
              <w:rPr>
                <w:lang w:val="en-GB"/>
              </w:rPr>
              <w:t xml:space="preserve"> </w:t>
            </w:r>
            <w:r w:rsidRPr="008340BB">
              <w:rPr>
                <w:rStyle w:val="hps"/>
                <w:lang w:val="en-GB"/>
              </w:rPr>
              <w:t>entirely funded</w:t>
            </w:r>
            <w:r w:rsidRPr="008340BB">
              <w:rPr>
                <w:lang w:val="en-GB"/>
              </w:rPr>
              <w:t xml:space="preserve"> under </w:t>
            </w:r>
            <w:r w:rsidRPr="008340BB">
              <w:rPr>
                <w:rStyle w:val="hps"/>
                <w:lang w:val="en-GB"/>
              </w:rPr>
              <w:t>OPT</w:t>
            </w:r>
            <w:r w:rsidRPr="008340BB">
              <w:rPr>
                <w:lang w:val="en-GB"/>
              </w:rPr>
              <w:t xml:space="preserve"> </w:t>
            </w:r>
            <w:r w:rsidRPr="008340BB">
              <w:rPr>
                <w:rStyle w:val="hps"/>
                <w:lang w:val="en-GB"/>
              </w:rPr>
              <w:t>2007-2013</w:t>
            </w:r>
            <w:r w:rsidRPr="008340BB">
              <w:rPr>
                <w:lang w:val="en-GB"/>
              </w:rPr>
              <w:t xml:space="preserve"> </w:t>
            </w:r>
            <w:r w:rsidRPr="008340BB">
              <w:rPr>
                <w:rStyle w:val="hps"/>
                <w:lang w:val="en-GB"/>
              </w:rPr>
              <w:t>for the following</w:t>
            </w:r>
            <w:r w:rsidRPr="008340BB">
              <w:rPr>
                <w:lang w:val="en-GB"/>
              </w:rPr>
              <w:t xml:space="preserve"> </w:t>
            </w:r>
            <w:r w:rsidRPr="008340BB">
              <w:rPr>
                <w:rStyle w:val="hps"/>
                <w:lang w:val="en-GB"/>
              </w:rPr>
              <w:t>sections -</w:t>
            </w:r>
            <w:r w:rsidRPr="008340BB">
              <w:rPr>
                <w:lang w:val="en-GB"/>
              </w:rPr>
              <w:t xml:space="preserve"> </w:t>
            </w:r>
            <w:r w:rsidRPr="008340BB">
              <w:rPr>
                <w:rStyle w:val="hps"/>
                <w:lang w:val="en-GB"/>
              </w:rPr>
              <w:t>railway junction</w:t>
            </w:r>
            <w:r w:rsidR="00CC5BAF">
              <w:rPr>
                <w:rStyle w:val="hps"/>
                <w:lang w:val="en-GB"/>
              </w:rPr>
              <w:t xml:space="preserve"> Sofia</w:t>
            </w:r>
            <w:r w:rsidRPr="008340BB">
              <w:rPr>
                <w:rStyle w:val="hps"/>
                <w:lang w:val="en-GB"/>
              </w:rPr>
              <w:t>,</w:t>
            </w:r>
            <w:r w:rsidRPr="008340BB">
              <w:rPr>
                <w:lang w:val="en-GB"/>
              </w:rPr>
              <w:t xml:space="preserve"> </w:t>
            </w:r>
            <w:r w:rsidRPr="008340BB">
              <w:rPr>
                <w:rStyle w:val="hps"/>
                <w:lang w:val="en-GB"/>
              </w:rPr>
              <w:t>Sofia</w:t>
            </w:r>
            <w:r w:rsidR="002D57B4" w:rsidRPr="008340BB">
              <w:rPr>
                <w:rStyle w:val="hps"/>
                <w:lang w:val="en-GB"/>
              </w:rPr>
              <w:t xml:space="preserve"> </w:t>
            </w:r>
            <w:r w:rsidRPr="008340BB">
              <w:rPr>
                <w:lang w:val="en-GB"/>
              </w:rPr>
              <w:t>-</w:t>
            </w:r>
            <w:r w:rsidR="002D57B4" w:rsidRPr="008340BB">
              <w:rPr>
                <w:lang w:val="en-GB"/>
              </w:rPr>
              <w:t xml:space="preserve"> </w:t>
            </w:r>
            <w:r w:rsidRPr="008340BB">
              <w:rPr>
                <w:rStyle w:val="hps"/>
                <w:lang w:val="en-GB"/>
              </w:rPr>
              <w:t>Elin Pelin</w:t>
            </w:r>
            <w:r w:rsidRPr="008340BB">
              <w:rPr>
                <w:lang w:val="en-GB"/>
              </w:rPr>
              <w:t xml:space="preserve"> and </w:t>
            </w:r>
            <w:r w:rsidR="00CC5BAF">
              <w:rPr>
                <w:lang w:val="en-GB"/>
              </w:rPr>
              <w:t>railway junction Plovdiv</w:t>
            </w:r>
            <w:r w:rsidRPr="008340BB">
              <w:rPr>
                <w:rStyle w:val="hps"/>
                <w:lang w:val="en-GB"/>
              </w:rPr>
              <w:t>, provided that</w:t>
            </w:r>
            <w:r w:rsidRPr="008340BB">
              <w:rPr>
                <w:lang w:val="en-GB"/>
              </w:rPr>
              <w:t xml:space="preserve"> </w:t>
            </w:r>
            <w:r w:rsidRPr="008340BB">
              <w:rPr>
                <w:rStyle w:val="hps"/>
                <w:lang w:val="en-GB"/>
              </w:rPr>
              <w:t>for</w:t>
            </w:r>
            <w:r w:rsidRPr="008340BB">
              <w:rPr>
                <w:lang w:val="en-GB"/>
              </w:rPr>
              <w:t xml:space="preserve"> </w:t>
            </w:r>
            <w:r w:rsidRPr="008340BB">
              <w:rPr>
                <w:rStyle w:val="hps"/>
                <w:lang w:val="en-GB"/>
              </w:rPr>
              <w:t>each project</w:t>
            </w:r>
            <w:r w:rsidRPr="008340BB">
              <w:rPr>
                <w:lang w:val="en-GB"/>
              </w:rPr>
              <w:t xml:space="preserve"> the </w:t>
            </w:r>
            <w:r w:rsidRPr="008340BB">
              <w:rPr>
                <w:rStyle w:val="hps"/>
                <w:lang w:val="en-GB"/>
              </w:rPr>
              <w:t>preparation for achieving a</w:t>
            </w:r>
            <w:r w:rsidRPr="008340BB">
              <w:rPr>
                <w:lang w:val="en-GB"/>
              </w:rPr>
              <w:t xml:space="preserve"> </w:t>
            </w:r>
            <w:r w:rsidRPr="008340BB">
              <w:rPr>
                <w:rStyle w:val="hps"/>
                <w:lang w:val="en-GB"/>
              </w:rPr>
              <w:t>"</w:t>
            </w:r>
            <w:r w:rsidRPr="008340BB">
              <w:rPr>
                <w:lang w:val="en-GB"/>
              </w:rPr>
              <w:t xml:space="preserve">mature" </w:t>
            </w:r>
            <w:r w:rsidRPr="008340BB">
              <w:rPr>
                <w:rStyle w:val="hps"/>
                <w:lang w:val="en-GB"/>
              </w:rPr>
              <w:t>project</w:t>
            </w:r>
            <w:r w:rsidRPr="008340BB">
              <w:rPr>
                <w:lang w:val="en-GB"/>
              </w:rPr>
              <w:t xml:space="preserve"> </w:t>
            </w:r>
            <w:r w:rsidRPr="008340BB">
              <w:rPr>
                <w:rStyle w:val="hps"/>
                <w:lang w:val="en-GB"/>
              </w:rPr>
              <w:t>stage is</w:t>
            </w:r>
            <w:r w:rsidRPr="008340BB">
              <w:rPr>
                <w:lang w:val="en-GB"/>
              </w:rPr>
              <w:t xml:space="preserve"> at </w:t>
            </w:r>
            <w:r w:rsidRPr="008340BB">
              <w:rPr>
                <w:rStyle w:val="hps"/>
                <w:lang w:val="en-GB"/>
              </w:rPr>
              <w:t>the following</w:t>
            </w:r>
            <w:r w:rsidRPr="008340BB">
              <w:rPr>
                <w:lang w:val="en-GB"/>
              </w:rPr>
              <w:t xml:space="preserve"> </w:t>
            </w:r>
            <w:r w:rsidRPr="008340BB">
              <w:rPr>
                <w:rStyle w:val="hps"/>
                <w:lang w:val="en-GB"/>
              </w:rPr>
              <w:t>phase:</w:t>
            </w:r>
          </w:p>
          <w:p w14:paraId="5B77CDA7" w14:textId="1D082D42" w:rsidR="00F1341F" w:rsidRPr="00930D47" w:rsidRDefault="00F1341F" w:rsidP="00930D47">
            <w:pPr>
              <w:pStyle w:val="Default"/>
              <w:numPr>
                <w:ilvl w:val="0"/>
                <w:numId w:val="83"/>
              </w:numPr>
              <w:spacing w:before="120" w:after="120"/>
              <w:jc w:val="both"/>
              <w:rPr>
                <w:lang w:val="en-GB"/>
              </w:rPr>
            </w:pPr>
            <w:r w:rsidRPr="00930D47">
              <w:rPr>
                <w:rStyle w:val="hps"/>
                <w:lang w:val="en-GB"/>
              </w:rPr>
              <w:t>Sofia</w:t>
            </w:r>
            <w:r w:rsidRPr="00930D47">
              <w:rPr>
                <w:lang w:val="en-GB"/>
              </w:rPr>
              <w:t xml:space="preserve"> </w:t>
            </w:r>
            <w:r w:rsidRPr="00930D47">
              <w:rPr>
                <w:rStyle w:val="hps"/>
                <w:lang w:val="en-GB"/>
              </w:rPr>
              <w:t>railway junction</w:t>
            </w:r>
            <w:r w:rsidRPr="00930D47">
              <w:rPr>
                <w:lang w:val="en-GB"/>
              </w:rPr>
              <w:t xml:space="preserve"> </w:t>
            </w:r>
            <w:r w:rsidR="000831E5" w:rsidRPr="00930D47">
              <w:rPr>
                <w:lang w:val="en-GB"/>
              </w:rPr>
              <w:t xml:space="preserve">in the section Sofia-Voluyak </w:t>
            </w:r>
            <w:r w:rsidRPr="00930D47">
              <w:rPr>
                <w:rStyle w:val="hps"/>
                <w:lang w:val="en-GB"/>
              </w:rPr>
              <w:t xml:space="preserve">- completed </w:t>
            </w:r>
            <w:r w:rsidR="000831E5" w:rsidRPr="00930D47">
              <w:rPr>
                <w:rStyle w:val="hps"/>
                <w:lang w:val="en-GB"/>
              </w:rPr>
              <w:t>concept</w:t>
            </w:r>
            <w:r w:rsidRPr="00930D47">
              <w:rPr>
                <w:lang w:val="en-GB"/>
              </w:rPr>
              <w:t xml:space="preserve"> </w:t>
            </w:r>
            <w:r w:rsidRPr="00930D47">
              <w:rPr>
                <w:rStyle w:val="hps"/>
                <w:lang w:val="en-GB"/>
              </w:rPr>
              <w:t>design</w:t>
            </w:r>
            <w:r w:rsidR="000831E5" w:rsidRPr="00930D47">
              <w:rPr>
                <w:rStyle w:val="hps"/>
                <w:lang w:val="en-GB"/>
              </w:rPr>
              <w:t>, p</w:t>
            </w:r>
            <w:r w:rsidR="000831E5" w:rsidRPr="009B5E31">
              <w:rPr>
                <w:rStyle w:val="hps"/>
                <w:lang w:val="en-GB"/>
              </w:rPr>
              <w:t>repared archaeological study and</w:t>
            </w:r>
            <w:r w:rsidRPr="009B5E31">
              <w:rPr>
                <w:rStyle w:val="hps"/>
                <w:lang w:val="en-GB"/>
              </w:rPr>
              <w:t xml:space="preserve"> EIA report</w:t>
            </w:r>
            <w:r w:rsidRPr="009B5E31">
              <w:rPr>
                <w:lang w:val="en-GB"/>
              </w:rPr>
              <w:t xml:space="preserve"> </w:t>
            </w:r>
            <w:r w:rsidR="000831E5" w:rsidRPr="009B5E31">
              <w:rPr>
                <w:lang w:val="en-GB"/>
              </w:rPr>
              <w:t>in 2014</w:t>
            </w:r>
            <w:r w:rsidR="007C5669" w:rsidRPr="009B5E31">
              <w:rPr>
                <w:lang w:val="en-GB"/>
              </w:rPr>
              <w:t>,</w:t>
            </w:r>
            <w:r w:rsidRPr="009B5E31">
              <w:rPr>
                <w:rStyle w:val="hps"/>
                <w:lang w:val="en-GB"/>
              </w:rPr>
              <w:t xml:space="preserve"> conducting</w:t>
            </w:r>
            <w:r w:rsidRPr="009B5E31">
              <w:rPr>
                <w:lang w:val="en-GB"/>
              </w:rPr>
              <w:t xml:space="preserve"> </w:t>
            </w:r>
            <w:r w:rsidRPr="009B5E31">
              <w:rPr>
                <w:rStyle w:val="hps"/>
                <w:lang w:val="en-GB"/>
              </w:rPr>
              <w:t xml:space="preserve">land </w:t>
            </w:r>
            <w:r w:rsidRPr="009B5E31">
              <w:rPr>
                <w:rStyle w:val="Emphasis"/>
                <w:i w:val="0"/>
                <w:iCs/>
                <w:lang w:val="en-GB"/>
              </w:rPr>
              <w:t>acquisitions</w:t>
            </w:r>
            <w:r w:rsidRPr="009B5E31">
              <w:rPr>
                <w:rStyle w:val="hps"/>
                <w:lang w:val="en-GB"/>
              </w:rPr>
              <w:t xml:space="preserve"> -</w:t>
            </w:r>
            <w:r w:rsidRPr="00E57885">
              <w:rPr>
                <w:lang w:val="en-GB"/>
              </w:rPr>
              <w:t xml:space="preserve"> </w:t>
            </w:r>
            <w:r w:rsidRPr="00E57885">
              <w:rPr>
                <w:rStyle w:val="hps"/>
                <w:lang w:val="en-GB"/>
              </w:rPr>
              <w:t>not applicable</w:t>
            </w:r>
            <w:r w:rsidR="00930D47" w:rsidRPr="00C11BB8">
              <w:rPr>
                <w:rStyle w:val="hps"/>
                <w:lang w:val="en-US"/>
              </w:rPr>
              <w:t xml:space="preserve">; </w:t>
            </w:r>
            <w:r w:rsidR="00930D47" w:rsidRPr="00C11BB8">
              <w:rPr>
                <w:lang w:val="en"/>
              </w:rPr>
              <w:t>forthcoming con</w:t>
            </w:r>
            <w:r w:rsidR="00930D47">
              <w:rPr>
                <w:lang w:val="en"/>
              </w:rPr>
              <w:t>struction</w:t>
            </w:r>
            <w:r w:rsidR="00930D47">
              <w:rPr>
                <w:lang w:val="en-US"/>
              </w:rPr>
              <w:t xml:space="preserve"> contract</w:t>
            </w:r>
            <w:r w:rsidRPr="00930D47">
              <w:rPr>
                <w:rStyle w:val="hps"/>
                <w:lang w:val="en-GB"/>
              </w:rPr>
              <w:t>.</w:t>
            </w:r>
            <w:r w:rsidRPr="00930D47">
              <w:rPr>
                <w:lang w:val="en-GB"/>
              </w:rPr>
              <w:t xml:space="preserve"> </w:t>
            </w:r>
          </w:p>
          <w:p w14:paraId="1E196E44" w14:textId="2EEDF3B2" w:rsidR="00F1341F" w:rsidRPr="008340BB" w:rsidRDefault="00F1341F" w:rsidP="00382E8E">
            <w:pPr>
              <w:pStyle w:val="Default"/>
              <w:numPr>
                <w:ilvl w:val="0"/>
                <w:numId w:val="83"/>
              </w:numPr>
              <w:spacing w:before="120" w:after="120"/>
              <w:jc w:val="both"/>
              <w:rPr>
                <w:lang w:val="en-GB"/>
              </w:rPr>
            </w:pPr>
            <w:r w:rsidRPr="008340BB">
              <w:rPr>
                <w:rStyle w:val="hps"/>
                <w:lang w:val="en-GB"/>
              </w:rPr>
              <w:t>Sofia</w:t>
            </w:r>
            <w:r w:rsidR="002D57B4" w:rsidRPr="008340BB">
              <w:rPr>
                <w:rStyle w:val="hps"/>
                <w:lang w:val="en-GB"/>
              </w:rPr>
              <w:t xml:space="preserve"> </w:t>
            </w:r>
            <w:r w:rsidRPr="008340BB">
              <w:rPr>
                <w:rStyle w:val="hps"/>
                <w:lang w:val="en-GB"/>
              </w:rPr>
              <w:t>-</w:t>
            </w:r>
            <w:r w:rsidR="002D57B4" w:rsidRPr="008340BB">
              <w:rPr>
                <w:rStyle w:val="hps"/>
                <w:lang w:val="en-GB"/>
              </w:rPr>
              <w:t xml:space="preserve"> </w:t>
            </w:r>
            <w:r w:rsidRPr="008340BB">
              <w:rPr>
                <w:lang w:val="en-GB"/>
              </w:rPr>
              <w:t xml:space="preserve">Elin </w:t>
            </w:r>
            <w:r w:rsidRPr="008340BB">
              <w:rPr>
                <w:rStyle w:val="hps"/>
                <w:lang w:val="en-GB"/>
              </w:rPr>
              <w:t>Pelin</w:t>
            </w:r>
            <w:r w:rsidRPr="008340BB">
              <w:rPr>
                <w:lang w:val="en-GB"/>
              </w:rPr>
              <w:t xml:space="preserve"> </w:t>
            </w:r>
            <w:r w:rsidRPr="008340BB">
              <w:rPr>
                <w:rStyle w:val="hps"/>
                <w:lang w:val="en-GB"/>
              </w:rPr>
              <w:t xml:space="preserve">- completed </w:t>
            </w:r>
            <w:r w:rsidR="00C07D60">
              <w:rPr>
                <w:rStyle w:val="hps"/>
                <w:lang w:val="en-GB"/>
              </w:rPr>
              <w:t>concept</w:t>
            </w:r>
            <w:r w:rsidRPr="008340BB">
              <w:rPr>
                <w:lang w:val="en-GB"/>
              </w:rPr>
              <w:t xml:space="preserve"> </w:t>
            </w:r>
            <w:r w:rsidRPr="008340BB">
              <w:rPr>
                <w:rStyle w:val="hps"/>
                <w:lang w:val="en-GB"/>
              </w:rPr>
              <w:t>design</w:t>
            </w:r>
            <w:r w:rsidR="009B5E31">
              <w:rPr>
                <w:rStyle w:val="hps"/>
                <w:lang w:val="en-GB"/>
              </w:rPr>
              <w:t xml:space="preserve"> and</w:t>
            </w:r>
            <w:r w:rsidR="00C07D60">
              <w:rPr>
                <w:rStyle w:val="hps"/>
                <w:lang w:val="en-GB"/>
              </w:rPr>
              <w:t xml:space="preserve"> technical design</w:t>
            </w:r>
            <w:r w:rsidRPr="008340BB">
              <w:rPr>
                <w:rStyle w:val="hps"/>
                <w:lang w:val="en-GB"/>
              </w:rPr>
              <w:t>;</w:t>
            </w:r>
            <w:r w:rsidRPr="008340BB">
              <w:rPr>
                <w:lang w:val="en-GB"/>
              </w:rPr>
              <w:t xml:space="preserve"> </w:t>
            </w:r>
            <w:r w:rsidRPr="008340BB">
              <w:rPr>
                <w:rStyle w:val="hps"/>
                <w:lang w:val="en-GB"/>
              </w:rPr>
              <w:t>preparing the</w:t>
            </w:r>
            <w:r w:rsidRPr="008340BB">
              <w:rPr>
                <w:lang w:val="en-GB"/>
              </w:rPr>
              <w:t xml:space="preserve"> </w:t>
            </w:r>
            <w:r w:rsidRPr="008340BB">
              <w:rPr>
                <w:rStyle w:val="hps"/>
                <w:lang w:val="en-GB"/>
              </w:rPr>
              <w:t>EIA report</w:t>
            </w:r>
            <w:r w:rsidRPr="008340BB">
              <w:rPr>
                <w:lang w:val="en-GB"/>
              </w:rPr>
              <w:t xml:space="preserve"> </w:t>
            </w:r>
            <w:r w:rsidR="00382E8E">
              <w:rPr>
                <w:lang w:val="en-GB"/>
              </w:rPr>
              <w:t xml:space="preserve">is </w:t>
            </w:r>
            <w:r w:rsidR="00382E8E" w:rsidRPr="00382E8E">
              <w:rPr>
                <w:lang w:val="en-GB"/>
              </w:rPr>
              <w:t>not applicable</w:t>
            </w:r>
            <w:r w:rsidR="00382E8E" w:rsidRPr="00382E8E">
              <w:rPr>
                <w:rStyle w:val="hps"/>
                <w:lang w:val="en-GB"/>
              </w:rPr>
              <w:t xml:space="preserve"> </w:t>
            </w:r>
            <w:r w:rsidRPr="008340BB">
              <w:rPr>
                <w:rStyle w:val="hps"/>
                <w:lang w:val="en-GB"/>
              </w:rPr>
              <w:t>and conduct</w:t>
            </w:r>
            <w:r w:rsidR="00C60145">
              <w:rPr>
                <w:rStyle w:val="hps"/>
              </w:rPr>
              <w:t>e</w:t>
            </w:r>
            <w:r w:rsidR="00C60145">
              <w:rPr>
                <w:rStyle w:val="hps"/>
                <w:lang w:val="en-US"/>
              </w:rPr>
              <w:t>d</w:t>
            </w:r>
            <w:r w:rsidR="00382E8E">
              <w:rPr>
                <w:lang w:val="en-GB"/>
              </w:rPr>
              <w:t xml:space="preserve"> </w:t>
            </w:r>
            <w:r w:rsidRPr="008340BB">
              <w:rPr>
                <w:rStyle w:val="hps"/>
                <w:lang w:val="en-GB"/>
              </w:rPr>
              <w:t xml:space="preserve">land </w:t>
            </w:r>
            <w:r w:rsidRPr="008340BB">
              <w:rPr>
                <w:rStyle w:val="Emphasis"/>
                <w:i w:val="0"/>
                <w:iCs/>
                <w:lang w:val="en-GB"/>
              </w:rPr>
              <w:t>acquisitions</w:t>
            </w:r>
            <w:r w:rsidR="009B5E31">
              <w:rPr>
                <w:rStyle w:val="hps"/>
                <w:lang w:val="en-GB"/>
              </w:rPr>
              <w:t>; under construction</w:t>
            </w:r>
            <w:r w:rsidRPr="008340BB">
              <w:rPr>
                <w:lang w:val="en-GB"/>
              </w:rPr>
              <w:t>.</w:t>
            </w:r>
          </w:p>
          <w:p w14:paraId="50A7DE13" w14:textId="280AE601" w:rsidR="00F1341F" w:rsidRDefault="00746634" w:rsidP="00FF0682">
            <w:pPr>
              <w:pStyle w:val="Default"/>
              <w:numPr>
                <w:ilvl w:val="0"/>
                <w:numId w:val="83"/>
              </w:numPr>
              <w:jc w:val="both"/>
              <w:rPr>
                <w:lang w:val="en-GB"/>
              </w:rPr>
            </w:pPr>
            <w:r>
              <w:rPr>
                <w:rStyle w:val="hps"/>
                <w:lang w:val="en-GB"/>
              </w:rPr>
              <w:t xml:space="preserve">Kostenetz-Septemvri </w:t>
            </w:r>
            <w:r w:rsidR="005327EE">
              <w:rPr>
                <w:rStyle w:val="hps"/>
                <w:lang w:val="en-GB"/>
              </w:rPr>
              <w:t>–</w:t>
            </w:r>
            <w:r>
              <w:rPr>
                <w:rStyle w:val="hps"/>
                <w:lang w:val="en-GB"/>
              </w:rPr>
              <w:t xml:space="preserve"> </w:t>
            </w:r>
            <w:r w:rsidR="005327EE">
              <w:rPr>
                <w:rStyle w:val="hps"/>
                <w:lang w:val="en-GB"/>
              </w:rPr>
              <w:t>completed technical design at the end of 2016; EIA report in 2014 and conduct</w:t>
            </w:r>
            <w:r w:rsidR="0054309E">
              <w:rPr>
                <w:rStyle w:val="hps"/>
                <w:lang w:val="en-GB"/>
              </w:rPr>
              <w:t>ed</w:t>
            </w:r>
            <w:r w:rsidR="005327EE">
              <w:rPr>
                <w:rStyle w:val="hps"/>
                <w:lang w:val="en-GB"/>
              </w:rPr>
              <w:t xml:space="preserve"> land acquisitions</w:t>
            </w:r>
            <w:r w:rsidR="00E57885">
              <w:rPr>
                <w:rStyle w:val="hps"/>
                <w:lang w:val="en-GB"/>
              </w:rPr>
              <w:t>; under construction</w:t>
            </w:r>
            <w:r w:rsidR="005327EE">
              <w:rPr>
                <w:rStyle w:val="hps"/>
                <w:lang w:val="en-GB"/>
              </w:rPr>
              <w:t>.</w:t>
            </w:r>
            <w:r w:rsidR="00F1341F" w:rsidRPr="008340BB">
              <w:rPr>
                <w:lang w:val="en-GB"/>
              </w:rPr>
              <w:t xml:space="preserve"> </w:t>
            </w:r>
          </w:p>
          <w:p w14:paraId="52FF61A8" w14:textId="7CAB73F8" w:rsidR="005C44D8" w:rsidRPr="008340BB" w:rsidRDefault="005C44D8" w:rsidP="00E70E78">
            <w:pPr>
              <w:pStyle w:val="Default"/>
              <w:numPr>
                <w:ilvl w:val="0"/>
                <w:numId w:val="83"/>
              </w:numPr>
              <w:jc w:val="both"/>
              <w:rPr>
                <w:lang w:val="en-GB"/>
              </w:rPr>
            </w:pPr>
            <w:r>
              <w:rPr>
                <w:rStyle w:val="hps"/>
                <w:lang w:val="en-GB"/>
              </w:rPr>
              <w:lastRenderedPageBreak/>
              <w:t xml:space="preserve">Plovdiv </w:t>
            </w:r>
            <w:r w:rsidRPr="005C44D8">
              <w:rPr>
                <w:rStyle w:val="hps"/>
                <w:lang w:val="en-GB"/>
              </w:rPr>
              <w:t>railway junction</w:t>
            </w:r>
            <w:r w:rsidR="00E70E78">
              <w:rPr>
                <w:rStyle w:val="hps"/>
                <w:lang w:val="en-GB"/>
              </w:rPr>
              <w:t xml:space="preserve"> – completed concept design and EIA report at the end of 2015; </w:t>
            </w:r>
            <w:r w:rsidR="00E70E78" w:rsidRPr="00E70E78">
              <w:rPr>
                <w:rStyle w:val="hps"/>
                <w:lang w:val="en-GB"/>
              </w:rPr>
              <w:t>conducting land acquisitions</w:t>
            </w:r>
            <w:r w:rsidR="00E70E78">
              <w:rPr>
                <w:rStyle w:val="hps"/>
                <w:lang w:val="en-GB"/>
              </w:rPr>
              <w:t xml:space="preserve"> – not applicable</w:t>
            </w:r>
            <w:r w:rsidR="00E57885">
              <w:rPr>
                <w:rStyle w:val="hps"/>
                <w:lang w:val="en-GB"/>
              </w:rPr>
              <w:t>; under construction</w:t>
            </w:r>
            <w:r w:rsidR="00E70E78">
              <w:rPr>
                <w:rStyle w:val="hps"/>
                <w:lang w:val="en-GB"/>
              </w:rPr>
              <w:t xml:space="preserve">. </w:t>
            </w:r>
          </w:p>
          <w:p w14:paraId="52DB3E6C" w14:textId="09D101A5" w:rsidR="000558A2" w:rsidRDefault="00F1341F" w:rsidP="008F5422">
            <w:pPr>
              <w:pStyle w:val="Default"/>
              <w:spacing w:before="120" w:after="120"/>
              <w:jc w:val="both"/>
              <w:rPr>
                <w:rStyle w:val="hps"/>
                <w:lang w:val="en-GB"/>
              </w:rPr>
            </w:pPr>
            <w:r w:rsidRPr="008340BB">
              <w:rPr>
                <w:rStyle w:val="hps"/>
                <w:lang w:val="en-GB"/>
              </w:rPr>
              <w:t>In</w:t>
            </w:r>
            <w:r w:rsidRPr="008340BB">
              <w:rPr>
                <w:lang w:val="en-GB"/>
              </w:rPr>
              <w:t xml:space="preserve"> </w:t>
            </w:r>
            <w:r w:rsidRPr="008340BB">
              <w:rPr>
                <w:rStyle w:val="hps"/>
                <w:lang w:val="en-GB"/>
              </w:rPr>
              <w:t>addition</w:t>
            </w:r>
            <w:r w:rsidR="007B7971">
              <w:rPr>
                <w:rStyle w:val="hps"/>
                <w:lang w:val="en-GB"/>
              </w:rPr>
              <w:t xml:space="preserve"> to the investments under P</w:t>
            </w:r>
            <w:r w:rsidR="000558A2" w:rsidRPr="000558A2">
              <w:rPr>
                <w:rStyle w:val="hps"/>
                <w:lang w:val="en-GB"/>
              </w:rPr>
              <w:t xml:space="preserve">riority axis 3, </w:t>
            </w:r>
            <w:r w:rsidR="00B616D9">
              <w:rPr>
                <w:rStyle w:val="hps"/>
                <w:lang w:val="en-GB"/>
              </w:rPr>
              <w:t xml:space="preserve">it is planned </w:t>
            </w:r>
            <w:r w:rsidR="000558A2" w:rsidRPr="000558A2">
              <w:rPr>
                <w:rStyle w:val="hps"/>
                <w:lang w:val="en-GB"/>
              </w:rPr>
              <w:t xml:space="preserve">the purchase of rolling stock and the subsequent expansion of the metro in Sofia, which is an urban railway system and provides an intermodal connection between </w:t>
            </w:r>
            <w:r w:rsidR="000558A2">
              <w:rPr>
                <w:rStyle w:val="hps"/>
                <w:lang w:val="en-GB"/>
              </w:rPr>
              <w:t xml:space="preserve">the </w:t>
            </w:r>
            <w:r w:rsidR="000558A2" w:rsidRPr="000558A2">
              <w:rPr>
                <w:rStyle w:val="hps"/>
                <w:lang w:val="en-GB"/>
              </w:rPr>
              <w:t xml:space="preserve">railway </w:t>
            </w:r>
            <w:r w:rsidR="000558A2">
              <w:rPr>
                <w:rStyle w:val="hps"/>
                <w:lang w:val="en-GB"/>
              </w:rPr>
              <w:t xml:space="preserve">along </w:t>
            </w:r>
            <w:r w:rsidR="000558A2" w:rsidRPr="000558A2">
              <w:rPr>
                <w:rStyle w:val="hps"/>
                <w:lang w:val="en-GB"/>
              </w:rPr>
              <w:t xml:space="preserve">the TEN-T and </w:t>
            </w:r>
            <w:r w:rsidR="000558A2">
              <w:rPr>
                <w:rStyle w:val="hps"/>
                <w:lang w:val="en-GB"/>
              </w:rPr>
              <w:t xml:space="preserve">the </w:t>
            </w:r>
            <w:r w:rsidR="000558A2" w:rsidRPr="000558A2">
              <w:rPr>
                <w:rStyle w:val="hps"/>
                <w:lang w:val="en-GB"/>
              </w:rPr>
              <w:t xml:space="preserve">air passenger system, as well as connections to the capital's tram and bus network and will contribute to limiting </w:t>
            </w:r>
            <w:r w:rsidR="000558A2">
              <w:rPr>
                <w:rStyle w:val="hps"/>
                <w:lang w:val="en-GB"/>
              </w:rPr>
              <w:t xml:space="preserve">the </w:t>
            </w:r>
            <w:r w:rsidR="00DA3D47">
              <w:rPr>
                <w:rStyle w:val="hps"/>
                <w:lang w:val="en-GB"/>
              </w:rPr>
              <w:t xml:space="preserve">high </w:t>
            </w:r>
            <w:r w:rsidR="000558A2" w:rsidRPr="000558A2">
              <w:rPr>
                <w:rStyle w:val="hps"/>
                <w:lang w:val="en-GB"/>
              </w:rPr>
              <w:t>use</w:t>
            </w:r>
            <w:r w:rsidR="00DA3D47">
              <w:rPr>
                <w:rStyle w:val="hps"/>
                <w:lang w:val="en-GB"/>
              </w:rPr>
              <w:t xml:space="preserve"> of motor vehicles</w:t>
            </w:r>
            <w:r w:rsidR="000558A2" w:rsidRPr="000558A2">
              <w:rPr>
                <w:rStyle w:val="hps"/>
                <w:lang w:val="en-GB"/>
              </w:rPr>
              <w:t>, congestion and the harmful impact on the environment through the use of public transport. According to the TEN-T Development Guidelines, Sofia is a</w:t>
            </w:r>
            <w:r w:rsidR="000558A2">
              <w:rPr>
                <w:rStyle w:val="hps"/>
                <w:lang w:val="en-GB"/>
              </w:rPr>
              <w:t>n</w:t>
            </w:r>
            <w:r w:rsidR="000558A2" w:rsidRPr="000558A2">
              <w:rPr>
                <w:rStyle w:val="hps"/>
                <w:lang w:val="en-GB"/>
              </w:rPr>
              <w:t xml:space="preserve"> </w:t>
            </w:r>
            <w:r w:rsidR="000558A2">
              <w:rPr>
                <w:rStyle w:val="hps"/>
                <w:lang w:val="en-GB"/>
              </w:rPr>
              <w:t>urban</w:t>
            </w:r>
            <w:r w:rsidR="000558A2" w:rsidRPr="000558A2">
              <w:rPr>
                <w:rStyle w:val="hps"/>
                <w:lang w:val="en-GB"/>
              </w:rPr>
              <w:t xml:space="preserve"> node of the "core" TEN-T and it is essential to ensure connectivity between rail, road and air transport infrastructure.</w:t>
            </w:r>
          </w:p>
          <w:p w14:paraId="74528426" w14:textId="77777777" w:rsidR="00B80FEE" w:rsidRDefault="00893E6A" w:rsidP="008F5422">
            <w:pPr>
              <w:pStyle w:val="Default"/>
              <w:spacing w:before="120" w:after="120"/>
              <w:jc w:val="both"/>
            </w:pPr>
            <w:r w:rsidRPr="00893E6A">
              <w:rPr>
                <w:rStyle w:val="hps"/>
                <w:lang w:val="en-GB"/>
              </w:rPr>
              <w:t>The project for the ex</w:t>
            </w:r>
            <w:r>
              <w:rPr>
                <w:rStyle w:val="hps"/>
                <w:lang w:val="en-GB"/>
              </w:rPr>
              <w:t>tension of Line 3, section "</w:t>
            </w:r>
            <w:r w:rsidRPr="00893E6A">
              <w:rPr>
                <w:rStyle w:val="hps"/>
                <w:lang w:val="en-GB"/>
              </w:rPr>
              <w:t xml:space="preserve">Shipka </w:t>
            </w:r>
            <w:r>
              <w:rPr>
                <w:rStyle w:val="hps"/>
                <w:lang w:val="en-GB"/>
              </w:rPr>
              <w:t xml:space="preserve">Str. </w:t>
            </w:r>
            <w:r w:rsidRPr="00893E6A">
              <w:rPr>
                <w:rStyle w:val="hps"/>
                <w:lang w:val="en-GB"/>
              </w:rPr>
              <w:t>- Geo Milev district - residential area Slatina - Zala Arena Armeets/Tech Park Sofia - Tsarigradsko Shose Blvd" includes about 6 km of metro line with 6 metro stations and buffer parking at the station on Tsarigradsko Shose Blvd. The purchase of 8 trains for Line 3 is also planned. With funds under PO 1 of OPTTI, until the end of 2023, partial working design of the section will be carried out - metro stations - 70%, tunnels - 70%, systems - 70%; partial implementation of construction and installation works - reconstruction of engineering networks - 50%, construction of metro station structures - 10%; preparation of tunnel boring machine (TBM) – 50%, construction of starting shaft for TBM – 50%, as well as partial design of 8 trains.</w:t>
            </w:r>
            <w:r w:rsidR="00B80FEE">
              <w:t xml:space="preserve"> </w:t>
            </w:r>
          </w:p>
          <w:p w14:paraId="1DC32465" w14:textId="77777777" w:rsidR="00B80FEE" w:rsidRDefault="00B80FEE" w:rsidP="008F5422">
            <w:pPr>
              <w:pStyle w:val="Default"/>
              <w:spacing w:before="120" w:after="120"/>
              <w:jc w:val="both"/>
              <w:rPr>
                <w:rStyle w:val="hps"/>
                <w:lang w:val="en-GB"/>
              </w:rPr>
            </w:pPr>
            <w:r w:rsidRPr="00B80FEE">
              <w:rPr>
                <w:rStyle w:val="hps"/>
                <w:lang w:val="en-GB"/>
              </w:rPr>
              <w:t xml:space="preserve">Additional financing will be provided by the Municipality of Sofia with a loan from the European Investment Bank and with funds from the budget of the Municipality of Sofia and the State budget. </w:t>
            </w:r>
          </w:p>
          <w:p w14:paraId="2AC29043" w14:textId="2540B921" w:rsidR="000558A2" w:rsidRDefault="00CA49CA" w:rsidP="008F5422">
            <w:pPr>
              <w:pStyle w:val="Default"/>
              <w:spacing w:before="120" w:after="120"/>
              <w:jc w:val="both"/>
              <w:rPr>
                <w:rStyle w:val="hps"/>
                <w:lang w:val="en-GB"/>
              </w:rPr>
            </w:pPr>
            <w:r>
              <w:t xml:space="preserve"> </w:t>
            </w:r>
            <w:r w:rsidRPr="00DD7B5D">
              <w:rPr>
                <w:rStyle w:val="hps"/>
                <w:lang w:val="en-GB"/>
              </w:rPr>
              <w:t xml:space="preserve">Additional metro trains will be purchased on </w:t>
            </w:r>
            <w:r w:rsidRPr="00DD7B5D">
              <w:rPr>
                <w:rStyle w:val="hps"/>
                <w:lang w:val="en-US"/>
              </w:rPr>
              <w:t xml:space="preserve">the </w:t>
            </w:r>
            <w:r w:rsidRPr="00DD7B5D">
              <w:rPr>
                <w:rStyle w:val="hps"/>
                <w:lang w:val="en-GB"/>
              </w:rPr>
              <w:t>other lines as well.</w:t>
            </w:r>
          </w:p>
          <w:p w14:paraId="2A52534F" w14:textId="6262487C" w:rsidR="00F1341F" w:rsidRPr="008340BB" w:rsidRDefault="00F1341F" w:rsidP="008F5422">
            <w:pPr>
              <w:pStyle w:val="Default"/>
              <w:spacing w:before="120" w:after="120"/>
              <w:jc w:val="both"/>
              <w:rPr>
                <w:lang w:val="en-GB"/>
              </w:rPr>
            </w:pPr>
          </w:p>
          <w:p w14:paraId="3352B90B" w14:textId="77777777" w:rsidR="00F1341F" w:rsidRPr="008340BB" w:rsidRDefault="00F1341F" w:rsidP="008F5422">
            <w:pPr>
              <w:pStyle w:val="Default"/>
              <w:jc w:val="both"/>
              <w:rPr>
                <w:b/>
                <w:lang w:val="en-GB"/>
              </w:rPr>
            </w:pPr>
            <w:r w:rsidRPr="008340BB">
              <w:rPr>
                <w:b/>
                <w:lang w:val="en-GB"/>
              </w:rPr>
              <w:t>Potential beneficiaries:</w:t>
            </w:r>
          </w:p>
          <w:p w14:paraId="313B0FEB" w14:textId="77777777" w:rsidR="00F1341F" w:rsidRPr="00570110" w:rsidRDefault="00F1341F" w:rsidP="00FF0682">
            <w:pPr>
              <w:pStyle w:val="Default"/>
              <w:numPr>
                <w:ilvl w:val="0"/>
                <w:numId w:val="50"/>
              </w:numPr>
              <w:jc w:val="both"/>
              <w:rPr>
                <w:sz w:val="18"/>
                <w:szCs w:val="18"/>
                <w:lang w:val="en-GB"/>
              </w:rPr>
            </w:pPr>
            <w:r w:rsidRPr="008340BB">
              <w:rPr>
                <w:lang w:val="en-GB"/>
              </w:rPr>
              <w:t>National</w:t>
            </w:r>
            <w:r w:rsidR="00FF0682" w:rsidRPr="008340BB">
              <w:rPr>
                <w:lang w:val="en-GB"/>
              </w:rPr>
              <w:t xml:space="preserve"> Railway Infrastructure Company</w:t>
            </w:r>
            <w:r w:rsidR="00083B64">
              <w:rPr>
                <w:lang w:val="en-GB"/>
              </w:rPr>
              <w:t xml:space="preserve"> (NRIC)</w:t>
            </w:r>
          </w:p>
          <w:p w14:paraId="0791AF72" w14:textId="30F447CB" w:rsidR="00570110" w:rsidRPr="00570110" w:rsidRDefault="00570110" w:rsidP="00FF0682">
            <w:pPr>
              <w:pStyle w:val="Default"/>
              <w:numPr>
                <w:ilvl w:val="0"/>
                <w:numId w:val="50"/>
              </w:numPr>
              <w:jc w:val="both"/>
              <w:rPr>
                <w:lang w:val="en-GB"/>
              </w:rPr>
            </w:pPr>
            <w:r w:rsidRPr="00570110">
              <w:rPr>
                <w:lang w:val="en-GB"/>
              </w:rPr>
              <w:t>Metropolitan EAD.</w:t>
            </w:r>
          </w:p>
        </w:tc>
      </w:tr>
    </w:tbl>
    <w:p w14:paraId="6F99BEC4" w14:textId="77777777" w:rsidR="00F1341F" w:rsidRPr="008340BB" w:rsidRDefault="00F1341F" w:rsidP="001966AC"/>
    <w:p w14:paraId="78386541" w14:textId="77777777" w:rsidR="00F1341F" w:rsidRPr="008340BB" w:rsidRDefault="00F1341F" w:rsidP="00BF3391">
      <w:pPr>
        <w:pStyle w:val="ManualHeading3"/>
        <w:tabs>
          <w:tab w:val="clear" w:pos="850"/>
        </w:tabs>
        <w:ind w:left="1418" w:hanging="1418"/>
        <w:rPr>
          <w:b/>
        </w:rPr>
      </w:pPr>
      <w:r w:rsidRPr="008340BB">
        <w:rPr>
          <w:b/>
        </w:rPr>
        <w:t xml:space="preserve">2.A.1.5.2 </w:t>
      </w:r>
      <w:r w:rsidRPr="008340BB">
        <w:rPr>
          <w:b/>
        </w:rPr>
        <w:tab/>
        <w:t>Guiding principles for selection of operations</w:t>
      </w:r>
    </w:p>
    <w:p w14:paraId="269158CA" w14:textId="77777777" w:rsidR="00F1341F" w:rsidRPr="008340BB" w:rsidRDefault="00F1341F" w:rsidP="00BF3391">
      <w:pPr>
        <w:pStyle w:val="ManualHeading3"/>
        <w:tabs>
          <w:tab w:val="clear" w:pos="850"/>
        </w:tabs>
        <w:ind w:left="1418" w:hanging="1418"/>
        <w:rPr>
          <w:i w:val="0"/>
        </w:rPr>
      </w:pPr>
      <w:r w:rsidRPr="008340BB">
        <w:rPr>
          <w:i w:val="0"/>
        </w:rPr>
        <w:t xml:space="preserve"> (Reference: point (b)(iii) of the first subparagraph of Article 96(2) of Regulation (EU) No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61DAD80B" w14:textId="77777777" w:rsidTr="00F03C1E">
        <w:trPr>
          <w:trHeight w:val="518"/>
        </w:trPr>
        <w:tc>
          <w:tcPr>
            <w:tcW w:w="2235" w:type="dxa"/>
          </w:tcPr>
          <w:p w14:paraId="3107FFB2" w14:textId="77777777" w:rsidR="00F1341F" w:rsidRPr="008340BB" w:rsidRDefault="00F1341F" w:rsidP="00F03C1E">
            <w:pPr>
              <w:rPr>
                <w:i/>
                <w:color w:val="8DB3E2"/>
                <w:sz w:val="18"/>
                <w:szCs w:val="18"/>
              </w:rPr>
            </w:pPr>
            <w:r w:rsidRPr="008340BB">
              <w:rPr>
                <w:i/>
              </w:rPr>
              <w:t>Investment Priority</w:t>
            </w:r>
          </w:p>
        </w:tc>
        <w:tc>
          <w:tcPr>
            <w:tcW w:w="6443" w:type="dxa"/>
          </w:tcPr>
          <w:p w14:paraId="1AE91FFD" w14:textId="77777777" w:rsidR="00F1341F" w:rsidRPr="008340BB" w:rsidRDefault="00F1341F" w:rsidP="00F03C1E">
            <w:pPr>
              <w:rPr>
                <w:i/>
                <w:lang w:eastAsia="bg-BG"/>
              </w:rPr>
            </w:pPr>
            <w:r w:rsidRPr="008340BB">
              <w:rPr>
                <w:i/>
                <w:szCs w:val="24"/>
                <w:lang w:eastAsia="bg-BG"/>
              </w:rPr>
              <w:t>7</w:t>
            </w:r>
            <w:r w:rsidR="00EB3241">
              <w:rPr>
                <w:i/>
                <w:szCs w:val="24"/>
                <w:lang w:eastAsia="bg-BG"/>
              </w:rPr>
              <w:t>(</w:t>
            </w:r>
            <w:r w:rsidRPr="008340BB">
              <w:rPr>
                <w:i/>
                <w:szCs w:val="24"/>
                <w:lang w:eastAsia="bg-BG"/>
              </w:rPr>
              <w:t>i</w:t>
            </w:r>
            <w:r w:rsidR="00EB3241">
              <w:rPr>
                <w:i/>
                <w:szCs w:val="24"/>
                <w:lang w:eastAsia="bg-BG"/>
              </w:rPr>
              <w:t>)</w:t>
            </w:r>
            <w:r w:rsidRPr="008340BB">
              <w:rPr>
                <w:i/>
                <w:szCs w:val="24"/>
                <w:lang w:eastAsia="bg-BG"/>
              </w:rPr>
              <w:t xml:space="preserve"> -</w:t>
            </w:r>
            <w:r w:rsidRPr="008340BB">
              <w:rPr>
                <w:i/>
                <w:lang w:eastAsia="bg-BG"/>
              </w:rPr>
              <w:t xml:space="preserve"> </w:t>
            </w:r>
            <w:r w:rsidRPr="008340BB">
              <w:rPr>
                <w:i/>
              </w:rPr>
              <w:t xml:space="preserve">Supporting a multi-modal Single European Transport Area by investing in </w:t>
            </w:r>
            <w:r w:rsidR="00FD28A6">
              <w:rPr>
                <w:i/>
              </w:rPr>
              <w:t>the TEN-T</w:t>
            </w:r>
          </w:p>
          <w:p w14:paraId="7C7CFBF5" w14:textId="77777777" w:rsidR="00F1341F" w:rsidRPr="008340BB" w:rsidRDefault="00F1341F">
            <w:pPr>
              <w:rPr>
                <w:i/>
                <w:color w:val="8DB3E2"/>
                <w:sz w:val="18"/>
                <w:szCs w:val="18"/>
              </w:rPr>
            </w:pPr>
          </w:p>
        </w:tc>
      </w:tr>
      <w:tr w:rsidR="00F1341F" w:rsidRPr="008340BB" w14:paraId="29F7D836" w14:textId="77777777" w:rsidTr="00347CDD">
        <w:trPr>
          <w:trHeight w:val="709"/>
        </w:trPr>
        <w:tc>
          <w:tcPr>
            <w:tcW w:w="8678" w:type="dxa"/>
            <w:gridSpan w:val="2"/>
          </w:tcPr>
          <w:p w14:paraId="239F0985" w14:textId="77777777" w:rsidR="00F1341F" w:rsidRPr="008340BB" w:rsidRDefault="00F1341F" w:rsidP="005E5C00">
            <w:r w:rsidRPr="008340BB">
              <w:rPr>
                <w:i/>
                <w:sz w:val="18"/>
                <w:szCs w:val="18"/>
              </w:rPr>
              <w:t>**</w:t>
            </w:r>
            <w:r w:rsidRPr="008340BB">
              <w:t>Defining the operations, included in the list of investment projects for funding under the priority axis of OPTTI 2014-2020 the following aspects were taken into account</w:t>
            </w:r>
            <w:bookmarkStart w:id="27" w:name="_Ref383097157"/>
            <w:r w:rsidRPr="008340BB">
              <w:rPr>
                <w:rStyle w:val="FootnoteReference"/>
              </w:rPr>
              <w:footnoteReference w:id="20"/>
            </w:r>
            <w:bookmarkEnd w:id="27"/>
            <w:r w:rsidRPr="008340BB">
              <w:t>:</w:t>
            </w:r>
          </w:p>
          <w:p w14:paraId="273CFFE5" w14:textId="77777777" w:rsidR="00F1341F" w:rsidRPr="0067246B" w:rsidRDefault="00F1341F" w:rsidP="00FF2893">
            <w:pPr>
              <w:numPr>
                <w:ilvl w:val="0"/>
                <w:numId w:val="52"/>
              </w:numPr>
              <w:overflowPunct w:val="0"/>
              <w:autoSpaceDE w:val="0"/>
              <w:autoSpaceDN w:val="0"/>
              <w:adjustRightInd w:val="0"/>
              <w:spacing w:before="0" w:after="0"/>
              <w:textAlignment w:val="baseline"/>
            </w:pPr>
            <w:r w:rsidRPr="0067246B">
              <w:t xml:space="preserve">Traffic demand forecasts for 2020 and 2030 </w:t>
            </w:r>
          </w:p>
          <w:p w14:paraId="6A31C017" w14:textId="77777777" w:rsidR="00F1341F" w:rsidRPr="00020ADD" w:rsidRDefault="00F1341F" w:rsidP="00585FBB">
            <w:pPr>
              <w:numPr>
                <w:ilvl w:val="0"/>
                <w:numId w:val="52"/>
              </w:numPr>
              <w:overflowPunct w:val="0"/>
              <w:autoSpaceDE w:val="0"/>
              <w:autoSpaceDN w:val="0"/>
              <w:adjustRightInd w:val="0"/>
              <w:spacing w:before="0" w:after="0"/>
              <w:textAlignment w:val="baseline"/>
            </w:pPr>
            <w:r w:rsidRPr="00020ADD">
              <w:rPr>
                <w:lang w:eastAsia="bg-BG"/>
              </w:rPr>
              <w:lastRenderedPageBreak/>
              <w:t xml:space="preserve">Necessity for achieving the compliance of the infrastructure along the core and comprehensive Trans-European transport network with the technical standards, set forth in Article 39 of the </w:t>
            </w:r>
            <w:r w:rsidRPr="00020ADD">
              <w:t>Regulation (EU) No 1303/2013 and</w:t>
            </w:r>
          </w:p>
          <w:p w14:paraId="11A332A3" w14:textId="5E69FCAE" w:rsidR="00F1341F" w:rsidRPr="00020ADD" w:rsidRDefault="00F1341F" w:rsidP="00497379">
            <w:pPr>
              <w:numPr>
                <w:ilvl w:val="0"/>
                <w:numId w:val="52"/>
              </w:numPr>
              <w:overflowPunct w:val="0"/>
              <w:autoSpaceDE w:val="0"/>
              <w:autoSpaceDN w:val="0"/>
              <w:adjustRightInd w:val="0"/>
              <w:spacing w:before="0" w:after="0"/>
              <w:textAlignment w:val="baseline"/>
            </w:pPr>
            <w:r w:rsidRPr="00020ADD">
              <w:t>Synergy with the OPT 2007-2013, as well as with other programmes and instruments, including the Connecting Europe Facility</w:t>
            </w:r>
            <w:r w:rsidR="00AC66B6">
              <w:t xml:space="preserve"> and </w:t>
            </w:r>
            <w:r w:rsidR="005D4D65">
              <w:t xml:space="preserve">the </w:t>
            </w:r>
            <w:r w:rsidR="00AC66B6">
              <w:t>National</w:t>
            </w:r>
            <w:r w:rsidR="00AC66B6" w:rsidRPr="00AC66B6">
              <w:rPr>
                <w:rFonts w:eastAsiaTheme="minorHAnsi"/>
                <w:szCs w:val="24"/>
                <w:lang w:eastAsia="en-US"/>
              </w:rPr>
              <w:t xml:space="preserve"> </w:t>
            </w:r>
            <w:r w:rsidR="00AC66B6" w:rsidRPr="00AC66B6">
              <w:t>Recovery and Resilience Plan</w:t>
            </w:r>
            <w:r w:rsidRPr="00020ADD">
              <w:t xml:space="preserve">. </w:t>
            </w:r>
          </w:p>
          <w:p w14:paraId="3CDA497E" w14:textId="77777777" w:rsidR="00F1341F" w:rsidRPr="00B5130A" w:rsidRDefault="00F1341F" w:rsidP="005E5C00">
            <w:r w:rsidRPr="00DC0475">
              <w:t>The projects selection and appraisal process was implemented at two stages – assessment of eligibility of project proposals and assessment for selection of the proje</w:t>
            </w:r>
            <w:r w:rsidRPr="00B5130A">
              <w:t>cts.</w:t>
            </w:r>
          </w:p>
          <w:p w14:paraId="1D423C0B" w14:textId="77777777" w:rsidR="00F1341F" w:rsidRPr="008340BB" w:rsidRDefault="00F1341F" w:rsidP="001B2AAD">
            <w:r w:rsidRPr="00A828C5">
              <w:t>The first stage is focusing on the need for relation to and compliance with key strategic, programme, and applicable documents, regulations, manuals and strategies at Community and national level. The proposed interventio</w:t>
            </w:r>
            <w:r w:rsidRPr="008340BB">
              <w:t>ns should meet the modes of transport, envisaged for funding under the programme. The level of relevance of the project in terms of the applied horizontal principles and policies, the availability of contribution to achieving the specific objectives of the respective priority axis is checked. The presence of European added value and need for public financial support are also checked.</w:t>
            </w:r>
            <w:r w:rsidRPr="008340BB">
              <w:rPr>
                <w:rStyle w:val="hps"/>
              </w:rPr>
              <w:t xml:space="preserve"> In the event that</w:t>
            </w:r>
            <w:r w:rsidRPr="008340BB">
              <w:t xml:space="preserve"> </w:t>
            </w:r>
            <w:r w:rsidRPr="008340BB">
              <w:rPr>
                <w:rStyle w:val="hps"/>
              </w:rPr>
              <w:t>all requirements are</w:t>
            </w:r>
            <w:r w:rsidRPr="008340BB">
              <w:t xml:space="preserve"> </w:t>
            </w:r>
            <w:r w:rsidRPr="008340BB">
              <w:rPr>
                <w:rStyle w:val="hps"/>
              </w:rPr>
              <w:t>fully satisfied</w:t>
            </w:r>
            <w:r w:rsidRPr="008340BB">
              <w:t xml:space="preserve">, it shall be proceeded to the next second stage – evaluation of proposals and selection of the successful tenderer. This stage includes a detailed assessment of the proposal, where the main groups of evaluation criteria are divided into systems of sub-criteria related to the core ones. </w:t>
            </w:r>
          </w:p>
          <w:p w14:paraId="11064099" w14:textId="77777777" w:rsidR="00F1341F" w:rsidRPr="008340BB" w:rsidRDefault="00F1341F" w:rsidP="005E5C00">
            <w:r w:rsidRPr="008340BB">
              <w:t>These cover relevance, effectiveness, efficiency, coherence and sustainability.</w:t>
            </w:r>
          </w:p>
          <w:p w14:paraId="37E8F5D0" w14:textId="77777777" w:rsidR="00F1341F" w:rsidRPr="008340BB" w:rsidRDefault="00F1341F" w:rsidP="005E5C00">
            <w:r w:rsidRPr="008340BB">
              <w:t xml:space="preserve">Against </w:t>
            </w:r>
            <w:r w:rsidRPr="008340BB">
              <w:rPr>
                <w:b/>
              </w:rPr>
              <w:t>relevance</w:t>
            </w:r>
            <w:r w:rsidRPr="008340BB">
              <w:t xml:space="preserve"> criterion is assessed the extent to which the project is consistent with the EU policies and applicable strategic documents, achieved compliance with the requirements of the common provisions regulation and its relevant regulations and any other specific EU documents related to the project. The relationship and compliance with the applicable national programme and strategic documents and subordinate manuals and procedures is further assessed. The relation of the project to the main horizontal principles and policies of the European community is also verified.</w:t>
            </w:r>
          </w:p>
          <w:p w14:paraId="7F2B0A4B" w14:textId="77777777" w:rsidR="00F1341F" w:rsidRPr="008340BB" w:rsidRDefault="00F1341F" w:rsidP="005E5C00">
            <w:r w:rsidRPr="008340BB">
              <w:t xml:space="preserve">Against </w:t>
            </w:r>
            <w:r w:rsidRPr="008340BB">
              <w:rPr>
                <w:b/>
              </w:rPr>
              <w:t xml:space="preserve">effectiveness </w:t>
            </w:r>
            <w:r w:rsidRPr="008340BB">
              <w:t>criterion is established whether and to what extent the project contributes to achieving the specific objectives of the priority axis to the development of the TEN-T network, how its implementation affects the environment, whether and to what extent the same increases the safety of the transport system. A set of socio-economic criteria applicable to the project and depending on its specificity is also addressed. The project maturity is one of the most important parameters for evaluation within the context of effectiveness.</w:t>
            </w:r>
          </w:p>
          <w:p w14:paraId="3136E85E" w14:textId="77777777" w:rsidR="00F1341F" w:rsidRPr="008340BB" w:rsidRDefault="00F1341F" w:rsidP="005E5C00">
            <w:r w:rsidRPr="008340BB">
              <w:t xml:space="preserve">Against </w:t>
            </w:r>
            <w:r w:rsidRPr="008340BB">
              <w:rPr>
                <w:b/>
              </w:rPr>
              <w:t>efficiency</w:t>
            </w:r>
            <w:r w:rsidRPr="008340BB">
              <w:t xml:space="preserve"> criteria are considered and quantified groups of sub-criteria, adapted to specifics of the type of evaluated project, which include, inter alia, evaluation of the financial plan, adequacy of risk analysis and measures for its prevention or elimination, established time frame for implementation, human resources involved in the project, and the technical parameters of the considered project proposal.</w:t>
            </w:r>
          </w:p>
          <w:p w14:paraId="227D2136" w14:textId="77777777" w:rsidR="00F1341F" w:rsidRPr="008340BB" w:rsidRDefault="00F1341F" w:rsidP="005E5C00">
            <w:r w:rsidRPr="008340BB">
              <w:t xml:space="preserve">Against </w:t>
            </w:r>
            <w:r w:rsidRPr="008340BB">
              <w:rPr>
                <w:b/>
              </w:rPr>
              <w:t xml:space="preserve">coherence </w:t>
            </w:r>
            <w:r w:rsidRPr="008340BB">
              <w:t>criterion, taking into account again the specifics of the type of evaluated project an analysis of coherence with the OPT 2007-2013 is made, with other operational programmes and other projects and initiatives, if it is related to the considered project and the same is subject to such assessment.</w:t>
            </w:r>
          </w:p>
          <w:p w14:paraId="356FDDE6" w14:textId="77777777" w:rsidR="00F1341F" w:rsidRPr="008340BB" w:rsidRDefault="00F1341F" w:rsidP="005E5C00">
            <w:r w:rsidRPr="008340BB">
              <w:t xml:space="preserve">Against </w:t>
            </w:r>
            <w:r w:rsidRPr="008340BB">
              <w:rPr>
                <w:b/>
              </w:rPr>
              <w:t>sustainability</w:t>
            </w:r>
            <w:r w:rsidRPr="008340BB">
              <w:t xml:space="preserve"> criteria is assessed whether and to what extent in the project are created consensus and partnership between the parties, whether are provided sufficient resources for operation and maintenance of the facilities after the completion of the </w:t>
            </w:r>
            <w:r w:rsidRPr="008340BB">
              <w:lastRenderedPageBreak/>
              <w:t>construction works, and what conditions are ensured to guarantee the sustainability of the environment, including creation of opportunities for adaptation and increased resilience to climate change.</w:t>
            </w:r>
          </w:p>
          <w:p w14:paraId="1FA08CC2" w14:textId="77777777" w:rsidR="00F1341F" w:rsidRPr="008340BB" w:rsidRDefault="00F1341F" w:rsidP="009F281C">
            <w:r w:rsidRPr="008340BB">
              <w:t>More attention in the evaluation for selection of the operations under the Priority Axis 1 is drawn on reporting the achievement of the following sub-criteria:</w:t>
            </w:r>
          </w:p>
          <w:p w14:paraId="6D44BDE6" w14:textId="77777777" w:rsidR="00F1341F" w:rsidRPr="008340BB" w:rsidRDefault="00F1341F" w:rsidP="009F281C">
            <w:pPr>
              <w:numPr>
                <w:ilvl w:val="0"/>
                <w:numId w:val="52"/>
              </w:numPr>
              <w:rPr>
                <w:szCs w:val="24"/>
                <w:lang w:eastAsia="bg-BG"/>
              </w:rPr>
            </w:pPr>
            <w:r w:rsidRPr="008340BB">
              <w:rPr>
                <w:szCs w:val="24"/>
                <w:lang w:eastAsia="bg-BG"/>
              </w:rPr>
              <w:t>degree of attracting passenger and freight traffic from road to railway transport;</w:t>
            </w:r>
          </w:p>
          <w:p w14:paraId="01360F14" w14:textId="77777777" w:rsidR="00F1341F" w:rsidRPr="008340BB" w:rsidRDefault="00F1341F" w:rsidP="009F281C">
            <w:pPr>
              <w:numPr>
                <w:ilvl w:val="0"/>
                <w:numId w:val="52"/>
              </w:numPr>
              <w:rPr>
                <w:i/>
                <w:sz w:val="18"/>
                <w:szCs w:val="18"/>
              </w:rPr>
            </w:pPr>
            <w:r w:rsidRPr="008340BB">
              <w:rPr>
                <w:szCs w:val="24"/>
                <w:lang w:eastAsia="bg-BG"/>
              </w:rPr>
              <w:t xml:space="preserve">degree of bringing the railway infrastructure in line with the requirements for interoperability; </w:t>
            </w:r>
          </w:p>
          <w:p w14:paraId="11ED22BF" w14:textId="77777777" w:rsidR="00F1341F" w:rsidRPr="008340BB" w:rsidRDefault="00F1341F" w:rsidP="009F281C">
            <w:pPr>
              <w:numPr>
                <w:ilvl w:val="0"/>
                <w:numId w:val="52"/>
              </w:numPr>
              <w:rPr>
                <w:i/>
                <w:sz w:val="18"/>
                <w:szCs w:val="18"/>
              </w:rPr>
            </w:pPr>
            <w:r w:rsidRPr="008340BB">
              <w:rPr>
                <w:szCs w:val="24"/>
                <w:lang w:eastAsia="bg-BG"/>
              </w:rPr>
              <w:t>upgrading or completion of investment projects funded under the OPT 2007-2013;</w:t>
            </w:r>
          </w:p>
          <w:p w14:paraId="515AC0DE" w14:textId="77777777" w:rsidR="00F1341F" w:rsidRPr="008340BB" w:rsidRDefault="00F1341F" w:rsidP="009F281C">
            <w:pPr>
              <w:numPr>
                <w:ilvl w:val="0"/>
                <w:numId w:val="52"/>
              </w:numPr>
              <w:rPr>
                <w:i/>
                <w:sz w:val="18"/>
                <w:szCs w:val="18"/>
              </w:rPr>
            </w:pPr>
            <w:r w:rsidRPr="008340BB">
              <w:rPr>
                <w:szCs w:val="24"/>
                <w:lang w:eastAsia="bg-BG"/>
              </w:rPr>
              <w:t xml:space="preserve">degree of implementation of </w:t>
            </w:r>
            <w:r w:rsidRPr="008340BB">
              <w:t>railway traffic management systems</w:t>
            </w:r>
            <w:r w:rsidRPr="008340BB">
              <w:rPr>
                <w:i/>
              </w:rPr>
              <w:t xml:space="preserve"> </w:t>
            </w:r>
            <w:r w:rsidRPr="008340BB">
              <w:rPr>
                <w:szCs w:val="24"/>
                <w:lang w:eastAsia="bg-BG"/>
              </w:rPr>
              <w:t>ERTMS;</w:t>
            </w:r>
          </w:p>
          <w:p w14:paraId="21A5F4EE" w14:textId="77777777" w:rsidR="00F1341F" w:rsidRPr="008340BB" w:rsidRDefault="00F1341F" w:rsidP="009F281C">
            <w:pPr>
              <w:numPr>
                <w:ilvl w:val="0"/>
                <w:numId w:val="52"/>
              </w:numPr>
              <w:rPr>
                <w:i/>
                <w:sz w:val="18"/>
                <w:szCs w:val="18"/>
              </w:rPr>
            </w:pPr>
            <w:r w:rsidRPr="008340BB">
              <w:rPr>
                <w:szCs w:val="24"/>
                <w:lang w:eastAsia="bg-BG"/>
              </w:rPr>
              <w:t xml:space="preserve">evaluation of the benefits from the environment; </w:t>
            </w:r>
          </w:p>
          <w:p w14:paraId="76B21C62" w14:textId="77777777" w:rsidR="00F1341F" w:rsidRPr="008340BB" w:rsidRDefault="00F1341F" w:rsidP="009F281C">
            <w:pPr>
              <w:numPr>
                <w:ilvl w:val="0"/>
                <w:numId w:val="52"/>
              </w:numPr>
              <w:rPr>
                <w:i/>
                <w:sz w:val="18"/>
                <w:szCs w:val="18"/>
              </w:rPr>
            </w:pPr>
            <w:r w:rsidRPr="008340BB">
              <w:rPr>
                <w:szCs w:val="24"/>
                <w:lang w:eastAsia="bg-BG"/>
              </w:rPr>
              <w:t>evaluation of the improvement of railway transport safety.</w:t>
            </w:r>
          </w:p>
        </w:tc>
      </w:tr>
    </w:tbl>
    <w:p w14:paraId="242E45CB" w14:textId="77777777" w:rsidR="00F1341F" w:rsidRPr="008340BB" w:rsidRDefault="00F1341F" w:rsidP="00F03C1E">
      <w:pPr>
        <w:pStyle w:val="Text3"/>
        <w:ind w:left="0"/>
        <w:rPr>
          <w:szCs w:val="24"/>
        </w:rPr>
      </w:pPr>
    </w:p>
    <w:p w14:paraId="1E383CBD" w14:textId="77777777" w:rsidR="00F1341F" w:rsidRPr="008340BB" w:rsidRDefault="00F1341F" w:rsidP="00842FD5">
      <w:pPr>
        <w:pStyle w:val="Text1"/>
        <w:ind w:left="0"/>
        <w:rPr>
          <w:lang w:val="en-GB"/>
        </w:rPr>
      </w:pPr>
      <w:r w:rsidRPr="008340BB">
        <w:rPr>
          <w:b/>
          <w:i/>
          <w:lang w:val="en-GB"/>
        </w:rPr>
        <w:t xml:space="preserve">2.A.1.5.3  Planned use of financial instruments </w:t>
      </w:r>
      <w:r w:rsidRPr="008340BB">
        <w:rPr>
          <w:lang w:val="en-GB"/>
        </w:rPr>
        <w:t>(where appropriate)</w:t>
      </w:r>
    </w:p>
    <w:p w14:paraId="6E7ED6C7" w14:textId="77777777" w:rsidR="00F1341F" w:rsidRPr="008340BB" w:rsidRDefault="00F1341F" w:rsidP="00BF3391">
      <w:pPr>
        <w:pStyle w:val="ManualHeading3"/>
        <w:tabs>
          <w:tab w:val="clear" w:pos="850"/>
        </w:tabs>
        <w:ind w:left="0" w:firstLine="0"/>
        <w:rPr>
          <w:i w:val="0"/>
        </w:rPr>
      </w:pPr>
      <w:r w:rsidRPr="008340BB">
        <w:rPr>
          <w:i w:val="0"/>
        </w:rPr>
        <w:t>(Reference: point (b)(iii) of the first subparagraph of Article 96(2)</w:t>
      </w:r>
      <w:r w:rsidRPr="008340BB" w:rsidDel="00961976">
        <w:rPr>
          <w:i w:val="0"/>
        </w:rPr>
        <w:t xml:space="preserve"> </w:t>
      </w:r>
      <w:r w:rsidRPr="008340BB">
        <w:rPr>
          <w:i w:val="0"/>
        </w:rPr>
        <w:t xml:space="preserve">of Regulation (EU) No 1303/2013) </w:t>
      </w:r>
    </w:p>
    <w:p w14:paraId="1302925F" w14:textId="77777777" w:rsidR="00F1341F" w:rsidRPr="008340BB" w:rsidRDefault="00F1341F" w:rsidP="00BF3391">
      <w:pPr>
        <w:pStyle w:val="Text1"/>
        <w:rPr>
          <w:lang w:val="en-GB"/>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9"/>
        <w:gridCol w:w="4339"/>
      </w:tblGrid>
      <w:tr w:rsidR="00F1341F" w:rsidRPr="008340BB" w14:paraId="0AA4679C" w14:textId="77777777" w:rsidTr="00F03C1E">
        <w:trPr>
          <w:trHeight w:val="518"/>
        </w:trPr>
        <w:tc>
          <w:tcPr>
            <w:tcW w:w="4339" w:type="dxa"/>
          </w:tcPr>
          <w:p w14:paraId="64B60693" w14:textId="77777777" w:rsidR="00F1341F" w:rsidRPr="008340BB" w:rsidRDefault="00F1341F" w:rsidP="00F03C1E">
            <w:pPr>
              <w:rPr>
                <w:i/>
                <w:color w:val="8DB3E2"/>
                <w:sz w:val="18"/>
                <w:szCs w:val="18"/>
              </w:rPr>
            </w:pPr>
            <w:r w:rsidRPr="008340BB">
              <w:rPr>
                <w:i/>
              </w:rPr>
              <w:t>Investment Priority</w:t>
            </w:r>
          </w:p>
        </w:tc>
        <w:tc>
          <w:tcPr>
            <w:tcW w:w="4339" w:type="dxa"/>
          </w:tcPr>
          <w:p w14:paraId="36271ADB" w14:textId="77777777" w:rsidR="008205CB" w:rsidRDefault="00F1341F">
            <w:pPr>
              <w:rPr>
                <w:i/>
              </w:rPr>
            </w:pPr>
            <w:r w:rsidRPr="008340BB">
              <w:rPr>
                <w:i/>
                <w:szCs w:val="24"/>
                <w:lang w:eastAsia="bg-BG"/>
              </w:rPr>
              <w:t>7</w:t>
            </w:r>
            <w:r w:rsidR="00EB3241">
              <w:rPr>
                <w:i/>
                <w:szCs w:val="24"/>
                <w:lang w:eastAsia="bg-BG"/>
              </w:rPr>
              <w:t>(</w:t>
            </w:r>
            <w:r w:rsidRPr="008340BB">
              <w:rPr>
                <w:i/>
                <w:szCs w:val="24"/>
                <w:lang w:eastAsia="bg-BG"/>
              </w:rPr>
              <w:t>i</w:t>
            </w:r>
            <w:r w:rsidR="00EB3241">
              <w:rPr>
                <w:i/>
                <w:szCs w:val="24"/>
                <w:lang w:eastAsia="bg-BG"/>
              </w:rPr>
              <w:t>)</w:t>
            </w:r>
            <w:r w:rsidRPr="008340BB">
              <w:rPr>
                <w:i/>
                <w:szCs w:val="24"/>
                <w:lang w:eastAsia="bg-BG"/>
              </w:rPr>
              <w:t xml:space="preserve"> -</w:t>
            </w:r>
            <w:r w:rsidRPr="008340BB">
              <w:rPr>
                <w:i/>
                <w:lang w:eastAsia="bg-BG"/>
              </w:rPr>
              <w:t xml:space="preserve"> </w:t>
            </w:r>
            <w:r w:rsidRPr="008340BB">
              <w:rPr>
                <w:i/>
              </w:rPr>
              <w:t xml:space="preserve">Supporting a multi-modal Single European Transport Area by investing in </w:t>
            </w:r>
            <w:r w:rsidR="00FD28A6">
              <w:rPr>
                <w:i/>
              </w:rPr>
              <w:t>the TEN-T</w:t>
            </w:r>
          </w:p>
          <w:p w14:paraId="153E1B27" w14:textId="77777777" w:rsidR="00F1341F" w:rsidRPr="008340BB" w:rsidRDefault="00F1341F">
            <w:pPr>
              <w:rPr>
                <w:i/>
                <w:color w:val="8DB3E2"/>
                <w:sz w:val="18"/>
                <w:szCs w:val="18"/>
              </w:rPr>
            </w:pPr>
          </w:p>
        </w:tc>
      </w:tr>
      <w:tr w:rsidR="00F1341F" w:rsidRPr="008340BB" w14:paraId="1EC51BE7" w14:textId="77777777" w:rsidTr="00F03C1E">
        <w:trPr>
          <w:trHeight w:val="379"/>
        </w:trPr>
        <w:tc>
          <w:tcPr>
            <w:tcW w:w="4339" w:type="dxa"/>
          </w:tcPr>
          <w:p w14:paraId="6027873D" w14:textId="77777777" w:rsidR="00F1341F" w:rsidRPr="008340BB" w:rsidRDefault="00F1341F" w:rsidP="00F03C1E">
            <w:pPr>
              <w:rPr>
                <w:i/>
                <w:color w:val="8DB3E2"/>
                <w:sz w:val="18"/>
                <w:szCs w:val="18"/>
              </w:rPr>
            </w:pPr>
            <w:r w:rsidRPr="008340BB">
              <w:rPr>
                <w:i/>
              </w:rPr>
              <w:t>Planned use of financial instruments</w:t>
            </w:r>
          </w:p>
        </w:tc>
        <w:tc>
          <w:tcPr>
            <w:tcW w:w="4339" w:type="dxa"/>
          </w:tcPr>
          <w:p w14:paraId="677C1882" w14:textId="77777777" w:rsidR="00F1341F" w:rsidRPr="008340BB" w:rsidRDefault="00F1341F" w:rsidP="00F03C1E">
            <w:pPr>
              <w:rPr>
                <w:i/>
                <w:color w:val="8DB3E2"/>
                <w:sz w:val="18"/>
                <w:szCs w:val="18"/>
              </w:rPr>
            </w:pPr>
            <w:r w:rsidRPr="008340BB">
              <w:rPr>
                <w:i/>
                <w:szCs w:val="24"/>
              </w:rPr>
              <w:t>N/A</w:t>
            </w:r>
          </w:p>
        </w:tc>
      </w:tr>
      <w:tr w:rsidR="00F1341F" w:rsidRPr="008340BB" w14:paraId="58564292" w14:textId="77777777" w:rsidTr="001572CD">
        <w:trPr>
          <w:trHeight w:val="1035"/>
        </w:trPr>
        <w:tc>
          <w:tcPr>
            <w:tcW w:w="8678" w:type="dxa"/>
            <w:gridSpan w:val="2"/>
          </w:tcPr>
          <w:p w14:paraId="0ACC3D3F" w14:textId="77777777" w:rsidR="00F1341F" w:rsidRPr="008340BB" w:rsidRDefault="00F1341F" w:rsidP="00BF3391">
            <w:pPr>
              <w:rPr>
                <w:i/>
                <w:sz w:val="18"/>
                <w:szCs w:val="18"/>
              </w:rPr>
            </w:pPr>
            <w:r w:rsidRPr="008340BB">
              <w:rPr>
                <w:i/>
                <w:szCs w:val="24"/>
              </w:rPr>
              <w:t>N/A</w:t>
            </w:r>
          </w:p>
        </w:tc>
      </w:tr>
    </w:tbl>
    <w:p w14:paraId="0044CD16" w14:textId="77777777" w:rsidR="00F1341F" w:rsidRPr="008340BB" w:rsidRDefault="00F1341F" w:rsidP="00B27067"/>
    <w:p w14:paraId="6A7C63A3" w14:textId="77777777" w:rsidR="00F1341F" w:rsidRPr="008340BB" w:rsidRDefault="00F1341F" w:rsidP="00842FD5">
      <w:pPr>
        <w:pStyle w:val="Text1"/>
        <w:ind w:left="0"/>
        <w:rPr>
          <w:lang w:val="en-GB"/>
        </w:rPr>
      </w:pPr>
      <w:r w:rsidRPr="008340BB">
        <w:rPr>
          <w:b/>
          <w:i/>
          <w:lang w:val="en-GB"/>
        </w:rPr>
        <w:t xml:space="preserve">2.A.1.5.4 Planned use of major projects </w:t>
      </w:r>
      <w:r w:rsidRPr="008340BB">
        <w:rPr>
          <w:lang w:val="en-GB"/>
        </w:rPr>
        <w:t>(where appropriate)</w:t>
      </w:r>
    </w:p>
    <w:p w14:paraId="41074938" w14:textId="77777777" w:rsidR="00F1341F" w:rsidRPr="008340BB" w:rsidRDefault="00F1341F" w:rsidP="00BF3391">
      <w:pPr>
        <w:pStyle w:val="ManualHeading3"/>
        <w:tabs>
          <w:tab w:val="clear" w:pos="850"/>
        </w:tabs>
        <w:ind w:left="1418" w:hanging="1418"/>
        <w:rPr>
          <w:i w:val="0"/>
        </w:rPr>
      </w:pPr>
      <w:r w:rsidRPr="008340BB">
        <w:rPr>
          <w:i w:val="0"/>
        </w:rPr>
        <w:t xml:space="preserve"> (Reference: point (b)(iii) of the first subparagraph of Article 96 (2) of Regulation (EU) No 1303/2013) </w:t>
      </w:r>
    </w:p>
    <w:p w14:paraId="4F90CBE0" w14:textId="77777777" w:rsidR="00F1341F" w:rsidRPr="008340BB" w:rsidRDefault="00F1341F" w:rsidP="008001C8">
      <w:pPr>
        <w:pStyle w:val="Text1"/>
        <w:ind w:left="0"/>
        <w:rPr>
          <w:lang w:val="en-GB"/>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9"/>
        <w:gridCol w:w="4416"/>
      </w:tblGrid>
      <w:tr w:rsidR="00F1341F" w:rsidRPr="008340BB" w14:paraId="0ECF1B0B" w14:textId="77777777" w:rsidTr="00F03C1E">
        <w:trPr>
          <w:trHeight w:val="518"/>
        </w:trPr>
        <w:tc>
          <w:tcPr>
            <w:tcW w:w="4339" w:type="dxa"/>
          </w:tcPr>
          <w:p w14:paraId="00EA24C0" w14:textId="77777777" w:rsidR="00F1341F" w:rsidRPr="008340BB" w:rsidRDefault="00F1341F" w:rsidP="00F03C1E">
            <w:pPr>
              <w:rPr>
                <w:i/>
                <w:color w:val="8DB3E2"/>
                <w:sz w:val="18"/>
                <w:szCs w:val="18"/>
              </w:rPr>
            </w:pPr>
            <w:r w:rsidRPr="008340BB">
              <w:rPr>
                <w:i/>
              </w:rPr>
              <w:t>Investment Priority</w:t>
            </w:r>
          </w:p>
        </w:tc>
        <w:tc>
          <w:tcPr>
            <w:tcW w:w="4416" w:type="dxa"/>
          </w:tcPr>
          <w:p w14:paraId="31907B18" w14:textId="77777777" w:rsidR="00F1341F" w:rsidRPr="008340BB" w:rsidRDefault="00F1341F" w:rsidP="00607DBD">
            <w:pPr>
              <w:rPr>
                <w:i/>
                <w:color w:val="8DB3E2"/>
                <w:sz w:val="18"/>
                <w:szCs w:val="18"/>
              </w:rPr>
            </w:pPr>
            <w:r w:rsidRPr="008340BB">
              <w:rPr>
                <w:i/>
                <w:szCs w:val="24"/>
                <w:lang w:eastAsia="bg-BG"/>
              </w:rPr>
              <w:t>7</w:t>
            </w:r>
            <w:r w:rsidR="00E87C4D">
              <w:rPr>
                <w:i/>
                <w:szCs w:val="24"/>
                <w:lang w:eastAsia="bg-BG"/>
              </w:rPr>
              <w:t>(</w:t>
            </w:r>
            <w:r w:rsidRPr="008340BB">
              <w:rPr>
                <w:i/>
                <w:szCs w:val="24"/>
                <w:lang w:eastAsia="bg-BG"/>
              </w:rPr>
              <w:t>i</w:t>
            </w:r>
            <w:r w:rsidR="00E87C4D">
              <w:rPr>
                <w:i/>
                <w:szCs w:val="24"/>
                <w:lang w:eastAsia="bg-BG"/>
              </w:rPr>
              <w:t>)</w:t>
            </w:r>
            <w:r w:rsidRPr="008340BB">
              <w:rPr>
                <w:i/>
                <w:szCs w:val="24"/>
                <w:lang w:eastAsia="bg-BG"/>
              </w:rPr>
              <w:t xml:space="preserve"> -</w:t>
            </w:r>
            <w:r w:rsidRPr="008340BB">
              <w:rPr>
                <w:i/>
                <w:lang w:eastAsia="bg-BG"/>
              </w:rPr>
              <w:t xml:space="preserve"> </w:t>
            </w:r>
            <w:r w:rsidRPr="008340BB">
              <w:rPr>
                <w:i/>
              </w:rPr>
              <w:t>Supporting a multi-modal Single European Transport Area by investing in Trans-European transport network</w:t>
            </w:r>
          </w:p>
        </w:tc>
      </w:tr>
      <w:tr w:rsidR="00F1341F" w:rsidRPr="007B4AED" w14:paraId="395E210A" w14:textId="77777777" w:rsidTr="00F03C1E">
        <w:trPr>
          <w:trHeight w:val="980"/>
        </w:trPr>
        <w:tc>
          <w:tcPr>
            <w:tcW w:w="8755" w:type="dxa"/>
            <w:gridSpan w:val="2"/>
          </w:tcPr>
          <w:p w14:paraId="3A4D3360" w14:textId="7A937475" w:rsidR="00F1341F" w:rsidRPr="008340BB" w:rsidRDefault="00F1341F" w:rsidP="00156CA0">
            <w:pPr>
              <w:autoSpaceDE w:val="0"/>
              <w:autoSpaceDN w:val="0"/>
              <w:adjustRightInd w:val="0"/>
              <w:rPr>
                <w:iCs/>
                <w:lang w:eastAsia="bg-BG"/>
              </w:rPr>
            </w:pPr>
            <w:r w:rsidRPr="008340BB">
              <w:rPr>
                <w:iCs/>
                <w:lang w:eastAsia="bg-BG"/>
              </w:rPr>
              <w:t>Implementing the major projects, will contribute to the integrated development of the transport network of the</w:t>
            </w:r>
            <w:r w:rsidRPr="008340BB">
              <w:t xml:space="preserve"> country as a part of the </w:t>
            </w:r>
            <w:r w:rsidR="00E43A96">
              <w:rPr>
                <w:lang w:val="en-US"/>
              </w:rPr>
              <w:t>TEN-T</w:t>
            </w:r>
            <w:r w:rsidRPr="008340BB">
              <w:t>.</w:t>
            </w:r>
            <w:r w:rsidR="00E43A96">
              <w:t xml:space="preserve"> </w:t>
            </w:r>
          </w:p>
          <w:p w14:paraId="3EB8B8D0" w14:textId="3F2A7F41" w:rsidR="00F1341F" w:rsidRPr="008340BB" w:rsidRDefault="00E43A96" w:rsidP="00A86A75">
            <w:pPr>
              <w:widowControl w:val="0"/>
              <w:autoSpaceDE w:val="0"/>
              <w:autoSpaceDN w:val="0"/>
              <w:adjustRightInd w:val="0"/>
              <w:ind w:right="2"/>
            </w:pPr>
            <w:r>
              <w:t>I</w:t>
            </w:r>
            <w:r w:rsidR="00F1341F" w:rsidRPr="008340BB">
              <w:t xml:space="preserve">t </w:t>
            </w:r>
            <w:r w:rsidR="00F1341F" w:rsidRPr="008340BB">
              <w:rPr>
                <w:rStyle w:val="hps"/>
              </w:rPr>
              <w:t>is envisaged funding of</w:t>
            </w:r>
            <w:r w:rsidR="00F1341F" w:rsidRPr="008340BB">
              <w:t xml:space="preserve"> </w:t>
            </w:r>
            <w:r w:rsidR="00F1341F" w:rsidRPr="008340BB">
              <w:rPr>
                <w:rStyle w:val="hps"/>
              </w:rPr>
              <w:t>the following major</w:t>
            </w:r>
            <w:r w:rsidR="00F1341F" w:rsidRPr="008340BB">
              <w:t xml:space="preserve"> </w:t>
            </w:r>
            <w:r w:rsidR="00F1341F" w:rsidRPr="008340BB">
              <w:rPr>
                <w:rStyle w:val="hps"/>
              </w:rPr>
              <w:t>projects</w:t>
            </w:r>
            <w:r w:rsidR="00F1341F" w:rsidRPr="008340BB">
              <w:t>:</w:t>
            </w:r>
          </w:p>
          <w:p w14:paraId="4F96D7EE" w14:textId="1285AD1B" w:rsidR="00233DB0" w:rsidRPr="00DD7B5D" w:rsidRDefault="007111F4" w:rsidP="00D00BD6">
            <w:pPr>
              <w:widowControl w:val="0"/>
              <w:numPr>
                <w:ilvl w:val="0"/>
                <w:numId w:val="82"/>
              </w:numPr>
              <w:autoSpaceDE w:val="0"/>
              <w:autoSpaceDN w:val="0"/>
              <w:adjustRightInd w:val="0"/>
              <w:ind w:right="2"/>
            </w:pPr>
            <w:r>
              <w:rPr>
                <w:rStyle w:val="hps"/>
              </w:rPr>
              <w:t xml:space="preserve">Stage 1 of the project for </w:t>
            </w:r>
            <w:r w:rsidR="00F1341F" w:rsidRPr="008340BB">
              <w:rPr>
                <w:rStyle w:val="hps"/>
              </w:rPr>
              <w:t>Rehabilitation of the railway</w:t>
            </w:r>
            <w:r w:rsidR="00F1341F" w:rsidRPr="008340BB">
              <w:t xml:space="preserve"> </w:t>
            </w:r>
            <w:r w:rsidR="008D6A93">
              <w:rPr>
                <w:rStyle w:val="hps"/>
              </w:rPr>
              <w:t>line</w:t>
            </w:r>
            <w:r w:rsidR="00F1341F" w:rsidRPr="008340BB">
              <w:t xml:space="preserve"> </w:t>
            </w:r>
            <w:r w:rsidR="00F1341F" w:rsidRPr="008340BB">
              <w:rPr>
                <w:rStyle w:val="hps"/>
              </w:rPr>
              <w:t>Plovdiv</w:t>
            </w:r>
            <w:r w:rsidR="00FF0682" w:rsidRPr="008340BB">
              <w:rPr>
                <w:rStyle w:val="hps"/>
              </w:rPr>
              <w:t xml:space="preserve"> </w:t>
            </w:r>
            <w:r w:rsidR="00F1341F" w:rsidRPr="008340BB">
              <w:rPr>
                <w:rStyle w:val="hps"/>
              </w:rPr>
              <w:t>-</w:t>
            </w:r>
            <w:r w:rsidR="00FF0682" w:rsidRPr="008340BB">
              <w:rPr>
                <w:rStyle w:val="hps"/>
              </w:rPr>
              <w:t xml:space="preserve"> </w:t>
            </w:r>
            <w:r w:rsidR="00F1341F" w:rsidRPr="008340BB">
              <w:t xml:space="preserve">Burgas </w:t>
            </w:r>
            <w:r w:rsidR="00F1341F" w:rsidRPr="008340BB">
              <w:rPr>
                <w:rStyle w:val="hps"/>
              </w:rPr>
              <w:t>Phase</w:t>
            </w:r>
            <w:r w:rsidR="00F1341F" w:rsidRPr="008340BB">
              <w:t xml:space="preserve"> </w:t>
            </w:r>
            <w:r w:rsidR="00F1341F" w:rsidRPr="008340BB">
              <w:rPr>
                <w:rStyle w:val="hps"/>
              </w:rPr>
              <w:lastRenderedPageBreak/>
              <w:t>II</w:t>
            </w:r>
            <w:r w:rsidR="00233DB0" w:rsidRPr="00247417">
              <w:t>.</w:t>
            </w:r>
            <w:r w:rsidR="00233DB0" w:rsidRPr="00B13FA5">
              <w:t xml:space="preserve"> </w:t>
            </w:r>
            <w:r w:rsidR="00233DB0" w:rsidRPr="00B13FA5">
              <w:rPr>
                <w:lang w:val="en-US"/>
              </w:rPr>
              <w:t>T</w:t>
            </w:r>
            <w:r w:rsidR="00233DB0" w:rsidRPr="00B13FA5">
              <w:t>he</w:t>
            </w:r>
            <w:r w:rsidR="00140112" w:rsidRPr="00B13FA5">
              <w:rPr>
                <w:lang w:val="bg-BG"/>
              </w:rPr>
              <w:t xml:space="preserve"> </w:t>
            </w:r>
            <w:r w:rsidR="00140112" w:rsidRPr="00B13FA5">
              <w:rPr>
                <w:lang w:val="en-US"/>
              </w:rPr>
              <w:t>total</w:t>
            </w:r>
            <w:r w:rsidR="00233DB0" w:rsidRPr="00B13FA5">
              <w:t xml:space="preserve"> </w:t>
            </w:r>
            <w:r w:rsidR="00145473">
              <w:rPr>
                <w:lang w:val="en-US"/>
              </w:rPr>
              <w:t xml:space="preserve">unfold </w:t>
            </w:r>
            <w:r w:rsidR="00233DB0" w:rsidRPr="00B13FA5">
              <w:t xml:space="preserve">length of the </w:t>
            </w:r>
            <w:r w:rsidR="00E934CD">
              <w:t>railway lines</w:t>
            </w:r>
            <w:r w:rsidR="00233DB0" w:rsidRPr="00B13FA5">
              <w:t xml:space="preserve"> to be re</w:t>
            </w:r>
            <w:r w:rsidR="00E934CD">
              <w:t>constructed</w:t>
            </w:r>
            <w:r w:rsidR="00140112" w:rsidRPr="00B13FA5">
              <w:t xml:space="preserve"> or modernised is </w:t>
            </w:r>
            <w:r>
              <w:rPr>
                <w:lang w:val="en-US"/>
              </w:rPr>
              <w:t>33</w:t>
            </w:r>
            <w:r w:rsidR="00140112" w:rsidRPr="00B13FA5">
              <w:t xml:space="preserve"> km</w:t>
            </w:r>
            <w:r w:rsidR="00D00BD6">
              <w:t xml:space="preserve">, construction </w:t>
            </w:r>
            <w:r w:rsidR="00D00BD6" w:rsidRPr="00DD7B5D">
              <w:t xml:space="preserve">of </w:t>
            </w:r>
            <w:r w:rsidR="000E5317" w:rsidRPr="00DD7B5D">
              <w:rPr>
                <w:lang w:val="bg-BG"/>
              </w:rPr>
              <w:t>7</w:t>
            </w:r>
            <w:r w:rsidR="00D00BD6" w:rsidRPr="00DD7B5D">
              <w:rPr>
                <w:lang w:val="bg-BG"/>
              </w:rPr>
              <w:t xml:space="preserve"> </w:t>
            </w:r>
            <w:r w:rsidR="00D00BD6" w:rsidRPr="00DD7B5D">
              <w:rPr>
                <w:lang w:val="en-US"/>
              </w:rPr>
              <w:t xml:space="preserve">pcs. </w:t>
            </w:r>
            <w:r w:rsidR="00D00BD6" w:rsidRPr="00DD7B5D">
              <w:rPr>
                <w:lang w:val="bg-BG"/>
              </w:rPr>
              <w:t>Route-computer centralization</w:t>
            </w:r>
            <w:r w:rsidR="00D00BD6" w:rsidRPr="00DD7B5D">
              <w:rPr>
                <w:lang w:val="en-US"/>
              </w:rPr>
              <w:t>s, remove 1</w:t>
            </w:r>
            <w:r w:rsidR="006A3055" w:rsidRPr="00DD7B5D">
              <w:rPr>
                <w:lang w:val="bg-BG"/>
              </w:rPr>
              <w:t>1</w:t>
            </w:r>
            <w:r w:rsidR="00D00BD6" w:rsidRPr="00DD7B5D">
              <w:rPr>
                <w:lang w:val="en-US"/>
              </w:rPr>
              <w:t xml:space="preserve"> pcs. crossings and construction of 1</w:t>
            </w:r>
            <w:r w:rsidR="00A32353" w:rsidRPr="00DD7B5D">
              <w:rPr>
                <w:lang w:val="bg-BG"/>
              </w:rPr>
              <w:t>1</w:t>
            </w:r>
            <w:r w:rsidR="00D00BD6" w:rsidRPr="00DD7B5D">
              <w:rPr>
                <w:lang w:val="en-US"/>
              </w:rPr>
              <w:t xml:space="preserve"> pcs. agricultural overpasses</w:t>
            </w:r>
            <w:r w:rsidR="00233DB0" w:rsidRPr="00DD7B5D">
              <w:t>;</w:t>
            </w:r>
          </w:p>
          <w:p w14:paraId="68E6B387" w14:textId="3713684A" w:rsidR="00233DB0" w:rsidRPr="007B6029" w:rsidRDefault="00F1341F" w:rsidP="00233DB0">
            <w:pPr>
              <w:widowControl w:val="0"/>
              <w:numPr>
                <w:ilvl w:val="0"/>
                <w:numId w:val="82"/>
              </w:numPr>
              <w:autoSpaceDE w:val="0"/>
              <w:autoSpaceDN w:val="0"/>
              <w:adjustRightInd w:val="0"/>
              <w:ind w:right="2"/>
            </w:pPr>
            <w:r w:rsidRPr="008340BB">
              <w:rPr>
                <w:rStyle w:val="hps"/>
              </w:rPr>
              <w:t>Modernisation</w:t>
            </w:r>
            <w:r w:rsidRPr="008340BB">
              <w:t xml:space="preserve"> </w:t>
            </w:r>
            <w:r w:rsidRPr="008340BB">
              <w:rPr>
                <w:rStyle w:val="hps"/>
              </w:rPr>
              <w:t>of the railway line</w:t>
            </w:r>
            <w:r w:rsidRPr="008340BB">
              <w:t xml:space="preserve"> </w:t>
            </w:r>
            <w:r w:rsidRPr="008340BB">
              <w:rPr>
                <w:rStyle w:val="hps"/>
              </w:rPr>
              <w:t>Sofia</w:t>
            </w:r>
            <w:r w:rsidR="00FF0682" w:rsidRPr="008340BB">
              <w:rPr>
                <w:rStyle w:val="hps"/>
              </w:rPr>
              <w:t xml:space="preserve"> </w:t>
            </w:r>
            <w:r w:rsidRPr="008340BB">
              <w:rPr>
                <w:rStyle w:val="alt-edited"/>
              </w:rPr>
              <w:t>-</w:t>
            </w:r>
            <w:r w:rsidR="00FF0682" w:rsidRPr="008340BB">
              <w:rPr>
                <w:rStyle w:val="alt-edited"/>
              </w:rPr>
              <w:t xml:space="preserve"> </w:t>
            </w:r>
            <w:r w:rsidR="00BC5F0B">
              <w:rPr>
                <w:rStyle w:val="alt-edited"/>
                <w:lang w:val="en-US"/>
              </w:rPr>
              <w:t>Plovdiv</w:t>
            </w:r>
            <w:r w:rsidRPr="008340BB">
              <w:t xml:space="preserve"> </w:t>
            </w:r>
            <w:r w:rsidRPr="008340BB">
              <w:rPr>
                <w:rStyle w:val="hps"/>
              </w:rPr>
              <w:t>in the section Elin Pelin</w:t>
            </w:r>
            <w:r w:rsidR="00FF0682" w:rsidRPr="008340BB">
              <w:rPr>
                <w:rStyle w:val="hps"/>
              </w:rPr>
              <w:t xml:space="preserve"> </w:t>
            </w:r>
            <w:r w:rsidRPr="008340BB">
              <w:rPr>
                <w:rStyle w:val="alt-edited"/>
              </w:rPr>
              <w:t>-</w:t>
            </w:r>
            <w:r w:rsidR="00FF0682" w:rsidRPr="008340BB">
              <w:rPr>
                <w:rStyle w:val="alt-edited"/>
              </w:rPr>
              <w:t xml:space="preserve"> </w:t>
            </w:r>
            <w:r w:rsidR="00BC5F0B">
              <w:rPr>
                <w:rStyle w:val="alt-edited"/>
              </w:rPr>
              <w:t>Kostenetz</w:t>
            </w:r>
            <w:r w:rsidR="00233DB0" w:rsidRPr="007B6029">
              <w:rPr>
                <w:rStyle w:val="hps"/>
              </w:rPr>
              <w:t xml:space="preserve"> with total length </w:t>
            </w:r>
            <w:r w:rsidR="007608E1">
              <w:rPr>
                <w:rStyle w:val="hps"/>
              </w:rPr>
              <w:t xml:space="preserve">of the section </w:t>
            </w:r>
            <w:r w:rsidR="00233DB0" w:rsidRPr="007B6029">
              <w:rPr>
                <w:rStyle w:val="hps"/>
              </w:rPr>
              <w:t xml:space="preserve">of </w:t>
            </w:r>
            <w:r w:rsidR="00BC5F0B">
              <w:rPr>
                <w:rStyle w:val="hps"/>
              </w:rPr>
              <w:t>51.044</w:t>
            </w:r>
            <w:r w:rsidR="00233DB0" w:rsidRPr="007B6029">
              <w:rPr>
                <w:rStyle w:val="hps"/>
              </w:rPr>
              <w:t xml:space="preserve"> km, entirely double line</w:t>
            </w:r>
            <w:r w:rsidR="00737A66">
              <w:rPr>
                <w:rStyle w:val="hps"/>
              </w:rPr>
              <w:t>;</w:t>
            </w:r>
            <w:r w:rsidR="00753152" w:rsidRPr="00254A15">
              <w:rPr>
                <w:lang w:val="bg-BG"/>
              </w:rPr>
              <w:t xml:space="preserve"> </w:t>
            </w:r>
            <w:r w:rsidR="00753152">
              <w:rPr>
                <w:lang w:val="en-US"/>
              </w:rPr>
              <w:t>the section will be partially modernized under OPTTI;</w:t>
            </w:r>
          </w:p>
          <w:p w14:paraId="54BB40F6" w14:textId="053370F8" w:rsidR="00737A66" w:rsidRPr="00737A66" w:rsidRDefault="00737A66" w:rsidP="00254A15">
            <w:pPr>
              <w:numPr>
                <w:ilvl w:val="0"/>
                <w:numId w:val="82"/>
              </w:numPr>
              <w:autoSpaceDE w:val="0"/>
              <w:autoSpaceDN w:val="0"/>
              <w:adjustRightInd w:val="0"/>
            </w:pPr>
            <w:r w:rsidRPr="00254A15">
              <w:rPr>
                <w:bCs/>
                <w:lang w:val="en-US"/>
              </w:rPr>
              <w:t>Modernization of Sofia – Dragoman – Serbian border Railway line</w:t>
            </w:r>
            <w:r w:rsidRPr="00254A15">
              <w:rPr>
                <w:lang w:val="en-US"/>
              </w:rPr>
              <w:t xml:space="preserve">, </w:t>
            </w:r>
            <w:r w:rsidRPr="00254A15">
              <w:rPr>
                <w:bCs/>
                <w:lang w:val="en-US"/>
              </w:rPr>
              <w:t>section Voluyak – Dragoman</w:t>
            </w:r>
            <w:r w:rsidR="00416100">
              <w:rPr>
                <w:bCs/>
                <w:lang w:val="en-US"/>
              </w:rPr>
              <w:t xml:space="preserve">, phase 1. </w:t>
            </w:r>
            <w:r w:rsidR="00EE7C3F" w:rsidRPr="00254A15">
              <w:rPr>
                <w:rFonts w:eastAsia="Times New Roman"/>
                <w:lang w:val="en-US" w:eastAsia="en-US"/>
              </w:rPr>
              <w:t xml:space="preserve"> </w:t>
            </w:r>
            <w:r w:rsidR="00416100">
              <w:rPr>
                <w:bCs/>
                <w:lang w:val="en-US"/>
              </w:rPr>
              <w:t>The</w:t>
            </w:r>
            <w:r w:rsidR="005A3BE0">
              <w:rPr>
                <w:bCs/>
                <w:lang w:val="en-US"/>
              </w:rPr>
              <w:t xml:space="preserve"> total</w:t>
            </w:r>
            <w:r w:rsidR="00EE7C3F" w:rsidRPr="00254A15">
              <w:rPr>
                <w:bCs/>
                <w:lang w:val="en-US"/>
              </w:rPr>
              <w:t xml:space="preserve"> length of </w:t>
            </w:r>
            <w:r w:rsidR="00416100">
              <w:rPr>
                <w:bCs/>
                <w:lang w:val="en-US"/>
              </w:rPr>
              <w:t xml:space="preserve">the section is </w:t>
            </w:r>
            <w:r w:rsidR="00EE7C3F" w:rsidRPr="00254A15">
              <w:rPr>
                <w:bCs/>
                <w:lang w:val="en-US"/>
              </w:rPr>
              <w:t>25 km</w:t>
            </w:r>
            <w:r w:rsidR="00E20D37">
              <w:rPr>
                <w:bCs/>
                <w:lang w:val="en-US"/>
              </w:rPr>
              <w:t>, single railway line</w:t>
            </w:r>
            <w:r w:rsidR="009D3B8C">
              <w:rPr>
                <w:bCs/>
                <w:lang w:val="en-US"/>
              </w:rPr>
              <w:t>.</w:t>
            </w:r>
            <w:r w:rsidR="00E20D37">
              <w:rPr>
                <w:bCs/>
                <w:lang w:val="en-US"/>
              </w:rPr>
              <w:t xml:space="preserve"> </w:t>
            </w:r>
            <w:r w:rsidR="00080435">
              <w:rPr>
                <w:bCs/>
                <w:lang w:val="en-US"/>
              </w:rPr>
              <w:t xml:space="preserve">Only phase 1 of the project will be implemented under OPTTI. </w:t>
            </w:r>
            <w:r w:rsidR="00416100">
              <w:rPr>
                <w:bCs/>
                <w:lang w:val="en-US"/>
              </w:rPr>
              <w:t xml:space="preserve"> </w:t>
            </w:r>
            <w:r w:rsidR="00254A15" w:rsidRPr="00254A15">
              <w:rPr>
                <w:lang w:val="bg-BG"/>
              </w:rPr>
              <w:t xml:space="preserve"> </w:t>
            </w:r>
          </w:p>
          <w:p w14:paraId="203A27D0" w14:textId="3EF22F20" w:rsidR="00F1341F" w:rsidRPr="008340BB" w:rsidRDefault="00F1341F" w:rsidP="00AA3108">
            <w:pPr>
              <w:autoSpaceDE w:val="0"/>
              <w:autoSpaceDN w:val="0"/>
              <w:adjustRightInd w:val="0"/>
              <w:rPr>
                <w:rStyle w:val="hps"/>
              </w:rPr>
            </w:pPr>
            <w:r w:rsidRPr="008340BB">
              <w:rPr>
                <w:rStyle w:val="hps"/>
              </w:rPr>
              <w:t>Preparation for</w:t>
            </w:r>
            <w:r w:rsidRPr="008340BB">
              <w:t xml:space="preserve"> </w:t>
            </w:r>
            <w:r w:rsidRPr="008340BB">
              <w:rPr>
                <w:rStyle w:val="hps"/>
              </w:rPr>
              <w:t>carrying out the construction works</w:t>
            </w:r>
            <w:r w:rsidRPr="008340BB">
              <w:t xml:space="preserve"> </w:t>
            </w:r>
            <w:r w:rsidRPr="008340BB">
              <w:rPr>
                <w:rStyle w:val="hps"/>
              </w:rPr>
              <w:t>for</w:t>
            </w:r>
            <w:r w:rsidRPr="008340BB">
              <w:t xml:space="preserve"> </w:t>
            </w:r>
            <w:r w:rsidRPr="008340BB">
              <w:rPr>
                <w:rStyle w:val="hps"/>
              </w:rPr>
              <w:t>both projects</w:t>
            </w:r>
            <w:r w:rsidRPr="008340BB">
              <w:t xml:space="preserve"> is </w:t>
            </w:r>
            <w:r w:rsidRPr="008340BB">
              <w:rPr>
                <w:rStyle w:val="hps"/>
              </w:rPr>
              <w:t>funded under</w:t>
            </w:r>
            <w:r w:rsidRPr="008340BB">
              <w:t xml:space="preserve"> </w:t>
            </w:r>
            <w:r w:rsidRPr="008340BB">
              <w:rPr>
                <w:rStyle w:val="hps"/>
              </w:rPr>
              <w:t>OPT</w:t>
            </w:r>
            <w:r w:rsidRPr="008340BB">
              <w:t xml:space="preserve"> </w:t>
            </w:r>
            <w:r w:rsidRPr="008340BB">
              <w:rPr>
                <w:rStyle w:val="hps"/>
              </w:rPr>
              <w:t>2007-2013</w:t>
            </w:r>
            <w:r w:rsidR="001A4D98">
              <w:rPr>
                <w:rStyle w:val="hps"/>
              </w:rPr>
              <w:t>.</w:t>
            </w:r>
            <w:r w:rsidRPr="008340BB">
              <w:t xml:space="preserve"> </w:t>
            </w:r>
            <w:r w:rsidR="001A4D98">
              <w:t>F</w:t>
            </w:r>
            <w:r w:rsidRPr="008340BB">
              <w:t xml:space="preserve">or </w:t>
            </w:r>
            <w:r w:rsidRPr="008340BB">
              <w:rPr>
                <w:rStyle w:val="hps"/>
              </w:rPr>
              <w:t>each project</w:t>
            </w:r>
            <w:r w:rsidRPr="008340BB">
              <w:t xml:space="preserve"> the </w:t>
            </w:r>
            <w:r w:rsidRPr="008340BB">
              <w:rPr>
                <w:rStyle w:val="hps"/>
              </w:rPr>
              <w:t>preparation for achieving a</w:t>
            </w:r>
            <w:r w:rsidRPr="008340BB">
              <w:t xml:space="preserve"> </w:t>
            </w:r>
            <w:r w:rsidRPr="008340BB">
              <w:rPr>
                <w:rStyle w:val="hps"/>
              </w:rPr>
              <w:t>"</w:t>
            </w:r>
            <w:r w:rsidRPr="008340BB">
              <w:t xml:space="preserve">mature" </w:t>
            </w:r>
            <w:r w:rsidRPr="008340BB">
              <w:rPr>
                <w:rStyle w:val="hps"/>
              </w:rPr>
              <w:t>project</w:t>
            </w:r>
            <w:r w:rsidRPr="008340BB">
              <w:t xml:space="preserve"> </w:t>
            </w:r>
            <w:r w:rsidRPr="008340BB">
              <w:rPr>
                <w:rStyle w:val="hps"/>
              </w:rPr>
              <w:t>stage is</w:t>
            </w:r>
            <w:r w:rsidRPr="008340BB">
              <w:t xml:space="preserve"> at </w:t>
            </w:r>
            <w:r w:rsidRPr="008340BB">
              <w:rPr>
                <w:rStyle w:val="hps"/>
              </w:rPr>
              <w:t>different implementation phase.</w:t>
            </w:r>
          </w:p>
          <w:p w14:paraId="721616EC" w14:textId="6E0ED87C" w:rsidR="00F1341F" w:rsidRPr="008340BB" w:rsidRDefault="00D848EA" w:rsidP="00AA3108">
            <w:pPr>
              <w:autoSpaceDE w:val="0"/>
              <w:autoSpaceDN w:val="0"/>
              <w:adjustRightInd w:val="0"/>
              <w:rPr>
                <w:rStyle w:val="hps"/>
                <w:i/>
              </w:rPr>
            </w:pPr>
            <w:r>
              <w:rPr>
                <w:rStyle w:val="hps"/>
                <w:i/>
              </w:rPr>
              <w:t xml:space="preserve">Stage 1 of </w:t>
            </w:r>
            <w:r w:rsidR="00F1341F" w:rsidRPr="008340BB">
              <w:rPr>
                <w:rStyle w:val="hps"/>
                <w:i/>
              </w:rPr>
              <w:t>Project “Rehabilitation of the railway</w:t>
            </w:r>
            <w:r w:rsidR="00F1341F" w:rsidRPr="008340BB">
              <w:rPr>
                <w:i/>
              </w:rPr>
              <w:t xml:space="preserve"> </w:t>
            </w:r>
            <w:r w:rsidR="001B0E1F">
              <w:rPr>
                <w:i/>
              </w:rPr>
              <w:t>line</w:t>
            </w:r>
            <w:r w:rsidR="00F1341F" w:rsidRPr="008340BB">
              <w:rPr>
                <w:i/>
              </w:rPr>
              <w:t xml:space="preserve"> </w:t>
            </w:r>
            <w:r w:rsidR="00F1341F" w:rsidRPr="008340BB">
              <w:rPr>
                <w:rStyle w:val="hps"/>
                <w:i/>
              </w:rPr>
              <w:t>Plovdiv-</w:t>
            </w:r>
            <w:r w:rsidR="00F1341F" w:rsidRPr="008340BB">
              <w:rPr>
                <w:i/>
              </w:rPr>
              <w:t xml:space="preserve">Burgas </w:t>
            </w:r>
            <w:r w:rsidR="00F1341F" w:rsidRPr="008340BB">
              <w:rPr>
                <w:rStyle w:val="hps"/>
                <w:i/>
              </w:rPr>
              <w:t>Phase</w:t>
            </w:r>
            <w:r w:rsidR="00F1341F" w:rsidRPr="008340BB">
              <w:rPr>
                <w:i/>
              </w:rPr>
              <w:t xml:space="preserve"> </w:t>
            </w:r>
            <w:r w:rsidR="00F1341F" w:rsidRPr="008340BB">
              <w:rPr>
                <w:rStyle w:val="hps"/>
                <w:i/>
              </w:rPr>
              <w:t>II”</w:t>
            </w:r>
          </w:p>
          <w:p w14:paraId="547A5D0F" w14:textId="77777777" w:rsidR="00F1341F" w:rsidRPr="008340BB" w:rsidRDefault="00F1341F" w:rsidP="00243777">
            <w:pPr>
              <w:pStyle w:val="ListParagraph"/>
              <w:numPr>
                <w:ilvl w:val="0"/>
                <w:numId w:val="52"/>
              </w:numPr>
              <w:autoSpaceDE w:val="0"/>
              <w:autoSpaceDN w:val="0"/>
              <w:adjustRightInd w:val="0"/>
              <w:rPr>
                <w:rStyle w:val="hps"/>
              </w:rPr>
            </w:pPr>
            <w:r w:rsidRPr="008340BB">
              <w:rPr>
                <w:rStyle w:val="hps"/>
              </w:rPr>
              <w:t>completed conceptual</w:t>
            </w:r>
            <w:r w:rsidRPr="008340BB">
              <w:t xml:space="preserve"> </w:t>
            </w:r>
            <w:r w:rsidRPr="008340BB">
              <w:rPr>
                <w:rStyle w:val="hps"/>
              </w:rPr>
              <w:t xml:space="preserve">design; </w:t>
            </w:r>
          </w:p>
          <w:p w14:paraId="7550F611" w14:textId="77777777" w:rsidR="00F1341F" w:rsidRPr="008340BB" w:rsidRDefault="00F1341F" w:rsidP="00243777">
            <w:pPr>
              <w:pStyle w:val="ListParagraph"/>
              <w:numPr>
                <w:ilvl w:val="0"/>
                <w:numId w:val="52"/>
              </w:numPr>
              <w:autoSpaceDE w:val="0"/>
              <w:autoSpaceDN w:val="0"/>
              <w:adjustRightInd w:val="0"/>
              <w:rPr>
                <w:rStyle w:val="hps"/>
              </w:rPr>
            </w:pPr>
            <w:r w:rsidRPr="008340BB">
              <w:rPr>
                <w:rStyle w:val="hps"/>
              </w:rPr>
              <w:t>completed technical design by the end of 2015;</w:t>
            </w:r>
          </w:p>
          <w:p w14:paraId="3DFCE06A" w14:textId="77777777" w:rsidR="00F1341F" w:rsidRPr="008340BB" w:rsidRDefault="00F1341F" w:rsidP="00243777">
            <w:pPr>
              <w:pStyle w:val="ListParagraph"/>
              <w:numPr>
                <w:ilvl w:val="0"/>
                <w:numId w:val="52"/>
              </w:numPr>
              <w:autoSpaceDE w:val="0"/>
              <w:autoSpaceDN w:val="0"/>
              <w:adjustRightInd w:val="0"/>
              <w:rPr>
                <w:rStyle w:val="hps"/>
              </w:rPr>
            </w:pPr>
            <w:r w:rsidRPr="008340BB">
              <w:rPr>
                <w:rStyle w:val="hps"/>
              </w:rPr>
              <w:t>completed EIA report (if necessary) by the end of 2015;</w:t>
            </w:r>
          </w:p>
          <w:p w14:paraId="293A0E43" w14:textId="7E949D12" w:rsidR="00F1341F" w:rsidRPr="008340BB" w:rsidRDefault="00F1341F" w:rsidP="00243777">
            <w:pPr>
              <w:pStyle w:val="ListParagraph"/>
              <w:numPr>
                <w:ilvl w:val="0"/>
                <w:numId w:val="52"/>
              </w:numPr>
              <w:autoSpaceDE w:val="0"/>
              <w:autoSpaceDN w:val="0"/>
              <w:adjustRightInd w:val="0"/>
              <w:rPr>
                <w:rStyle w:val="hps"/>
              </w:rPr>
            </w:pPr>
            <w:r w:rsidRPr="008340BB">
              <w:rPr>
                <w:rStyle w:val="hps"/>
              </w:rPr>
              <w:t>conducting land acquisitions.</w:t>
            </w:r>
          </w:p>
          <w:p w14:paraId="3341EC51" w14:textId="59A43024" w:rsidR="00F1341F" w:rsidRPr="008340BB" w:rsidRDefault="00F1341F" w:rsidP="00AA3108">
            <w:pPr>
              <w:autoSpaceDE w:val="0"/>
              <w:autoSpaceDN w:val="0"/>
              <w:adjustRightInd w:val="0"/>
              <w:rPr>
                <w:rStyle w:val="hps"/>
                <w:i/>
              </w:rPr>
            </w:pPr>
            <w:r w:rsidRPr="008340BB">
              <w:rPr>
                <w:rStyle w:val="hps"/>
                <w:i/>
              </w:rPr>
              <w:t>Modernisation</w:t>
            </w:r>
            <w:r w:rsidRPr="008340BB">
              <w:rPr>
                <w:i/>
              </w:rPr>
              <w:t xml:space="preserve"> </w:t>
            </w:r>
            <w:r w:rsidRPr="008340BB">
              <w:rPr>
                <w:rStyle w:val="hps"/>
                <w:i/>
              </w:rPr>
              <w:t>of the railway line</w:t>
            </w:r>
            <w:r w:rsidRPr="008340BB">
              <w:rPr>
                <w:i/>
              </w:rPr>
              <w:t xml:space="preserve"> </w:t>
            </w:r>
            <w:r w:rsidRPr="008340BB">
              <w:rPr>
                <w:rStyle w:val="hps"/>
                <w:i/>
              </w:rPr>
              <w:t>Sofia</w:t>
            </w:r>
            <w:r w:rsidRPr="008340BB">
              <w:rPr>
                <w:rStyle w:val="alt-edited"/>
                <w:i/>
              </w:rPr>
              <w:t>-Septemvri</w:t>
            </w:r>
            <w:r w:rsidRPr="008340BB">
              <w:rPr>
                <w:i/>
              </w:rPr>
              <w:t xml:space="preserve"> </w:t>
            </w:r>
            <w:r w:rsidRPr="008340BB">
              <w:rPr>
                <w:rStyle w:val="hps"/>
                <w:i/>
              </w:rPr>
              <w:t>in the sections Elin Pelin</w:t>
            </w:r>
            <w:r w:rsidRPr="008340BB">
              <w:rPr>
                <w:rStyle w:val="alt-edited"/>
                <w:i/>
              </w:rPr>
              <w:t>-</w:t>
            </w:r>
            <w:r w:rsidR="00B670C2">
              <w:rPr>
                <w:rStyle w:val="alt-edited"/>
                <w:i/>
              </w:rPr>
              <w:t>Kostenetz</w:t>
            </w:r>
            <w:r w:rsidR="00806458">
              <w:rPr>
                <w:rStyle w:val="alt-edited"/>
                <w:i/>
              </w:rPr>
              <w:t>, Phase 1</w:t>
            </w:r>
          </w:p>
          <w:p w14:paraId="0313C050" w14:textId="77777777" w:rsidR="00F1341F" w:rsidRPr="008340BB" w:rsidRDefault="00F1341F" w:rsidP="00A663FF">
            <w:pPr>
              <w:pStyle w:val="ListParagraph"/>
              <w:numPr>
                <w:ilvl w:val="0"/>
                <w:numId w:val="52"/>
              </w:numPr>
              <w:autoSpaceDE w:val="0"/>
              <w:autoSpaceDN w:val="0"/>
              <w:adjustRightInd w:val="0"/>
              <w:rPr>
                <w:rStyle w:val="hps"/>
              </w:rPr>
            </w:pPr>
            <w:r w:rsidRPr="008340BB">
              <w:rPr>
                <w:rStyle w:val="hps"/>
              </w:rPr>
              <w:t>completed conceptual</w:t>
            </w:r>
            <w:r w:rsidRPr="008340BB">
              <w:t xml:space="preserve"> </w:t>
            </w:r>
            <w:r w:rsidRPr="008340BB">
              <w:rPr>
                <w:rStyle w:val="hps"/>
              </w:rPr>
              <w:t xml:space="preserve">design; </w:t>
            </w:r>
          </w:p>
          <w:p w14:paraId="27C56B38" w14:textId="77777777" w:rsidR="00F1341F" w:rsidRPr="008340BB" w:rsidRDefault="00F1341F" w:rsidP="00A663FF">
            <w:pPr>
              <w:pStyle w:val="ListParagraph"/>
              <w:numPr>
                <w:ilvl w:val="0"/>
                <w:numId w:val="52"/>
              </w:numPr>
              <w:autoSpaceDE w:val="0"/>
              <w:autoSpaceDN w:val="0"/>
              <w:adjustRightInd w:val="0"/>
              <w:rPr>
                <w:rStyle w:val="hps"/>
              </w:rPr>
            </w:pPr>
            <w:r w:rsidRPr="008340BB">
              <w:rPr>
                <w:rStyle w:val="hps"/>
              </w:rPr>
              <w:t>completed technical design by the end of 2015;</w:t>
            </w:r>
          </w:p>
          <w:p w14:paraId="5BAF18FD" w14:textId="77777777" w:rsidR="00F1341F" w:rsidRPr="008340BB" w:rsidRDefault="00F1341F" w:rsidP="00A663FF">
            <w:pPr>
              <w:pStyle w:val="ListParagraph"/>
              <w:numPr>
                <w:ilvl w:val="0"/>
                <w:numId w:val="52"/>
              </w:numPr>
              <w:autoSpaceDE w:val="0"/>
              <w:autoSpaceDN w:val="0"/>
              <w:adjustRightInd w:val="0"/>
              <w:rPr>
                <w:rStyle w:val="hps"/>
              </w:rPr>
            </w:pPr>
            <w:r w:rsidRPr="008340BB">
              <w:rPr>
                <w:rStyle w:val="hps"/>
              </w:rPr>
              <w:t>completed EIA report - September 2014;</w:t>
            </w:r>
          </w:p>
          <w:p w14:paraId="675E83FD" w14:textId="265AB29A" w:rsidR="00F1341F" w:rsidRDefault="00F1341F" w:rsidP="00A663FF">
            <w:pPr>
              <w:pStyle w:val="ListParagraph"/>
              <w:numPr>
                <w:ilvl w:val="0"/>
                <w:numId w:val="52"/>
              </w:numPr>
              <w:autoSpaceDE w:val="0"/>
              <w:autoSpaceDN w:val="0"/>
              <w:adjustRightInd w:val="0"/>
              <w:rPr>
                <w:rStyle w:val="hps"/>
              </w:rPr>
            </w:pPr>
            <w:r w:rsidRPr="008340BB">
              <w:rPr>
                <w:rStyle w:val="hps"/>
              </w:rPr>
              <w:t>conducting land acquisitions.</w:t>
            </w:r>
          </w:p>
          <w:p w14:paraId="7D5B6E29" w14:textId="60E82DA4" w:rsidR="00527676" w:rsidRDefault="00527676" w:rsidP="00527676">
            <w:pPr>
              <w:autoSpaceDE w:val="0"/>
              <w:autoSpaceDN w:val="0"/>
              <w:adjustRightInd w:val="0"/>
              <w:rPr>
                <w:bCs/>
                <w:i/>
                <w:lang w:val="en-US"/>
              </w:rPr>
            </w:pPr>
            <w:r w:rsidRPr="00527676">
              <w:rPr>
                <w:bCs/>
                <w:i/>
                <w:lang w:val="en-US"/>
              </w:rPr>
              <w:t>Modernization of Sofia – Dragoman – Serbian border Railway line</w:t>
            </w:r>
            <w:r w:rsidRPr="00527676">
              <w:rPr>
                <w:i/>
                <w:lang w:val="en-US"/>
              </w:rPr>
              <w:t xml:space="preserve">, </w:t>
            </w:r>
            <w:r w:rsidRPr="00527676">
              <w:rPr>
                <w:bCs/>
                <w:i/>
                <w:lang w:val="en-US"/>
              </w:rPr>
              <w:t>section Voluyak – Dragoman</w:t>
            </w:r>
            <w:r w:rsidR="00C73A77">
              <w:rPr>
                <w:bCs/>
                <w:i/>
                <w:lang w:val="en-US"/>
              </w:rPr>
              <w:t>, phase 1</w:t>
            </w:r>
          </w:p>
          <w:p w14:paraId="565E37A0" w14:textId="62E9E4CE" w:rsidR="00D1121B" w:rsidRPr="00D1121B" w:rsidRDefault="00C811A2" w:rsidP="00385CCC">
            <w:pPr>
              <w:pStyle w:val="ListParagraph"/>
              <w:numPr>
                <w:ilvl w:val="0"/>
                <w:numId w:val="52"/>
              </w:numPr>
              <w:autoSpaceDE w:val="0"/>
              <w:autoSpaceDN w:val="0"/>
              <w:adjustRightInd w:val="0"/>
              <w:rPr>
                <w:rStyle w:val="hps"/>
                <w:lang w:val="en-US"/>
              </w:rPr>
            </w:pPr>
            <w:r>
              <w:rPr>
                <w:rStyle w:val="hps"/>
                <w:lang w:val="en-US"/>
              </w:rPr>
              <w:t>p</w:t>
            </w:r>
            <w:r w:rsidR="00D1121B" w:rsidRPr="00D1121B">
              <w:rPr>
                <w:rStyle w:val="hps"/>
                <w:lang w:val="en-US"/>
              </w:rPr>
              <w:t>repared and approved Detailed Spatial Plans – Parcel Plan</w:t>
            </w:r>
            <w:r>
              <w:rPr>
                <w:rStyle w:val="hps"/>
                <w:lang w:val="en-US"/>
              </w:rPr>
              <w:t>s for Voluyak – Petarch section; p</w:t>
            </w:r>
            <w:r w:rsidR="00D1121B" w:rsidRPr="00D1121B">
              <w:rPr>
                <w:rStyle w:val="hps"/>
                <w:lang w:val="en-US"/>
              </w:rPr>
              <w:t xml:space="preserve">repared documents </w:t>
            </w:r>
            <w:r>
              <w:rPr>
                <w:rStyle w:val="hps"/>
                <w:lang w:val="en-US"/>
              </w:rPr>
              <w:t>for land acquisition procedures</w:t>
            </w:r>
            <w:r w:rsidR="00F82899">
              <w:rPr>
                <w:rStyle w:val="hps"/>
                <w:lang w:val="bg-BG"/>
              </w:rPr>
              <w:t xml:space="preserve"> </w:t>
            </w:r>
            <w:r w:rsidR="00F82899">
              <w:rPr>
                <w:rStyle w:val="hps"/>
                <w:lang w:val="en-US"/>
              </w:rPr>
              <w:t xml:space="preserve">and received </w:t>
            </w:r>
            <w:r w:rsidR="009D54A2" w:rsidRPr="009D54A2">
              <w:rPr>
                <w:lang w:val="en-US"/>
              </w:rPr>
              <w:t>CoM decision</w:t>
            </w:r>
            <w:r w:rsidR="009D54A2" w:rsidRPr="009D54A2">
              <w:rPr>
                <w:lang w:val="en-AU"/>
              </w:rPr>
              <w:t xml:space="preserve"> № </w:t>
            </w:r>
            <w:r w:rsidR="009D54A2" w:rsidRPr="009D54A2">
              <w:t>633 dated 04/09/2020 for land acquisition completion</w:t>
            </w:r>
            <w:r w:rsidR="00D1121B" w:rsidRPr="00D1121B">
              <w:rPr>
                <w:rStyle w:val="hps"/>
                <w:lang w:val="en-US"/>
              </w:rPr>
              <w:t>.</w:t>
            </w:r>
          </w:p>
          <w:p w14:paraId="53C19927" w14:textId="3E9A744D" w:rsidR="002D5542" w:rsidRPr="002D5542" w:rsidRDefault="002D5542" w:rsidP="002D5542">
            <w:pPr>
              <w:pStyle w:val="ListParagraph"/>
              <w:numPr>
                <w:ilvl w:val="0"/>
                <w:numId w:val="52"/>
              </w:numPr>
              <w:autoSpaceDE w:val="0"/>
              <w:autoSpaceDN w:val="0"/>
              <w:adjustRightInd w:val="0"/>
              <w:rPr>
                <w:rStyle w:val="hps"/>
                <w:lang w:val="en-US"/>
              </w:rPr>
            </w:pPr>
            <w:r>
              <w:rPr>
                <w:rStyle w:val="hps"/>
                <w:lang w:val="en-US"/>
              </w:rPr>
              <w:t>p</w:t>
            </w:r>
            <w:r w:rsidRPr="002D5542">
              <w:rPr>
                <w:rStyle w:val="hps"/>
                <w:lang w:val="en-US"/>
              </w:rPr>
              <w:t xml:space="preserve">repared Detailed Development Plan and Technical Design for modernization of the section from Petarch railway station to Dragoman railway station: </w:t>
            </w:r>
            <w:r>
              <w:rPr>
                <w:rStyle w:val="hps"/>
                <w:lang w:val="en-US"/>
              </w:rPr>
              <w:t>i</w:t>
            </w:r>
            <w:r w:rsidRPr="002D5542">
              <w:rPr>
                <w:rStyle w:val="hps"/>
                <w:lang w:val="en-US"/>
              </w:rPr>
              <w:t>ssued Ordinance, promulgated in State Gazette</w:t>
            </w:r>
            <w:r>
              <w:rPr>
                <w:rStyle w:val="hps"/>
                <w:lang w:val="en-US"/>
              </w:rPr>
              <w:t>;</w:t>
            </w:r>
            <w:r w:rsidRPr="002D5542">
              <w:rPr>
                <w:rStyle w:val="hps"/>
                <w:lang w:val="en-US"/>
              </w:rPr>
              <w:t xml:space="preserve"> </w:t>
            </w:r>
            <w:r>
              <w:rPr>
                <w:rStyle w:val="hps"/>
                <w:lang w:val="en-US"/>
              </w:rPr>
              <w:t>p</w:t>
            </w:r>
            <w:r w:rsidRPr="002D5542">
              <w:rPr>
                <w:rStyle w:val="hps"/>
                <w:lang w:val="en-US"/>
              </w:rPr>
              <w:t>repared documents for land acquisitio</w:t>
            </w:r>
            <w:r>
              <w:rPr>
                <w:rStyle w:val="hps"/>
                <w:lang w:val="en-US"/>
              </w:rPr>
              <w:t>n procedures</w:t>
            </w:r>
            <w:r w:rsidRPr="002D5542">
              <w:rPr>
                <w:rStyle w:val="hps"/>
                <w:lang w:val="en-US"/>
              </w:rPr>
              <w:t>.</w:t>
            </w:r>
          </w:p>
          <w:p w14:paraId="451D5B16" w14:textId="681C4589" w:rsidR="002D5542" w:rsidRPr="002D5542" w:rsidRDefault="002D5542" w:rsidP="002D5542">
            <w:pPr>
              <w:pStyle w:val="ListParagraph"/>
              <w:numPr>
                <w:ilvl w:val="0"/>
                <w:numId w:val="52"/>
              </w:numPr>
              <w:autoSpaceDE w:val="0"/>
              <w:autoSpaceDN w:val="0"/>
              <w:adjustRightInd w:val="0"/>
              <w:rPr>
                <w:rStyle w:val="hps"/>
                <w:lang w:val="en-US"/>
              </w:rPr>
            </w:pPr>
            <w:r>
              <w:rPr>
                <w:rStyle w:val="hps"/>
                <w:lang w:val="en-US"/>
              </w:rPr>
              <w:t>p</w:t>
            </w:r>
            <w:r w:rsidRPr="002D5542">
              <w:rPr>
                <w:rStyle w:val="hps"/>
                <w:lang w:val="en-US"/>
              </w:rPr>
              <w:t>repared Detailed Development Plan and Technical Design for passengers buildi</w:t>
            </w:r>
            <w:r>
              <w:rPr>
                <w:rStyle w:val="hps"/>
                <w:lang w:val="en-US"/>
              </w:rPr>
              <w:t>ng in Slivnitsa railway station</w:t>
            </w:r>
            <w:r w:rsidRPr="002D5542">
              <w:rPr>
                <w:rStyle w:val="hps"/>
                <w:lang w:val="en-US"/>
              </w:rPr>
              <w:t>.</w:t>
            </w:r>
          </w:p>
          <w:p w14:paraId="123C46BE" w14:textId="77777777" w:rsidR="002D5542" w:rsidRPr="002D5542" w:rsidRDefault="002D5542" w:rsidP="002D5542">
            <w:pPr>
              <w:pStyle w:val="ListParagraph"/>
              <w:numPr>
                <w:ilvl w:val="0"/>
                <w:numId w:val="52"/>
              </w:numPr>
              <w:autoSpaceDE w:val="0"/>
              <w:autoSpaceDN w:val="0"/>
              <w:adjustRightInd w:val="0"/>
              <w:rPr>
                <w:rStyle w:val="hps"/>
                <w:lang w:val="en-US"/>
              </w:rPr>
            </w:pPr>
            <w:r w:rsidRPr="002D5542">
              <w:rPr>
                <w:rStyle w:val="hps"/>
                <w:lang w:val="en-US"/>
              </w:rPr>
              <w:t>Environmental Impact Assessment (EIA) is completed, Final Decision by MOEW № 5-5/2016 is issued.</w:t>
            </w:r>
          </w:p>
          <w:p w14:paraId="2D72A225" w14:textId="473CDECE" w:rsidR="002D5542" w:rsidRPr="002D5542" w:rsidRDefault="002D5542" w:rsidP="002D5542">
            <w:pPr>
              <w:pStyle w:val="ListParagraph"/>
              <w:numPr>
                <w:ilvl w:val="0"/>
                <w:numId w:val="52"/>
              </w:numPr>
              <w:autoSpaceDE w:val="0"/>
              <w:autoSpaceDN w:val="0"/>
              <w:adjustRightInd w:val="0"/>
              <w:rPr>
                <w:rStyle w:val="hps"/>
                <w:lang w:val="en-US"/>
              </w:rPr>
            </w:pPr>
            <w:r>
              <w:rPr>
                <w:rStyle w:val="hps"/>
                <w:lang w:val="en-US"/>
              </w:rPr>
              <w:lastRenderedPageBreak/>
              <w:t>A</w:t>
            </w:r>
            <w:r w:rsidRPr="002D5542">
              <w:rPr>
                <w:rStyle w:val="hps"/>
                <w:lang w:val="en-US"/>
              </w:rPr>
              <w:t xml:space="preserve"> Report for archaeological studies of the section has been prepared.</w:t>
            </w:r>
          </w:p>
          <w:p w14:paraId="21C324FC" w14:textId="0C0D0424" w:rsidR="002D5542" w:rsidRPr="002D5542" w:rsidRDefault="00023562" w:rsidP="002D5542">
            <w:pPr>
              <w:pStyle w:val="ListParagraph"/>
              <w:numPr>
                <w:ilvl w:val="0"/>
                <w:numId w:val="52"/>
              </w:numPr>
              <w:autoSpaceDE w:val="0"/>
              <w:autoSpaceDN w:val="0"/>
              <w:adjustRightInd w:val="0"/>
              <w:rPr>
                <w:rStyle w:val="hps"/>
                <w:lang w:val="en-US"/>
              </w:rPr>
            </w:pPr>
            <w:r>
              <w:rPr>
                <w:rStyle w:val="hps"/>
                <w:lang w:val="en-US"/>
              </w:rPr>
              <w:t>Completed</w:t>
            </w:r>
            <w:r w:rsidR="002D5542" w:rsidRPr="002D5542">
              <w:rPr>
                <w:rStyle w:val="hps"/>
                <w:lang w:val="en-US"/>
              </w:rPr>
              <w:t xml:space="preserve"> open tender procedure</w:t>
            </w:r>
            <w:r w:rsidR="003B663F">
              <w:rPr>
                <w:rStyle w:val="hps"/>
                <w:lang w:val="en-US"/>
              </w:rPr>
              <w:t>, signed construction contract and supervision contract</w:t>
            </w:r>
            <w:r w:rsidR="009D4667">
              <w:rPr>
                <w:rStyle w:val="hps"/>
                <w:lang w:val="en-US"/>
              </w:rPr>
              <w:t>.</w:t>
            </w:r>
            <w:r w:rsidR="002D5542" w:rsidRPr="002D5542">
              <w:rPr>
                <w:rStyle w:val="hps"/>
                <w:lang w:val="en-US"/>
              </w:rPr>
              <w:t xml:space="preserve"> </w:t>
            </w:r>
          </w:p>
          <w:p w14:paraId="36E1F699" w14:textId="4548B03E" w:rsidR="00F1341F" w:rsidRDefault="00F1341F" w:rsidP="00045944">
            <w:pPr>
              <w:autoSpaceDE w:val="0"/>
              <w:autoSpaceDN w:val="0"/>
              <w:adjustRightInd w:val="0"/>
            </w:pPr>
            <w:r w:rsidRPr="008340BB">
              <w:rPr>
                <w:rStyle w:val="hps"/>
                <w:szCs w:val="24"/>
              </w:rPr>
              <w:t xml:space="preserve">The strategy for project preparation </w:t>
            </w:r>
            <w:r w:rsidRPr="008340BB">
              <w:rPr>
                <w:szCs w:val="24"/>
              </w:rPr>
              <w:t xml:space="preserve">to the extent of "project maturity" </w:t>
            </w:r>
            <w:r w:rsidRPr="008340BB">
              <w:t>aims to avoid the major problems leading to delay of railway investment projects implementation - timely completion of geological, geodesic and archaeological surveys, land acquisition procedures (starting after the technical design preparation), issuance of building permits, completed EIA procedures.</w:t>
            </w:r>
          </w:p>
          <w:p w14:paraId="15BE1CA8" w14:textId="77777777" w:rsidR="00082A14" w:rsidRPr="00E84DEF" w:rsidRDefault="009B1DD8">
            <w:pPr>
              <w:autoSpaceDE w:val="0"/>
              <w:autoSpaceDN w:val="0"/>
              <w:adjustRightInd w:val="0"/>
            </w:pPr>
            <w:r w:rsidRPr="00435AC3">
              <w:rPr>
                <w:szCs w:val="24"/>
              </w:rPr>
              <w:t>In view of the</w:t>
            </w:r>
            <w:r w:rsidR="00A4603D" w:rsidRPr="007F5195">
              <w:rPr>
                <w:szCs w:val="24"/>
              </w:rPr>
              <w:t xml:space="preserve"> </w:t>
            </w:r>
            <w:r w:rsidRPr="00435AC3">
              <w:rPr>
                <w:szCs w:val="24"/>
              </w:rPr>
              <w:t>investment value of the projects</w:t>
            </w:r>
            <w:r w:rsidR="00A4603D" w:rsidRPr="007F5195">
              <w:rPr>
                <w:szCs w:val="24"/>
              </w:rPr>
              <w:t xml:space="preserve">, </w:t>
            </w:r>
            <w:r w:rsidR="00E249CF">
              <w:rPr>
                <w:szCs w:val="24"/>
              </w:rPr>
              <w:t xml:space="preserve">the </w:t>
            </w:r>
            <w:r w:rsidRPr="00435AC3">
              <w:rPr>
                <w:szCs w:val="24"/>
              </w:rPr>
              <w:t>MA</w:t>
            </w:r>
            <w:r w:rsidR="00A4603D" w:rsidRPr="007F5195">
              <w:rPr>
                <w:szCs w:val="24"/>
              </w:rPr>
              <w:t xml:space="preserve"> </w:t>
            </w:r>
            <w:r w:rsidRPr="00435AC3">
              <w:rPr>
                <w:szCs w:val="24"/>
              </w:rPr>
              <w:t xml:space="preserve">envisages the possibility to split </w:t>
            </w:r>
            <w:r w:rsidR="00BE1286">
              <w:rPr>
                <w:szCs w:val="24"/>
              </w:rPr>
              <w:t xml:space="preserve">the two projects </w:t>
            </w:r>
            <w:r w:rsidRPr="00435AC3">
              <w:rPr>
                <w:szCs w:val="24"/>
              </w:rPr>
              <w:t>into several major projects</w:t>
            </w:r>
            <w:r w:rsidR="00A4603D" w:rsidRPr="007F5195">
              <w:rPr>
                <w:szCs w:val="24"/>
              </w:rPr>
              <w:t>.</w:t>
            </w:r>
          </w:p>
        </w:tc>
      </w:tr>
    </w:tbl>
    <w:p w14:paraId="6B264576" w14:textId="77777777" w:rsidR="00F1341F" w:rsidRPr="007B4AED" w:rsidRDefault="00F1341F" w:rsidP="00AD4AED"/>
    <w:p w14:paraId="3643AEFD" w14:textId="77777777" w:rsidR="00F1341F" w:rsidRPr="008340BB" w:rsidRDefault="00F1341F" w:rsidP="00BE6C47">
      <w:pPr>
        <w:rPr>
          <w:b/>
          <w:i/>
        </w:rPr>
      </w:pPr>
      <w:r w:rsidRPr="008340BB">
        <w:rPr>
          <w:b/>
          <w:i/>
        </w:rPr>
        <w:t>2.A.1.5.5</w:t>
      </w:r>
      <w:r w:rsidRPr="008340BB">
        <w:rPr>
          <w:b/>
          <w:i/>
        </w:rPr>
        <w:tab/>
        <w:t xml:space="preserve">  Output indicators by investment priority and, where appropriate by category of region</w:t>
      </w:r>
    </w:p>
    <w:p w14:paraId="5D9CE1C5" w14:textId="77777777" w:rsidR="00F1341F" w:rsidRPr="008340BB" w:rsidRDefault="00F1341F" w:rsidP="00BE6C47">
      <w:r w:rsidRPr="008340BB">
        <w:t>(Reference: point (b)(iv) of the first subparagraph of</w:t>
      </w:r>
      <w:r w:rsidRPr="008340BB">
        <w:rPr>
          <w:i/>
        </w:rPr>
        <w:t xml:space="preserve"> </w:t>
      </w:r>
      <w:r w:rsidRPr="008340BB">
        <w:t>Article 96(2) of Regulation (EU) No 1303/2013)</w:t>
      </w:r>
    </w:p>
    <w:p w14:paraId="668E35CE" w14:textId="77777777" w:rsidR="00F1341F" w:rsidRPr="008340BB" w:rsidRDefault="00F1341F" w:rsidP="00686A86">
      <w:pPr>
        <w:rPr>
          <w:i/>
        </w:rPr>
      </w:pPr>
    </w:p>
    <w:p w14:paraId="78B3079C" w14:textId="77777777" w:rsidR="00F1341F" w:rsidRPr="008340BB" w:rsidRDefault="00F1341F" w:rsidP="00FD59D6">
      <w:pPr>
        <w:rPr>
          <w:b/>
        </w:rPr>
      </w:pPr>
      <w:r w:rsidRPr="008340BB">
        <w:rPr>
          <w:b/>
        </w:rPr>
        <w:t xml:space="preserve">Table 5: </w:t>
      </w:r>
      <w:r w:rsidRPr="008340BB">
        <w:rPr>
          <w:b/>
        </w:rPr>
        <w:tab/>
        <w:t xml:space="preserve">Common and programme-specific output indicators </w:t>
      </w:r>
    </w:p>
    <w:p w14:paraId="0737DB78" w14:textId="77777777" w:rsidR="00F1341F" w:rsidRPr="008340BB" w:rsidRDefault="00F1341F" w:rsidP="00FD59D6">
      <w:r w:rsidRPr="008340BB">
        <w:t>(by investment priority, broken down by category of region for the ESF, and where relevant, for the ERDF)</w:t>
      </w:r>
    </w:p>
    <w:tbl>
      <w:tblPr>
        <w:tblW w:w="548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3"/>
        <w:gridCol w:w="1406"/>
        <w:gridCol w:w="1189"/>
        <w:gridCol w:w="1038"/>
        <w:gridCol w:w="1040"/>
        <w:gridCol w:w="1275"/>
        <w:gridCol w:w="1384"/>
        <w:gridCol w:w="1529"/>
      </w:tblGrid>
      <w:tr w:rsidR="00582F03" w:rsidRPr="008340BB" w14:paraId="601E96DE" w14:textId="77777777" w:rsidTr="00BA1072">
        <w:trPr>
          <w:trHeight w:val="1105"/>
          <w:jc w:val="center"/>
        </w:trPr>
        <w:tc>
          <w:tcPr>
            <w:tcW w:w="1251" w:type="pct"/>
            <w:gridSpan w:val="2"/>
          </w:tcPr>
          <w:p w14:paraId="04EB3E60" w14:textId="77777777" w:rsidR="00582F03" w:rsidRDefault="00582F03" w:rsidP="00BF3391">
            <w:pPr>
              <w:pStyle w:val="ListDash"/>
              <w:numPr>
                <w:ilvl w:val="0"/>
                <w:numId w:val="0"/>
              </w:numPr>
              <w:ind w:left="283" w:hanging="283"/>
              <w:rPr>
                <w:b/>
                <w:i/>
                <w:sz w:val="16"/>
                <w:szCs w:val="16"/>
                <w:lang w:val="en-US"/>
              </w:rPr>
            </w:pPr>
          </w:p>
          <w:p w14:paraId="4FC489B1" w14:textId="77777777" w:rsidR="00582F03" w:rsidRPr="00435AC3" w:rsidRDefault="00582F03" w:rsidP="00BF3391">
            <w:pPr>
              <w:pStyle w:val="ListDash"/>
              <w:numPr>
                <w:ilvl w:val="0"/>
                <w:numId w:val="0"/>
              </w:numPr>
              <w:ind w:left="283" w:hanging="283"/>
              <w:rPr>
                <w:b/>
                <w:i/>
                <w:sz w:val="16"/>
                <w:szCs w:val="16"/>
                <w:lang w:val="en-US"/>
              </w:rPr>
            </w:pPr>
            <w:r>
              <w:rPr>
                <w:b/>
                <w:i/>
                <w:sz w:val="16"/>
                <w:szCs w:val="16"/>
                <w:lang w:val="en-US"/>
              </w:rPr>
              <w:t>Investment priority</w:t>
            </w:r>
          </w:p>
        </w:tc>
        <w:tc>
          <w:tcPr>
            <w:tcW w:w="3749" w:type="pct"/>
            <w:gridSpan w:val="6"/>
          </w:tcPr>
          <w:p w14:paraId="41E33A92" w14:textId="77777777" w:rsidR="00582F03" w:rsidRDefault="00582F03" w:rsidP="00BF3391">
            <w:pPr>
              <w:pStyle w:val="ListDash"/>
              <w:numPr>
                <w:ilvl w:val="0"/>
                <w:numId w:val="0"/>
              </w:numPr>
              <w:rPr>
                <w:b/>
                <w:i/>
                <w:sz w:val="16"/>
                <w:szCs w:val="16"/>
              </w:rPr>
            </w:pPr>
          </w:p>
          <w:p w14:paraId="454AC2C3" w14:textId="77777777" w:rsidR="00582F03" w:rsidRPr="00435AC3" w:rsidRDefault="00582F03" w:rsidP="00BF3391">
            <w:pPr>
              <w:pStyle w:val="ListDash"/>
              <w:numPr>
                <w:ilvl w:val="0"/>
                <w:numId w:val="0"/>
              </w:numPr>
              <w:rPr>
                <w:b/>
                <w:i/>
                <w:szCs w:val="24"/>
              </w:rPr>
            </w:pPr>
            <w:r w:rsidRPr="00435AC3">
              <w:rPr>
                <w:b/>
                <w:i/>
                <w:szCs w:val="24"/>
              </w:rPr>
              <w:t>7(i) - “Supporting a multi-modal Single European Transport Area by investing in Trans-European transport network”</w:t>
            </w:r>
          </w:p>
        </w:tc>
      </w:tr>
      <w:tr w:rsidR="00F1341F" w:rsidRPr="008340BB" w14:paraId="1FEFE4AB" w14:textId="77777777" w:rsidTr="00BA1072">
        <w:trPr>
          <w:trHeight w:val="1105"/>
          <w:jc w:val="center"/>
        </w:trPr>
        <w:tc>
          <w:tcPr>
            <w:tcW w:w="544" w:type="pct"/>
          </w:tcPr>
          <w:p w14:paraId="108EAF4C" w14:textId="77777777" w:rsidR="00F1341F" w:rsidRPr="008340BB" w:rsidRDefault="00F1341F" w:rsidP="00BF3391">
            <w:pPr>
              <w:pStyle w:val="ListDash"/>
              <w:numPr>
                <w:ilvl w:val="0"/>
                <w:numId w:val="0"/>
              </w:numPr>
              <w:ind w:left="283" w:hanging="283"/>
              <w:rPr>
                <w:b/>
                <w:i/>
                <w:sz w:val="16"/>
                <w:szCs w:val="16"/>
              </w:rPr>
            </w:pPr>
            <w:r w:rsidRPr="008340BB">
              <w:rPr>
                <w:b/>
                <w:i/>
                <w:sz w:val="16"/>
                <w:szCs w:val="16"/>
              </w:rPr>
              <w:t>ID</w:t>
            </w:r>
          </w:p>
        </w:tc>
        <w:tc>
          <w:tcPr>
            <w:tcW w:w="707" w:type="pct"/>
          </w:tcPr>
          <w:p w14:paraId="4CE7B89F" w14:textId="77777777" w:rsidR="00F1341F" w:rsidRPr="008340BB" w:rsidRDefault="00F1341F" w:rsidP="00BF3391">
            <w:pPr>
              <w:pStyle w:val="ListDash"/>
              <w:numPr>
                <w:ilvl w:val="0"/>
                <w:numId w:val="0"/>
              </w:numPr>
              <w:ind w:left="283" w:hanging="283"/>
              <w:rPr>
                <w:b/>
                <w:i/>
                <w:sz w:val="16"/>
                <w:szCs w:val="16"/>
              </w:rPr>
            </w:pPr>
            <w:r w:rsidRPr="008340BB">
              <w:rPr>
                <w:b/>
                <w:i/>
                <w:sz w:val="16"/>
                <w:szCs w:val="16"/>
              </w:rPr>
              <w:t xml:space="preserve">Indicator </w:t>
            </w:r>
          </w:p>
        </w:tc>
        <w:tc>
          <w:tcPr>
            <w:tcW w:w="598" w:type="pct"/>
          </w:tcPr>
          <w:p w14:paraId="70A28692" w14:textId="77777777" w:rsidR="00F1341F" w:rsidRPr="008340BB" w:rsidRDefault="00F1341F" w:rsidP="00BF3391">
            <w:pPr>
              <w:pStyle w:val="ListDash"/>
              <w:numPr>
                <w:ilvl w:val="0"/>
                <w:numId w:val="0"/>
              </w:numPr>
              <w:rPr>
                <w:b/>
                <w:i/>
                <w:sz w:val="16"/>
                <w:szCs w:val="16"/>
              </w:rPr>
            </w:pPr>
            <w:r w:rsidRPr="008340BB">
              <w:rPr>
                <w:b/>
                <w:i/>
                <w:sz w:val="16"/>
                <w:szCs w:val="16"/>
              </w:rPr>
              <w:t>Measurement unit</w:t>
            </w:r>
          </w:p>
        </w:tc>
        <w:tc>
          <w:tcPr>
            <w:tcW w:w="522" w:type="pct"/>
          </w:tcPr>
          <w:p w14:paraId="261194F0" w14:textId="77777777" w:rsidR="00F1341F" w:rsidRPr="008340BB" w:rsidRDefault="00F1341F" w:rsidP="00BF3391">
            <w:pPr>
              <w:pStyle w:val="ListDash"/>
              <w:numPr>
                <w:ilvl w:val="0"/>
                <w:numId w:val="0"/>
              </w:numPr>
              <w:rPr>
                <w:b/>
                <w:i/>
                <w:sz w:val="16"/>
                <w:szCs w:val="16"/>
              </w:rPr>
            </w:pPr>
            <w:r w:rsidRPr="008340BB">
              <w:rPr>
                <w:b/>
                <w:i/>
                <w:sz w:val="16"/>
                <w:szCs w:val="16"/>
              </w:rPr>
              <w:t xml:space="preserve">Fund </w:t>
            </w:r>
          </w:p>
        </w:tc>
        <w:tc>
          <w:tcPr>
            <w:tcW w:w="523" w:type="pct"/>
          </w:tcPr>
          <w:p w14:paraId="0B8B8572" w14:textId="77777777" w:rsidR="00F1341F" w:rsidRPr="008340BB" w:rsidRDefault="00F1341F" w:rsidP="00A11273">
            <w:pPr>
              <w:pStyle w:val="ListDash"/>
              <w:numPr>
                <w:ilvl w:val="0"/>
                <w:numId w:val="0"/>
              </w:numPr>
              <w:rPr>
                <w:b/>
                <w:i/>
                <w:sz w:val="16"/>
                <w:szCs w:val="16"/>
              </w:rPr>
            </w:pPr>
            <w:r w:rsidRPr="008340BB">
              <w:rPr>
                <w:b/>
                <w:i/>
                <w:sz w:val="16"/>
                <w:szCs w:val="16"/>
              </w:rPr>
              <w:t xml:space="preserve">Category of region (where relevant ) </w:t>
            </w:r>
          </w:p>
        </w:tc>
        <w:tc>
          <w:tcPr>
            <w:tcW w:w="641" w:type="pct"/>
          </w:tcPr>
          <w:p w14:paraId="028B1A1E" w14:textId="77777777" w:rsidR="00F1341F" w:rsidRPr="008340BB" w:rsidRDefault="00F1341F" w:rsidP="00BF3391">
            <w:pPr>
              <w:pStyle w:val="ListDash"/>
              <w:numPr>
                <w:ilvl w:val="0"/>
                <w:numId w:val="0"/>
              </w:numPr>
              <w:rPr>
                <w:b/>
                <w:i/>
                <w:sz w:val="16"/>
                <w:szCs w:val="16"/>
              </w:rPr>
            </w:pPr>
            <w:r w:rsidRPr="008340BB">
              <w:rPr>
                <w:b/>
                <w:i/>
                <w:sz w:val="16"/>
                <w:szCs w:val="16"/>
              </w:rPr>
              <w:t>Target value (2023)</w:t>
            </w:r>
            <w:r w:rsidRPr="008340BB">
              <w:rPr>
                <w:rStyle w:val="FootnoteReference"/>
                <w:b/>
                <w:i/>
                <w:sz w:val="16"/>
                <w:szCs w:val="16"/>
              </w:rPr>
              <w:footnoteReference w:id="21"/>
            </w:r>
          </w:p>
        </w:tc>
        <w:tc>
          <w:tcPr>
            <w:tcW w:w="696" w:type="pct"/>
          </w:tcPr>
          <w:p w14:paraId="2D75B11D" w14:textId="77777777" w:rsidR="00F1341F" w:rsidRPr="008340BB" w:rsidRDefault="00F1341F" w:rsidP="00BF3391">
            <w:pPr>
              <w:pStyle w:val="ListDash"/>
              <w:numPr>
                <w:ilvl w:val="0"/>
                <w:numId w:val="0"/>
              </w:numPr>
              <w:rPr>
                <w:b/>
                <w:i/>
                <w:sz w:val="16"/>
                <w:szCs w:val="16"/>
              </w:rPr>
            </w:pPr>
            <w:r w:rsidRPr="008340BB">
              <w:rPr>
                <w:b/>
                <w:i/>
                <w:sz w:val="16"/>
                <w:szCs w:val="16"/>
              </w:rPr>
              <w:t>Source of data</w:t>
            </w:r>
          </w:p>
        </w:tc>
        <w:tc>
          <w:tcPr>
            <w:tcW w:w="770" w:type="pct"/>
          </w:tcPr>
          <w:p w14:paraId="17187291" w14:textId="77777777" w:rsidR="00F1341F" w:rsidRPr="008340BB" w:rsidRDefault="00F1341F" w:rsidP="00BF3391">
            <w:pPr>
              <w:pStyle w:val="ListDash"/>
              <w:numPr>
                <w:ilvl w:val="0"/>
                <w:numId w:val="0"/>
              </w:numPr>
              <w:rPr>
                <w:b/>
                <w:i/>
                <w:sz w:val="16"/>
                <w:szCs w:val="16"/>
              </w:rPr>
            </w:pPr>
            <w:r w:rsidRPr="008340BB">
              <w:rPr>
                <w:b/>
                <w:i/>
                <w:sz w:val="16"/>
                <w:szCs w:val="16"/>
              </w:rPr>
              <w:t>Frequency of reporting</w:t>
            </w:r>
          </w:p>
        </w:tc>
      </w:tr>
      <w:tr w:rsidR="00F1341F" w:rsidRPr="008340BB" w14:paraId="2E520AEC" w14:textId="77777777" w:rsidTr="00BA1072">
        <w:trPr>
          <w:trHeight w:val="79"/>
          <w:jc w:val="center"/>
        </w:trPr>
        <w:tc>
          <w:tcPr>
            <w:tcW w:w="544" w:type="pct"/>
          </w:tcPr>
          <w:p w14:paraId="51242C3E" w14:textId="77777777" w:rsidR="00F1341F" w:rsidRPr="008340BB" w:rsidRDefault="00F1341F" w:rsidP="004813B9">
            <w:pPr>
              <w:pStyle w:val="ListDash"/>
              <w:numPr>
                <w:ilvl w:val="0"/>
                <w:numId w:val="0"/>
              </w:numPr>
              <w:rPr>
                <w:sz w:val="20"/>
              </w:rPr>
            </w:pPr>
            <w:r w:rsidRPr="008340BB">
              <w:rPr>
                <w:sz w:val="20"/>
              </w:rPr>
              <w:t>CO12a</w:t>
            </w:r>
          </w:p>
        </w:tc>
        <w:tc>
          <w:tcPr>
            <w:tcW w:w="707" w:type="pct"/>
          </w:tcPr>
          <w:p w14:paraId="73C2223C" w14:textId="77777777" w:rsidR="00D70B68" w:rsidRPr="008340BB" w:rsidRDefault="00F1341F" w:rsidP="003277D2">
            <w:pPr>
              <w:pStyle w:val="ListDash"/>
              <w:numPr>
                <w:ilvl w:val="0"/>
                <w:numId w:val="0"/>
              </w:numPr>
              <w:rPr>
                <w:sz w:val="20"/>
              </w:rPr>
            </w:pPr>
            <w:r w:rsidRPr="008340BB">
              <w:rPr>
                <w:sz w:val="20"/>
              </w:rPr>
              <w:t>Total length of reconstructed or upgraded railway line</w:t>
            </w:r>
            <w:r w:rsidR="00BE1286">
              <w:rPr>
                <w:sz w:val="20"/>
              </w:rPr>
              <w:t>,</w:t>
            </w:r>
            <w:r w:rsidR="00D70B68">
              <w:rPr>
                <w:sz w:val="20"/>
              </w:rPr>
              <w:t xml:space="preserve"> </w:t>
            </w:r>
            <w:r w:rsidR="00BE1286" w:rsidRPr="003277D2">
              <w:rPr>
                <w:sz w:val="20"/>
              </w:rPr>
              <w:t>of which: TEN-T</w:t>
            </w:r>
          </w:p>
        </w:tc>
        <w:tc>
          <w:tcPr>
            <w:tcW w:w="598" w:type="pct"/>
          </w:tcPr>
          <w:p w14:paraId="79A83E38" w14:textId="77777777" w:rsidR="00F1341F" w:rsidRPr="008340BB" w:rsidRDefault="00F1341F" w:rsidP="00F03C1E">
            <w:pPr>
              <w:pStyle w:val="ListDash"/>
              <w:numPr>
                <w:ilvl w:val="0"/>
                <w:numId w:val="0"/>
              </w:numPr>
              <w:rPr>
                <w:sz w:val="20"/>
              </w:rPr>
            </w:pPr>
            <w:r w:rsidRPr="008340BB">
              <w:rPr>
                <w:sz w:val="20"/>
              </w:rPr>
              <w:t>km</w:t>
            </w:r>
          </w:p>
        </w:tc>
        <w:tc>
          <w:tcPr>
            <w:tcW w:w="522" w:type="pct"/>
          </w:tcPr>
          <w:p w14:paraId="4667F63C" w14:textId="77777777" w:rsidR="00F1341F" w:rsidRPr="008340BB" w:rsidRDefault="00F1341F" w:rsidP="00F03C1E">
            <w:pPr>
              <w:pStyle w:val="ListDash"/>
              <w:numPr>
                <w:ilvl w:val="0"/>
                <w:numId w:val="0"/>
              </w:numPr>
              <w:rPr>
                <w:i/>
                <w:sz w:val="20"/>
              </w:rPr>
            </w:pPr>
            <w:r w:rsidRPr="008340BB">
              <w:rPr>
                <w:sz w:val="20"/>
              </w:rPr>
              <w:t>CF</w:t>
            </w:r>
          </w:p>
        </w:tc>
        <w:tc>
          <w:tcPr>
            <w:tcW w:w="523" w:type="pct"/>
          </w:tcPr>
          <w:p w14:paraId="1D5E3A6F" w14:textId="77777777" w:rsidR="00F1341F" w:rsidRPr="008340BB" w:rsidRDefault="00F1341F" w:rsidP="00F03C1E">
            <w:pPr>
              <w:pStyle w:val="ListDash"/>
              <w:numPr>
                <w:ilvl w:val="0"/>
                <w:numId w:val="0"/>
              </w:numPr>
              <w:rPr>
                <w:i/>
                <w:sz w:val="20"/>
              </w:rPr>
            </w:pPr>
            <w:r w:rsidRPr="008340BB">
              <w:rPr>
                <w:iCs/>
                <w:sz w:val="20"/>
                <w:lang w:eastAsia="bg-BG"/>
              </w:rPr>
              <w:t>Less developed regions</w:t>
            </w:r>
          </w:p>
        </w:tc>
        <w:tc>
          <w:tcPr>
            <w:tcW w:w="641" w:type="pct"/>
          </w:tcPr>
          <w:p w14:paraId="42F4779C" w14:textId="109E1377" w:rsidR="00F1341F" w:rsidRPr="008340BB" w:rsidRDefault="00B11EA1" w:rsidP="00F03C1E">
            <w:pPr>
              <w:pStyle w:val="ListDash"/>
              <w:numPr>
                <w:ilvl w:val="0"/>
                <w:numId w:val="0"/>
              </w:numPr>
              <w:rPr>
                <w:i/>
                <w:sz w:val="20"/>
              </w:rPr>
            </w:pPr>
            <w:r>
              <w:rPr>
                <w:sz w:val="20"/>
                <w:lang w:val="en-US"/>
              </w:rPr>
              <w:t>33</w:t>
            </w:r>
          </w:p>
        </w:tc>
        <w:tc>
          <w:tcPr>
            <w:tcW w:w="696" w:type="pct"/>
          </w:tcPr>
          <w:p w14:paraId="379D79DC" w14:textId="77777777" w:rsidR="005D639F" w:rsidRDefault="00F1341F" w:rsidP="003408A3">
            <w:pPr>
              <w:pStyle w:val="ListDash"/>
              <w:numPr>
                <w:ilvl w:val="0"/>
                <w:numId w:val="0"/>
              </w:numPr>
              <w:rPr>
                <w:iCs/>
                <w:sz w:val="20"/>
                <w:lang w:eastAsia="bg-BG"/>
              </w:rPr>
            </w:pPr>
            <w:r w:rsidRPr="008340BB">
              <w:rPr>
                <w:i/>
                <w:iCs/>
                <w:sz w:val="18"/>
                <w:szCs w:val="18"/>
                <w:lang w:eastAsia="bg-BG"/>
              </w:rPr>
              <w:t>Network statement,</w:t>
            </w:r>
            <w:r w:rsidRPr="008340BB">
              <w:rPr>
                <w:iCs/>
                <w:sz w:val="20"/>
                <w:lang w:eastAsia="bg-BG"/>
              </w:rPr>
              <w:t xml:space="preserve"> </w:t>
            </w:r>
          </w:p>
          <w:p w14:paraId="2F58ACC3" w14:textId="77777777" w:rsidR="00F1341F" w:rsidRPr="008340BB" w:rsidRDefault="00F1341F" w:rsidP="003408A3">
            <w:pPr>
              <w:pStyle w:val="ListDash"/>
              <w:numPr>
                <w:ilvl w:val="0"/>
                <w:numId w:val="0"/>
              </w:numPr>
              <w:rPr>
                <w:sz w:val="20"/>
              </w:rPr>
            </w:pPr>
            <w:r w:rsidRPr="008340BB">
              <w:rPr>
                <w:iCs/>
                <w:sz w:val="20"/>
                <w:lang w:eastAsia="bg-BG"/>
              </w:rPr>
              <w:t>N</w:t>
            </w:r>
            <w:r w:rsidR="003408A3">
              <w:rPr>
                <w:iCs/>
                <w:sz w:val="20"/>
                <w:lang w:eastAsia="bg-BG"/>
              </w:rPr>
              <w:t>RIC</w:t>
            </w:r>
            <w:r w:rsidR="005D639F">
              <w:rPr>
                <w:iCs/>
                <w:sz w:val="20"/>
                <w:lang w:eastAsia="bg-BG"/>
              </w:rPr>
              <w:t xml:space="preserve"> </w:t>
            </w:r>
          </w:p>
        </w:tc>
        <w:tc>
          <w:tcPr>
            <w:tcW w:w="770" w:type="pct"/>
          </w:tcPr>
          <w:p w14:paraId="77E88562" w14:textId="77777777" w:rsidR="00F1341F" w:rsidRPr="008340BB" w:rsidRDefault="004F2F5A" w:rsidP="00F03C1E">
            <w:pPr>
              <w:pStyle w:val="ListDash"/>
              <w:numPr>
                <w:ilvl w:val="0"/>
                <w:numId w:val="0"/>
              </w:numPr>
              <w:rPr>
                <w:sz w:val="20"/>
              </w:rPr>
            </w:pPr>
            <w:r w:rsidRPr="004F2F5A">
              <w:rPr>
                <w:sz w:val="20"/>
              </w:rPr>
              <w:t>annually</w:t>
            </w:r>
          </w:p>
        </w:tc>
      </w:tr>
      <w:tr w:rsidR="007066B3" w:rsidRPr="008340BB" w14:paraId="6F48B43C" w14:textId="77777777" w:rsidTr="00BA1072">
        <w:trPr>
          <w:trHeight w:val="79"/>
          <w:jc w:val="center"/>
        </w:trPr>
        <w:tc>
          <w:tcPr>
            <w:tcW w:w="544" w:type="pct"/>
          </w:tcPr>
          <w:p w14:paraId="23D77BDC" w14:textId="77777777" w:rsidR="007066B3" w:rsidRPr="008340BB" w:rsidRDefault="007066B3" w:rsidP="004813B9">
            <w:pPr>
              <w:pStyle w:val="ListDash"/>
              <w:numPr>
                <w:ilvl w:val="0"/>
                <w:numId w:val="0"/>
              </w:numPr>
              <w:rPr>
                <w:sz w:val="20"/>
              </w:rPr>
            </w:pPr>
          </w:p>
        </w:tc>
        <w:tc>
          <w:tcPr>
            <w:tcW w:w="707" w:type="pct"/>
          </w:tcPr>
          <w:p w14:paraId="276DF51D" w14:textId="77777777" w:rsidR="007066B3" w:rsidRPr="007066B3" w:rsidRDefault="007066B3" w:rsidP="007066B3">
            <w:pPr>
              <w:pStyle w:val="ListDash"/>
              <w:numPr>
                <w:ilvl w:val="0"/>
                <w:numId w:val="0"/>
              </w:numPr>
              <w:ind w:left="85"/>
              <w:rPr>
                <w:sz w:val="20"/>
                <w:lang w:val="bg-BG"/>
              </w:rPr>
            </w:pPr>
            <w:r w:rsidRPr="007066B3">
              <w:rPr>
                <w:sz w:val="20"/>
                <w:lang w:val="en"/>
              </w:rPr>
              <w:t>Removed railway crossings in the modernized railway sections</w:t>
            </w:r>
          </w:p>
          <w:p w14:paraId="1CB75FCC" w14:textId="77777777" w:rsidR="007066B3" w:rsidRPr="007066B3" w:rsidRDefault="007066B3" w:rsidP="003277D2">
            <w:pPr>
              <w:pStyle w:val="ListDash"/>
              <w:numPr>
                <w:ilvl w:val="0"/>
                <w:numId w:val="0"/>
              </w:numPr>
              <w:rPr>
                <w:sz w:val="20"/>
              </w:rPr>
            </w:pPr>
          </w:p>
        </w:tc>
        <w:tc>
          <w:tcPr>
            <w:tcW w:w="598" w:type="pct"/>
          </w:tcPr>
          <w:p w14:paraId="41E2C36A" w14:textId="025EF522" w:rsidR="007066B3" w:rsidRPr="007066B3" w:rsidRDefault="007066B3" w:rsidP="00F03C1E">
            <w:pPr>
              <w:pStyle w:val="ListDash"/>
              <w:numPr>
                <w:ilvl w:val="0"/>
                <w:numId w:val="0"/>
              </w:numPr>
              <w:rPr>
                <w:sz w:val="20"/>
                <w:lang w:val="en-US"/>
              </w:rPr>
            </w:pPr>
            <w:r>
              <w:rPr>
                <w:sz w:val="20"/>
                <w:lang w:val="en-US"/>
              </w:rPr>
              <w:lastRenderedPageBreak/>
              <w:t xml:space="preserve">Number </w:t>
            </w:r>
          </w:p>
        </w:tc>
        <w:tc>
          <w:tcPr>
            <w:tcW w:w="522" w:type="pct"/>
          </w:tcPr>
          <w:p w14:paraId="336F9D17" w14:textId="00E4C077" w:rsidR="007066B3" w:rsidRPr="008340BB" w:rsidRDefault="007066B3" w:rsidP="00F03C1E">
            <w:pPr>
              <w:pStyle w:val="ListDash"/>
              <w:numPr>
                <w:ilvl w:val="0"/>
                <w:numId w:val="0"/>
              </w:numPr>
              <w:rPr>
                <w:sz w:val="20"/>
              </w:rPr>
            </w:pPr>
            <w:r>
              <w:rPr>
                <w:sz w:val="20"/>
              </w:rPr>
              <w:t>CF</w:t>
            </w:r>
          </w:p>
        </w:tc>
        <w:tc>
          <w:tcPr>
            <w:tcW w:w="523" w:type="pct"/>
          </w:tcPr>
          <w:p w14:paraId="5BEA3E31" w14:textId="605C49FB" w:rsidR="007066B3" w:rsidRPr="008340BB" w:rsidRDefault="007066B3" w:rsidP="00F03C1E">
            <w:pPr>
              <w:pStyle w:val="ListDash"/>
              <w:numPr>
                <w:ilvl w:val="0"/>
                <w:numId w:val="0"/>
              </w:numPr>
              <w:rPr>
                <w:iCs/>
                <w:sz w:val="20"/>
                <w:lang w:eastAsia="bg-BG"/>
              </w:rPr>
            </w:pPr>
            <w:r w:rsidRPr="007066B3">
              <w:rPr>
                <w:iCs/>
                <w:sz w:val="20"/>
                <w:lang w:eastAsia="bg-BG"/>
              </w:rPr>
              <w:t>Less developed regions</w:t>
            </w:r>
          </w:p>
        </w:tc>
        <w:tc>
          <w:tcPr>
            <w:tcW w:w="641" w:type="pct"/>
          </w:tcPr>
          <w:p w14:paraId="40CF60B5" w14:textId="77777777" w:rsidR="00442A46" w:rsidRDefault="00442A46" w:rsidP="00F03C1E">
            <w:pPr>
              <w:pStyle w:val="ListDash"/>
              <w:numPr>
                <w:ilvl w:val="0"/>
                <w:numId w:val="0"/>
              </w:numPr>
              <w:rPr>
                <w:rFonts w:eastAsia="Calibri"/>
                <w:sz w:val="20"/>
                <w:lang w:val="bg-BG"/>
              </w:rPr>
            </w:pPr>
            <w:r w:rsidRPr="00DD7B5D">
              <w:rPr>
                <w:rFonts w:eastAsia="Calibri"/>
                <w:sz w:val="20"/>
                <w:lang w:val="bg-BG"/>
              </w:rPr>
              <w:t>15</w:t>
            </w:r>
          </w:p>
          <w:p w14:paraId="4460B88A" w14:textId="6E113C34" w:rsidR="007066B3" w:rsidRPr="007066B3" w:rsidRDefault="007066B3" w:rsidP="00F03C1E">
            <w:pPr>
              <w:pStyle w:val="ListDash"/>
              <w:numPr>
                <w:ilvl w:val="0"/>
                <w:numId w:val="0"/>
              </w:numPr>
              <w:rPr>
                <w:sz w:val="20"/>
                <w:lang w:val="en-US"/>
              </w:rPr>
            </w:pPr>
          </w:p>
        </w:tc>
        <w:tc>
          <w:tcPr>
            <w:tcW w:w="696" w:type="pct"/>
          </w:tcPr>
          <w:p w14:paraId="4D945EB3" w14:textId="56B89F40" w:rsidR="007066B3" w:rsidRPr="007066B3" w:rsidRDefault="007066B3" w:rsidP="003408A3">
            <w:pPr>
              <w:pStyle w:val="ListDash"/>
              <w:numPr>
                <w:ilvl w:val="0"/>
                <w:numId w:val="0"/>
              </w:numPr>
              <w:rPr>
                <w:iCs/>
                <w:sz w:val="18"/>
                <w:szCs w:val="18"/>
                <w:lang w:eastAsia="bg-BG"/>
              </w:rPr>
            </w:pPr>
            <w:r w:rsidRPr="007066B3">
              <w:rPr>
                <w:iCs/>
                <w:sz w:val="18"/>
                <w:szCs w:val="18"/>
                <w:lang w:eastAsia="bg-BG"/>
              </w:rPr>
              <w:t>NRIC</w:t>
            </w:r>
          </w:p>
        </w:tc>
        <w:tc>
          <w:tcPr>
            <w:tcW w:w="770" w:type="pct"/>
          </w:tcPr>
          <w:p w14:paraId="5001C754" w14:textId="2367871A" w:rsidR="007066B3" w:rsidRPr="004F2F5A" w:rsidRDefault="007066B3" w:rsidP="00F03C1E">
            <w:pPr>
              <w:pStyle w:val="ListDash"/>
              <w:numPr>
                <w:ilvl w:val="0"/>
                <w:numId w:val="0"/>
              </w:numPr>
              <w:rPr>
                <w:sz w:val="20"/>
              </w:rPr>
            </w:pPr>
            <w:r w:rsidRPr="007066B3">
              <w:rPr>
                <w:sz w:val="20"/>
              </w:rPr>
              <w:t>annually</w:t>
            </w:r>
          </w:p>
        </w:tc>
      </w:tr>
      <w:tr w:rsidR="006E77FB" w:rsidRPr="008340BB" w14:paraId="21CA033B" w14:textId="77777777" w:rsidTr="00BA1072">
        <w:trPr>
          <w:trHeight w:val="79"/>
          <w:jc w:val="center"/>
        </w:trPr>
        <w:tc>
          <w:tcPr>
            <w:tcW w:w="544" w:type="pct"/>
          </w:tcPr>
          <w:p w14:paraId="4807AB90" w14:textId="77777777" w:rsidR="006E77FB" w:rsidRPr="008340BB" w:rsidRDefault="006E77FB" w:rsidP="006E77FB">
            <w:pPr>
              <w:pStyle w:val="ListDash"/>
              <w:numPr>
                <w:ilvl w:val="0"/>
                <w:numId w:val="0"/>
              </w:numPr>
              <w:rPr>
                <w:sz w:val="20"/>
              </w:rPr>
            </w:pPr>
          </w:p>
        </w:tc>
        <w:tc>
          <w:tcPr>
            <w:tcW w:w="707" w:type="pct"/>
          </w:tcPr>
          <w:p w14:paraId="32F3EF0F" w14:textId="07E609B5" w:rsidR="006E77FB" w:rsidRPr="006E77FB" w:rsidRDefault="006E77FB" w:rsidP="006E77FB">
            <w:pPr>
              <w:pStyle w:val="ListDash"/>
              <w:numPr>
                <w:ilvl w:val="0"/>
                <w:numId w:val="0"/>
              </w:numPr>
              <w:ind w:left="85"/>
              <w:rPr>
                <w:sz w:val="20"/>
                <w:lang w:val="bg-BG"/>
              </w:rPr>
            </w:pPr>
            <w:r w:rsidRPr="006E77FB">
              <w:rPr>
                <w:sz w:val="20"/>
                <w:lang w:val="en"/>
              </w:rPr>
              <w:t>Ove</w:t>
            </w:r>
            <w:r>
              <w:rPr>
                <w:sz w:val="20"/>
                <w:lang w:val="en"/>
              </w:rPr>
              <w:t>rpasses and underpasses built along</w:t>
            </w:r>
            <w:r w:rsidRPr="006E77FB">
              <w:rPr>
                <w:sz w:val="20"/>
                <w:lang w:val="en"/>
              </w:rPr>
              <w:t xml:space="preserve"> the modernized railway sections</w:t>
            </w:r>
          </w:p>
          <w:p w14:paraId="694DA008" w14:textId="77777777" w:rsidR="006E77FB" w:rsidRPr="008340BB" w:rsidRDefault="006E77FB" w:rsidP="006E77FB">
            <w:pPr>
              <w:pStyle w:val="ListDash"/>
              <w:numPr>
                <w:ilvl w:val="0"/>
                <w:numId w:val="0"/>
              </w:numPr>
              <w:rPr>
                <w:sz w:val="20"/>
              </w:rPr>
            </w:pPr>
          </w:p>
        </w:tc>
        <w:tc>
          <w:tcPr>
            <w:tcW w:w="598" w:type="pct"/>
          </w:tcPr>
          <w:p w14:paraId="6201423F" w14:textId="3CBB9414" w:rsidR="006E77FB" w:rsidRPr="008340BB" w:rsidRDefault="006E77FB" w:rsidP="006E77FB">
            <w:pPr>
              <w:pStyle w:val="ListDash"/>
              <w:numPr>
                <w:ilvl w:val="0"/>
                <w:numId w:val="0"/>
              </w:numPr>
              <w:rPr>
                <w:sz w:val="20"/>
              </w:rPr>
            </w:pPr>
            <w:r>
              <w:rPr>
                <w:sz w:val="20"/>
                <w:lang w:val="en-US"/>
              </w:rPr>
              <w:t xml:space="preserve">Number </w:t>
            </w:r>
          </w:p>
        </w:tc>
        <w:tc>
          <w:tcPr>
            <w:tcW w:w="522" w:type="pct"/>
          </w:tcPr>
          <w:p w14:paraId="655767F1" w14:textId="032C9E02" w:rsidR="006E77FB" w:rsidRPr="008340BB" w:rsidRDefault="006E77FB" w:rsidP="006E77FB">
            <w:pPr>
              <w:pStyle w:val="ListDash"/>
              <w:numPr>
                <w:ilvl w:val="0"/>
                <w:numId w:val="0"/>
              </w:numPr>
              <w:rPr>
                <w:sz w:val="20"/>
              </w:rPr>
            </w:pPr>
            <w:r>
              <w:rPr>
                <w:sz w:val="20"/>
              </w:rPr>
              <w:t>CF</w:t>
            </w:r>
          </w:p>
        </w:tc>
        <w:tc>
          <w:tcPr>
            <w:tcW w:w="523" w:type="pct"/>
          </w:tcPr>
          <w:p w14:paraId="653B6875" w14:textId="61B664ED" w:rsidR="006E77FB" w:rsidRPr="008340BB" w:rsidRDefault="006E77FB" w:rsidP="006E77FB">
            <w:pPr>
              <w:pStyle w:val="ListDash"/>
              <w:numPr>
                <w:ilvl w:val="0"/>
                <w:numId w:val="0"/>
              </w:numPr>
              <w:rPr>
                <w:iCs/>
                <w:sz w:val="20"/>
                <w:lang w:eastAsia="bg-BG"/>
              </w:rPr>
            </w:pPr>
            <w:r w:rsidRPr="007066B3">
              <w:rPr>
                <w:iCs/>
                <w:sz w:val="20"/>
                <w:lang w:eastAsia="bg-BG"/>
              </w:rPr>
              <w:t>Less developed regions</w:t>
            </w:r>
          </w:p>
        </w:tc>
        <w:tc>
          <w:tcPr>
            <w:tcW w:w="641" w:type="pct"/>
          </w:tcPr>
          <w:p w14:paraId="5EAC8236" w14:textId="77777777" w:rsidR="00671F5D" w:rsidRPr="00DD7B5D" w:rsidRDefault="00671F5D" w:rsidP="006E77FB">
            <w:pPr>
              <w:pStyle w:val="ListDash"/>
              <w:numPr>
                <w:ilvl w:val="0"/>
                <w:numId w:val="0"/>
              </w:numPr>
              <w:rPr>
                <w:rFonts w:eastAsia="Calibri"/>
                <w:sz w:val="20"/>
                <w:lang w:val="bg-BG"/>
              </w:rPr>
            </w:pPr>
            <w:r w:rsidRPr="00DD7B5D">
              <w:rPr>
                <w:rFonts w:eastAsia="Calibri"/>
                <w:sz w:val="20"/>
                <w:lang w:val="bg-BG"/>
              </w:rPr>
              <w:t>15</w:t>
            </w:r>
          </w:p>
          <w:p w14:paraId="33233D87" w14:textId="6E2A4131" w:rsidR="006E77FB" w:rsidRPr="00DD7B5D" w:rsidRDefault="006E77FB" w:rsidP="006E77FB">
            <w:pPr>
              <w:pStyle w:val="ListDash"/>
              <w:numPr>
                <w:ilvl w:val="0"/>
                <w:numId w:val="0"/>
              </w:numPr>
              <w:rPr>
                <w:sz w:val="20"/>
                <w:lang w:val="en-US"/>
              </w:rPr>
            </w:pPr>
          </w:p>
        </w:tc>
        <w:tc>
          <w:tcPr>
            <w:tcW w:w="696" w:type="pct"/>
          </w:tcPr>
          <w:p w14:paraId="69FC2288" w14:textId="24D8386A" w:rsidR="006E77FB" w:rsidRPr="008340BB" w:rsidRDefault="006E77FB" w:rsidP="006E77FB">
            <w:pPr>
              <w:pStyle w:val="ListDash"/>
              <w:numPr>
                <w:ilvl w:val="0"/>
                <w:numId w:val="0"/>
              </w:numPr>
              <w:rPr>
                <w:i/>
                <w:iCs/>
                <w:sz w:val="18"/>
                <w:szCs w:val="18"/>
                <w:lang w:eastAsia="bg-BG"/>
              </w:rPr>
            </w:pPr>
            <w:r w:rsidRPr="007066B3">
              <w:rPr>
                <w:iCs/>
                <w:sz w:val="18"/>
                <w:szCs w:val="18"/>
                <w:lang w:eastAsia="bg-BG"/>
              </w:rPr>
              <w:t>NRIC</w:t>
            </w:r>
          </w:p>
        </w:tc>
        <w:tc>
          <w:tcPr>
            <w:tcW w:w="770" w:type="pct"/>
          </w:tcPr>
          <w:p w14:paraId="08C5A7FB" w14:textId="15F8F87A" w:rsidR="006E77FB" w:rsidRPr="004F2F5A" w:rsidRDefault="006E77FB" w:rsidP="006E77FB">
            <w:pPr>
              <w:pStyle w:val="ListDash"/>
              <w:numPr>
                <w:ilvl w:val="0"/>
                <w:numId w:val="0"/>
              </w:numPr>
              <w:rPr>
                <w:sz w:val="20"/>
              </w:rPr>
            </w:pPr>
            <w:r w:rsidRPr="007066B3">
              <w:rPr>
                <w:sz w:val="20"/>
              </w:rPr>
              <w:t>annually</w:t>
            </w:r>
          </w:p>
        </w:tc>
      </w:tr>
      <w:tr w:rsidR="00ED7BC9" w:rsidRPr="008340BB" w14:paraId="0D62FB7D" w14:textId="77777777" w:rsidTr="00BA1072">
        <w:trPr>
          <w:trHeight w:val="79"/>
          <w:jc w:val="center"/>
        </w:trPr>
        <w:tc>
          <w:tcPr>
            <w:tcW w:w="544" w:type="pct"/>
          </w:tcPr>
          <w:p w14:paraId="2495B48A" w14:textId="77777777" w:rsidR="00ED7BC9" w:rsidRPr="008340BB" w:rsidRDefault="00ED7BC9" w:rsidP="00ED7BC9">
            <w:pPr>
              <w:pStyle w:val="ListDash"/>
              <w:numPr>
                <w:ilvl w:val="0"/>
                <w:numId w:val="0"/>
              </w:numPr>
              <w:rPr>
                <w:sz w:val="20"/>
              </w:rPr>
            </w:pPr>
          </w:p>
        </w:tc>
        <w:tc>
          <w:tcPr>
            <w:tcW w:w="707" w:type="pct"/>
            <w:shd w:val="clear" w:color="auto" w:fill="auto"/>
          </w:tcPr>
          <w:p w14:paraId="5417D02A" w14:textId="4BFADEB3" w:rsidR="00ED7BC9" w:rsidRPr="004F669B" w:rsidRDefault="00ED7BC9" w:rsidP="00ED7BC9">
            <w:pPr>
              <w:pStyle w:val="ListDash"/>
              <w:numPr>
                <w:ilvl w:val="0"/>
                <w:numId w:val="0"/>
              </w:numPr>
              <w:rPr>
                <w:sz w:val="20"/>
              </w:rPr>
            </w:pPr>
            <w:r>
              <w:rPr>
                <w:sz w:val="20"/>
              </w:rPr>
              <w:t>*</w:t>
            </w:r>
            <w:r>
              <w:t xml:space="preserve"> </w:t>
            </w:r>
            <w:r w:rsidRPr="00ED7BC9">
              <w:rPr>
                <w:sz w:val="20"/>
              </w:rPr>
              <w:t>Metro lines under design</w:t>
            </w:r>
          </w:p>
          <w:p w14:paraId="1E3BD4AC" w14:textId="77777777" w:rsidR="00ED7BC9" w:rsidRPr="006E77FB" w:rsidRDefault="00ED7BC9" w:rsidP="00ED7BC9">
            <w:pPr>
              <w:pStyle w:val="ListDash"/>
              <w:numPr>
                <w:ilvl w:val="0"/>
                <w:numId w:val="0"/>
              </w:numPr>
              <w:ind w:left="85"/>
              <w:rPr>
                <w:sz w:val="20"/>
                <w:lang w:val="en"/>
              </w:rPr>
            </w:pPr>
          </w:p>
        </w:tc>
        <w:tc>
          <w:tcPr>
            <w:tcW w:w="598" w:type="pct"/>
            <w:shd w:val="clear" w:color="auto" w:fill="auto"/>
          </w:tcPr>
          <w:p w14:paraId="785A8959" w14:textId="402F1483" w:rsidR="00ED7BC9" w:rsidRDefault="00ED7BC9" w:rsidP="00ED7BC9">
            <w:pPr>
              <w:pStyle w:val="ListDash"/>
              <w:numPr>
                <w:ilvl w:val="0"/>
                <w:numId w:val="0"/>
              </w:numPr>
              <w:rPr>
                <w:sz w:val="20"/>
                <w:lang w:val="en-US"/>
              </w:rPr>
            </w:pPr>
            <w:r>
              <w:rPr>
                <w:sz w:val="20"/>
              </w:rPr>
              <w:t>km</w:t>
            </w:r>
          </w:p>
        </w:tc>
        <w:tc>
          <w:tcPr>
            <w:tcW w:w="522" w:type="pct"/>
          </w:tcPr>
          <w:p w14:paraId="44540462" w14:textId="1B2A7C9F" w:rsidR="00ED7BC9" w:rsidRDefault="00ED7BC9" w:rsidP="00ED7BC9">
            <w:pPr>
              <w:pStyle w:val="ListDash"/>
              <w:numPr>
                <w:ilvl w:val="0"/>
                <w:numId w:val="0"/>
              </w:numPr>
              <w:rPr>
                <w:sz w:val="20"/>
              </w:rPr>
            </w:pPr>
            <w:r>
              <w:rPr>
                <w:sz w:val="20"/>
              </w:rPr>
              <w:t>CF</w:t>
            </w:r>
          </w:p>
        </w:tc>
        <w:tc>
          <w:tcPr>
            <w:tcW w:w="523" w:type="pct"/>
          </w:tcPr>
          <w:p w14:paraId="6638F08D" w14:textId="739A2B4C" w:rsidR="00ED7BC9" w:rsidRPr="007066B3" w:rsidRDefault="00ED7BC9" w:rsidP="00ED7BC9">
            <w:pPr>
              <w:pStyle w:val="ListDash"/>
              <w:numPr>
                <w:ilvl w:val="0"/>
                <w:numId w:val="0"/>
              </w:numPr>
              <w:rPr>
                <w:iCs/>
                <w:sz w:val="20"/>
                <w:lang w:eastAsia="bg-BG"/>
              </w:rPr>
            </w:pPr>
            <w:r w:rsidRPr="00ED7BC9">
              <w:rPr>
                <w:iCs/>
                <w:sz w:val="20"/>
                <w:lang w:eastAsia="bg-BG"/>
              </w:rPr>
              <w:t>Less developed regions</w:t>
            </w:r>
          </w:p>
        </w:tc>
        <w:tc>
          <w:tcPr>
            <w:tcW w:w="641" w:type="pct"/>
            <w:shd w:val="clear" w:color="auto" w:fill="auto"/>
          </w:tcPr>
          <w:p w14:paraId="31713FF8" w14:textId="418958F2" w:rsidR="00ED7BC9" w:rsidRPr="00DD7B5D" w:rsidRDefault="00ED7BC9" w:rsidP="00ED7BC9">
            <w:pPr>
              <w:pStyle w:val="ListDash"/>
              <w:numPr>
                <w:ilvl w:val="0"/>
                <w:numId w:val="0"/>
              </w:numPr>
              <w:rPr>
                <w:rFonts w:eastAsia="Calibri"/>
                <w:sz w:val="20"/>
                <w:lang w:val="en-US"/>
              </w:rPr>
            </w:pPr>
            <w:r w:rsidRPr="00DD7B5D">
              <w:rPr>
                <w:sz w:val="20"/>
              </w:rPr>
              <w:t>5</w:t>
            </w:r>
            <w:r w:rsidR="00D4763F" w:rsidRPr="00DD7B5D">
              <w:rPr>
                <w:sz w:val="20"/>
              </w:rPr>
              <w:t>,6</w:t>
            </w:r>
            <w:r w:rsidRPr="00DD7B5D">
              <w:rPr>
                <w:sz w:val="20"/>
              </w:rPr>
              <w:t xml:space="preserve"> </w:t>
            </w:r>
          </w:p>
        </w:tc>
        <w:tc>
          <w:tcPr>
            <w:tcW w:w="696" w:type="pct"/>
            <w:shd w:val="clear" w:color="auto" w:fill="auto"/>
          </w:tcPr>
          <w:p w14:paraId="60AFD267" w14:textId="0CEF251C" w:rsidR="00ED7BC9" w:rsidRPr="007066B3" w:rsidRDefault="00ED7BC9" w:rsidP="00ED7BC9">
            <w:pPr>
              <w:pStyle w:val="ListDash"/>
              <w:numPr>
                <w:ilvl w:val="0"/>
                <w:numId w:val="0"/>
              </w:numPr>
              <w:rPr>
                <w:iCs/>
                <w:sz w:val="18"/>
                <w:szCs w:val="18"/>
                <w:lang w:eastAsia="bg-BG"/>
              </w:rPr>
            </w:pPr>
            <w:r>
              <w:rPr>
                <w:iCs/>
                <w:sz w:val="20"/>
                <w:lang w:eastAsia="bg-BG"/>
              </w:rPr>
              <w:t xml:space="preserve">Metropolitan </w:t>
            </w:r>
          </w:p>
        </w:tc>
        <w:tc>
          <w:tcPr>
            <w:tcW w:w="770" w:type="pct"/>
          </w:tcPr>
          <w:p w14:paraId="542793EE" w14:textId="60D423B4" w:rsidR="00ED7BC9" w:rsidRPr="007066B3" w:rsidRDefault="00ED7BC9" w:rsidP="00ED7BC9">
            <w:pPr>
              <w:pStyle w:val="ListDash"/>
              <w:numPr>
                <w:ilvl w:val="0"/>
                <w:numId w:val="0"/>
              </w:numPr>
              <w:rPr>
                <w:sz w:val="20"/>
              </w:rPr>
            </w:pPr>
            <w:r w:rsidRPr="00ED7BC9">
              <w:rPr>
                <w:sz w:val="20"/>
              </w:rPr>
              <w:t>annually</w:t>
            </w:r>
          </w:p>
        </w:tc>
      </w:tr>
      <w:tr w:rsidR="00ED7BC9" w:rsidRPr="008340BB" w14:paraId="1AAB815A" w14:textId="77777777" w:rsidTr="00BA1072">
        <w:trPr>
          <w:trHeight w:val="79"/>
          <w:jc w:val="center"/>
        </w:trPr>
        <w:tc>
          <w:tcPr>
            <w:tcW w:w="544" w:type="pct"/>
          </w:tcPr>
          <w:p w14:paraId="22248229" w14:textId="77777777" w:rsidR="00ED7BC9" w:rsidRPr="008340BB" w:rsidRDefault="00ED7BC9" w:rsidP="00ED7BC9">
            <w:pPr>
              <w:pStyle w:val="ListDash"/>
              <w:numPr>
                <w:ilvl w:val="0"/>
                <w:numId w:val="0"/>
              </w:numPr>
              <w:rPr>
                <w:sz w:val="20"/>
              </w:rPr>
            </w:pPr>
          </w:p>
        </w:tc>
        <w:tc>
          <w:tcPr>
            <w:tcW w:w="707" w:type="pct"/>
            <w:shd w:val="clear" w:color="auto" w:fill="auto"/>
          </w:tcPr>
          <w:p w14:paraId="6DA22972" w14:textId="35CAA3CE" w:rsidR="00ED7BC9" w:rsidRPr="006E77FB" w:rsidRDefault="00ED7BC9" w:rsidP="00EA5458">
            <w:pPr>
              <w:pStyle w:val="ListDash"/>
              <w:numPr>
                <w:ilvl w:val="0"/>
                <w:numId w:val="0"/>
              </w:numPr>
              <w:ind w:left="85"/>
              <w:rPr>
                <w:sz w:val="20"/>
                <w:lang w:val="en"/>
              </w:rPr>
            </w:pPr>
            <w:r>
              <w:rPr>
                <w:sz w:val="20"/>
              </w:rPr>
              <w:t>**</w:t>
            </w:r>
            <w:r w:rsidR="00EA5458">
              <w:t xml:space="preserve"> </w:t>
            </w:r>
            <w:r w:rsidR="00EA5458" w:rsidRPr="00EA5458">
              <w:rPr>
                <w:sz w:val="20"/>
              </w:rPr>
              <w:t>Metro trains under design</w:t>
            </w:r>
          </w:p>
        </w:tc>
        <w:tc>
          <w:tcPr>
            <w:tcW w:w="598" w:type="pct"/>
            <w:shd w:val="clear" w:color="auto" w:fill="auto"/>
          </w:tcPr>
          <w:p w14:paraId="011CF05B" w14:textId="714E1F0D" w:rsidR="00ED7BC9" w:rsidRDefault="00ED7BC9" w:rsidP="00ED7BC9">
            <w:pPr>
              <w:pStyle w:val="ListDash"/>
              <w:numPr>
                <w:ilvl w:val="0"/>
                <w:numId w:val="0"/>
              </w:numPr>
              <w:rPr>
                <w:sz w:val="20"/>
                <w:lang w:val="en-US"/>
              </w:rPr>
            </w:pPr>
            <w:r>
              <w:rPr>
                <w:sz w:val="20"/>
              </w:rPr>
              <w:t>Number</w:t>
            </w:r>
          </w:p>
        </w:tc>
        <w:tc>
          <w:tcPr>
            <w:tcW w:w="522" w:type="pct"/>
          </w:tcPr>
          <w:p w14:paraId="4E3D82F0" w14:textId="6B6ADD36" w:rsidR="00ED7BC9" w:rsidRDefault="00ED7BC9" w:rsidP="00ED7BC9">
            <w:pPr>
              <w:pStyle w:val="ListDash"/>
              <w:numPr>
                <w:ilvl w:val="0"/>
                <w:numId w:val="0"/>
              </w:numPr>
              <w:rPr>
                <w:sz w:val="20"/>
              </w:rPr>
            </w:pPr>
            <w:r>
              <w:rPr>
                <w:sz w:val="20"/>
              </w:rPr>
              <w:t>CF</w:t>
            </w:r>
          </w:p>
        </w:tc>
        <w:tc>
          <w:tcPr>
            <w:tcW w:w="523" w:type="pct"/>
          </w:tcPr>
          <w:p w14:paraId="28D50DA7" w14:textId="2A9BB3EF" w:rsidR="00ED7BC9" w:rsidRPr="007066B3" w:rsidRDefault="00ED7BC9" w:rsidP="00ED7BC9">
            <w:pPr>
              <w:pStyle w:val="ListDash"/>
              <w:numPr>
                <w:ilvl w:val="0"/>
                <w:numId w:val="0"/>
              </w:numPr>
              <w:rPr>
                <w:iCs/>
                <w:sz w:val="20"/>
                <w:lang w:eastAsia="bg-BG"/>
              </w:rPr>
            </w:pPr>
            <w:r w:rsidRPr="00ED7BC9">
              <w:rPr>
                <w:iCs/>
                <w:sz w:val="20"/>
                <w:lang w:eastAsia="bg-BG"/>
              </w:rPr>
              <w:t>Less developed regions</w:t>
            </w:r>
          </w:p>
        </w:tc>
        <w:tc>
          <w:tcPr>
            <w:tcW w:w="641" w:type="pct"/>
            <w:shd w:val="clear" w:color="auto" w:fill="auto"/>
          </w:tcPr>
          <w:p w14:paraId="10798428" w14:textId="6613F839" w:rsidR="00ED7BC9" w:rsidRPr="00DD7B5D" w:rsidRDefault="002840EA" w:rsidP="00ED7BC9">
            <w:pPr>
              <w:pStyle w:val="ListDash"/>
              <w:numPr>
                <w:ilvl w:val="0"/>
                <w:numId w:val="0"/>
              </w:numPr>
              <w:rPr>
                <w:rFonts w:eastAsia="Calibri"/>
                <w:sz w:val="20"/>
                <w:lang w:val="en-US"/>
              </w:rPr>
            </w:pPr>
            <w:r w:rsidRPr="00DD7B5D">
              <w:rPr>
                <w:sz w:val="20"/>
              </w:rPr>
              <w:t>16</w:t>
            </w:r>
          </w:p>
        </w:tc>
        <w:tc>
          <w:tcPr>
            <w:tcW w:w="696" w:type="pct"/>
            <w:shd w:val="clear" w:color="auto" w:fill="auto"/>
          </w:tcPr>
          <w:p w14:paraId="20CFA6C2" w14:textId="1FB4CC07" w:rsidR="00ED7BC9" w:rsidRPr="007066B3" w:rsidRDefault="00ED7BC9" w:rsidP="00ED7BC9">
            <w:pPr>
              <w:pStyle w:val="ListDash"/>
              <w:numPr>
                <w:ilvl w:val="0"/>
                <w:numId w:val="0"/>
              </w:numPr>
              <w:rPr>
                <w:iCs/>
                <w:sz w:val="18"/>
                <w:szCs w:val="18"/>
                <w:lang w:eastAsia="bg-BG"/>
              </w:rPr>
            </w:pPr>
            <w:r w:rsidRPr="00ED7BC9">
              <w:rPr>
                <w:iCs/>
                <w:sz w:val="18"/>
                <w:szCs w:val="18"/>
                <w:lang w:eastAsia="bg-BG"/>
              </w:rPr>
              <w:t>Metropolitan</w:t>
            </w:r>
          </w:p>
        </w:tc>
        <w:tc>
          <w:tcPr>
            <w:tcW w:w="770" w:type="pct"/>
          </w:tcPr>
          <w:p w14:paraId="593D2B1B" w14:textId="7748C5B8" w:rsidR="00ED7BC9" w:rsidRPr="007066B3" w:rsidRDefault="00ED7BC9" w:rsidP="00ED7BC9">
            <w:pPr>
              <w:pStyle w:val="ListDash"/>
              <w:numPr>
                <w:ilvl w:val="0"/>
                <w:numId w:val="0"/>
              </w:numPr>
              <w:rPr>
                <w:sz w:val="20"/>
              </w:rPr>
            </w:pPr>
            <w:r w:rsidRPr="00ED7BC9">
              <w:rPr>
                <w:sz w:val="20"/>
              </w:rPr>
              <w:t>annually</w:t>
            </w:r>
          </w:p>
        </w:tc>
      </w:tr>
    </w:tbl>
    <w:p w14:paraId="1C79BF33" w14:textId="2895B4B4" w:rsidR="00F1341F" w:rsidRDefault="00BA1072" w:rsidP="001966AC">
      <w:r w:rsidRPr="00BA1072">
        <w:t>* Represents the total length of metro lines that will be in the process of working design and preparation. The value of the indicator is obtained by summing the kilometers of metro lines for which at least one contract for work design has been concluded as of the date of the report.</w:t>
      </w:r>
    </w:p>
    <w:p w14:paraId="12422CAB" w14:textId="0DFA30B4" w:rsidR="00BA1072" w:rsidRPr="00F207BA" w:rsidRDefault="00BA1072" w:rsidP="001966AC">
      <w:pPr>
        <w:rPr>
          <w:lang w:val="bg-BG"/>
        </w:rPr>
      </w:pPr>
      <w:r w:rsidRPr="00BA1072">
        <w:t xml:space="preserve">** Represents the </w:t>
      </w:r>
      <w:r w:rsidRPr="00DD7B5D">
        <w:t>number</w:t>
      </w:r>
      <w:r w:rsidRPr="00BA1072">
        <w:t xml:space="preserve"> of metro trains that will be in the design process. The value of the indicator is obtained on the basis of the number of metro trains for which a contract for production and delivery has been concluded as of the date of the report.</w:t>
      </w:r>
      <w:r w:rsidR="00CA49CA">
        <w:t xml:space="preserve"> </w:t>
      </w:r>
    </w:p>
    <w:p w14:paraId="1C062C49" w14:textId="77777777" w:rsidR="00BA1072" w:rsidRPr="008340BB" w:rsidRDefault="00BA1072" w:rsidP="001966AC"/>
    <w:p w14:paraId="05A8DB9A" w14:textId="77777777" w:rsidR="00F1341F" w:rsidRPr="008340BB" w:rsidRDefault="00F1341F" w:rsidP="00BF3391">
      <w:pPr>
        <w:ind w:left="1418" w:hanging="1418"/>
        <w:rPr>
          <w:b/>
        </w:rPr>
      </w:pPr>
      <w:r w:rsidRPr="008340BB">
        <w:rPr>
          <w:b/>
        </w:rPr>
        <w:t xml:space="preserve">2.A.1.6 </w:t>
      </w:r>
      <w:r w:rsidRPr="008340BB">
        <w:rPr>
          <w:b/>
        </w:rPr>
        <w:tab/>
        <w:t>Social innovation, transnational cooperation and contribution to thematic objectives 1-7</w:t>
      </w:r>
      <w:r w:rsidRPr="008340BB">
        <w:rPr>
          <w:rStyle w:val="FootnoteReference"/>
          <w:b/>
        </w:rPr>
        <w:footnoteReference w:id="22"/>
      </w:r>
    </w:p>
    <w:p w14:paraId="39FD4EC7" w14:textId="77777777" w:rsidR="00F1341F" w:rsidRPr="0067246B" w:rsidRDefault="00F1341F" w:rsidP="008C66F2">
      <w:r w:rsidRPr="0067246B">
        <w:t>Specific provisions for ESF</w:t>
      </w:r>
      <w:r w:rsidRPr="008340BB">
        <w:rPr>
          <w:rStyle w:val="FootnoteReference"/>
        </w:rPr>
        <w:footnoteReference w:id="23"/>
      </w:r>
      <w:r w:rsidRPr="008340BB">
        <w:t>, where applicable (by priority axis and, where relevant, category of region)</w:t>
      </w:r>
      <w:r w:rsidRPr="0067246B">
        <w:t>: social innovation, transnational cooperation and ESF contribution to thematic objectives 1 to 7.</w:t>
      </w:r>
    </w:p>
    <w:p w14:paraId="45C40C19" w14:textId="77777777" w:rsidR="00F1341F" w:rsidRPr="00020ADD" w:rsidRDefault="00F1341F" w:rsidP="001966AC"/>
    <w:p w14:paraId="0D10F2D4" w14:textId="77777777" w:rsidR="00F1341F" w:rsidRPr="00020ADD" w:rsidRDefault="00F1341F" w:rsidP="001966AC">
      <w:r w:rsidRPr="00020ADD">
        <w:t xml:space="preserve">Description of the contribution of the planned actions of the priority axis to: </w:t>
      </w:r>
    </w:p>
    <w:p w14:paraId="5E405707" w14:textId="77777777" w:rsidR="00F1341F" w:rsidRPr="00020ADD" w:rsidRDefault="00F1341F" w:rsidP="00F03C1E">
      <w:pPr>
        <w:pStyle w:val="ListDash"/>
        <w:tabs>
          <w:tab w:val="clear" w:pos="283"/>
          <w:tab w:val="num" w:pos="851"/>
        </w:tabs>
        <w:spacing w:before="120" w:after="120"/>
        <w:ind w:left="851"/>
      </w:pPr>
      <w:r w:rsidRPr="00020ADD">
        <w:t>social innovation (if not covered by a dedicated priority axis);</w:t>
      </w:r>
    </w:p>
    <w:p w14:paraId="6557813B" w14:textId="77777777" w:rsidR="00F1341F" w:rsidRPr="00082A14" w:rsidRDefault="00F1341F" w:rsidP="00F03C1E">
      <w:pPr>
        <w:pStyle w:val="ListDash"/>
        <w:tabs>
          <w:tab w:val="clear" w:pos="283"/>
          <w:tab w:val="num" w:pos="851"/>
        </w:tabs>
        <w:spacing w:before="120" w:after="120"/>
        <w:ind w:left="851"/>
      </w:pPr>
      <w:r w:rsidRPr="00020ADD">
        <w:t>transnatio</w:t>
      </w:r>
      <w:r w:rsidRPr="00082A14">
        <w:t xml:space="preserve">nal cooperation (if not covered by a dedicated priority axis). </w:t>
      </w:r>
    </w:p>
    <w:p w14:paraId="69059E88" w14:textId="77777777" w:rsidR="00F1341F" w:rsidRPr="00DC0475" w:rsidRDefault="00F1341F" w:rsidP="00F03C1E">
      <w:pPr>
        <w:pStyle w:val="ListDash"/>
        <w:tabs>
          <w:tab w:val="clear" w:pos="283"/>
          <w:tab w:val="num" w:pos="851"/>
        </w:tabs>
        <w:spacing w:before="120" w:after="120"/>
        <w:ind w:left="851"/>
      </w:pPr>
      <w:r w:rsidRPr="00DC0475">
        <w:t>thematic objectives referred to in points (1) to (7) of the first paragraph of Article 9 of Regulation (EU) No 1303/2013.</w:t>
      </w:r>
    </w:p>
    <w:p w14:paraId="179FA90A" w14:textId="77777777" w:rsidR="00F1341F" w:rsidRPr="00B5130A" w:rsidRDefault="00F1341F" w:rsidP="00A14D00"/>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34322EEB" w14:textId="77777777" w:rsidTr="00F03C1E">
        <w:trPr>
          <w:trHeight w:val="518"/>
        </w:trPr>
        <w:tc>
          <w:tcPr>
            <w:tcW w:w="2235" w:type="dxa"/>
          </w:tcPr>
          <w:p w14:paraId="6324B21B" w14:textId="77777777" w:rsidR="00F1341F" w:rsidRPr="008340BB" w:rsidRDefault="00F1341F" w:rsidP="00F03C1E">
            <w:pPr>
              <w:rPr>
                <w:i/>
                <w:color w:val="8DB3E2"/>
                <w:sz w:val="18"/>
                <w:szCs w:val="18"/>
              </w:rPr>
            </w:pPr>
            <w:r w:rsidRPr="00A828C5">
              <w:rPr>
                <w:i/>
              </w:rPr>
              <w:t>Priority axis</w:t>
            </w:r>
          </w:p>
        </w:tc>
        <w:tc>
          <w:tcPr>
            <w:tcW w:w="6443" w:type="dxa"/>
          </w:tcPr>
          <w:p w14:paraId="11D1AEF9" w14:textId="77777777" w:rsidR="00F1341F" w:rsidRPr="008340BB" w:rsidRDefault="00F1341F" w:rsidP="00F03C1E">
            <w:pPr>
              <w:rPr>
                <w:i/>
                <w:color w:val="8DB3E2"/>
                <w:sz w:val="18"/>
                <w:szCs w:val="18"/>
              </w:rPr>
            </w:pPr>
            <w:r w:rsidRPr="008340BB">
              <w:rPr>
                <w:i/>
                <w:szCs w:val="24"/>
              </w:rPr>
              <w:t>N/A</w:t>
            </w:r>
          </w:p>
        </w:tc>
      </w:tr>
      <w:tr w:rsidR="00F1341F" w:rsidRPr="008340BB" w14:paraId="77EBAE98" w14:textId="77777777" w:rsidTr="00F03C1E">
        <w:trPr>
          <w:trHeight w:val="1154"/>
        </w:trPr>
        <w:tc>
          <w:tcPr>
            <w:tcW w:w="8678" w:type="dxa"/>
            <w:gridSpan w:val="2"/>
          </w:tcPr>
          <w:p w14:paraId="043ECA83" w14:textId="77777777" w:rsidR="00F1341F" w:rsidRPr="008340BB" w:rsidRDefault="00F1341F" w:rsidP="00BF3391">
            <w:pPr>
              <w:rPr>
                <w:i/>
                <w:sz w:val="18"/>
                <w:szCs w:val="18"/>
              </w:rPr>
            </w:pPr>
            <w:r w:rsidRPr="008340BB">
              <w:rPr>
                <w:i/>
                <w:szCs w:val="24"/>
              </w:rPr>
              <w:lastRenderedPageBreak/>
              <w:t>N/A</w:t>
            </w:r>
          </w:p>
        </w:tc>
      </w:tr>
    </w:tbl>
    <w:p w14:paraId="27960777" w14:textId="77777777" w:rsidR="00F1341F" w:rsidRPr="008340BB" w:rsidRDefault="00F1341F" w:rsidP="00A14D00"/>
    <w:p w14:paraId="41A918A7" w14:textId="77777777" w:rsidR="00F1341F" w:rsidRPr="008340BB" w:rsidRDefault="00F1341F" w:rsidP="00F03C1E">
      <w:pPr>
        <w:suppressAutoHyphens/>
        <w:rPr>
          <w:b/>
        </w:rPr>
        <w:sectPr w:rsidR="00F1341F" w:rsidRPr="008340BB" w:rsidSect="001E1D6F">
          <w:headerReference w:type="default" r:id="rId21"/>
          <w:footerReference w:type="default" r:id="rId22"/>
          <w:headerReference w:type="first" r:id="rId23"/>
          <w:footerReference w:type="first" r:id="rId24"/>
          <w:pgSz w:w="11906" w:h="16838"/>
          <w:pgMar w:top="1021" w:right="1418" w:bottom="1021" w:left="1418" w:header="601" w:footer="1077" w:gutter="0"/>
          <w:cols w:space="708"/>
          <w:docGrid w:linePitch="326"/>
        </w:sectPr>
      </w:pPr>
    </w:p>
    <w:p w14:paraId="0F238FE5" w14:textId="77777777" w:rsidR="00F1341F" w:rsidRPr="008340BB" w:rsidRDefault="00F1341F" w:rsidP="00BF3391">
      <w:pPr>
        <w:ind w:left="1418" w:hanging="1418"/>
        <w:rPr>
          <w:b/>
        </w:rPr>
      </w:pPr>
      <w:r w:rsidRPr="008340BB">
        <w:rPr>
          <w:b/>
        </w:rPr>
        <w:lastRenderedPageBreak/>
        <w:t xml:space="preserve">2.A.1.7 </w:t>
      </w:r>
      <w:r w:rsidRPr="008340BB">
        <w:rPr>
          <w:b/>
        </w:rPr>
        <w:tab/>
        <w:t xml:space="preserve">Performance framework </w:t>
      </w:r>
    </w:p>
    <w:p w14:paraId="6253F3C5" w14:textId="77777777" w:rsidR="00F1341F" w:rsidRPr="008340BB" w:rsidRDefault="00F1341F" w:rsidP="00BF3391">
      <w:pPr>
        <w:ind w:left="1418" w:hanging="1418"/>
      </w:pPr>
      <w:r w:rsidRPr="008340BB">
        <w:t>(Reference: point (b)(v) of the first subparagraph of Article 96(2), and Annex II to Regulation (EU) No 1303/2013)</w:t>
      </w:r>
    </w:p>
    <w:p w14:paraId="49BBB385" w14:textId="77777777" w:rsidR="00F1341F" w:rsidRPr="008340BB" w:rsidRDefault="00F1341F" w:rsidP="0029451D">
      <w:pPr>
        <w:rPr>
          <w:b/>
        </w:rPr>
      </w:pPr>
      <w:r w:rsidRPr="008340BB">
        <w:rPr>
          <w:b/>
        </w:rPr>
        <w:t xml:space="preserve">Table 6: </w:t>
      </w:r>
      <w:r w:rsidRPr="008340BB">
        <w:rPr>
          <w:b/>
        </w:rPr>
        <w:tab/>
        <w:t>Performance framework of the priority axis</w:t>
      </w:r>
    </w:p>
    <w:p w14:paraId="40E2BED2" w14:textId="77777777" w:rsidR="00F1341F" w:rsidRPr="008340BB" w:rsidRDefault="00F1341F" w:rsidP="00261A02">
      <w:pPr>
        <w:pStyle w:val="TableTitle"/>
        <w:jc w:val="left"/>
        <w:rPr>
          <w:b w:val="0"/>
        </w:rPr>
      </w:pPr>
      <w:r w:rsidRPr="008340BB">
        <w:rPr>
          <w:b w:val="0"/>
        </w:rPr>
        <w:t xml:space="preserve"> (by fund and category of region)</w:t>
      </w:r>
      <w:r w:rsidRPr="008340BB">
        <w:rPr>
          <w:rStyle w:val="FootnoteReference"/>
          <w:b w:val="0"/>
        </w:rPr>
        <w:footnoteReference w:id="24"/>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3"/>
        <w:gridCol w:w="1367"/>
        <w:gridCol w:w="1847"/>
        <w:gridCol w:w="1395"/>
        <w:gridCol w:w="838"/>
        <w:gridCol w:w="1395"/>
        <w:gridCol w:w="1260"/>
        <w:gridCol w:w="1981"/>
        <w:gridCol w:w="1536"/>
        <w:gridCol w:w="1814"/>
      </w:tblGrid>
      <w:tr w:rsidR="00F1341F" w:rsidRPr="008340BB" w14:paraId="1B6E3B2E" w14:textId="77777777" w:rsidTr="00365836">
        <w:trPr>
          <w:trHeight w:val="740"/>
        </w:trPr>
        <w:tc>
          <w:tcPr>
            <w:tcW w:w="883" w:type="pct"/>
            <w:gridSpan w:val="2"/>
          </w:tcPr>
          <w:p w14:paraId="55BF5F65" w14:textId="77777777" w:rsidR="00F1341F" w:rsidRPr="008340BB" w:rsidRDefault="00F1341F" w:rsidP="008C66F2">
            <w:pPr>
              <w:pStyle w:val="Text1"/>
              <w:ind w:left="0"/>
              <w:rPr>
                <w:b/>
                <w:i/>
                <w:sz w:val="20"/>
                <w:lang w:val="en-GB" w:eastAsia="en-GB"/>
              </w:rPr>
            </w:pPr>
            <w:r w:rsidRPr="008340BB">
              <w:rPr>
                <w:b/>
                <w:i/>
                <w:sz w:val="18"/>
                <w:szCs w:val="18"/>
                <w:lang w:val="en-GB" w:eastAsia="en-GB"/>
              </w:rPr>
              <w:t>Priority axis</w:t>
            </w:r>
          </w:p>
        </w:tc>
        <w:tc>
          <w:tcPr>
            <w:tcW w:w="4117" w:type="pct"/>
            <w:gridSpan w:val="8"/>
          </w:tcPr>
          <w:p w14:paraId="29BB8F1E" w14:textId="44305D9C" w:rsidR="00F1341F" w:rsidRPr="008340BB" w:rsidRDefault="00F1341F" w:rsidP="00FB1E9F">
            <w:pPr>
              <w:rPr>
                <w:b/>
                <w:i/>
                <w:sz w:val="20"/>
              </w:rPr>
            </w:pPr>
            <w:r w:rsidRPr="008340BB">
              <w:rPr>
                <w:sz w:val="18"/>
                <w:szCs w:val="18"/>
              </w:rPr>
              <w:t xml:space="preserve">“Development of railway infrastructure along the “core” </w:t>
            </w:r>
            <w:r w:rsidR="00261B7A">
              <w:rPr>
                <w:sz w:val="18"/>
                <w:szCs w:val="18"/>
              </w:rPr>
              <w:t xml:space="preserve">and “comprehensive” </w:t>
            </w:r>
            <w:r w:rsidRPr="008340BB">
              <w:rPr>
                <w:sz w:val="18"/>
                <w:szCs w:val="18"/>
              </w:rPr>
              <w:t>Trans-European Transport Network”</w:t>
            </w:r>
            <w:r w:rsidR="00261B7A">
              <w:rPr>
                <w:sz w:val="18"/>
                <w:szCs w:val="18"/>
              </w:rPr>
              <w:t xml:space="preserve"> </w:t>
            </w:r>
          </w:p>
        </w:tc>
      </w:tr>
      <w:tr w:rsidR="00F1341F" w:rsidRPr="008340BB" w14:paraId="0ABF336A" w14:textId="77777777" w:rsidTr="00365836">
        <w:trPr>
          <w:trHeight w:val="2640"/>
        </w:trPr>
        <w:tc>
          <w:tcPr>
            <w:tcW w:w="417" w:type="pct"/>
          </w:tcPr>
          <w:p w14:paraId="6EE11FE9" w14:textId="77777777" w:rsidR="00F1341F" w:rsidRPr="008340BB" w:rsidRDefault="00F1341F" w:rsidP="00BF3391">
            <w:pPr>
              <w:pStyle w:val="Text1"/>
              <w:ind w:left="0"/>
              <w:rPr>
                <w:b/>
                <w:i/>
                <w:sz w:val="18"/>
                <w:szCs w:val="18"/>
                <w:lang w:val="en-GB" w:eastAsia="en-GB"/>
              </w:rPr>
            </w:pPr>
            <w:r w:rsidRPr="008340BB">
              <w:rPr>
                <w:b/>
                <w:i/>
                <w:sz w:val="20"/>
                <w:lang w:val="en-GB" w:eastAsia="en-GB"/>
              </w:rPr>
              <w:t>ID</w:t>
            </w:r>
            <w:r w:rsidRPr="008340BB" w:rsidDel="00C608A6">
              <w:rPr>
                <w:b/>
                <w:i/>
                <w:sz w:val="18"/>
                <w:szCs w:val="18"/>
                <w:lang w:val="en-GB" w:eastAsia="en-GB"/>
              </w:rPr>
              <w:t xml:space="preserve"> </w:t>
            </w:r>
          </w:p>
        </w:tc>
        <w:tc>
          <w:tcPr>
            <w:tcW w:w="466" w:type="pct"/>
          </w:tcPr>
          <w:p w14:paraId="4D92236E" w14:textId="77777777" w:rsidR="00F1341F" w:rsidRPr="008340BB" w:rsidRDefault="00F1341F" w:rsidP="00BF3391">
            <w:pPr>
              <w:pStyle w:val="Text1"/>
              <w:ind w:left="0"/>
              <w:rPr>
                <w:b/>
                <w:i/>
                <w:sz w:val="18"/>
                <w:szCs w:val="18"/>
                <w:lang w:val="en-GB" w:eastAsia="en-GB"/>
              </w:rPr>
            </w:pPr>
            <w:r w:rsidRPr="008340BB">
              <w:rPr>
                <w:b/>
                <w:i/>
                <w:sz w:val="18"/>
                <w:szCs w:val="18"/>
                <w:lang w:val="en-GB" w:eastAsia="en-GB"/>
              </w:rPr>
              <w:t>Indicator type</w:t>
            </w:r>
          </w:p>
          <w:p w14:paraId="7A66217A" w14:textId="77777777" w:rsidR="00F1341F" w:rsidRPr="008340BB" w:rsidRDefault="00F1341F" w:rsidP="00BF3391">
            <w:pPr>
              <w:pStyle w:val="Text1"/>
              <w:ind w:left="0"/>
              <w:rPr>
                <w:b/>
                <w:i/>
                <w:sz w:val="18"/>
                <w:szCs w:val="18"/>
                <w:lang w:val="en-GB" w:eastAsia="en-GB"/>
              </w:rPr>
            </w:pPr>
            <w:r w:rsidRPr="008340BB">
              <w:rPr>
                <w:b/>
                <w:i/>
                <w:sz w:val="18"/>
                <w:szCs w:val="18"/>
                <w:lang w:val="en-GB" w:eastAsia="en-GB"/>
              </w:rPr>
              <w:t>(Key implementation step, financial, output or, where appropriate, result indicator)</w:t>
            </w:r>
          </w:p>
          <w:p w14:paraId="3B1F4274" w14:textId="77777777" w:rsidR="00F1341F" w:rsidRPr="008340BB" w:rsidRDefault="00F1341F" w:rsidP="008C66F2">
            <w:pPr>
              <w:pStyle w:val="Text1"/>
              <w:ind w:left="0"/>
              <w:rPr>
                <w:b/>
                <w:i/>
                <w:sz w:val="20"/>
                <w:lang w:val="en-GB" w:eastAsia="en-GB"/>
              </w:rPr>
            </w:pPr>
          </w:p>
        </w:tc>
        <w:tc>
          <w:tcPr>
            <w:tcW w:w="630" w:type="pct"/>
          </w:tcPr>
          <w:p w14:paraId="39451CCE" w14:textId="77777777" w:rsidR="00F1341F" w:rsidRPr="008340BB" w:rsidRDefault="00F1341F" w:rsidP="008C66F2">
            <w:pPr>
              <w:pStyle w:val="Text1"/>
              <w:ind w:left="0"/>
              <w:rPr>
                <w:b/>
                <w:i/>
                <w:sz w:val="20"/>
                <w:lang w:val="en-GB" w:eastAsia="en-GB"/>
              </w:rPr>
            </w:pPr>
            <w:r w:rsidRPr="008340BB">
              <w:rPr>
                <w:b/>
                <w:i/>
                <w:sz w:val="20"/>
                <w:lang w:val="en-GB" w:eastAsia="en-GB"/>
              </w:rPr>
              <w:t xml:space="preserve">Indicator or key implementation step </w:t>
            </w:r>
          </w:p>
        </w:tc>
        <w:tc>
          <w:tcPr>
            <w:tcW w:w="476" w:type="pct"/>
          </w:tcPr>
          <w:p w14:paraId="2B6EDB4F" w14:textId="77777777" w:rsidR="00F1341F" w:rsidRPr="008340BB" w:rsidRDefault="00F1341F" w:rsidP="008C66F2">
            <w:pPr>
              <w:pStyle w:val="Text1"/>
              <w:ind w:left="0"/>
              <w:rPr>
                <w:b/>
                <w:i/>
                <w:sz w:val="20"/>
                <w:lang w:val="en-GB" w:eastAsia="en-GB"/>
              </w:rPr>
            </w:pPr>
            <w:r w:rsidRPr="008340BB">
              <w:rPr>
                <w:b/>
                <w:i/>
                <w:sz w:val="20"/>
                <w:lang w:val="en-GB" w:eastAsia="en-GB"/>
              </w:rPr>
              <w:t xml:space="preserve">Measurement unit, where appropriate </w:t>
            </w:r>
          </w:p>
        </w:tc>
        <w:tc>
          <w:tcPr>
            <w:tcW w:w="286" w:type="pct"/>
          </w:tcPr>
          <w:p w14:paraId="56E042AF" w14:textId="77777777" w:rsidR="00F1341F" w:rsidRPr="008340BB" w:rsidRDefault="00F1341F" w:rsidP="008C66F2">
            <w:pPr>
              <w:pStyle w:val="Text1"/>
              <w:ind w:left="0"/>
              <w:rPr>
                <w:b/>
                <w:i/>
                <w:sz w:val="20"/>
                <w:lang w:val="en-GB" w:eastAsia="en-GB"/>
              </w:rPr>
            </w:pPr>
            <w:r w:rsidRPr="008340BB">
              <w:rPr>
                <w:b/>
                <w:i/>
                <w:sz w:val="20"/>
                <w:lang w:val="en-GB" w:eastAsia="en-GB"/>
              </w:rPr>
              <w:t>Fund</w:t>
            </w:r>
          </w:p>
        </w:tc>
        <w:tc>
          <w:tcPr>
            <w:tcW w:w="476" w:type="pct"/>
          </w:tcPr>
          <w:p w14:paraId="746B1D5F" w14:textId="77777777" w:rsidR="00F1341F" w:rsidRPr="008340BB" w:rsidRDefault="00F1341F" w:rsidP="00BF3391">
            <w:pPr>
              <w:pStyle w:val="Text1"/>
              <w:ind w:left="0"/>
              <w:rPr>
                <w:b/>
                <w:i/>
                <w:sz w:val="20"/>
                <w:lang w:val="en-GB" w:eastAsia="en-GB"/>
              </w:rPr>
            </w:pPr>
            <w:r w:rsidRPr="008340BB">
              <w:rPr>
                <w:b/>
                <w:i/>
                <w:sz w:val="20"/>
                <w:lang w:val="en-GB" w:eastAsia="en-GB"/>
              </w:rPr>
              <w:t>Category of region</w:t>
            </w:r>
          </w:p>
        </w:tc>
        <w:tc>
          <w:tcPr>
            <w:tcW w:w="430" w:type="pct"/>
          </w:tcPr>
          <w:p w14:paraId="4C52B1A2" w14:textId="77777777" w:rsidR="00F1341F" w:rsidRPr="008340BB" w:rsidRDefault="00F1341F" w:rsidP="008C66F2">
            <w:pPr>
              <w:pStyle w:val="Text1"/>
              <w:ind w:left="0"/>
              <w:rPr>
                <w:b/>
                <w:i/>
                <w:sz w:val="20"/>
                <w:lang w:val="en-GB" w:eastAsia="en-GB"/>
              </w:rPr>
            </w:pPr>
            <w:r w:rsidRPr="008340BB">
              <w:rPr>
                <w:b/>
                <w:i/>
                <w:sz w:val="20"/>
                <w:lang w:val="en-GB" w:eastAsia="en-GB"/>
              </w:rPr>
              <w:t>Milestone for 2018</w:t>
            </w:r>
          </w:p>
        </w:tc>
        <w:tc>
          <w:tcPr>
            <w:tcW w:w="676" w:type="pct"/>
          </w:tcPr>
          <w:p w14:paraId="1B7571E4" w14:textId="77777777" w:rsidR="00F1341F" w:rsidRPr="008340BB" w:rsidRDefault="00F1341F" w:rsidP="008C66F2">
            <w:pPr>
              <w:pStyle w:val="Text1"/>
              <w:ind w:left="0"/>
              <w:rPr>
                <w:b/>
                <w:i/>
                <w:sz w:val="20"/>
                <w:lang w:val="en-GB" w:eastAsia="en-GB"/>
              </w:rPr>
            </w:pPr>
            <w:r w:rsidRPr="008340BB">
              <w:rPr>
                <w:b/>
                <w:i/>
                <w:sz w:val="20"/>
                <w:lang w:val="en-GB" w:eastAsia="en-GB"/>
              </w:rPr>
              <w:t>Final target (2023)</w:t>
            </w:r>
            <w:r w:rsidRPr="008340BB">
              <w:rPr>
                <w:rStyle w:val="FootnoteReference"/>
                <w:b/>
                <w:i/>
                <w:sz w:val="20"/>
                <w:lang w:val="en-GB" w:eastAsia="en-GB"/>
              </w:rPr>
              <w:footnoteReference w:id="25"/>
            </w:r>
          </w:p>
        </w:tc>
        <w:tc>
          <w:tcPr>
            <w:tcW w:w="524" w:type="pct"/>
          </w:tcPr>
          <w:p w14:paraId="039EE9BC" w14:textId="77777777" w:rsidR="00F1341F" w:rsidRPr="008340BB" w:rsidRDefault="00F1341F" w:rsidP="008C66F2">
            <w:pPr>
              <w:pStyle w:val="Text1"/>
              <w:spacing w:line="480" w:lineRule="auto"/>
              <w:ind w:left="0"/>
              <w:rPr>
                <w:b/>
                <w:i/>
                <w:sz w:val="20"/>
                <w:lang w:val="en-GB" w:eastAsia="en-GB"/>
              </w:rPr>
            </w:pPr>
            <w:r w:rsidRPr="008340BB">
              <w:rPr>
                <w:b/>
                <w:i/>
                <w:sz w:val="20"/>
                <w:lang w:val="en-GB" w:eastAsia="en-GB"/>
              </w:rPr>
              <w:t>Source of data</w:t>
            </w:r>
          </w:p>
        </w:tc>
        <w:tc>
          <w:tcPr>
            <w:tcW w:w="619" w:type="pct"/>
          </w:tcPr>
          <w:p w14:paraId="027983BA" w14:textId="77777777" w:rsidR="00F1341F" w:rsidRPr="008340BB" w:rsidRDefault="00F1341F" w:rsidP="008C66F2">
            <w:pPr>
              <w:rPr>
                <w:b/>
                <w:i/>
                <w:sz w:val="20"/>
              </w:rPr>
            </w:pPr>
            <w:r w:rsidRPr="008340BB">
              <w:rPr>
                <w:b/>
                <w:i/>
                <w:sz w:val="20"/>
              </w:rPr>
              <w:t>Explanation of relevance of indicator, where appropriate</w:t>
            </w:r>
          </w:p>
        </w:tc>
      </w:tr>
      <w:tr w:rsidR="00F1341F" w:rsidRPr="008340BB" w14:paraId="4A19E5F6" w14:textId="77777777" w:rsidTr="00365836">
        <w:tc>
          <w:tcPr>
            <w:tcW w:w="417" w:type="pct"/>
          </w:tcPr>
          <w:p w14:paraId="64242FDE" w14:textId="77777777" w:rsidR="00F1341F" w:rsidRPr="008340BB" w:rsidRDefault="00F1341F" w:rsidP="00F03C1E">
            <w:pPr>
              <w:pStyle w:val="Text1"/>
              <w:ind w:left="0"/>
              <w:rPr>
                <w:sz w:val="20"/>
                <w:lang w:val="en-GB" w:eastAsia="en-GB"/>
              </w:rPr>
            </w:pPr>
            <w:r w:rsidRPr="008340BB">
              <w:rPr>
                <w:sz w:val="18"/>
                <w:szCs w:val="18"/>
                <w:lang w:val="en-GB" w:eastAsia="bg-BG"/>
              </w:rPr>
              <w:t>CO12a</w:t>
            </w:r>
            <w:r w:rsidRPr="008340BB" w:rsidDel="00C608A6">
              <w:rPr>
                <w:sz w:val="18"/>
                <w:szCs w:val="18"/>
                <w:lang w:val="en-GB" w:eastAsia="en-GB"/>
              </w:rPr>
              <w:t xml:space="preserve"> </w:t>
            </w:r>
          </w:p>
        </w:tc>
        <w:tc>
          <w:tcPr>
            <w:tcW w:w="466" w:type="pct"/>
          </w:tcPr>
          <w:p w14:paraId="5B4D379F" w14:textId="77777777" w:rsidR="00F1341F" w:rsidRPr="008340BB" w:rsidRDefault="00F1341F" w:rsidP="00F03C1E">
            <w:pPr>
              <w:pStyle w:val="Text1"/>
              <w:ind w:left="0"/>
              <w:rPr>
                <w:sz w:val="20"/>
                <w:lang w:val="en-GB" w:eastAsia="en-GB"/>
              </w:rPr>
            </w:pPr>
            <w:r w:rsidRPr="008340BB">
              <w:rPr>
                <w:sz w:val="18"/>
                <w:szCs w:val="18"/>
                <w:lang w:val="en-GB" w:eastAsia="en-GB"/>
              </w:rPr>
              <w:t>output indicator</w:t>
            </w:r>
          </w:p>
        </w:tc>
        <w:tc>
          <w:tcPr>
            <w:tcW w:w="630" w:type="pct"/>
          </w:tcPr>
          <w:p w14:paraId="3C5BB377" w14:textId="77777777" w:rsidR="00F1341F" w:rsidRPr="008340BB" w:rsidRDefault="00F1341F" w:rsidP="00890368">
            <w:pPr>
              <w:pStyle w:val="Text1"/>
              <w:ind w:left="0"/>
              <w:jc w:val="left"/>
              <w:rPr>
                <w:sz w:val="18"/>
                <w:szCs w:val="18"/>
                <w:lang w:val="en-GB" w:eastAsia="en-GB"/>
              </w:rPr>
            </w:pPr>
            <w:r w:rsidRPr="008340BB">
              <w:rPr>
                <w:sz w:val="18"/>
                <w:szCs w:val="18"/>
                <w:lang w:val="en-GB" w:eastAsia="en-GB"/>
              </w:rPr>
              <w:t>Total length of reconstructed or upgraded railway line</w:t>
            </w:r>
            <w:r w:rsidR="00BE1286">
              <w:rPr>
                <w:sz w:val="18"/>
                <w:szCs w:val="18"/>
                <w:lang w:val="en-GB" w:eastAsia="en-GB"/>
              </w:rPr>
              <w:t xml:space="preserve">, </w:t>
            </w:r>
            <w:r w:rsidR="00BE1286" w:rsidRPr="00BE1286">
              <w:rPr>
                <w:sz w:val="18"/>
                <w:szCs w:val="18"/>
                <w:lang w:val="en-GB" w:eastAsia="en-GB"/>
              </w:rPr>
              <w:t>of which: TEN-T</w:t>
            </w:r>
            <w:r w:rsidR="00BE1286" w:rsidRPr="00BE1286" w:rsidDel="00BE1286">
              <w:rPr>
                <w:sz w:val="18"/>
                <w:szCs w:val="18"/>
                <w:lang w:val="en-GB" w:eastAsia="en-GB"/>
              </w:rPr>
              <w:t xml:space="preserve"> </w:t>
            </w:r>
          </w:p>
        </w:tc>
        <w:tc>
          <w:tcPr>
            <w:tcW w:w="476" w:type="pct"/>
          </w:tcPr>
          <w:p w14:paraId="2500BADE" w14:textId="77777777" w:rsidR="00F1341F" w:rsidRPr="008340BB" w:rsidRDefault="00F1341F" w:rsidP="00890368">
            <w:pPr>
              <w:pStyle w:val="Text1"/>
              <w:ind w:left="0"/>
              <w:jc w:val="left"/>
              <w:rPr>
                <w:sz w:val="18"/>
                <w:szCs w:val="18"/>
                <w:lang w:val="en-GB" w:eastAsia="en-GB"/>
              </w:rPr>
            </w:pPr>
            <w:r w:rsidRPr="008340BB">
              <w:rPr>
                <w:sz w:val="18"/>
                <w:szCs w:val="18"/>
                <w:lang w:val="en-GB" w:eastAsia="en-GB"/>
              </w:rPr>
              <w:t>km</w:t>
            </w:r>
          </w:p>
        </w:tc>
        <w:tc>
          <w:tcPr>
            <w:tcW w:w="286" w:type="pct"/>
          </w:tcPr>
          <w:p w14:paraId="280D99F0" w14:textId="77777777" w:rsidR="00F1341F" w:rsidRPr="008340BB" w:rsidRDefault="00F1341F" w:rsidP="00890368">
            <w:pPr>
              <w:pStyle w:val="Text1"/>
              <w:ind w:left="0"/>
              <w:jc w:val="left"/>
              <w:rPr>
                <w:sz w:val="20"/>
                <w:lang w:val="en-GB" w:eastAsia="en-GB"/>
              </w:rPr>
            </w:pPr>
            <w:r w:rsidRPr="008340BB">
              <w:rPr>
                <w:sz w:val="18"/>
                <w:szCs w:val="18"/>
                <w:lang w:val="en-GB" w:eastAsia="en-GB"/>
              </w:rPr>
              <w:t>CF</w:t>
            </w:r>
          </w:p>
        </w:tc>
        <w:tc>
          <w:tcPr>
            <w:tcW w:w="476" w:type="pct"/>
          </w:tcPr>
          <w:p w14:paraId="2CD74403" w14:textId="77777777" w:rsidR="00F1341F" w:rsidRPr="008340BB" w:rsidRDefault="00F1341F" w:rsidP="00890368">
            <w:pPr>
              <w:pStyle w:val="Text1"/>
              <w:ind w:left="0"/>
              <w:jc w:val="left"/>
              <w:rPr>
                <w:sz w:val="20"/>
                <w:lang w:val="en-GB" w:eastAsia="en-GB"/>
              </w:rPr>
            </w:pPr>
            <w:r w:rsidRPr="008340BB">
              <w:rPr>
                <w:sz w:val="18"/>
                <w:szCs w:val="18"/>
                <w:lang w:val="en-GB" w:eastAsia="en-GB"/>
              </w:rPr>
              <w:t>N/A</w:t>
            </w:r>
            <w:r w:rsidRPr="008340BB" w:rsidDel="00813F49">
              <w:rPr>
                <w:sz w:val="18"/>
                <w:szCs w:val="18"/>
                <w:lang w:val="en-GB" w:eastAsia="en-GB"/>
              </w:rPr>
              <w:t xml:space="preserve"> </w:t>
            </w:r>
          </w:p>
        </w:tc>
        <w:tc>
          <w:tcPr>
            <w:tcW w:w="430" w:type="pct"/>
          </w:tcPr>
          <w:p w14:paraId="5958E6ED" w14:textId="77777777" w:rsidR="00F1341F" w:rsidRPr="008340BB" w:rsidRDefault="00F1341F" w:rsidP="00890368">
            <w:pPr>
              <w:pStyle w:val="Text1"/>
              <w:ind w:left="0"/>
              <w:jc w:val="left"/>
              <w:rPr>
                <w:sz w:val="18"/>
                <w:szCs w:val="18"/>
                <w:lang w:val="en-GB" w:eastAsia="en-GB"/>
              </w:rPr>
            </w:pPr>
            <w:r w:rsidRPr="008340BB">
              <w:rPr>
                <w:sz w:val="18"/>
                <w:szCs w:val="18"/>
                <w:lang w:val="en-GB" w:eastAsia="en-GB"/>
              </w:rPr>
              <w:t>0</w:t>
            </w:r>
          </w:p>
        </w:tc>
        <w:tc>
          <w:tcPr>
            <w:tcW w:w="676" w:type="pct"/>
          </w:tcPr>
          <w:p w14:paraId="42A00902" w14:textId="5A6F88C9" w:rsidR="00F1341F" w:rsidRPr="008340BB" w:rsidRDefault="00E05F29" w:rsidP="00890368">
            <w:pPr>
              <w:pStyle w:val="Text1"/>
              <w:ind w:left="0"/>
              <w:jc w:val="left"/>
              <w:rPr>
                <w:sz w:val="18"/>
                <w:szCs w:val="18"/>
                <w:lang w:val="en-GB" w:eastAsia="en-GB"/>
              </w:rPr>
            </w:pPr>
            <w:r>
              <w:rPr>
                <w:sz w:val="18"/>
                <w:szCs w:val="18"/>
                <w:lang w:val="en-GB" w:eastAsia="en-GB"/>
              </w:rPr>
              <w:t>33</w:t>
            </w:r>
          </w:p>
        </w:tc>
        <w:tc>
          <w:tcPr>
            <w:tcW w:w="524" w:type="pct"/>
          </w:tcPr>
          <w:p w14:paraId="108675AF" w14:textId="77777777" w:rsidR="00F1341F" w:rsidRPr="008340BB" w:rsidRDefault="001800DF" w:rsidP="00890368">
            <w:pPr>
              <w:pStyle w:val="Text1"/>
              <w:ind w:left="0"/>
              <w:jc w:val="left"/>
              <w:rPr>
                <w:sz w:val="18"/>
                <w:szCs w:val="18"/>
                <w:lang w:val="en-GB" w:eastAsia="en-GB"/>
              </w:rPr>
            </w:pPr>
            <w:r>
              <w:rPr>
                <w:iCs/>
                <w:sz w:val="18"/>
                <w:szCs w:val="18"/>
                <w:lang w:val="en-GB" w:eastAsia="bg-BG"/>
              </w:rPr>
              <w:t>NRIC</w:t>
            </w:r>
          </w:p>
        </w:tc>
        <w:tc>
          <w:tcPr>
            <w:tcW w:w="619" w:type="pct"/>
          </w:tcPr>
          <w:p w14:paraId="115D79E4" w14:textId="77777777" w:rsidR="00F1341F" w:rsidRPr="008340BB" w:rsidRDefault="00F1341F" w:rsidP="005C160C">
            <w:pPr>
              <w:pStyle w:val="Text1"/>
              <w:ind w:left="0"/>
              <w:jc w:val="left"/>
              <w:rPr>
                <w:sz w:val="18"/>
                <w:szCs w:val="18"/>
                <w:lang w:val="en-GB" w:eastAsia="en-GB"/>
              </w:rPr>
            </w:pPr>
            <w:r w:rsidRPr="008340BB">
              <w:rPr>
                <w:sz w:val="18"/>
                <w:szCs w:val="18"/>
                <w:lang w:val="en-GB" w:eastAsia="en-GB"/>
              </w:rPr>
              <w:t>The indicator refers to 100% of the budget.</w:t>
            </w:r>
          </w:p>
        </w:tc>
      </w:tr>
      <w:tr w:rsidR="00F1341F" w:rsidRPr="008340BB" w14:paraId="56717F92" w14:textId="77777777" w:rsidTr="00365836">
        <w:tc>
          <w:tcPr>
            <w:tcW w:w="417" w:type="pct"/>
          </w:tcPr>
          <w:p w14:paraId="5E97E8CE" w14:textId="77777777" w:rsidR="00F1341F" w:rsidRPr="008340BB" w:rsidRDefault="00F1341F" w:rsidP="00A17BD2">
            <w:pPr>
              <w:pStyle w:val="Text1"/>
              <w:ind w:left="0"/>
              <w:rPr>
                <w:sz w:val="18"/>
                <w:szCs w:val="18"/>
                <w:lang w:val="en-GB" w:eastAsia="en-GB"/>
              </w:rPr>
            </w:pPr>
            <w:r w:rsidRPr="008340BB">
              <w:rPr>
                <w:sz w:val="18"/>
                <w:szCs w:val="18"/>
                <w:lang w:val="en-GB" w:eastAsia="en-GB"/>
              </w:rPr>
              <w:t>1</w:t>
            </w:r>
          </w:p>
        </w:tc>
        <w:tc>
          <w:tcPr>
            <w:tcW w:w="466" w:type="pct"/>
          </w:tcPr>
          <w:p w14:paraId="04CB09E5" w14:textId="77777777" w:rsidR="00F1341F" w:rsidRPr="008340BB" w:rsidRDefault="00F1341F" w:rsidP="00F03C1E">
            <w:pPr>
              <w:pStyle w:val="Text1"/>
              <w:ind w:left="0"/>
              <w:rPr>
                <w:sz w:val="18"/>
                <w:szCs w:val="18"/>
                <w:lang w:val="en-GB" w:eastAsia="en-GB"/>
              </w:rPr>
            </w:pPr>
            <w:r w:rsidRPr="008340BB">
              <w:rPr>
                <w:sz w:val="18"/>
                <w:szCs w:val="18"/>
                <w:lang w:val="en-GB" w:eastAsia="en-GB"/>
              </w:rPr>
              <w:t>financial indicator</w:t>
            </w:r>
          </w:p>
        </w:tc>
        <w:tc>
          <w:tcPr>
            <w:tcW w:w="630" w:type="pct"/>
          </w:tcPr>
          <w:p w14:paraId="7C474E9C" w14:textId="77777777" w:rsidR="00F1341F" w:rsidRPr="008340BB" w:rsidRDefault="00F1341F">
            <w:pPr>
              <w:pStyle w:val="Text1"/>
              <w:ind w:left="0"/>
              <w:jc w:val="left"/>
              <w:rPr>
                <w:sz w:val="18"/>
                <w:szCs w:val="18"/>
                <w:lang w:val="en-GB" w:eastAsia="en-GB"/>
              </w:rPr>
            </w:pPr>
            <w:r w:rsidRPr="008340BB">
              <w:rPr>
                <w:sz w:val="18"/>
                <w:szCs w:val="18"/>
                <w:lang w:val="en-GB" w:eastAsia="en-GB"/>
              </w:rPr>
              <w:t xml:space="preserve">Certified expenditures </w:t>
            </w:r>
          </w:p>
        </w:tc>
        <w:tc>
          <w:tcPr>
            <w:tcW w:w="476" w:type="pct"/>
          </w:tcPr>
          <w:p w14:paraId="569FAE42" w14:textId="77777777" w:rsidR="00F1341F" w:rsidRPr="008340BB" w:rsidRDefault="00F1341F" w:rsidP="00A17BD2">
            <w:pPr>
              <w:pStyle w:val="Text1"/>
              <w:ind w:left="0"/>
              <w:jc w:val="left"/>
              <w:rPr>
                <w:sz w:val="18"/>
                <w:szCs w:val="18"/>
                <w:lang w:val="en-GB" w:eastAsia="en-GB"/>
              </w:rPr>
            </w:pPr>
            <w:r w:rsidRPr="008340BB">
              <w:rPr>
                <w:sz w:val="18"/>
                <w:szCs w:val="18"/>
                <w:lang w:val="en-GB" w:eastAsia="en-GB"/>
              </w:rPr>
              <w:t>Euro</w:t>
            </w:r>
          </w:p>
        </w:tc>
        <w:tc>
          <w:tcPr>
            <w:tcW w:w="286" w:type="pct"/>
          </w:tcPr>
          <w:p w14:paraId="46ECEFEB" w14:textId="77777777" w:rsidR="00F1341F" w:rsidRPr="008340BB" w:rsidRDefault="00F1341F" w:rsidP="00A17BD2">
            <w:pPr>
              <w:pStyle w:val="Text1"/>
              <w:ind w:left="0"/>
              <w:jc w:val="left"/>
              <w:rPr>
                <w:sz w:val="18"/>
                <w:szCs w:val="18"/>
                <w:lang w:val="en-GB" w:eastAsia="en-GB"/>
              </w:rPr>
            </w:pPr>
            <w:r w:rsidRPr="008340BB">
              <w:rPr>
                <w:sz w:val="18"/>
                <w:szCs w:val="18"/>
                <w:lang w:val="en-GB" w:eastAsia="en-GB"/>
              </w:rPr>
              <w:t>CF</w:t>
            </w:r>
          </w:p>
        </w:tc>
        <w:tc>
          <w:tcPr>
            <w:tcW w:w="476" w:type="pct"/>
          </w:tcPr>
          <w:p w14:paraId="0ABCF153" w14:textId="77777777" w:rsidR="00F1341F" w:rsidRPr="008340BB" w:rsidRDefault="00F1341F" w:rsidP="00A17BD2">
            <w:pPr>
              <w:pStyle w:val="Text1"/>
              <w:ind w:left="0"/>
              <w:jc w:val="left"/>
              <w:rPr>
                <w:sz w:val="18"/>
                <w:szCs w:val="18"/>
                <w:lang w:val="en-GB" w:eastAsia="en-GB"/>
              </w:rPr>
            </w:pPr>
            <w:r w:rsidRPr="008340BB">
              <w:rPr>
                <w:sz w:val="18"/>
                <w:szCs w:val="18"/>
                <w:lang w:val="en-GB" w:eastAsia="en-GB"/>
              </w:rPr>
              <w:t>N/A</w:t>
            </w:r>
          </w:p>
        </w:tc>
        <w:tc>
          <w:tcPr>
            <w:tcW w:w="430" w:type="pct"/>
          </w:tcPr>
          <w:p w14:paraId="0D82C6A9" w14:textId="61FD7CDF" w:rsidR="00F1341F" w:rsidRPr="008340BB" w:rsidRDefault="004E06ED" w:rsidP="00A17BD2">
            <w:pPr>
              <w:pStyle w:val="Text1"/>
              <w:ind w:left="0"/>
              <w:jc w:val="left"/>
              <w:rPr>
                <w:sz w:val="18"/>
                <w:szCs w:val="18"/>
                <w:lang w:val="en-GB" w:eastAsia="en-GB"/>
              </w:rPr>
            </w:pPr>
            <w:r w:rsidRPr="008340BB">
              <w:rPr>
                <w:sz w:val="18"/>
                <w:szCs w:val="18"/>
                <w:lang w:val="en-GB" w:eastAsia="en-GB"/>
              </w:rPr>
              <w:t>76 000</w:t>
            </w:r>
            <w:r w:rsidR="007851F7">
              <w:rPr>
                <w:sz w:val="18"/>
                <w:szCs w:val="18"/>
                <w:lang w:val="en-GB" w:eastAsia="en-GB"/>
              </w:rPr>
              <w:t> </w:t>
            </w:r>
            <w:r w:rsidRPr="008340BB">
              <w:rPr>
                <w:sz w:val="18"/>
                <w:szCs w:val="18"/>
                <w:lang w:val="en-GB" w:eastAsia="en-GB"/>
              </w:rPr>
              <w:t>000</w:t>
            </w:r>
          </w:p>
        </w:tc>
        <w:tc>
          <w:tcPr>
            <w:tcW w:w="676" w:type="pct"/>
          </w:tcPr>
          <w:p w14:paraId="3F2EE345" w14:textId="77777777" w:rsidR="00F12E67" w:rsidRPr="00F12E67" w:rsidRDefault="00F12E67" w:rsidP="00F12E67">
            <w:pPr>
              <w:pStyle w:val="Text1"/>
              <w:ind w:left="342" w:hanging="342"/>
              <w:jc w:val="left"/>
              <w:rPr>
                <w:sz w:val="18"/>
                <w:szCs w:val="18"/>
                <w:lang w:val="x-none"/>
              </w:rPr>
            </w:pPr>
            <w:r w:rsidRPr="00DD7B5D">
              <w:rPr>
                <w:sz w:val="18"/>
                <w:szCs w:val="18"/>
                <w:lang w:val="x-none"/>
              </w:rPr>
              <w:t xml:space="preserve">500 </w:t>
            </w:r>
            <w:r w:rsidRPr="00DD7B5D">
              <w:rPr>
                <w:sz w:val="18"/>
                <w:szCs w:val="18"/>
                <w:lang w:val="en-US"/>
              </w:rPr>
              <w:t>000</w:t>
            </w:r>
            <w:r w:rsidRPr="00DD7B5D">
              <w:rPr>
                <w:sz w:val="18"/>
                <w:szCs w:val="18"/>
                <w:lang w:val="x-none"/>
              </w:rPr>
              <w:t xml:space="preserve"> </w:t>
            </w:r>
            <w:r w:rsidRPr="00DD7B5D">
              <w:rPr>
                <w:sz w:val="18"/>
                <w:szCs w:val="18"/>
                <w:lang w:val="en-US"/>
              </w:rPr>
              <w:t>000</w:t>
            </w:r>
            <w:r w:rsidRPr="00DD7B5D">
              <w:rPr>
                <w:sz w:val="18"/>
                <w:szCs w:val="18"/>
                <w:lang w:val="x-none"/>
              </w:rPr>
              <w:t>,00</w:t>
            </w:r>
          </w:p>
          <w:p w14:paraId="56C39F61" w14:textId="03DF6EA6" w:rsidR="00B24B08" w:rsidRPr="00B24B08" w:rsidRDefault="00B24B08" w:rsidP="00B24B08">
            <w:pPr>
              <w:pStyle w:val="Text1"/>
              <w:ind w:left="0"/>
              <w:jc w:val="left"/>
              <w:rPr>
                <w:sz w:val="18"/>
                <w:szCs w:val="18"/>
              </w:rPr>
            </w:pPr>
          </w:p>
          <w:p w14:paraId="4534A540" w14:textId="3952478A" w:rsidR="00F1341F" w:rsidRDefault="00F1341F">
            <w:pPr>
              <w:pStyle w:val="Text1"/>
              <w:ind w:left="0"/>
              <w:jc w:val="left"/>
              <w:rPr>
                <w:sz w:val="18"/>
                <w:szCs w:val="18"/>
                <w:lang w:val="en-US"/>
              </w:rPr>
            </w:pPr>
          </w:p>
          <w:p w14:paraId="6D0BFC23" w14:textId="349B4F0E" w:rsidR="00F31C00" w:rsidRPr="0067246B" w:rsidRDefault="00F31C00">
            <w:pPr>
              <w:pStyle w:val="Text1"/>
              <w:ind w:left="0"/>
              <w:jc w:val="left"/>
              <w:rPr>
                <w:sz w:val="20"/>
                <w:lang w:val="en-GB" w:eastAsia="en-GB"/>
              </w:rPr>
            </w:pPr>
          </w:p>
        </w:tc>
        <w:tc>
          <w:tcPr>
            <w:tcW w:w="524" w:type="pct"/>
          </w:tcPr>
          <w:p w14:paraId="7FD4B423" w14:textId="77777777" w:rsidR="00F1341F" w:rsidRPr="00020ADD" w:rsidRDefault="00F1341F" w:rsidP="00890368">
            <w:pPr>
              <w:pStyle w:val="Text1"/>
              <w:ind w:left="0"/>
              <w:jc w:val="left"/>
              <w:rPr>
                <w:iCs/>
                <w:sz w:val="18"/>
                <w:szCs w:val="18"/>
                <w:lang w:val="en-GB" w:eastAsia="bg-BG"/>
              </w:rPr>
            </w:pPr>
            <w:r w:rsidRPr="00020ADD">
              <w:rPr>
                <w:sz w:val="18"/>
                <w:szCs w:val="18"/>
                <w:lang w:val="en-GB" w:eastAsia="en-GB"/>
              </w:rPr>
              <w:lastRenderedPageBreak/>
              <w:t>Certifying Authority</w:t>
            </w:r>
          </w:p>
        </w:tc>
        <w:tc>
          <w:tcPr>
            <w:tcW w:w="619" w:type="pct"/>
          </w:tcPr>
          <w:p w14:paraId="1E0F926F" w14:textId="77777777" w:rsidR="00F1341F" w:rsidRPr="00020ADD" w:rsidRDefault="00F1341F" w:rsidP="00890368">
            <w:pPr>
              <w:pStyle w:val="Text1"/>
              <w:ind w:left="0"/>
              <w:jc w:val="left"/>
              <w:rPr>
                <w:sz w:val="20"/>
                <w:lang w:val="en-GB" w:eastAsia="en-GB"/>
              </w:rPr>
            </w:pPr>
            <w:r w:rsidRPr="00020ADD">
              <w:rPr>
                <w:sz w:val="20"/>
                <w:lang w:val="en-GB" w:eastAsia="en-GB"/>
              </w:rPr>
              <w:t xml:space="preserve">This financial indicator is </w:t>
            </w:r>
            <w:r w:rsidRPr="00020ADD">
              <w:rPr>
                <w:sz w:val="20"/>
                <w:lang w:val="en-GB" w:eastAsia="en-GB"/>
              </w:rPr>
              <w:lastRenderedPageBreak/>
              <w:t>suggested to be used in the guide for determining milestones and targets for the performance framework</w:t>
            </w:r>
          </w:p>
        </w:tc>
      </w:tr>
      <w:tr w:rsidR="00F1341F" w:rsidRPr="008340BB" w14:paraId="59C90B43" w14:textId="77777777" w:rsidTr="00365836">
        <w:tc>
          <w:tcPr>
            <w:tcW w:w="417" w:type="pct"/>
          </w:tcPr>
          <w:p w14:paraId="5B37D64F" w14:textId="77777777" w:rsidR="00F1341F" w:rsidRPr="008340BB" w:rsidRDefault="00F1341F" w:rsidP="00A17BD2">
            <w:pPr>
              <w:pStyle w:val="Text1"/>
              <w:ind w:left="0"/>
              <w:rPr>
                <w:sz w:val="18"/>
                <w:szCs w:val="18"/>
                <w:lang w:val="en-GB" w:eastAsia="en-GB"/>
              </w:rPr>
            </w:pPr>
            <w:r w:rsidRPr="008340BB">
              <w:rPr>
                <w:sz w:val="18"/>
                <w:szCs w:val="18"/>
                <w:lang w:val="en-GB" w:eastAsia="en-GB"/>
              </w:rPr>
              <w:lastRenderedPageBreak/>
              <w:t>4</w:t>
            </w:r>
          </w:p>
        </w:tc>
        <w:tc>
          <w:tcPr>
            <w:tcW w:w="466" w:type="pct"/>
          </w:tcPr>
          <w:p w14:paraId="08257F7A" w14:textId="77777777" w:rsidR="00F1341F" w:rsidRPr="008340BB" w:rsidRDefault="00F1341F" w:rsidP="00F03C1E">
            <w:pPr>
              <w:pStyle w:val="Text1"/>
              <w:ind w:left="0"/>
              <w:rPr>
                <w:sz w:val="18"/>
                <w:szCs w:val="18"/>
                <w:lang w:val="en-GB" w:eastAsia="en-GB"/>
              </w:rPr>
            </w:pPr>
            <w:r w:rsidRPr="008340BB">
              <w:rPr>
                <w:sz w:val="18"/>
                <w:szCs w:val="18"/>
                <w:lang w:val="en-GB" w:eastAsia="en-GB"/>
              </w:rPr>
              <w:t>key implementation step</w:t>
            </w:r>
          </w:p>
        </w:tc>
        <w:tc>
          <w:tcPr>
            <w:tcW w:w="630" w:type="pct"/>
          </w:tcPr>
          <w:p w14:paraId="21981894" w14:textId="77777777" w:rsidR="00F1341F" w:rsidRPr="008340BB" w:rsidRDefault="00F1341F" w:rsidP="00890368">
            <w:pPr>
              <w:pStyle w:val="Text1"/>
              <w:ind w:left="0"/>
              <w:jc w:val="left"/>
              <w:rPr>
                <w:sz w:val="18"/>
                <w:szCs w:val="18"/>
                <w:lang w:val="en-GB" w:eastAsia="en-GB"/>
              </w:rPr>
            </w:pPr>
            <w:r w:rsidRPr="008340BB">
              <w:rPr>
                <w:sz w:val="18"/>
                <w:szCs w:val="18"/>
                <w:lang w:val="en-GB" w:eastAsia="en-GB"/>
              </w:rPr>
              <w:t xml:space="preserve">Number of major projects with started construction </w:t>
            </w:r>
          </w:p>
        </w:tc>
        <w:tc>
          <w:tcPr>
            <w:tcW w:w="476" w:type="pct"/>
          </w:tcPr>
          <w:p w14:paraId="62F3B483" w14:textId="77777777" w:rsidR="00F1341F" w:rsidRPr="008340BB" w:rsidRDefault="00F1341F" w:rsidP="00A17BD2">
            <w:pPr>
              <w:pStyle w:val="Text1"/>
              <w:ind w:left="0"/>
              <w:jc w:val="left"/>
              <w:rPr>
                <w:sz w:val="18"/>
                <w:szCs w:val="18"/>
                <w:lang w:val="en-GB" w:eastAsia="en-GB"/>
              </w:rPr>
            </w:pPr>
            <w:r w:rsidRPr="008340BB">
              <w:rPr>
                <w:sz w:val="18"/>
                <w:szCs w:val="18"/>
                <w:lang w:val="en-GB" w:eastAsia="en-GB"/>
              </w:rPr>
              <w:t>number</w:t>
            </w:r>
          </w:p>
        </w:tc>
        <w:tc>
          <w:tcPr>
            <w:tcW w:w="286" w:type="pct"/>
          </w:tcPr>
          <w:p w14:paraId="3A61021F" w14:textId="77777777" w:rsidR="00F1341F" w:rsidRPr="008340BB" w:rsidRDefault="00F1341F" w:rsidP="00A17BD2">
            <w:pPr>
              <w:pStyle w:val="Text1"/>
              <w:ind w:left="0"/>
              <w:jc w:val="left"/>
              <w:rPr>
                <w:sz w:val="18"/>
                <w:szCs w:val="18"/>
                <w:lang w:val="en-GB" w:eastAsia="en-GB"/>
              </w:rPr>
            </w:pPr>
            <w:r w:rsidRPr="008340BB">
              <w:rPr>
                <w:sz w:val="18"/>
                <w:szCs w:val="18"/>
                <w:lang w:val="en-GB" w:eastAsia="en-GB"/>
              </w:rPr>
              <w:t>CF</w:t>
            </w:r>
          </w:p>
        </w:tc>
        <w:tc>
          <w:tcPr>
            <w:tcW w:w="476" w:type="pct"/>
          </w:tcPr>
          <w:p w14:paraId="369B34C1" w14:textId="77777777" w:rsidR="00F1341F" w:rsidRPr="008340BB" w:rsidRDefault="00F1341F" w:rsidP="00A17BD2">
            <w:pPr>
              <w:pStyle w:val="Text1"/>
              <w:ind w:left="0"/>
              <w:jc w:val="left"/>
              <w:rPr>
                <w:sz w:val="18"/>
                <w:szCs w:val="18"/>
                <w:lang w:val="en-GB" w:eastAsia="en-GB"/>
              </w:rPr>
            </w:pPr>
            <w:r w:rsidRPr="008340BB">
              <w:rPr>
                <w:sz w:val="18"/>
                <w:szCs w:val="18"/>
                <w:lang w:val="en-GB" w:eastAsia="en-GB"/>
              </w:rPr>
              <w:t>N/A</w:t>
            </w:r>
          </w:p>
        </w:tc>
        <w:tc>
          <w:tcPr>
            <w:tcW w:w="430" w:type="pct"/>
          </w:tcPr>
          <w:p w14:paraId="7B43B39D" w14:textId="77777777" w:rsidR="00F1341F" w:rsidRPr="008340BB" w:rsidRDefault="00F1341F" w:rsidP="00A17BD2">
            <w:pPr>
              <w:pStyle w:val="Text1"/>
              <w:ind w:left="0"/>
              <w:jc w:val="left"/>
              <w:rPr>
                <w:sz w:val="18"/>
                <w:szCs w:val="18"/>
                <w:lang w:val="en-GB" w:eastAsia="en-GB"/>
              </w:rPr>
            </w:pPr>
            <w:r w:rsidRPr="008340BB">
              <w:rPr>
                <w:sz w:val="20"/>
                <w:lang w:val="en-GB" w:eastAsia="en-GB"/>
              </w:rPr>
              <w:t>2</w:t>
            </w:r>
          </w:p>
        </w:tc>
        <w:tc>
          <w:tcPr>
            <w:tcW w:w="676" w:type="pct"/>
          </w:tcPr>
          <w:p w14:paraId="6F4E96A0" w14:textId="3B1D5AA9" w:rsidR="00F1341F" w:rsidRPr="008340BB" w:rsidRDefault="001E7C04" w:rsidP="00A17BD2">
            <w:pPr>
              <w:pStyle w:val="Text1"/>
              <w:ind w:left="0"/>
              <w:jc w:val="left"/>
              <w:rPr>
                <w:sz w:val="18"/>
                <w:szCs w:val="18"/>
                <w:lang w:val="en-GB" w:eastAsia="en-GB"/>
              </w:rPr>
            </w:pPr>
            <w:r w:rsidRPr="00496DD0">
              <w:rPr>
                <w:sz w:val="20"/>
                <w:lang w:val="en-GB" w:eastAsia="en-GB"/>
              </w:rPr>
              <w:t>3</w:t>
            </w:r>
          </w:p>
        </w:tc>
        <w:tc>
          <w:tcPr>
            <w:tcW w:w="524" w:type="pct"/>
          </w:tcPr>
          <w:p w14:paraId="34F57D6C" w14:textId="77777777" w:rsidR="00F1341F" w:rsidRPr="008340BB" w:rsidRDefault="00F1341F" w:rsidP="00890368">
            <w:pPr>
              <w:pStyle w:val="Text1"/>
              <w:ind w:left="0"/>
              <w:jc w:val="left"/>
              <w:rPr>
                <w:iCs/>
                <w:sz w:val="18"/>
                <w:szCs w:val="18"/>
                <w:lang w:val="en-GB" w:eastAsia="bg-BG"/>
              </w:rPr>
            </w:pPr>
            <w:r w:rsidRPr="008340BB">
              <w:rPr>
                <w:iCs/>
                <w:sz w:val="18"/>
                <w:szCs w:val="18"/>
                <w:lang w:val="en-GB" w:eastAsia="bg-BG"/>
              </w:rPr>
              <w:t>Managing Authority</w:t>
            </w:r>
          </w:p>
        </w:tc>
        <w:tc>
          <w:tcPr>
            <w:tcW w:w="619" w:type="pct"/>
          </w:tcPr>
          <w:p w14:paraId="48D97778" w14:textId="77777777" w:rsidR="00F1341F" w:rsidRPr="008340BB" w:rsidRDefault="00F1341F" w:rsidP="00890368">
            <w:pPr>
              <w:pStyle w:val="Text1"/>
              <w:ind w:left="0"/>
              <w:jc w:val="left"/>
              <w:rPr>
                <w:sz w:val="20"/>
                <w:lang w:val="en-GB" w:eastAsia="en-GB"/>
              </w:rPr>
            </w:pPr>
            <w:r w:rsidRPr="008340BB">
              <w:rPr>
                <w:sz w:val="20"/>
                <w:lang w:val="en-GB" w:eastAsia="en-GB"/>
              </w:rPr>
              <w:t>We suggest using this implementation step because no measurable output is expected, as an output of fully implemented projects in 2018.</w:t>
            </w:r>
          </w:p>
        </w:tc>
      </w:tr>
    </w:tbl>
    <w:p w14:paraId="10C1ECEC" w14:textId="77777777" w:rsidR="00F1341F" w:rsidRPr="008340BB" w:rsidRDefault="00F1341F" w:rsidP="00F03C1E">
      <w:pPr>
        <w:suppressAutoHyphens/>
        <w:rPr>
          <w:i/>
        </w:rPr>
      </w:pPr>
      <w:r w:rsidRPr="008340BB">
        <w:rPr>
          <w:rStyle w:val="hps"/>
        </w:rPr>
        <w:t>The milestone of the</w:t>
      </w:r>
      <w:r w:rsidRPr="008340BB">
        <w:t xml:space="preserve"> </w:t>
      </w:r>
      <w:r w:rsidRPr="008340BB">
        <w:rPr>
          <w:rStyle w:val="hps"/>
        </w:rPr>
        <w:t>financial</w:t>
      </w:r>
      <w:r w:rsidRPr="008340BB">
        <w:t xml:space="preserve"> </w:t>
      </w:r>
      <w:r w:rsidRPr="008340BB">
        <w:rPr>
          <w:rStyle w:val="hps"/>
        </w:rPr>
        <w:t>indicator is</w:t>
      </w:r>
      <w:r w:rsidRPr="008340BB">
        <w:t xml:space="preserve"> </w:t>
      </w:r>
      <w:r w:rsidRPr="008340BB">
        <w:rPr>
          <w:rStyle w:val="hps"/>
        </w:rPr>
        <w:t>based on the</w:t>
      </w:r>
      <w:r w:rsidRPr="008340BB">
        <w:t xml:space="preserve"> </w:t>
      </w:r>
      <w:r w:rsidRPr="008340BB">
        <w:rPr>
          <w:rStyle w:val="hps"/>
        </w:rPr>
        <w:t>total amount of</w:t>
      </w:r>
      <w:r w:rsidRPr="008340BB">
        <w:t xml:space="preserve"> </w:t>
      </w:r>
      <w:r w:rsidRPr="008340BB">
        <w:rPr>
          <w:rStyle w:val="hps"/>
        </w:rPr>
        <w:t>grant funding</w:t>
      </w:r>
      <w:r w:rsidRPr="008340BB">
        <w:t xml:space="preserve"> </w:t>
      </w:r>
      <w:r w:rsidRPr="008340BB">
        <w:rPr>
          <w:rStyle w:val="hps"/>
        </w:rPr>
        <w:t>(w/o</w:t>
      </w:r>
      <w:r w:rsidRPr="008340BB">
        <w:t xml:space="preserve"> </w:t>
      </w:r>
      <w:r w:rsidRPr="008340BB">
        <w:rPr>
          <w:rStyle w:val="hps"/>
        </w:rPr>
        <w:t>performance reserve</w:t>
      </w:r>
      <w:r w:rsidRPr="008340BB">
        <w:t xml:space="preserve">) </w:t>
      </w:r>
      <w:r w:rsidRPr="008340BB">
        <w:rPr>
          <w:rStyle w:val="hps"/>
        </w:rPr>
        <w:t>and the past experience</w:t>
      </w:r>
      <w:r w:rsidRPr="008340BB">
        <w:t xml:space="preserve"> </w:t>
      </w:r>
      <w:r w:rsidRPr="008340BB">
        <w:rPr>
          <w:rStyle w:val="hps"/>
        </w:rPr>
        <w:t>of the implementation</w:t>
      </w:r>
      <w:r w:rsidRPr="008340BB">
        <w:t xml:space="preserve"> </w:t>
      </w:r>
      <w:r w:rsidRPr="008340BB">
        <w:rPr>
          <w:rStyle w:val="hps"/>
        </w:rPr>
        <w:t>of the OPT</w:t>
      </w:r>
      <w:r w:rsidRPr="008340BB">
        <w:t xml:space="preserve">, i.e. by </w:t>
      </w:r>
      <w:r w:rsidRPr="008340BB">
        <w:rPr>
          <w:rStyle w:val="hps"/>
        </w:rPr>
        <w:t>2018</w:t>
      </w:r>
      <w:r w:rsidRPr="008340BB">
        <w:t xml:space="preserve"> </w:t>
      </w:r>
      <w:r w:rsidRPr="008340BB">
        <w:rPr>
          <w:rStyle w:val="hps"/>
        </w:rPr>
        <w:t>to</w:t>
      </w:r>
      <w:r w:rsidRPr="008340BB">
        <w:t xml:space="preserve"> </w:t>
      </w:r>
      <w:r w:rsidRPr="008340BB">
        <w:rPr>
          <w:rStyle w:val="hps"/>
        </w:rPr>
        <w:t>be concluded</w:t>
      </w:r>
      <w:r w:rsidRPr="008340BB">
        <w:t xml:space="preserve"> </w:t>
      </w:r>
      <w:r w:rsidRPr="008340BB">
        <w:rPr>
          <w:rStyle w:val="hps"/>
        </w:rPr>
        <w:t>60% of</w:t>
      </w:r>
      <w:r w:rsidRPr="008340BB">
        <w:t xml:space="preserve"> </w:t>
      </w:r>
      <w:r w:rsidRPr="008340BB">
        <w:rPr>
          <w:rStyle w:val="hps"/>
        </w:rPr>
        <w:t>contracts</w:t>
      </w:r>
      <w:r w:rsidRPr="008340BB">
        <w:t xml:space="preserve"> </w:t>
      </w:r>
      <w:r w:rsidRPr="008340BB">
        <w:rPr>
          <w:rStyle w:val="hps"/>
        </w:rPr>
        <w:t>for programme</w:t>
      </w:r>
      <w:r w:rsidRPr="008340BB">
        <w:t xml:space="preserve"> </w:t>
      </w:r>
      <w:r w:rsidRPr="008340BB">
        <w:rPr>
          <w:rStyle w:val="hps"/>
        </w:rPr>
        <w:t>implementation.</w:t>
      </w:r>
    </w:p>
    <w:p w14:paraId="7AAADC91" w14:textId="77777777" w:rsidR="00F1341F" w:rsidRPr="008340BB" w:rsidRDefault="00F1341F" w:rsidP="00F03C1E">
      <w:pPr>
        <w:suppressAutoHyphens/>
      </w:pPr>
      <w:r w:rsidRPr="008340BB">
        <w:t xml:space="preserve">Additional qualitative information on the establishment of the performance framework </w:t>
      </w:r>
    </w:p>
    <w:p w14:paraId="07DCA7C8" w14:textId="77777777" w:rsidR="00F1341F" w:rsidRPr="008340BB" w:rsidRDefault="00F1341F" w:rsidP="00F03C1E">
      <w:pPr>
        <w:suppressAutoHyphens/>
        <w:rPr>
          <w:b/>
        </w:rPr>
      </w:pPr>
      <w:r w:rsidRPr="008340BB">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7"/>
      </w:tblGrid>
      <w:tr w:rsidR="00F1341F" w:rsidRPr="008340BB" w14:paraId="7B768717" w14:textId="77777777" w:rsidTr="00F03C1E">
        <w:trPr>
          <w:trHeight w:val="678"/>
        </w:trPr>
        <w:tc>
          <w:tcPr>
            <w:tcW w:w="14567" w:type="dxa"/>
          </w:tcPr>
          <w:p w14:paraId="371D55EF" w14:textId="77777777" w:rsidR="00F1341F" w:rsidRPr="008340BB" w:rsidRDefault="00F1341F" w:rsidP="00F03C1E">
            <w:pPr>
              <w:pStyle w:val="Text1"/>
              <w:ind w:left="0"/>
              <w:rPr>
                <w:i/>
                <w:color w:val="8DB3E2"/>
                <w:sz w:val="18"/>
                <w:szCs w:val="18"/>
                <w:lang w:val="en-GB" w:eastAsia="en-GB"/>
              </w:rPr>
            </w:pPr>
            <w:r w:rsidRPr="008340BB">
              <w:rPr>
                <w:sz w:val="24"/>
                <w:szCs w:val="24"/>
                <w:lang w:val="en-GB" w:eastAsia="en-GB"/>
              </w:rPr>
              <w:t xml:space="preserve">Investment priorities will be implemented through the provision of grants. </w:t>
            </w:r>
          </w:p>
        </w:tc>
      </w:tr>
    </w:tbl>
    <w:p w14:paraId="0D297252" w14:textId="77777777" w:rsidR="00F1341F" w:rsidRPr="008340BB" w:rsidRDefault="00F1341F" w:rsidP="00F03C1E">
      <w:pPr>
        <w:suppressAutoHyphens/>
        <w:rPr>
          <w:b/>
        </w:rPr>
      </w:pPr>
    </w:p>
    <w:p w14:paraId="0A137C19" w14:textId="77777777" w:rsidR="00F1341F" w:rsidRPr="008340BB" w:rsidRDefault="00F1341F" w:rsidP="00F03C1E">
      <w:pPr>
        <w:suppressAutoHyphens/>
        <w:rPr>
          <w:b/>
        </w:rPr>
        <w:sectPr w:rsidR="00F1341F" w:rsidRPr="008340BB" w:rsidSect="001E1D6F">
          <w:headerReference w:type="default" r:id="rId25"/>
          <w:footerReference w:type="default" r:id="rId26"/>
          <w:headerReference w:type="first" r:id="rId27"/>
          <w:footerReference w:type="first" r:id="rId28"/>
          <w:pgSz w:w="16838" w:h="11906" w:orient="landscape"/>
          <w:pgMar w:top="1418" w:right="1021" w:bottom="1418" w:left="1021" w:header="601" w:footer="1077" w:gutter="0"/>
          <w:cols w:space="708"/>
          <w:docGrid w:linePitch="326"/>
        </w:sectPr>
      </w:pPr>
    </w:p>
    <w:p w14:paraId="288C896D" w14:textId="77777777" w:rsidR="00F1341F" w:rsidRPr="008340BB" w:rsidRDefault="00F1341F" w:rsidP="00BF3391">
      <w:pPr>
        <w:suppressAutoHyphens/>
        <w:ind w:left="1418" w:hanging="1418"/>
        <w:rPr>
          <w:b/>
        </w:rPr>
      </w:pPr>
      <w:r w:rsidRPr="008340BB">
        <w:rPr>
          <w:b/>
        </w:rPr>
        <w:lastRenderedPageBreak/>
        <w:t xml:space="preserve">2.A.1.8 </w:t>
      </w:r>
      <w:r w:rsidRPr="008340BB">
        <w:rPr>
          <w:b/>
        </w:rPr>
        <w:tab/>
        <w:t xml:space="preserve">Categories of intervention </w:t>
      </w:r>
    </w:p>
    <w:p w14:paraId="3280D2DF" w14:textId="77777777" w:rsidR="00F1341F" w:rsidRPr="008340BB" w:rsidRDefault="00F1341F" w:rsidP="00BF3391">
      <w:pPr>
        <w:suppressAutoHyphens/>
        <w:ind w:left="1418" w:hanging="1418"/>
      </w:pPr>
      <w:r w:rsidRPr="008340BB">
        <w:t>(Reference: point (b)(vi) of Article 96(2) of Regulation (EU) No 1303/2013)</w:t>
      </w:r>
    </w:p>
    <w:p w14:paraId="1326784D" w14:textId="77777777" w:rsidR="00F1341F" w:rsidRPr="008340BB" w:rsidRDefault="00F1341F" w:rsidP="00F03C1E">
      <w:pPr>
        <w:suppressAutoHyphens/>
        <w:rPr>
          <w:szCs w:val="24"/>
        </w:rPr>
      </w:pPr>
      <w:r w:rsidRPr="008340BB">
        <w:t xml:space="preserve">Categories of intervention corresponding to the content of the priority axis based on a nomenclature adopted by the Commission, and indicative breakdown of </w:t>
      </w:r>
      <w:r w:rsidRPr="008340BB">
        <w:rPr>
          <w:szCs w:val="24"/>
        </w:rPr>
        <w:t>Union support.</w:t>
      </w:r>
    </w:p>
    <w:p w14:paraId="45E1D9CB" w14:textId="77777777" w:rsidR="00F1341F" w:rsidRPr="008340BB" w:rsidRDefault="00F1341F" w:rsidP="00BF3391">
      <w:pPr>
        <w:suppressAutoHyphens/>
        <w:ind w:left="1418" w:hanging="1418"/>
        <w:rPr>
          <w:b/>
          <w:szCs w:val="24"/>
        </w:rPr>
      </w:pPr>
      <w:r w:rsidRPr="008340BB">
        <w:rPr>
          <w:b/>
          <w:szCs w:val="24"/>
        </w:rPr>
        <w:t xml:space="preserve">Tables 7-11: </w:t>
      </w:r>
      <w:r w:rsidRPr="008340BB">
        <w:rPr>
          <w:b/>
          <w:szCs w:val="24"/>
        </w:rPr>
        <w:tab/>
        <w:t>Categories of intervention</w:t>
      </w:r>
      <w:r w:rsidRPr="008340BB">
        <w:rPr>
          <w:rStyle w:val="FootnoteReference"/>
          <w:b/>
          <w:szCs w:val="24"/>
        </w:rPr>
        <w:footnoteReference w:id="26"/>
      </w:r>
      <w:r w:rsidRPr="008340BB">
        <w:rPr>
          <w:b/>
          <w:szCs w:val="24"/>
        </w:rPr>
        <w:t xml:space="preserve"> </w:t>
      </w:r>
    </w:p>
    <w:p w14:paraId="046D26F4" w14:textId="77777777" w:rsidR="00F1341F" w:rsidRPr="0067246B" w:rsidRDefault="00F1341F" w:rsidP="00BF3391">
      <w:pPr>
        <w:suppressAutoHyphens/>
        <w:ind w:left="1418" w:hanging="1418"/>
        <w:rPr>
          <w:szCs w:val="24"/>
        </w:rPr>
      </w:pPr>
      <w:r w:rsidRPr="0067246B">
        <w:rPr>
          <w:szCs w:val="24"/>
        </w:rPr>
        <w:t xml:space="preserve">(by Fund and category of region, if the priority axis covers more than 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336B6A9C" w14:textId="77777777" w:rsidTr="00F03C1E">
        <w:trPr>
          <w:trHeight w:val="364"/>
        </w:trPr>
        <w:tc>
          <w:tcPr>
            <w:tcW w:w="8472" w:type="dxa"/>
            <w:gridSpan w:val="4"/>
          </w:tcPr>
          <w:p w14:paraId="6A7C08D3" w14:textId="77777777" w:rsidR="00F1341F" w:rsidRPr="00020ADD" w:rsidRDefault="00F1341F" w:rsidP="00F03C1E">
            <w:pPr>
              <w:autoSpaceDE w:val="0"/>
              <w:autoSpaceDN w:val="0"/>
              <w:adjustRightInd w:val="0"/>
              <w:spacing w:after="0"/>
              <w:jc w:val="left"/>
              <w:rPr>
                <w:rFonts w:ascii="TimesNewRoman" w:cs="TimesNewRoman"/>
                <w:b/>
                <w:color w:val="000000"/>
                <w:sz w:val="20"/>
              </w:rPr>
            </w:pPr>
            <w:r w:rsidRPr="00020ADD">
              <w:rPr>
                <w:rFonts w:ascii="TimesNewRoman,Bold" w:hAnsi="TimesNewRoman,Bold" w:cs="TimesNewRoman,Bold"/>
                <w:b/>
                <w:bCs/>
                <w:color w:val="000000"/>
                <w:sz w:val="20"/>
              </w:rPr>
              <w:t>Table 7: Dimension 1 – Intervention field</w:t>
            </w:r>
          </w:p>
        </w:tc>
      </w:tr>
      <w:tr w:rsidR="00F1341F" w:rsidRPr="008340BB" w14:paraId="67C0D96F" w14:textId="77777777" w:rsidTr="00F03C1E">
        <w:trPr>
          <w:trHeight w:val="364"/>
        </w:trPr>
        <w:tc>
          <w:tcPr>
            <w:tcW w:w="2802" w:type="dxa"/>
            <w:gridSpan w:val="2"/>
          </w:tcPr>
          <w:p w14:paraId="3AE5A1FD" w14:textId="77777777" w:rsidR="00F1341F" w:rsidRPr="008340BB" w:rsidRDefault="00F1341F" w:rsidP="00F03C1E">
            <w:pPr>
              <w:autoSpaceDE w:val="0"/>
              <w:autoSpaceDN w:val="0"/>
              <w:adjustRightInd w:val="0"/>
              <w:spacing w:after="0"/>
              <w:jc w:val="left"/>
              <w:rPr>
                <w:bCs/>
                <w:sz w:val="20"/>
              </w:rPr>
            </w:pPr>
            <w:r w:rsidRPr="008340BB">
              <w:rPr>
                <w:b/>
                <w:sz w:val="20"/>
              </w:rPr>
              <w:t>Priority axis</w:t>
            </w:r>
            <w:r w:rsidRPr="008340BB" w:rsidDel="00293069">
              <w:rPr>
                <w:bCs/>
                <w:sz w:val="20"/>
              </w:rPr>
              <w:t xml:space="preserve"> </w:t>
            </w:r>
          </w:p>
        </w:tc>
        <w:tc>
          <w:tcPr>
            <w:tcW w:w="5670" w:type="dxa"/>
            <w:gridSpan w:val="2"/>
          </w:tcPr>
          <w:p w14:paraId="16842D0C" w14:textId="226B92D3" w:rsidR="00F1341F" w:rsidRPr="008340BB" w:rsidRDefault="00F1341F" w:rsidP="00DE3E40">
            <w:pPr>
              <w:autoSpaceDE w:val="0"/>
              <w:autoSpaceDN w:val="0"/>
              <w:adjustRightInd w:val="0"/>
              <w:spacing w:after="0"/>
              <w:rPr>
                <w:bCs/>
                <w:sz w:val="20"/>
              </w:rPr>
            </w:pPr>
            <w:r w:rsidRPr="008340BB">
              <w:rPr>
                <w:sz w:val="20"/>
              </w:rPr>
              <w:t xml:space="preserve">Development of railway infrastructure along the “core” </w:t>
            </w:r>
            <w:r w:rsidR="001F1621">
              <w:rPr>
                <w:sz w:val="20"/>
              </w:rPr>
              <w:t xml:space="preserve">and “comprehensive” </w:t>
            </w:r>
            <w:r w:rsidR="00BE1286">
              <w:rPr>
                <w:sz w:val="20"/>
              </w:rPr>
              <w:t>TEN-T</w:t>
            </w:r>
          </w:p>
        </w:tc>
      </w:tr>
      <w:tr w:rsidR="00F1341F" w:rsidRPr="008340BB" w14:paraId="730E5C43" w14:textId="77777777" w:rsidTr="00D30B7A">
        <w:trPr>
          <w:trHeight w:val="267"/>
        </w:trPr>
        <w:tc>
          <w:tcPr>
            <w:tcW w:w="1401" w:type="dxa"/>
          </w:tcPr>
          <w:p w14:paraId="6C625A61" w14:textId="77777777" w:rsidR="00F1341F" w:rsidRPr="008340BB" w:rsidRDefault="00F1341F" w:rsidP="00F03C1E">
            <w:pPr>
              <w:jc w:val="center"/>
              <w:rPr>
                <w:b/>
                <w:sz w:val="18"/>
                <w:szCs w:val="18"/>
              </w:rPr>
            </w:pPr>
            <w:r w:rsidRPr="008340BB">
              <w:rPr>
                <w:b/>
                <w:sz w:val="18"/>
                <w:szCs w:val="18"/>
              </w:rPr>
              <w:t>Fund</w:t>
            </w:r>
          </w:p>
        </w:tc>
        <w:tc>
          <w:tcPr>
            <w:tcW w:w="1401" w:type="dxa"/>
          </w:tcPr>
          <w:p w14:paraId="14321A07" w14:textId="77777777" w:rsidR="00F1341F" w:rsidRPr="008340BB" w:rsidRDefault="00F1341F" w:rsidP="00F03C1E">
            <w:pPr>
              <w:jc w:val="center"/>
              <w:rPr>
                <w:b/>
                <w:sz w:val="18"/>
                <w:szCs w:val="18"/>
              </w:rPr>
            </w:pPr>
            <w:r w:rsidRPr="008340BB">
              <w:rPr>
                <w:b/>
                <w:bCs/>
                <w:sz w:val="20"/>
              </w:rPr>
              <w:t>Category of region</w:t>
            </w:r>
          </w:p>
        </w:tc>
        <w:tc>
          <w:tcPr>
            <w:tcW w:w="2693" w:type="dxa"/>
          </w:tcPr>
          <w:p w14:paraId="611D297A" w14:textId="77777777" w:rsidR="00F1341F" w:rsidRPr="008340BB" w:rsidRDefault="00F1341F" w:rsidP="00F03C1E">
            <w:pPr>
              <w:jc w:val="center"/>
              <w:rPr>
                <w:sz w:val="20"/>
              </w:rPr>
            </w:pPr>
            <w:r w:rsidRPr="008340BB">
              <w:rPr>
                <w:b/>
                <w:sz w:val="18"/>
                <w:szCs w:val="18"/>
              </w:rPr>
              <w:t>Code</w:t>
            </w:r>
          </w:p>
        </w:tc>
        <w:tc>
          <w:tcPr>
            <w:tcW w:w="2977" w:type="dxa"/>
          </w:tcPr>
          <w:p w14:paraId="36CD0A3B" w14:textId="77777777" w:rsidR="00F1341F" w:rsidRPr="008340BB" w:rsidRDefault="00F1341F" w:rsidP="003D53BD">
            <w:pPr>
              <w:jc w:val="center"/>
              <w:rPr>
                <w:sz w:val="20"/>
              </w:rPr>
            </w:pPr>
            <w:r w:rsidRPr="008340BB">
              <w:rPr>
                <w:b/>
                <w:sz w:val="18"/>
                <w:szCs w:val="18"/>
              </w:rPr>
              <w:t>Amount (EUR)</w:t>
            </w:r>
          </w:p>
        </w:tc>
      </w:tr>
      <w:tr w:rsidR="00F1341F" w:rsidRPr="00DD7B5D" w14:paraId="3CE831BB" w14:textId="77777777" w:rsidTr="00D30B7A">
        <w:tc>
          <w:tcPr>
            <w:tcW w:w="1401" w:type="dxa"/>
          </w:tcPr>
          <w:p w14:paraId="08F66696" w14:textId="77777777" w:rsidR="00F1341F" w:rsidRPr="00DD7B5D" w:rsidRDefault="00F1341F" w:rsidP="00F03C1E">
            <w:pPr>
              <w:pStyle w:val="Text1"/>
              <w:ind w:left="0"/>
              <w:jc w:val="left"/>
              <w:rPr>
                <w:sz w:val="18"/>
                <w:szCs w:val="18"/>
                <w:lang w:val="en-GB" w:eastAsia="en-GB"/>
              </w:rPr>
            </w:pPr>
            <w:r w:rsidRPr="00DD7B5D">
              <w:rPr>
                <w:sz w:val="18"/>
                <w:szCs w:val="18"/>
                <w:lang w:val="en-GB" w:eastAsia="en-GB"/>
              </w:rPr>
              <w:t>CF</w:t>
            </w:r>
          </w:p>
        </w:tc>
        <w:tc>
          <w:tcPr>
            <w:tcW w:w="1401" w:type="dxa"/>
          </w:tcPr>
          <w:p w14:paraId="6FCA3FDD" w14:textId="77777777" w:rsidR="00F1341F" w:rsidRPr="00DD7B5D" w:rsidRDefault="00F1341F" w:rsidP="00F03C1E">
            <w:pPr>
              <w:pStyle w:val="Text1"/>
              <w:ind w:left="0"/>
              <w:jc w:val="left"/>
              <w:rPr>
                <w:sz w:val="18"/>
                <w:szCs w:val="18"/>
                <w:lang w:val="en-GB" w:eastAsia="en-GB"/>
              </w:rPr>
            </w:pPr>
            <w:r w:rsidRPr="00DD7B5D">
              <w:rPr>
                <w:sz w:val="18"/>
                <w:szCs w:val="18"/>
                <w:lang w:val="en-GB" w:eastAsia="en-GB"/>
              </w:rPr>
              <w:t>N/A</w:t>
            </w:r>
          </w:p>
        </w:tc>
        <w:tc>
          <w:tcPr>
            <w:tcW w:w="2693" w:type="dxa"/>
          </w:tcPr>
          <w:p w14:paraId="3D00E40B" w14:textId="77777777" w:rsidR="00F1341F" w:rsidRPr="00DD7B5D" w:rsidRDefault="00F1341F" w:rsidP="00F03C1E">
            <w:pPr>
              <w:pStyle w:val="Text1"/>
              <w:ind w:left="0"/>
              <w:jc w:val="left"/>
              <w:rPr>
                <w:sz w:val="18"/>
                <w:szCs w:val="18"/>
                <w:lang w:val="en-GB" w:eastAsia="en-GB"/>
              </w:rPr>
            </w:pPr>
            <w:r w:rsidRPr="00DD7B5D">
              <w:rPr>
                <w:sz w:val="18"/>
                <w:szCs w:val="18"/>
                <w:lang w:val="en-GB" w:eastAsia="en-GB"/>
              </w:rPr>
              <w:t>024 Railways (TEN-T Core)</w:t>
            </w:r>
          </w:p>
        </w:tc>
        <w:tc>
          <w:tcPr>
            <w:tcW w:w="2977" w:type="dxa"/>
          </w:tcPr>
          <w:p w14:paraId="7DC70E7F" w14:textId="3F3DD5A7" w:rsidR="009C0360" w:rsidRPr="00DD7B5D" w:rsidRDefault="009C0360" w:rsidP="009C0360">
            <w:pPr>
              <w:pStyle w:val="Text1"/>
              <w:ind w:left="-79" w:firstLine="79"/>
              <w:jc w:val="left"/>
              <w:rPr>
                <w:sz w:val="18"/>
                <w:szCs w:val="18"/>
                <w:lang w:val="en-US"/>
              </w:rPr>
            </w:pPr>
            <w:r w:rsidRPr="00DD7B5D">
              <w:rPr>
                <w:sz w:val="18"/>
                <w:szCs w:val="18"/>
                <w:lang w:val="en-US"/>
              </w:rPr>
              <w:t>420 354 023,00</w:t>
            </w:r>
          </w:p>
          <w:p w14:paraId="423A4840" w14:textId="77777777" w:rsidR="009C0360" w:rsidRPr="00DD7B5D" w:rsidRDefault="009C0360" w:rsidP="009C0360">
            <w:pPr>
              <w:pStyle w:val="Text1"/>
              <w:ind w:left="-79" w:firstLine="79"/>
              <w:jc w:val="left"/>
              <w:rPr>
                <w:sz w:val="18"/>
                <w:szCs w:val="18"/>
                <w:lang w:val="en-US"/>
              </w:rPr>
            </w:pPr>
          </w:p>
          <w:p w14:paraId="69CFCB2C" w14:textId="248F3A06" w:rsidR="00617F57" w:rsidRPr="00DD7B5D" w:rsidRDefault="00617F57" w:rsidP="00617F57">
            <w:pPr>
              <w:pStyle w:val="Text1"/>
              <w:ind w:left="-79" w:firstLine="79"/>
              <w:jc w:val="left"/>
              <w:rPr>
                <w:sz w:val="18"/>
                <w:szCs w:val="18"/>
              </w:rPr>
            </w:pPr>
          </w:p>
          <w:p w14:paraId="0512E6C2" w14:textId="25B1B732" w:rsidR="00D60979" w:rsidRPr="00DD7B5D" w:rsidRDefault="00D60979" w:rsidP="00D60979">
            <w:pPr>
              <w:pStyle w:val="Text1"/>
              <w:ind w:left="-79" w:firstLine="79"/>
              <w:jc w:val="left"/>
              <w:rPr>
                <w:sz w:val="18"/>
                <w:szCs w:val="18"/>
              </w:rPr>
            </w:pPr>
          </w:p>
          <w:p w14:paraId="66393D0E" w14:textId="683399AD" w:rsidR="00F1341F" w:rsidRPr="00DD7B5D" w:rsidRDefault="003A18B1" w:rsidP="003D7C2A">
            <w:pPr>
              <w:pStyle w:val="Text1"/>
              <w:ind w:left="0"/>
              <w:jc w:val="left"/>
              <w:rPr>
                <w:sz w:val="18"/>
                <w:szCs w:val="18"/>
                <w:lang w:val="en-GB" w:eastAsia="en-GB"/>
              </w:rPr>
            </w:pPr>
            <w:r w:rsidRPr="00DD7B5D">
              <w:rPr>
                <w:sz w:val="18"/>
                <w:szCs w:val="18"/>
                <w:lang w:eastAsia="en-GB"/>
              </w:rPr>
              <w:t xml:space="preserve"> </w:t>
            </w:r>
            <w:r w:rsidR="005B1712" w:rsidRPr="00DD7B5D">
              <w:rPr>
                <w:sz w:val="18"/>
                <w:szCs w:val="18"/>
                <w:lang w:val="en-GB" w:eastAsia="en-GB"/>
              </w:rPr>
              <w:t xml:space="preserve">  </w:t>
            </w:r>
          </w:p>
        </w:tc>
      </w:tr>
      <w:tr w:rsidR="004E444C" w:rsidRPr="00DD7B5D" w14:paraId="20A2033C" w14:textId="77777777" w:rsidTr="00D30B7A">
        <w:tc>
          <w:tcPr>
            <w:tcW w:w="1401" w:type="dxa"/>
          </w:tcPr>
          <w:p w14:paraId="611E5287" w14:textId="335C2E9A" w:rsidR="004E444C" w:rsidRPr="00DD7B5D" w:rsidRDefault="004E444C" w:rsidP="004E444C">
            <w:pPr>
              <w:pStyle w:val="Text1"/>
              <w:ind w:left="0"/>
              <w:jc w:val="left"/>
              <w:rPr>
                <w:sz w:val="18"/>
                <w:szCs w:val="18"/>
                <w:lang w:val="en-GB" w:eastAsia="en-GB"/>
              </w:rPr>
            </w:pPr>
            <w:r w:rsidRPr="00DD7B5D">
              <w:rPr>
                <w:sz w:val="18"/>
                <w:szCs w:val="18"/>
                <w:lang w:val="en-GB" w:eastAsia="en-GB"/>
              </w:rPr>
              <w:t>CF</w:t>
            </w:r>
          </w:p>
        </w:tc>
        <w:tc>
          <w:tcPr>
            <w:tcW w:w="1401" w:type="dxa"/>
          </w:tcPr>
          <w:p w14:paraId="6350EF97" w14:textId="7274A0C9" w:rsidR="004E444C" w:rsidRPr="00DD7B5D" w:rsidRDefault="004E444C" w:rsidP="004E444C">
            <w:pPr>
              <w:pStyle w:val="Text1"/>
              <w:ind w:left="0"/>
              <w:jc w:val="left"/>
              <w:rPr>
                <w:sz w:val="18"/>
                <w:szCs w:val="18"/>
                <w:lang w:val="en-GB" w:eastAsia="en-GB"/>
              </w:rPr>
            </w:pPr>
            <w:r w:rsidRPr="00DD7B5D">
              <w:rPr>
                <w:sz w:val="18"/>
                <w:szCs w:val="18"/>
                <w:lang w:val="en-GB" w:eastAsia="en-GB"/>
              </w:rPr>
              <w:t>N/A</w:t>
            </w:r>
          </w:p>
        </w:tc>
        <w:tc>
          <w:tcPr>
            <w:tcW w:w="2693" w:type="dxa"/>
          </w:tcPr>
          <w:p w14:paraId="330458EF" w14:textId="11988A09" w:rsidR="004E444C" w:rsidRPr="00DD7B5D" w:rsidRDefault="001E6D72" w:rsidP="001E6D72">
            <w:pPr>
              <w:pStyle w:val="Text1"/>
              <w:ind w:left="0"/>
              <w:rPr>
                <w:sz w:val="18"/>
                <w:szCs w:val="18"/>
                <w:lang w:val="en-GB" w:eastAsia="en-GB"/>
              </w:rPr>
            </w:pPr>
            <w:r w:rsidRPr="00DD7B5D">
              <w:rPr>
                <w:sz w:val="18"/>
                <w:szCs w:val="18"/>
                <w:lang w:val="en-GB" w:eastAsia="en-GB"/>
              </w:rPr>
              <w:t>Clean urban transport infrastructure and promotion (including equipment and rolling stock)</w:t>
            </w:r>
          </w:p>
        </w:tc>
        <w:tc>
          <w:tcPr>
            <w:tcW w:w="2977" w:type="dxa"/>
          </w:tcPr>
          <w:p w14:paraId="70B2C0AD" w14:textId="6E73BDEF" w:rsidR="00540B57" w:rsidRPr="00DD7B5D" w:rsidRDefault="00540B57" w:rsidP="00540B57">
            <w:pPr>
              <w:pStyle w:val="Text1"/>
              <w:ind w:left="-79" w:firstLine="79"/>
              <w:jc w:val="left"/>
              <w:rPr>
                <w:sz w:val="18"/>
                <w:szCs w:val="18"/>
                <w:lang w:val="x-none"/>
              </w:rPr>
            </w:pPr>
            <w:r w:rsidRPr="00DD7B5D">
              <w:rPr>
                <w:sz w:val="18"/>
                <w:szCs w:val="18"/>
                <w:lang w:val="x-none"/>
              </w:rPr>
              <w:t>60 000 000,00</w:t>
            </w:r>
          </w:p>
          <w:p w14:paraId="694A5C34" w14:textId="77777777" w:rsidR="00540B57" w:rsidRPr="00DD7B5D" w:rsidRDefault="00540B57" w:rsidP="00540B57">
            <w:pPr>
              <w:pStyle w:val="Text1"/>
              <w:ind w:left="-79" w:firstLine="79"/>
              <w:jc w:val="left"/>
              <w:rPr>
                <w:sz w:val="18"/>
                <w:szCs w:val="18"/>
                <w:lang w:val="x-none"/>
              </w:rPr>
            </w:pPr>
          </w:p>
          <w:p w14:paraId="59BFF83D" w14:textId="4E68E370" w:rsidR="004E444C" w:rsidRPr="00DD7B5D" w:rsidRDefault="004E444C" w:rsidP="004E444C">
            <w:pPr>
              <w:pStyle w:val="Text1"/>
              <w:ind w:left="-79" w:firstLine="79"/>
              <w:jc w:val="left"/>
              <w:rPr>
                <w:sz w:val="18"/>
                <w:szCs w:val="18"/>
              </w:rPr>
            </w:pPr>
          </w:p>
          <w:p w14:paraId="48D4A3F0" w14:textId="77777777" w:rsidR="004E444C" w:rsidRPr="00DD7B5D" w:rsidRDefault="004E444C" w:rsidP="004E444C">
            <w:pPr>
              <w:pStyle w:val="Text1"/>
              <w:ind w:left="-79" w:firstLine="79"/>
              <w:jc w:val="left"/>
              <w:rPr>
                <w:sz w:val="18"/>
                <w:szCs w:val="18"/>
              </w:rPr>
            </w:pPr>
          </w:p>
        </w:tc>
      </w:tr>
    </w:tbl>
    <w:p w14:paraId="32C89F23" w14:textId="77777777" w:rsidR="00F1341F" w:rsidRPr="00DD7B5D" w:rsidRDefault="00F1341F" w:rsidP="00F03C1E">
      <w:pPr>
        <w:suppressAutoHyphens/>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DD7B5D" w14:paraId="3C9D1A3C" w14:textId="77777777" w:rsidTr="00F03C1E">
        <w:trPr>
          <w:trHeight w:val="364"/>
        </w:trPr>
        <w:tc>
          <w:tcPr>
            <w:tcW w:w="8472" w:type="dxa"/>
            <w:gridSpan w:val="4"/>
          </w:tcPr>
          <w:p w14:paraId="558DD123" w14:textId="77777777" w:rsidR="00F1341F" w:rsidRPr="00DD7B5D" w:rsidRDefault="00F1341F" w:rsidP="00F03C1E">
            <w:pPr>
              <w:autoSpaceDE w:val="0"/>
              <w:autoSpaceDN w:val="0"/>
              <w:adjustRightInd w:val="0"/>
              <w:spacing w:after="0"/>
              <w:jc w:val="left"/>
              <w:rPr>
                <w:rFonts w:ascii="TimesNewRoman" w:cs="TimesNewRoman"/>
                <w:b/>
                <w:color w:val="000000"/>
                <w:sz w:val="20"/>
              </w:rPr>
            </w:pPr>
            <w:r w:rsidRPr="00DD7B5D">
              <w:rPr>
                <w:rFonts w:ascii="TimesNewRoman,Bold" w:hAnsi="TimesNewRoman,Bold" w:cs="TimesNewRoman,Bold"/>
                <w:b/>
                <w:bCs/>
                <w:color w:val="000000"/>
                <w:sz w:val="20"/>
              </w:rPr>
              <w:t>Table 8: Dimension 2 – Form of finance</w:t>
            </w:r>
          </w:p>
        </w:tc>
      </w:tr>
      <w:tr w:rsidR="00F1341F" w:rsidRPr="00DD7B5D" w14:paraId="7BE5BF69" w14:textId="77777777" w:rsidTr="00F03C1E">
        <w:trPr>
          <w:trHeight w:val="364"/>
        </w:trPr>
        <w:tc>
          <w:tcPr>
            <w:tcW w:w="2802" w:type="dxa"/>
            <w:gridSpan w:val="2"/>
          </w:tcPr>
          <w:p w14:paraId="72044690" w14:textId="77777777" w:rsidR="00F1341F" w:rsidRPr="00DD7B5D" w:rsidRDefault="00F1341F" w:rsidP="00F03C1E">
            <w:pPr>
              <w:autoSpaceDE w:val="0"/>
              <w:autoSpaceDN w:val="0"/>
              <w:adjustRightInd w:val="0"/>
              <w:spacing w:after="0"/>
              <w:jc w:val="left"/>
              <w:rPr>
                <w:bCs/>
                <w:sz w:val="20"/>
              </w:rPr>
            </w:pPr>
            <w:r w:rsidRPr="00DD7B5D">
              <w:rPr>
                <w:b/>
                <w:sz w:val="20"/>
              </w:rPr>
              <w:t>Priority axis</w:t>
            </w:r>
            <w:r w:rsidRPr="00DD7B5D" w:rsidDel="00293069">
              <w:rPr>
                <w:bCs/>
                <w:sz w:val="20"/>
              </w:rPr>
              <w:t xml:space="preserve"> </w:t>
            </w:r>
          </w:p>
        </w:tc>
        <w:tc>
          <w:tcPr>
            <w:tcW w:w="5670" w:type="dxa"/>
            <w:gridSpan w:val="2"/>
          </w:tcPr>
          <w:p w14:paraId="2913E931" w14:textId="09095A9B" w:rsidR="00F1341F" w:rsidRPr="00DD7B5D" w:rsidRDefault="00F1341F" w:rsidP="00DE3E40">
            <w:pPr>
              <w:autoSpaceDE w:val="0"/>
              <w:autoSpaceDN w:val="0"/>
              <w:adjustRightInd w:val="0"/>
              <w:spacing w:after="0"/>
              <w:rPr>
                <w:bCs/>
                <w:sz w:val="20"/>
              </w:rPr>
            </w:pPr>
            <w:r w:rsidRPr="00DD7B5D">
              <w:rPr>
                <w:sz w:val="20"/>
              </w:rPr>
              <w:t>Development of railway infrastructure along the “core”</w:t>
            </w:r>
            <w:r w:rsidR="001F1621" w:rsidRPr="00DD7B5D">
              <w:rPr>
                <w:sz w:val="20"/>
              </w:rPr>
              <w:t xml:space="preserve"> and “comprehensive” </w:t>
            </w:r>
            <w:r w:rsidR="00BE1286" w:rsidRPr="00DD7B5D">
              <w:rPr>
                <w:sz w:val="20"/>
              </w:rPr>
              <w:t>TEN-T</w:t>
            </w:r>
          </w:p>
        </w:tc>
      </w:tr>
      <w:tr w:rsidR="00F1341F" w:rsidRPr="00DD7B5D" w14:paraId="366715E9" w14:textId="77777777" w:rsidTr="00D30B7A">
        <w:trPr>
          <w:trHeight w:val="267"/>
        </w:trPr>
        <w:tc>
          <w:tcPr>
            <w:tcW w:w="1401" w:type="dxa"/>
          </w:tcPr>
          <w:p w14:paraId="37ED0B58" w14:textId="77777777" w:rsidR="00F1341F" w:rsidRPr="00DD7B5D" w:rsidRDefault="00F1341F" w:rsidP="00F03C1E">
            <w:pPr>
              <w:jc w:val="center"/>
              <w:rPr>
                <w:b/>
                <w:sz w:val="18"/>
                <w:szCs w:val="18"/>
              </w:rPr>
            </w:pPr>
            <w:r w:rsidRPr="00DD7B5D">
              <w:rPr>
                <w:b/>
                <w:sz w:val="18"/>
                <w:szCs w:val="18"/>
              </w:rPr>
              <w:t>Fund</w:t>
            </w:r>
          </w:p>
        </w:tc>
        <w:tc>
          <w:tcPr>
            <w:tcW w:w="1401" w:type="dxa"/>
          </w:tcPr>
          <w:p w14:paraId="1BD8ED89" w14:textId="77777777" w:rsidR="00F1341F" w:rsidRPr="00DD7B5D" w:rsidRDefault="00F1341F" w:rsidP="00F03C1E">
            <w:pPr>
              <w:jc w:val="center"/>
              <w:rPr>
                <w:b/>
                <w:sz w:val="18"/>
                <w:szCs w:val="18"/>
              </w:rPr>
            </w:pPr>
            <w:r w:rsidRPr="00DD7B5D">
              <w:rPr>
                <w:b/>
                <w:bCs/>
                <w:sz w:val="20"/>
              </w:rPr>
              <w:t>Category of region</w:t>
            </w:r>
          </w:p>
        </w:tc>
        <w:tc>
          <w:tcPr>
            <w:tcW w:w="2693" w:type="dxa"/>
          </w:tcPr>
          <w:p w14:paraId="6C1D6DF1" w14:textId="77777777" w:rsidR="00F1341F" w:rsidRPr="00DD7B5D" w:rsidRDefault="00F1341F" w:rsidP="00F03C1E">
            <w:pPr>
              <w:jc w:val="center"/>
              <w:rPr>
                <w:sz w:val="20"/>
              </w:rPr>
            </w:pPr>
            <w:r w:rsidRPr="00DD7B5D">
              <w:rPr>
                <w:b/>
                <w:sz w:val="18"/>
                <w:szCs w:val="18"/>
              </w:rPr>
              <w:t>Code</w:t>
            </w:r>
          </w:p>
        </w:tc>
        <w:tc>
          <w:tcPr>
            <w:tcW w:w="2977" w:type="dxa"/>
          </w:tcPr>
          <w:p w14:paraId="400FBA33" w14:textId="77777777" w:rsidR="00F1341F" w:rsidRPr="00DD7B5D" w:rsidRDefault="00F1341F" w:rsidP="00F03C1E">
            <w:pPr>
              <w:jc w:val="center"/>
              <w:rPr>
                <w:sz w:val="20"/>
              </w:rPr>
            </w:pPr>
            <w:r w:rsidRPr="00DD7B5D">
              <w:rPr>
                <w:b/>
                <w:sz w:val="18"/>
                <w:szCs w:val="18"/>
              </w:rPr>
              <w:t>Amount (EUR)</w:t>
            </w:r>
          </w:p>
        </w:tc>
      </w:tr>
      <w:tr w:rsidR="00F1341F" w:rsidRPr="008340BB" w14:paraId="563E7B1B" w14:textId="77777777" w:rsidTr="00D30B7A">
        <w:tc>
          <w:tcPr>
            <w:tcW w:w="1401" w:type="dxa"/>
          </w:tcPr>
          <w:p w14:paraId="2BC06E40" w14:textId="77777777" w:rsidR="00F1341F" w:rsidRPr="00DD7B5D" w:rsidRDefault="00F1341F" w:rsidP="00F03C1E">
            <w:pPr>
              <w:pStyle w:val="Text1"/>
              <w:ind w:left="0"/>
              <w:jc w:val="left"/>
              <w:rPr>
                <w:sz w:val="18"/>
                <w:szCs w:val="18"/>
                <w:lang w:val="en-GB" w:eastAsia="en-GB"/>
              </w:rPr>
            </w:pPr>
            <w:r w:rsidRPr="00DD7B5D">
              <w:rPr>
                <w:sz w:val="18"/>
                <w:szCs w:val="18"/>
                <w:lang w:val="en-GB" w:eastAsia="en-GB"/>
              </w:rPr>
              <w:t>CF</w:t>
            </w:r>
          </w:p>
        </w:tc>
        <w:tc>
          <w:tcPr>
            <w:tcW w:w="1401" w:type="dxa"/>
          </w:tcPr>
          <w:p w14:paraId="10526897" w14:textId="77777777" w:rsidR="00F1341F" w:rsidRPr="00DD7B5D" w:rsidRDefault="00F1341F" w:rsidP="00F03C1E">
            <w:pPr>
              <w:pStyle w:val="Text1"/>
              <w:ind w:left="0"/>
              <w:jc w:val="left"/>
              <w:rPr>
                <w:sz w:val="18"/>
                <w:szCs w:val="18"/>
                <w:lang w:val="en-GB" w:eastAsia="en-GB"/>
              </w:rPr>
            </w:pPr>
            <w:r w:rsidRPr="00DD7B5D">
              <w:rPr>
                <w:sz w:val="18"/>
                <w:szCs w:val="18"/>
                <w:lang w:val="en-GB" w:eastAsia="en-GB"/>
              </w:rPr>
              <w:t>N/A</w:t>
            </w:r>
          </w:p>
        </w:tc>
        <w:tc>
          <w:tcPr>
            <w:tcW w:w="2693" w:type="dxa"/>
          </w:tcPr>
          <w:p w14:paraId="44832C71" w14:textId="77777777" w:rsidR="00F1341F" w:rsidRPr="00DD7B5D" w:rsidRDefault="00F1341F" w:rsidP="00F03C1E">
            <w:pPr>
              <w:pStyle w:val="Text1"/>
              <w:ind w:left="0"/>
              <w:jc w:val="left"/>
              <w:rPr>
                <w:sz w:val="18"/>
                <w:szCs w:val="18"/>
                <w:lang w:val="en-GB" w:eastAsia="en-GB"/>
              </w:rPr>
            </w:pPr>
            <w:r w:rsidRPr="00DD7B5D">
              <w:rPr>
                <w:sz w:val="18"/>
                <w:szCs w:val="18"/>
                <w:lang w:val="en-GB" w:eastAsia="en-GB"/>
              </w:rPr>
              <w:t xml:space="preserve">01 Non-repayable grant </w:t>
            </w:r>
          </w:p>
        </w:tc>
        <w:tc>
          <w:tcPr>
            <w:tcW w:w="2977" w:type="dxa"/>
          </w:tcPr>
          <w:p w14:paraId="48E22291" w14:textId="6E40A508" w:rsidR="005156E2" w:rsidRPr="00DD7B5D" w:rsidRDefault="005156E2" w:rsidP="005156E2">
            <w:pPr>
              <w:spacing w:before="0" w:after="0"/>
              <w:rPr>
                <w:bCs/>
                <w:color w:val="000000"/>
                <w:sz w:val="18"/>
                <w:szCs w:val="18"/>
                <w:lang w:val="bg-BG"/>
              </w:rPr>
            </w:pPr>
            <w:r w:rsidRPr="00DD7B5D">
              <w:rPr>
                <w:bCs/>
                <w:color w:val="000000"/>
                <w:sz w:val="18"/>
                <w:szCs w:val="18"/>
                <w:lang w:val="bg-BG"/>
              </w:rPr>
              <w:t>480 354 023,00</w:t>
            </w:r>
          </w:p>
          <w:p w14:paraId="41080F6E" w14:textId="77777777" w:rsidR="005156E2" w:rsidRPr="00DD7B5D" w:rsidRDefault="005156E2" w:rsidP="005156E2">
            <w:pPr>
              <w:spacing w:before="0" w:after="0"/>
              <w:rPr>
                <w:bCs/>
                <w:color w:val="000000"/>
                <w:sz w:val="18"/>
                <w:szCs w:val="18"/>
                <w:lang w:val="bg-BG"/>
              </w:rPr>
            </w:pPr>
          </w:p>
          <w:p w14:paraId="1451F74F" w14:textId="28EA2059" w:rsidR="00C63C43" w:rsidRPr="00C63C43" w:rsidRDefault="00C63C43" w:rsidP="00C63C43">
            <w:pPr>
              <w:pStyle w:val="Text1"/>
              <w:ind w:left="0"/>
              <w:jc w:val="left"/>
              <w:rPr>
                <w:bCs/>
                <w:sz w:val="18"/>
                <w:szCs w:val="18"/>
              </w:rPr>
            </w:pPr>
          </w:p>
          <w:p w14:paraId="798CDB8B" w14:textId="38E7B5F2" w:rsidR="00582FBD" w:rsidRDefault="00582FBD" w:rsidP="00CB3B08">
            <w:pPr>
              <w:pStyle w:val="Text1"/>
              <w:ind w:left="0"/>
              <w:jc w:val="left"/>
              <w:rPr>
                <w:bCs/>
                <w:sz w:val="18"/>
                <w:szCs w:val="18"/>
                <w:lang w:val="en-GB" w:eastAsia="en-GB"/>
              </w:rPr>
            </w:pPr>
          </w:p>
          <w:p w14:paraId="774CBEBE" w14:textId="76F0847B" w:rsidR="00F1341F" w:rsidRPr="008340BB" w:rsidRDefault="00F661EC" w:rsidP="00CB3B08">
            <w:pPr>
              <w:pStyle w:val="Text1"/>
              <w:ind w:left="0"/>
              <w:jc w:val="left"/>
              <w:rPr>
                <w:sz w:val="18"/>
                <w:szCs w:val="18"/>
                <w:lang w:val="en-GB" w:eastAsia="en-GB"/>
              </w:rPr>
            </w:pPr>
            <w:r w:rsidRPr="00F661EC">
              <w:rPr>
                <w:sz w:val="18"/>
                <w:szCs w:val="18"/>
                <w:lang w:val="en-GB" w:eastAsia="en-GB"/>
              </w:rPr>
              <w:t xml:space="preserve"> </w:t>
            </w:r>
            <w:r w:rsidR="005B1712">
              <w:rPr>
                <w:sz w:val="18"/>
                <w:szCs w:val="18"/>
                <w:lang w:val="en-GB" w:eastAsia="en-GB"/>
              </w:rPr>
              <w:t xml:space="preserve">  </w:t>
            </w:r>
          </w:p>
        </w:tc>
      </w:tr>
    </w:tbl>
    <w:p w14:paraId="36058CDB" w14:textId="77777777" w:rsidR="00F1341F" w:rsidRPr="008340BB" w:rsidRDefault="00F1341F" w:rsidP="00F03C1E">
      <w:pPr>
        <w:suppressAutoHyphens/>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3833CC95" w14:textId="77777777" w:rsidTr="00F03C1E">
        <w:trPr>
          <w:trHeight w:val="364"/>
        </w:trPr>
        <w:tc>
          <w:tcPr>
            <w:tcW w:w="8472" w:type="dxa"/>
            <w:gridSpan w:val="4"/>
          </w:tcPr>
          <w:p w14:paraId="0DF9836E" w14:textId="77777777" w:rsidR="00F1341F" w:rsidRPr="008340BB" w:rsidRDefault="00F1341F" w:rsidP="00F03C1E">
            <w:pPr>
              <w:autoSpaceDE w:val="0"/>
              <w:autoSpaceDN w:val="0"/>
              <w:adjustRightInd w:val="0"/>
              <w:spacing w:after="0"/>
              <w:jc w:val="left"/>
              <w:rPr>
                <w:rFonts w:ascii="TimesNewRoman" w:cs="TimesNewRoman"/>
                <w:b/>
                <w:color w:val="000000"/>
                <w:sz w:val="20"/>
              </w:rPr>
            </w:pPr>
            <w:r w:rsidRPr="008340BB">
              <w:rPr>
                <w:rFonts w:ascii="TimesNewRoman,Bold" w:hAnsi="TimesNewRoman,Bold" w:cs="TimesNewRoman,Bold"/>
                <w:b/>
                <w:bCs/>
                <w:color w:val="000000"/>
                <w:sz w:val="20"/>
              </w:rPr>
              <w:t>Table 9: Dimension 3 – Territory type</w:t>
            </w:r>
          </w:p>
        </w:tc>
      </w:tr>
      <w:tr w:rsidR="00F1341F" w:rsidRPr="008340BB" w14:paraId="3EF94C6A" w14:textId="77777777" w:rsidTr="00F03C1E">
        <w:trPr>
          <w:trHeight w:val="364"/>
        </w:trPr>
        <w:tc>
          <w:tcPr>
            <w:tcW w:w="2802" w:type="dxa"/>
            <w:gridSpan w:val="2"/>
          </w:tcPr>
          <w:p w14:paraId="363C3DC1" w14:textId="77777777" w:rsidR="00F1341F" w:rsidRPr="008340BB" w:rsidRDefault="00F1341F" w:rsidP="00F03C1E">
            <w:pPr>
              <w:autoSpaceDE w:val="0"/>
              <w:autoSpaceDN w:val="0"/>
              <w:adjustRightInd w:val="0"/>
              <w:spacing w:after="0"/>
              <w:jc w:val="left"/>
              <w:rPr>
                <w:bCs/>
                <w:sz w:val="20"/>
              </w:rPr>
            </w:pPr>
            <w:r w:rsidRPr="008340BB">
              <w:rPr>
                <w:b/>
                <w:sz w:val="20"/>
              </w:rPr>
              <w:t>Priority axis</w:t>
            </w:r>
            <w:r w:rsidRPr="008340BB" w:rsidDel="00293069">
              <w:rPr>
                <w:bCs/>
                <w:sz w:val="20"/>
              </w:rPr>
              <w:t xml:space="preserve"> </w:t>
            </w:r>
          </w:p>
        </w:tc>
        <w:tc>
          <w:tcPr>
            <w:tcW w:w="5670" w:type="dxa"/>
            <w:gridSpan w:val="2"/>
          </w:tcPr>
          <w:p w14:paraId="4019F5D9" w14:textId="16425C19" w:rsidR="00F1341F" w:rsidRPr="008340BB" w:rsidRDefault="00F1341F" w:rsidP="00DE3E40">
            <w:pPr>
              <w:autoSpaceDE w:val="0"/>
              <w:autoSpaceDN w:val="0"/>
              <w:adjustRightInd w:val="0"/>
              <w:spacing w:after="0"/>
              <w:rPr>
                <w:bCs/>
                <w:sz w:val="20"/>
              </w:rPr>
            </w:pPr>
            <w:r w:rsidRPr="008340BB">
              <w:rPr>
                <w:sz w:val="20"/>
              </w:rPr>
              <w:t xml:space="preserve">Development of railway infrastructure along the “core” </w:t>
            </w:r>
            <w:r w:rsidR="001F1621" w:rsidRPr="001F1621">
              <w:rPr>
                <w:sz w:val="20"/>
              </w:rPr>
              <w:t>and “comprehensive”</w:t>
            </w:r>
            <w:r w:rsidR="001F1621">
              <w:rPr>
                <w:sz w:val="20"/>
              </w:rPr>
              <w:t xml:space="preserve"> </w:t>
            </w:r>
            <w:r w:rsidR="00BE1286">
              <w:rPr>
                <w:sz w:val="20"/>
              </w:rPr>
              <w:t>TEN-T</w:t>
            </w:r>
          </w:p>
        </w:tc>
      </w:tr>
      <w:tr w:rsidR="00F1341F" w:rsidRPr="008340BB" w14:paraId="50BD8C3B" w14:textId="77777777" w:rsidTr="00D30B7A">
        <w:trPr>
          <w:trHeight w:val="267"/>
        </w:trPr>
        <w:tc>
          <w:tcPr>
            <w:tcW w:w="1401" w:type="dxa"/>
          </w:tcPr>
          <w:p w14:paraId="7CF55C64" w14:textId="77777777" w:rsidR="00F1341F" w:rsidRPr="008340BB" w:rsidRDefault="00F1341F" w:rsidP="00F03C1E">
            <w:pPr>
              <w:suppressAutoHyphens/>
              <w:rPr>
                <w:i/>
                <w:color w:val="8DB3E2"/>
                <w:sz w:val="18"/>
                <w:szCs w:val="18"/>
              </w:rPr>
            </w:pPr>
            <w:r w:rsidRPr="008340BB">
              <w:rPr>
                <w:b/>
                <w:sz w:val="18"/>
                <w:szCs w:val="18"/>
              </w:rPr>
              <w:t>Fund</w:t>
            </w:r>
          </w:p>
        </w:tc>
        <w:tc>
          <w:tcPr>
            <w:tcW w:w="1401" w:type="dxa"/>
          </w:tcPr>
          <w:p w14:paraId="6BE65905" w14:textId="77777777" w:rsidR="00F1341F" w:rsidRPr="008340BB" w:rsidRDefault="00F1341F" w:rsidP="00F03C1E">
            <w:pPr>
              <w:pStyle w:val="Text1"/>
              <w:ind w:left="0"/>
              <w:jc w:val="left"/>
              <w:rPr>
                <w:b/>
                <w:sz w:val="18"/>
                <w:szCs w:val="18"/>
                <w:lang w:val="en-GB" w:eastAsia="en-GB"/>
              </w:rPr>
            </w:pPr>
            <w:r w:rsidRPr="008340BB">
              <w:rPr>
                <w:b/>
                <w:bCs/>
                <w:sz w:val="20"/>
                <w:lang w:val="en-GB" w:eastAsia="en-GB"/>
              </w:rPr>
              <w:t>Category of region</w:t>
            </w:r>
          </w:p>
        </w:tc>
        <w:tc>
          <w:tcPr>
            <w:tcW w:w="2693" w:type="dxa"/>
          </w:tcPr>
          <w:p w14:paraId="7EF1F5D8" w14:textId="77777777" w:rsidR="00F1341F" w:rsidRPr="008340BB" w:rsidRDefault="00F1341F" w:rsidP="00F03C1E">
            <w:pPr>
              <w:jc w:val="center"/>
              <w:rPr>
                <w:sz w:val="20"/>
              </w:rPr>
            </w:pPr>
            <w:r w:rsidRPr="008340BB">
              <w:rPr>
                <w:b/>
                <w:sz w:val="18"/>
                <w:szCs w:val="18"/>
              </w:rPr>
              <w:t>Code</w:t>
            </w:r>
          </w:p>
        </w:tc>
        <w:tc>
          <w:tcPr>
            <w:tcW w:w="2977" w:type="dxa"/>
          </w:tcPr>
          <w:p w14:paraId="2371685D" w14:textId="77777777" w:rsidR="00F1341F" w:rsidRPr="008340BB" w:rsidRDefault="00F1341F" w:rsidP="00F03C1E">
            <w:pPr>
              <w:jc w:val="center"/>
              <w:rPr>
                <w:sz w:val="20"/>
              </w:rPr>
            </w:pPr>
            <w:r w:rsidRPr="008340BB">
              <w:rPr>
                <w:b/>
                <w:sz w:val="18"/>
                <w:szCs w:val="18"/>
              </w:rPr>
              <w:t>Amount (EUR)</w:t>
            </w:r>
          </w:p>
        </w:tc>
      </w:tr>
      <w:tr w:rsidR="00F1341F" w:rsidRPr="00DD7B5D" w14:paraId="11CA74DE" w14:textId="77777777" w:rsidTr="00D30B7A">
        <w:tc>
          <w:tcPr>
            <w:tcW w:w="1401" w:type="dxa"/>
          </w:tcPr>
          <w:p w14:paraId="12B9821D" w14:textId="77777777" w:rsidR="00F1341F" w:rsidRPr="00DD7B5D" w:rsidRDefault="00F1341F" w:rsidP="00F03C1E">
            <w:pPr>
              <w:pStyle w:val="Text1"/>
              <w:ind w:left="0"/>
              <w:jc w:val="left"/>
              <w:rPr>
                <w:sz w:val="18"/>
                <w:szCs w:val="18"/>
                <w:lang w:val="en-GB" w:eastAsia="en-GB"/>
              </w:rPr>
            </w:pPr>
            <w:r w:rsidRPr="00DD7B5D">
              <w:rPr>
                <w:sz w:val="18"/>
                <w:szCs w:val="18"/>
                <w:lang w:val="en-GB" w:eastAsia="en-GB"/>
              </w:rPr>
              <w:lastRenderedPageBreak/>
              <w:t>CF</w:t>
            </w:r>
          </w:p>
        </w:tc>
        <w:tc>
          <w:tcPr>
            <w:tcW w:w="1401" w:type="dxa"/>
          </w:tcPr>
          <w:p w14:paraId="71C13B5E" w14:textId="77777777" w:rsidR="00F1341F" w:rsidRPr="00DD7B5D" w:rsidRDefault="00F1341F" w:rsidP="00F03C1E">
            <w:pPr>
              <w:pStyle w:val="Text1"/>
              <w:ind w:left="0"/>
              <w:jc w:val="left"/>
              <w:rPr>
                <w:sz w:val="18"/>
                <w:szCs w:val="18"/>
                <w:lang w:val="en-GB" w:eastAsia="en-GB"/>
              </w:rPr>
            </w:pPr>
            <w:r w:rsidRPr="00DD7B5D">
              <w:rPr>
                <w:sz w:val="20"/>
                <w:lang w:val="en-GB" w:eastAsia="en-GB"/>
              </w:rPr>
              <w:t>N/A</w:t>
            </w:r>
          </w:p>
        </w:tc>
        <w:tc>
          <w:tcPr>
            <w:tcW w:w="2693" w:type="dxa"/>
          </w:tcPr>
          <w:p w14:paraId="1D0F8521" w14:textId="77777777" w:rsidR="00F1341F" w:rsidRPr="00DD7B5D" w:rsidRDefault="00F1341F" w:rsidP="00F03C1E">
            <w:pPr>
              <w:pStyle w:val="Text1"/>
              <w:ind w:left="0"/>
              <w:jc w:val="left"/>
              <w:rPr>
                <w:sz w:val="18"/>
                <w:szCs w:val="18"/>
                <w:lang w:val="en-GB" w:eastAsia="en-GB"/>
              </w:rPr>
            </w:pPr>
            <w:r w:rsidRPr="00DD7B5D">
              <w:rPr>
                <w:sz w:val="18"/>
                <w:szCs w:val="18"/>
                <w:lang w:val="en-GB" w:eastAsia="en-GB"/>
              </w:rPr>
              <w:t>07 Not applicable</w:t>
            </w:r>
          </w:p>
        </w:tc>
        <w:tc>
          <w:tcPr>
            <w:tcW w:w="2977" w:type="dxa"/>
          </w:tcPr>
          <w:p w14:paraId="41AE64FB" w14:textId="387F256E" w:rsidR="00FE296E" w:rsidRPr="00DD7B5D" w:rsidRDefault="00FE296E" w:rsidP="00FE296E">
            <w:pPr>
              <w:pStyle w:val="Text1"/>
              <w:ind w:left="0"/>
              <w:jc w:val="left"/>
              <w:rPr>
                <w:bCs/>
                <w:sz w:val="18"/>
                <w:szCs w:val="18"/>
              </w:rPr>
            </w:pPr>
            <w:r w:rsidRPr="00DD7B5D">
              <w:rPr>
                <w:bCs/>
                <w:sz w:val="18"/>
                <w:szCs w:val="18"/>
              </w:rPr>
              <w:t>480 354 023,00</w:t>
            </w:r>
          </w:p>
          <w:p w14:paraId="00CBB6B2" w14:textId="77777777" w:rsidR="00FE296E" w:rsidRPr="00DD7B5D" w:rsidRDefault="00FE296E" w:rsidP="00FE296E">
            <w:pPr>
              <w:pStyle w:val="Text1"/>
              <w:ind w:left="0"/>
              <w:jc w:val="left"/>
              <w:rPr>
                <w:bCs/>
                <w:sz w:val="18"/>
                <w:szCs w:val="18"/>
              </w:rPr>
            </w:pPr>
          </w:p>
          <w:p w14:paraId="777842A4" w14:textId="0417667D" w:rsidR="0036203C" w:rsidRPr="00DD7B5D" w:rsidRDefault="0036203C" w:rsidP="0036203C">
            <w:pPr>
              <w:pStyle w:val="Text1"/>
              <w:ind w:left="0"/>
              <w:jc w:val="left"/>
              <w:rPr>
                <w:bCs/>
                <w:sz w:val="18"/>
                <w:szCs w:val="18"/>
              </w:rPr>
            </w:pPr>
          </w:p>
          <w:p w14:paraId="5DC8D906" w14:textId="10C36A02" w:rsidR="00B334E6" w:rsidRPr="00DD7B5D" w:rsidRDefault="00B334E6" w:rsidP="00862650">
            <w:pPr>
              <w:pStyle w:val="Text1"/>
              <w:ind w:left="0"/>
              <w:jc w:val="left"/>
              <w:rPr>
                <w:bCs/>
                <w:sz w:val="18"/>
                <w:szCs w:val="18"/>
                <w:lang w:val="en-GB" w:eastAsia="en-GB"/>
              </w:rPr>
            </w:pPr>
          </w:p>
          <w:p w14:paraId="7772FFC1" w14:textId="46B89809" w:rsidR="00F1341F" w:rsidRPr="00DD7B5D" w:rsidRDefault="00F661EC" w:rsidP="00862650">
            <w:pPr>
              <w:pStyle w:val="Text1"/>
              <w:ind w:left="0"/>
              <w:jc w:val="left"/>
              <w:rPr>
                <w:sz w:val="18"/>
                <w:szCs w:val="18"/>
                <w:lang w:val="en-GB" w:eastAsia="en-GB"/>
              </w:rPr>
            </w:pPr>
            <w:r w:rsidRPr="00DD7B5D">
              <w:rPr>
                <w:sz w:val="18"/>
                <w:szCs w:val="18"/>
                <w:lang w:val="en-GB" w:eastAsia="en-GB"/>
              </w:rPr>
              <w:t xml:space="preserve"> </w:t>
            </w:r>
            <w:r w:rsidR="005B1712" w:rsidRPr="00DD7B5D">
              <w:rPr>
                <w:sz w:val="18"/>
                <w:szCs w:val="18"/>
                <w:lang w:val="en-GB" w:eastAsia="en-GB"/>
              </w:rPr>
              <w:t xml:space="preserve">  </w:t>
            </w:r>
          </w:p>
        </w:tc>
      </w:tr>
    </w:tbl>
    <w:p w14:paraId="1EF235E7" w14:textId="77777777" w:rsidR="00F1341F" w:rsidRPr="00DD7B5D" w:rsidRDefault="00F1341F" w:rsidP="00F03C1E">
      <w:pPr>
        <w:suppressAutoHyphens/>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DD7B5D" w14:paraId="2B2E8C63" w14:textId="77777777" w:rsidTr="00F03C1E">
        <w:trPr>
          <w:trHeight w:val="364"/>
        </w:trPr>
        <w:tc>
          <w:tcPr>
            <w:tcW w:w="8472" w:type="dxa"/>
            <w:gridSpan w:val="4"/>
          </w:tcPr>
          <w:p w14:paraId="4D0A9CCF" w14:textId="77777777" w:rsidR="00F1341F" w:rsidRPr="00DD7B5D" w:rsidRDefault="00F1341F" w:rsidP="00F03C1E">
            <w:pPr>
              <w:autoSpaceDE w:val="0"/>
              <w:autoSpaceDN w:val="0"/>
              <w:adjustRightInd w:val="0"/>
              <w:spacing w:after="0"/>
              <w:jc w:val="left"/>
              <w:rPr>
                <w:rFonts w:ascii="TimesNewRoman" w:cs="TimesNewRoman"/>
                <w:b/>
                <w:color w:val="000000"/>
                <w:sz w:val="20"/>
              </w:rPr>
            </w:pPr>
            <w:r w:rsidRPr="00DD7B5D">
              <w:rPr>
                <w:rFonts w:ascii="TimesNewRoman,Bold" w:hAnsi="TimesNewRoman,Bold" w:cs="TimesNewRoman,Bold"/>
                <w:b/>
                <w:bCs/>
                <w:color w:val="000000"/>
                <w:sz w:val="20"/>
              </w:rPr>
              <w:t>Table 10: Dimension 4 – Territorial delivery mechanisms</w:t>
            </w:r>
          </w:p>
        </w:tc>
      </w:tr>
      <w:tr w:rsidR="00F1341F" w:rsidRPr="00DD7B5D" w14:paraId="57516672" w14:textId="77777777" w:rsidTr="00F03C1E">
        <w:trPr>
          <w:trHeight w:val="364"/>
        </w:trPr>
        <w:tc>
          <w:tcPr>
            <w:tcW w:w="2802" w:type="dxa"/>
            <w:gridSpan w:val="2"/>
          </w:tcPr>
          <w:p w14:paraId="33CC8DFA" w14:textId="77777777" w:rsidR="00F1341F" w:rsidRPr="00DD7B5D" w:rsidRDefault="00F1341F" w:rsidP="00F03C1E">
            <w:pPr>
              <w:autoSpaceDE w:val="0"/>
              <w:autoSpaceDN w:val="0"/>
              <w:adjustRightInd w:val="0"/>
              <w:spacing w:after="0"/>
              <w:jc w:val="left"/>
              <w:rPr>
                <w:bCs/>
                <w:sz w:val="20"/>
              </w:rPr>
            </w:pPr>
            <w:r w:rsidRPr="00DD7B5D">
              <w:rPr>
                <w:b/>
                <w:sz w:val="20"/>
              </w:rPr>
              <w:t>Priority axis</w:t>
            </w:r>
            <w:r w:rsidRPr="00DD7B5D" w:rsidDel="00293069">
              <w:rPr>
                <w:bCs/>
                <w:sz w:val="20"/>
              </w:rPr>
              <w:t xml:space="preserve"> </w:t>
            </w:r>
          </w:p>
        </w:tc>
        <w:tc>
          <w:tcPr>
            <w:tcW w:w="5670" w:type="dxa"/>
            <w:gridSpan w:val="2"/>
          </w:tcPr>
          <w:p w14:paraId="496F8BC2" w14:textId="1C59A4D6" w:rsidR="00F1341F" w:rsidRPr="00DD7B5D" w:rsidRDefault="00F1341F" w:rsidP="00DE3E40">
            <w:pPr>
              <w:autoSpaceDE w:val="0"/>
              <w:autoSpaceDN w:val="0"/>
              <w:adjustRightInd w:val="0"/>
              <w:spacing w:after="0"/>
              <w:rPr>
                <w:bCs/>
                <w:sz w:val="20"/>
              </w:rPr>
            </w:pPr>
            <w:r w:rsidRPr="00DD7B5D">
              <w:rPr>
                <w:sz w:val="20"/>
              </w:rPr>
              <w:t xml:space="preserve">Development of railway infrastructure along the “core” </w:t>
            </w:r>
            <w:r w:rsidR="001F1621" w:rsidRPr="00DD7B5D">
              <w:rPr>
                <w:sz w:val="20"/>
              </w:rPr>
              <w:t xml:space="preserve">and “comprehensive” </w:t>
            </w:r>
            <w:r w:rsidR="00BE1286" w:rsidRPr="00DD7B5D">
              <w:rPr>
                <w:sz w:val="20"/>
              </w:rPr>
              <w:t>TEN-T</w:t>
            </w:r>
          </w:p>
        </w:tc>
      </w:tr>
      <w:tr w:rsidR="00F1341F" w:rsidRPr="00DD7B5D" w14:paraId="1EA2CE14" w14:textId="77777777" w:rsidTr="00D30B7A">
        <w:trPr>
          <w:trHeight w:val="267"/>
        </w:trPr>
        <w:tc>
          <w:tcPr>
            <w:tcW w:w="1401" w:type="dxa"/>
          </w:tcPr>
          <w:p w14:paraId="68D3FC80" w14:textId="77777777" w:rsidR="00F1341F" w:rsidRPr="00DD7B5D" w:rsidRDefault="00F1341F" w:rsidP="00F03C1E">
            <w:pPr>
              <w:suppressAutoHyphens/>
              <w:rPr>
                <w:i/>
                <w:color w:val="8DB3E2"/>
                <w:sz w:val="18"/>
                <w:szCs w:val="18"/>
              </w:rPr>
            </w:pPr>
            <w:r w:rsidRPr="00DD7B5D">
              <w:rPr>
                <w:b/>
                <w:sz w:val="18"/>
                <w:szCs w:val="18"/>
              </w:rPr>
              <w:t>Fund</w:t>
            </w:r>
          </w:p>
        </w:tc>
        <w:tc>
          <w:tcPr>
            <w:tcW w:w="1401" w:type="dxa"/>
          </w:tcPr>
          <w:p w14:paraId="278AB995" w14:textId="77777777" w:rsidR="00F1341F" w:rsidRPr="00DD7B5D" w:rsidRDefault="00F1341F" w:rsidP="00F03C1E">
            <w:pPr>
              <w:pStyle w:val="Text1"/>
              <w:ind w:left="0"/>
              <w:jc w:val="left"/>
              <w:rPr>
                <w:b/>
                <w:sz w:val="18"/>
                <w:szCs w:val="18"/>
                <w:lang w:val="en-GB" w:eastAsia="en-GB"/>
              </w:rPr>
            </w:pPr>
            <w:r w:rsidRPr="00DD7B5D">
              <w:rPr>
                <w:b/>
                <w:bCs/>
                <w:sz w:val="20"/>
                <w:lang w:val="en-GB" w:eastAsia="en-GB"/>
              </w:rPr>
              <w:t>Category of region</w:t>
            </w:r>
          </w:p>
        </w:tc>
        <w:tc>
          <w:tcPr>
            <w:tcW w:w="2693" w:type="dxa"/>
          </w:tcPr>
          <w:p w14:paraId="0FFE3F01" w14:textId="77777777" w:rsidR="00F1341F" w:rsidRPr="00DD7B5D" w:rsidRDefault="00F1341F" w:rsidP="00F03C1E">
            <w:pPr>
              <w:jc w:val="center"/>
              <w:rPr>
                <w:sz w:val="20"/>
              </w:rPr>
            </w:pPr>
            <w:r w:rsidRPr="00DD7B5D">
              <w:rPr>
                <w:b/>
                <w:sz w:val="18"/>
                <w:szCs w:val="18"/>
              </w:rPr>
              <w:t>Code</w:t>
            </w:r>
          </w:p>
        </w:tc>
        <w:tc>
          <w:tcPr>
            <w:tcW w:w="2977" w:type="dxa"/>
          </w:tcPr>
          <w:p w14:paraId="27C3D3D8" w14:textId="77777777" w:rsidR="00F1341F" w:rsidRPr="00DD7B5D" w:rsidRDefault="00F1341F" w:rsidP="00F03C1E">
            <w:pPr>
              <w:jc w:val="center"/>
              <w:rPr>
                <w:sz w:val="20"/>
              </w:rPr>
            </w:pPr>
            <w:r w:rsidRPr="00DD7B5D">
              <w:rPr>
                <w:b/>
                <w:sz w:val="18"/>
                <w:szCs w:val="18"/>
              </w:rPr>
              <w:t>Amount (EUR)</w:t>
            </w:r>
          </w:p>
        </w:tc>
      </w:tr>
      <w:tr w:rsidR="00F1341F" w:rsidRPr="008340BB" w14:paraId="20F498BD" w14:textId="77777777" w:rsidTr="00D30B7A">
        <w:tc>
          <w:tcPr>
            <w:tcW w:w="1401" w:type="dxa"/>
          </w:tcPr>
          <w:p w14:paraId="66C8891D" w14:textId="77777777" w:rsidR="00F1341F" w:rsidRPr="00DD7B5D" w:rsidRDefault="00F1341F" w:rsidP="00F03C1E">
            <w:pPr>
              <w:pStyle w:val="Text1"/>
              <w:ind w:left="0"/>
              <w:jc w:val="left"/>
              <w:rPr>
                <w:sz w:val="18"/>
                <w:szCs w:val="18"/>
                <w:lang w:val="en-GB" w:eastAsia="en-GB"/>
              </w:rPr>
            </w:pPr>
            <w:r w:rsidRPr="00DD7B5D">
              <w:rPr>
                <w:sz w:val="18"/>
                <w:szCs w:val="18"/>
                <w:lang w:val="en-GB" w:eastAsia="en-GB"/>
              </w:rPr>
              <w:t>CF</w:t>
            </w:r>
          </w:p>
        </w:tc>
        <w:tc>
          <w:tcPr>
            <w:tcW w:w="1401" w:type="dxa"/>
          </w:tcPr>
          <w:p w14:paraId="3641120D" w14:textId="77777777" w:rsidR="00F1341F" w:rsidRPr="00DD7B5D" w:rsidRDefault="00F1341F" w:rsidP="00F03C1E">
            <w:pPr>
              <w:pStyle w:val="Text1"/>
              <w:ind w:left="0"/>
              <w:jc w:val="left"/>
              <w:rPr>
                <w:sz w:val="18"/>
                <w:szCs w:val="18"/>
                <w:lang w:val="en-GB" w:eastAsia="en-GB"/>
              </w:rPr>
            </w:pPr>
            <w:r w:rsidRPr="00DD7B5D">
              <w:rPr>
                <w:sz w:val="20"/>
                <w:lang w:val="en-GB" w:eastAsia="en-GB"/>
              </w:rPr>
              <w:t>N/A</w:t>
            </w:r>
          </w:p>
        </w:tc>
        <w:tc>
          <w:tcPr>
            <w:tcW w:w="2693" w:type="dxa"/>
          </w:tcPr>
          <w:p w14:paraId="795E4181" w14:textId="77777777" w:rsidR="00F1341F" w:rsidRPr="00DD7B5D" w:rsidRDefault="00F1341F" w:rsidP="00F03C1E">
            <w:pPr>
              <w:pStyle w:val="Text1"/>
              <w:ind w:left="0"/>
              <w:jc w:val="left"/>
              <w:rPr>
                <w:sz w:val="18"/>
                <w:szCs w:val="18"/>
                <w:lang w:val="en-GB" w:eastAsia="en-GB"/>
              </w:rPr>
            </w:pPr>
            <w:r w:rsidRPr="00DD7B5D">
              <w:rPr>
                <w:sz w:val="18"/>
                <w:szCs w:val="18"/>
                <w:lang w:val="en-GB" w:eastAsia="en-GB"/>
              </w:rPr>
              <w:t>07 Not applicable</w:t>
            </w:r>
          </w:p>
        </w:tc>
        <w:tc>
          <w:tcPr>
            <w:tcW w:w="2977" w:type="dxa"/>
          </w:tcPr>
          <w:p w14:paraId="5978D106" w14:textId="1520A908" w:rsidR="00D6292C" w:rsidRPr="00DD7B5D" w:rsidRDefault="00D6292C" w:rsidP="00D6292C">
            <w:pPr>
              <w:pStyle w:val="Text1"/>
              <w:ind w:left="0"/>
              <w:jc w:val="left"/>
              <w:rPr>
                <w:bCs/>
                <w:sz w:val="18"/>
                <w:szCs w:val="18"/>
              </w:rPr>
            </w:pPr>
            <w:r w:rsidRPr="00DD7B5D">
              <w:rPr>
                <w:bCs/>
                <w:sz w:val="18"/>
                <w:szCs w:val="18"/>
              </w:rPr>
              <w:t>480 354 023,00</w:t>
            </w:r>
          </w:p>
          <w:p w14:paraId="21015E31" w14:textId="77777777" w:rsidR="00D6292C" w:rsidRPr="00DD7B5D" w:rsidRDefault="00D6292C" w:rsidP="00D6292C">
            <w:pPr>
              <w:pStyle w:val="Text1"/>
              <w:ind w:left="0"/>
              <w:jc w:val="left"/>
              <w:rPr>
                <w:bCs/>
                <w:sz w:val="18"/>
                <w:szCs w:val="18"/>
              </w:rPr>
            </w:pPr>
          </w:p>
          <w:p w14:paraId="5582107E" w14:textId="32AD6ABC" w:rsidR="007C6EAB" w:rsidRPr="007C6EAB" w:rsidRDefault="007C6EAB" w:rsidP="007C6EAB">
            <w:pPr>
              <w:pStyle w:val="Text1"/>
              <w:ind w:left="0"/>
              <w:jc w:val="left"/>
              <w:rPr>
                <w:bCs/>
                <w:sz w:val="18"/>
                <w:szCs w:val="18"/>
              </w:rPr>
            </w:pPr>
          </w:p>
          <w:p w14:paraId="5E10B368" w14:textId="41E4837E" w:rsidR="00045D53" w:rsidRDefault="00045D53" w:rsidP="00862650">
            <w:pPr>
              <w:pStyle w:val="Text1"/>
              <w:ind w:left="0"/>
              <w:jc w:val="left"/>
              <w:rPr>
                <w:bCs/>
                <w:sz w:val="18"/>
                <w:szCs w:val="18"/>
                <w:lang w:val="en-GB" w:eastAsia="en-GB"/>
              </w:rPr>
            </w:pPr>
          </w:p>
          <w:p w14:paraId="3003E854" w14:textId="219C3F44" w:rsidR="00F1341F" w:rsidRPr="008340BB" w:rsidRDefault="00F661EC" w:rsidP="00862650">
            <w:pPr>
              <w:pStyle w:val="Text1"/>
              <w:ind w:left="0"/>
              <w:jc w:val="left"/>
              <w:rPr>
                <w:sz w:val="18"/>
                <w:szCs w:val="18"/>
                <w:lang w:val="en-GB" w:eastAsia="en-GB"/>
              </w:rPr>
            </w:pPr>
            <w:r w:rsidRPr="00F661EC">
              <w:rPr>
                <w:sz w:val="18"/>
                <w:szCs w:val="18"/>
                <w:lang w:val="en-GB" w:eastAsia="en-GB"/>
              </w:rPr>
              <w:t xml:space="preserve"> </w:t>
            </w:r>
            <w:r w:rsidR="00935E40">
              <w:rPr>
                <w:sz w:val="18"/>
                <w:szCs w:val="18"/>
                <w:lang w:val="en-GB" w:eastAsia="en-GB"/>
              </w:rPr>
              <w:t xml:space="preserve">  </w:t>
            </w:r>
          </w:p>
        </w:tc>
      </w:tr>
    </w:tbl>
    <w:p w14:paraId="6294434E" w14:textId="77777777" w:rsidR="00F1341F" w:rsidRPr="008340BB" w:rsidRDefault="00F1341F"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7230B7CF" w14:textId="77777777" w:rsidTr="00F03C1E">
        <w:trPr>
          <w:trHeight w:val="364"/>
        </w:trPr>
        <w:tc>
          <w:tcPr>
            <w:tcW w:w="8472" w:type="dxa"/>
            <w:gridSpan w:val="4"/>
          </w:tcPr>
          <w:p w14:paraId="6CE6ED76" w14:textId="77777777" w:rsidR="00F1341F" w:rsidRPr="0067246B" w:rsidRDefault="00F1341F" w:rsidP="00F03C1E">
            <w:pPr>
              <w:autoSpaceDE w:val="0"/>
              <w:autoSpaceDN w:val="0"/>
              <w:adjustRightInd w:val="0"/>
              <w:spacing w:after="0"/>
              <w:jc w:val="left"/>
              <w:rPr>
                <w:rFonts w:ascii="TimesNewRoman" w:cs="TimesNewRoman"/>
                <w:b/>
                <w:color w:val="000000"/>
                <w:sz w:val="20"/>
              </w:rPr>
            </w:pPr>
            <w:r w:rsidRPr="00020ADD">
              <w:rPr>
                <w:rFonts w:ascii="TimesNewRoman,Bold" w:hAnsi="TimesNewRoman,Bold" w:cs="TimesNewRoman,Bold"/>
                <w:b/>
                <w:bCs/>
                <w:color w:val="000000"/>
                <w:sz w:val="20"/>
              </w:rPr>
              <w:t>Table 11: Dimension 6 – ESF secondary theme</w:t>
            </w:r>
            <w:r w:rsidRPr="008340BB">
              <w:rPr>
                <w:rStyle w:val="FootnoteReference"/>
                <w:rFonts w:ascii="TimesNewRoman,Bold" w:hAnsi="TimesNewRoman,Bold"/>
                <w:b/>
                <w:bCs/>
                <w:color w:val="000000"/>
                <w:sz w:val="20"/>
              </w:rPr>
              <w:footnoteReference w:id="27"/>
            </w:r>
            <w:r w:rsidRPr="008340BB">
              <w:rPr>
                <w:rFonts w:ascii="TimesNewRoman" w:eastAsia="Times New Roman" w:cs="TimesNewRoman"/>
                <w:b/>
                <w:color w:val="000000"/>
                <w:sz w:val="20"/>
              </w:rPr>
              <w:t xml:space="preserve"> </w:t>
            </w:r>
            <w:r w:rsidRPr="0067246B">
              <w:rPr>
                <w:rFonts w:ascii="TimesNewRoman,Bold" w:hAnsi="TimesNewRoman,Bold" w:cs="TimesNewRoman,Bold"/>
                <w:b/>
                <w:bCs/>
                <w:color w:val="000000"/>
                <w:sz w:val="20"/>
              </w:rPr>
              <w:t>(ESF only)</w:t>
            </w:r>
          </w:p>
        </w:tc>
      </w:tr>
      <w:tr w:rsidR="00F1341F" w:rsidRPr="008340BB" w14:paraId="7D24EB9A" w14:textId="77777777" w:rsidTr="00F03C1E">
        <w:trPr>
          <w:trHeight w:val="364"/>
        </w:trPr>
        <w:tc>
          <w:tcPr>
            <w:tcW w:w="2802" w:type="dxa"/>
            <w:gridSpan w:val="2"/>
          </w:tcPr>
          <w:p w14:paraId="5208686C" w14:textId="77777777" w:rsidR="00F1341F" w:rsidRPr="008340BB" w:rsidRDefault="00F1341F" w:rsidP="00F03C1E">
            <w:pPr>
              <w:autoSpaceDE w:val="0"/>
              <w:autoSpaceDN w:val="0"/>
              <w:adjustRightInd w:val="0"/>
              <w:spacing w:after="0"/>
              <w:jc w:val="left"/>
              <w:rPr>
                <w:bCs/>
                <w:sz w:val="20"/>
              </w:rPr>
            </w:pPr>
            <w:r w:rsidRPr="008340BB">
              <w:rPr>
                <w:b/>
                <w:sz w:val="18"/>
                <w:szCs w:val="18"/>
              </w:rPr>
              <w:t>Priority axis</w:t>
            </w:r>
            <w:r w:rsidRPr="008340BB" w:rsidDel="001A6751">
              <w:rPr>
                <w:bCs/>
                <w:sz w:val="20"/>
              </w:rPr>
              <w:t xml:space="preserve"> </w:t>
            </w:r>
          </w:p>
        </w:tc>
        <w:tc>
          <w:tcPr>
            <w:tcW w:w="5670" w:type="dxa"/>
            <w:gridSpan w:val="2"/>
          </w:tcPr>
          <w:p w14:paraId="279AEA8D" w14:textId="6830E1DF" w:rsidR="00F1341F" w:rsidRPr="008340BB" w:rsidRDefault="00F1341F" w:rsidP="00DE3E40">
            <w:pPr>
              <w:autoSpaceDE w:val="0"/>
              <w:autoSpaceDN w:val="0"/>
              <w:adjustRightInd w:val="0"/>
              <w:spacing w:after="0"/>
              <w:rPr>
                <w:bCs/>
                <w:sz w:val="20"/>
              </w:rPr>
            </w:pPr>
            <w:r w:rsidRPr="008340BB">
              <w:rPr>
                <w:sz w:val="20"/>
              </w:rPr>
              <w:t xml:space="preserve">Development of railway infrastructure along the “core” </w:t>
            </w:r>
            <w:r w:rsidR="001F1621" w:rsidRPr="001F1621">
              <w:rPr>
                <w:sz w:val="20"/>
              </w:rPr>
              <w:t>and “comprehensive”</w:t>
            </w:r>
            <w:r w:rsidR="001F1621">
              <w:rPr>
                <w:sz w:val="20"/>
              </w:rPr>
              <w:t xml:space="preserve"> </w:t>
            </w:r>
            <w:r w:rsidR="00BE1286">
              <w:rPr>
                <w:sz w:val="20"/>
              </w:rPr>
              <w:t>TEN-T</w:t>
            </w:r>
          </w:p>
        </w:tc>
      </w:tr>
      <w:tr w:rsidR="00F1341F" w:rsidRPr="008340BB" w14:paraId="118B67D3" w14:textId="77777777" w:rsidTr="00D30B7A">
        <w:trPr>
          <w:trHeight w:val="267"/>
        </w:trPr>
        <w:tc>
          <w:tcPr>
            <w:tcW w:w="1401" w:type="dxa"/>
          </w:tcPr>
          <w:p w14:paraId="0C6F5E9F" w14:textId="77777777" w:rsidR="00F1341F" w:rsidRPr="008340BB" w:rsidRDefault="00F1341F" w:rsidP="00F03C1E">
            <w:pPr>
              <w:suppressAutoHyphens/>
              <w:rPr>
                <w:i/>
                <w:color w:val="8DB3E2"/>
                <w:sz w:val="18"/>
                <w:szCs w:val="18"/>
              </w:rPr>
            </w:pPr>
            <w:r w:rsidRPr="008340BB">
              <w:rPr>
                <w:b/>
                <w:sz w:val="18"/>
                <w:szCs w:val="18"/>
              </w:rPr>
              <w:t>Fund</w:t>
            </w:r>
          </w:p>
        </w:tc>
        <w:tc>
          <w:tcPr>
            <w:tcW w:w="1401" w:type="dxa"/>
          </w:tcPr>
          <w:p w14:paraId="278DADFD" w14:textId="77777777" w:rsidR="00F1341F" w:rsidRPr="008340BB" w:rsidRDefault="00F1341F" w:rsidP="00F03C1E">
            <w:pPr>
              <w:pStyle w:val="Text1"/>
              <w:ind w:left="0"/>
              <w:jc w:val="left"/>
              <w:rPr>
                <w:b/>
                <w:sz w:val="18"/>
                <w:szCs w:val="18"/>
                <w:lang w:val="en-GB" w:eastAsia="en-GB"/>
              </w:rPr>
            </w:pPr>
            <w:r w:rsidRPr="008340BB">
              <w:rPr>
                <w:b/>
                <w:bCs/>
                <w:sz w:val="20"/>
                <w:lang w:val="en-GB" w:eastAsia="en-GB"/>
              </w:rPr>
              <w:t>Category of region</w:t>
            </w:r>
          </w:p>
        </w:tc>
        <w:tc>
          <w:tcPr>
            <w:tcW w:w="2693" w:type="dxa"/>
          </w:tcPr>
          <w:p w14:paraId="01588D8B" w14:textId="77777777" w:rsidR="00F1341F" w:rsidRPr="008340BB" w:rsidRDefault="00F1341F" w:rsidP="00F03C1E">
            <w:pPr>
              <w:jc w:val="center"/>
              <w:rPr>
                <w:sz w:val="20"/>
              </w:rPr>
            </w:pPr>
            <w:r w:rsidRPr="008340BB">
              <w:rPr>
                <w:b/>
                <w:sz w:val="18"/>
                <w:szCs w:val="18"/>
              </w:rPr>
              <w:t>Code</w:t>
            </w:r>
          </w:p>
        </w:tc>
        <w:tc>
          <w:tcPr>
            <w:tcW w:w="2977" w:type="dxa"/>
          </w:tcPr>
          <w:p w14:paraId="3D3ABDAD" w14:textId="77777777" w:rsidR="00F1341F" w:rsidRPr="008340BB" w:rsidRDefault="00F1341F" w:rsidP="00F03C1E">
            <w:pPr>
              <w:jc w:val="center"/>
              <w:rPr>
                <w:sz w:val="20"/>
              </w:rPr>
            </w:pPr>
            <w:r w:rsidRPr="008340BB">
              <w:rPr>
                <w:b/>
                <w:sz w:val="18"/>
                <w:szCs w:val="18"/>
              </w:rPr>
              <w:t>Amount (EUR)</w:t>
            </w:r>
          </w:p>
        </w:tc>
      </w:tr>
      <w:tr w:rsidR="00F1341F" w:rsidRPr="008340BB" w14:paraId="5F46E14C" w14:textId="77777777" w:rsidTr="00D30B7A">
        <w:tc>
          <w:tcPr>
            <w:tcW w:w="1401" w:type="dxa"/>
          </w:tcPr>
          <w:p w14:paraId="2C1ABDA7" w14:textId="77777777" w:rsidR="00F1341F" w:rsidRPr="008340BB" w:rsidRDefault="00F1341F" w:rsidP="00F03C1E">
            <w:pPr>
              <w:pStyle w:val="Text1"/>
              <w:ind w:left="0"/>
              <w:jc w:val="left"/>
              <w:rPr>
                <w:sz w:val="18"/>
                <w:szCs w:val="18"/>
                <w:lang w:val="en-GB" w:eastAsia="en-GB"/>
              </w:rPr>
            </w:pPr>
            <w:r w:rsidRPr="008340BB">
              <w:rPr>
                <w:sz w:val="18"/>
                <w:szCs w:val="18"/>
                <w:lang w:val="en-GB" w:eastAsia="en-GB"/>
              </w:rPr>
              <w:t>N/A</w:t>
            </w:r>
          </w:p>
        </w:tc>
        <w:tc>
          <w:tcPr>
            <w:tcW w:w="1401" w:type="dxa"/>
          </w:tcPr>
          <w:p w14:paraId="18EA8BC2" w14:textId="77777777" w:rsidR="00F1341F" w:rsidRPr="008340BB" w:rsidRDefault="00F1341F" w:rsidP="00F03C1E">
            <w:pPr>
              <w:pStyle w:val="Text1"/>
              <w:ind w:left="0"/>
              <w:jc w:val="left"/>
              <w:rPr>
                <w:sz w:val="18"/>
                <w:szCs w:val="18"/>
                <w:lang w:val="en-GB" w:eastAsia="en-GB"/>
              </w:rPr>
            </w:pPr>
            <w:r w:rsidRPr="008340BB">
              <w:rPr>
                <w:sz w:val="18"/>
                <w:szCs w:val="18"/>
                <w:lang w:val="en-GB" w:eastAsia="en-GB"/>
              </w:rPr>
              <w:t>N/A</w:t>
            </w:r>
          </w:p>
        </w:tc>
        <w:tc>
          <w:tcPr>
            <w:tcW w:w="2693" w:type="dxa"/>
          </w:tcPr>
          <w:p w14:paraId="79004E04" w14:textId="77777777" w:rsidR="00F1341F" w:rsidRPr="008340BB" w:rsidRDefault="00F1341F" w:rsidP="00F03C1E">
            <w:pPr>
              <w:pStyle w:val="Text1"/>
              <w:ind w:left="0"/>
              <w:jc w:val="left"/>
              <w:rPr>
                <w:sz w:val="18"/>
                <w:szCs w:val="18"/>
                <w:lang w:val="en-GB" w:eastAsia="en-GB"/>
              </w:rPr>
            </w:pPr>
            <w:r w:rsidRPr="008340BB">
              <w:rPr>
                <w:sz w:val="18"/>
                <w:szCs w:val="18"/>
                <w:lang w:val="en-GB" w:eastAsia="en-GB"/>
              </w:rPr>
              <w:t>N/A</w:t>
            </w:r>
          </w:p>
        </w:tc>
        <w:tc>
          <w:tcPr>
            <w:tcW w:w="2977" w:type="dxa"/>
          </w:tcPr>
          <w:p w14:paraId="1BBDE6AB" w14:textId="77777777" w:rsidR="00F1341F" w:rsidRPr="008340BB" w:rsidRDefault="00F1341F" w:rsidP="00BC7B32">
            <w:pPr>
              <w:pStyle w:val="Text1"/>
              <w:ind w:left="0"/>
              <w:jc w:val="left"/>
              <w:rPr>
                <w:sz w:val="18"/>
                <w:szCs w:val="18"/>
                <w:lang w:val="en-GB" w:eastAsia="en-GB"/>
              </w:rPr>
            </w:pPr>
            <w:r w:rsidRPr="008340BB">
              <w:rPr>
                <w:sz w:val="18"/>
                <w:szCs w:val="18"/>
                <w:lang w:val="en-GB" w:eastAsia="en-GB"/>
              </w:rPr>
              <w:t>N/A</w:t>
            </w:r>
          </w:p>
        </w:tc>
      </w:tr>
    </w:tbl>
    <w:p w14:paraId="3D3DFCC6" w14:textId="77777777" w:rsidR="00F1341F" w:rsidRPr="008340BB" w:rsidRDefault="00F1341F" w:rsidP="003B600B"/>
    <w:p w14:paraId="0E16FB72" w14:textId="77777777" w:rsidR="00F1341F" w:rsidRPr="008340BB" w:rsidRDefault="00F1341F" w:rsidP="00E017FB">
      <w:r w:rsidRPr="008340BB">
        <w:rPr>
          <w:b/>
        </w:rPr>
        <w:t xml:space="preserve">2.A.1.9  Summary of the planned use of technical assistance  including, where necessary, actions to reinforce the administrative capacity of authorities involved in the management and control of the programmes and beneficiaries </w:t>
      </w:r>
      <w:r w:rsidRPr="008340BB" w:rsidDel="00A44429">
        <w:t xml:space="preserve"> </w:t>
      </w:r>
      <w:r w:rsidRPr="008340BB">
        <w:t>(where appropriate)</w:t>
      </w:r>
    </w:p>
    <w:p w14:paraId="22B8EAC8" w14:textId="77777777" w:rsidR="00F1341F" w:rsidRPr="008340BB" w:rsidRDefault="00F1341F" w:rsidP="00AF4F22">
      <w:r w:rsidRPr="008340BB">
        <w:t>(by priority axis)</w:t>
      </w:r>
    </w:p>
    <w:p w14:paraId="2B13AE22" w14:textId="77777777" w:rsidR="00F1341F" w:rsidRPr="008340BB" w:rsidRDefault="00F1341F" w:rsidP="00A44429">
      <w:r w:rsidRPr="008340BB">
        <w:t>(Reference: point (b)(vii) of Article 96(2) of Regulation (EU) No 1303/2013)</w:t>
      </w:r>
    </w:p>
    <w:p w14:paraId="2D0C2006" w14:textId="77777777" w:rsidR="00F1341F" w:rsidRPr="008340BB" w:rsidRDefault="00F1341F" w:rsidP="00BF3391">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3BB52675" w14:textId="77777777" w:rsidTr="00F03C1E">
        <w:trPr>
          <w:trHeight w:val="518"/>
        </w:trPr>
        <w:tc>
          <w:tcPr>
            <w:tcW w:w="2235" w:type="dxa"/>
          </w:tcPr>
          <w:p w14:paraId="45355F92" w14:textId="77777777" w:rsidR="00F1341F" w:rsidRPr="008340BB" w:rsidRDefault="00F1341F" w:rsidP="00F03C1E">
            <w:pPr>
              <w:rPr>
                <w:i/>
                <w:color w:val="8DB3E2"/>
                <w:sz w:val="18"/>
                <w:szCs w:val="18"/>
              </w:rPr>
            </w:pPr>
            <w:r w:rsidRPr="008340BB">
              <w:rPr>
                <w:i/>
              </w:rPr>
              <w:t>Priority axis</w:t>
            </w:r>
          </w:p>
        </w:tc>
        <w:tc>
          <w:tcPr>
            <w:tcW w:w="6443" w:type="dxa"/>
          </w:tcPr>
          <w:p w14:paraId="2BA03244" w14:textId="267F51D3" w:rsidR="00F1341F" w:rsidRPr="008340BB" w:rsidRDefault="00F1341F">
            <w:pPr>
              <w:rPr>
                <w:i/>
                <w:color w:val="8DB3E2"/>
                <w:sz w:val="18"/>
                <w:szCs w:val="18"/>
              </w:rPr>
            </w:pPr>
            <w:r w:rsidRPr="008340BB">
              <w:rPr>
                <w:i/>
                <w:szCs w:val="24"/>
              </w:rPr>
              <w:t xml:space="preserve">Development of railway infrastructure along the “core” </w:t>
            </w:r>
            <w:r w:rsidR="00FD4D2A" w:rsidRPr="00FD4D2A">
              <w:rPr>
                <w:i/>
                <w:szCs w:val="24"/>
              </w:rPr>
              <w:t>and “comprehensive”</w:t>
            </w:r>
            <w:r w:rsidR="00FD4D2A">
              <w:rPr>
                <w:i/>
                <w:szCs w:val="24"/>
              </w:rPr>
              <w:t xml:space="preserve"> </w:t>
            </w:r>
            <w:r w:rsidR="00BE1286">
              <w:rPr>
                <w:i/>
                <w:szCs w:val="24"/>
              </w:rPr>
              <w:t>TEN-T</w:t>
            </w:r>
          </w:p>
        </w:tc>
      </w:tr>
      <w:tr w:rsidR="00F1341F" w:rsidRPr="008340BB" w14:paraId="7849F431" w14:textId="77777777" w:rsidTr="00F03C1E">
        <w:trPr>
          <w:trHeight w:val="1662"/>
        </w:trPr>
        <w:tc>
          <w:tcPr>
            <w:tcW w:w="8678" w:type="dxa"/>
            <w:gridSpan w:val="2"/>
          </w:tcPr>
          <w:p w14:paraId="2F91227C" w14:textId="199648BF" w:rsidR="00F1341F" w:rsidRPr="008340BB" w:rsidRDefault="00F1341F" w:rsidP="00E053D5">
            <w:pPr>
              <w:suppressAutoHyphens/>
              <w:rPr>
                <w:lang w:eastAsia="bg-BG"/>
              </w:rPr>
            </w:pPr>
            <w:r w:rsidRPr="008340BB">
              <w:rPr>
                <w:lang w:eastAsia="bg-BG"/>
              </w:rPr>
              <w:lastRenderedPageBreak/>
              <w:t xml:space="preserve">Technical assistance is planned for preparation/completion of preparation of investment projects for development of railway infrastructure along the Trans-European transport network of the country, </w:t>
            </w:r>
            <w:r w:rsidR="00FD4D2A">
              <w:rPr>
                <w:lang w:eastAsia="bg-BG"/>
              </w:rPr>
              <w:t>planne</w:t>
            </w:r>
            <w:r w:rsidR="00656982">
              <w:rPr>
                <w:lang w:eastAsia="bg-BG"/>
              </w:rPr>
              <w:t>d for funding under priority axis 1 or</w:t>
            </w:r>
            <w:r w:rsidR="00FD4D2A">
              <w:rPr>
                <w:lang w:eastAsia="bg-BG"/>
              </w:rPr>
              <w:t xml:space="preserve"> </w:t>
            </w:r>
            <w:r w:rsidR="00656982">
              <w:rPr>
                <w:lang w:eastAsia="bg-BG"/>
              </w:rPr>
              <w:t>for the</w:t>
            </w:r>
            <w:r w:rsidR="00FD4D2A">
              <w:rPr>
                <w:lang w:eastAsia="bg-BG"/>
              </w:rPr>
              <w:t xml:space="preserve"> </w:t>
            </w:r>
            <w:r w:rsidR="00656982">
              <w:rPr>
                <w:lang w:eastAsia="bg-BG"/>
              </w:rPr>
              <w:t>next programming period</w:t>
            </w:r>
            <w:r w:rsidR="00FD4D2A">
              <w:rPr>
                <w:lang w:eastAsia="bg-BG"/>
              </w:rPr>
              <w:t xml:space="preserve">, </w:t>
            </w:r>
            <w:r w:rsidRPr="008340BB">
              <w:rPr>
                <w:lang w:eastAsia="bg-BG"/>
              </w:rPr>
              <w:t xml:space="preserve">including studies, „cost-benefit” analysis, environmental impact assessment, design, impact evaluation, etc. Additionally </w:t>
            </w:r>
            <w:r w:rsidR="0051360C">
              <w:rPr>
                <w:lang w:eastAsia="bg-BG"/>
              </w:rPr>
              <w:t xml:space="preserve">to the projects planned for funding under PA 1 </w:t>
            </w:r>
            <w:r w:rsidRPr="008340BB">
              <w:rPr>
                <w:lang w:eastAsia="bg-BG"/>
              </w:rPr>
              <w:t>it is envisaged the</w:t>
            </w:r>
            <w:r w:rsidR="00E15980">
              <w:rPr>
                <w:lang w:eastAsia="bg-BG"/>
              </w:rPr>
              <w:t xml:space="preserve"> preparation of</w:t>
            </w:r>
            <w:r w:rsidRPr="008340BB">
              <w:rPr>
                <w:lang w:eastAsia="bg-BG"/>
              </w:rPr>
              <w:t xml:space="preserve"> project “Modernisation of the railway line </w:t>
            </w:r>
            <w:r w:rsidR="00B72725">
              <w:rPr>
                <w:lang w:eastAsia="bg-BG"/>
              </w:rPr>
              <w:t>Sofia-Pernik-</w:t>
            </w:r>
            <w:r w:rsidRPr="008340BB">
              <w:rPr>
                <w:lang w:eastAsia="bg-BG"/>
              </w:rPr>
              <w:t>Radomir</w:t>
            </w:r>
            <w:r w:rsidR="00FF61C9">
              <w:rPr>
                <w:lang w:eastAsia="bg-BG"/>
              </w:rPr>
              <w:t>–</w:t>
            </w:r>
            <w:r w:rsidR="00F411E9" w:rsidRPr="008340BB">
              <w:rPr>
                <w:lang w:eastAsia="bg-BG"/>
              </w:rPr>
              <w:t xml:space="preserve"> </w:t>
            </w:r>
            <w:r w:rsidRPr="008340BB">
              <w:rPr>
                <w:lang w:eastAsia="bg-BG"/>
              </w:rPr>
              <w:t>Gueshevo</w:t>
            </w:r>
            <w:r w:rsidR="00FF61C9">
              <w:rPr>
                <w:lang w:eastAsia="bg-BG"/>
              </w:rPr>
              <w:t>-</w:t>
            </w:r>
            <w:r w:rsidR="00B02FAF">
              <w:rPr>
                <w:lang w:eastAsia="bg-BG"/>
              </w:rPr>
              <w:t xml:space="preserve">North </w:t>
            </w:r>
            <w:r w:rsidR="00FF61C9">
              <w:rPr>
                <w:lang w:eastAsia="bg-BG"/>
              </w:rPr>
              <w:t>Macedonian border</w:t>
            </w:r>
            <w:r w:rsidRPr="008340BB">
              <w:rPr>
                <w:lang w:eastAsia="bg-BG"/>
              </w:rPr>
              <w:t>”.</w:t>
            </w:r>
          </w:p>
          <w:p w14:paraId="6DE4A990" w14:textId="1BA48446" w:rsidR="00F1341F" w:rsidRPr="00EA70F3" w:rsidRDefault="00F1341F">
            <w:pPr>
              <w:suppressAutoHyphens/>
              <w:rPr>
                <w:lang w:eastAsia="bg-BG"/>
              </w:rPr>
            </w:pPr>
            <w:r w:rsidRPr="008340BB">
              <w:rPr>
                <w:lang w:eastAsia="bg-BG"/>
              </w:rPr>
              <w:t>Any activities, related to ensuring the administrative capacity of National Railway Infrastructure Company</w:t>
            </w:r>
            <w:r w:rsidR="00C5758C">
              <w:rPr>
                <w:lang w:eastAsia="bg-BG"/>
              </w:rPr>
              <w:t xml:space="preserve"> and Metropolitan</w:t>
            </w:r>
            <w:r w:rsidRPr="008340BB">
              <w:rPr>
                <w:lang w:eastAsia="bg-BG"/>
              </w:rPr>
              <w:t xml:space="preserve">, will be funded under the </w:t>
            </w:r>
            <w:r w:rsidR="00664211">
              <w:rPr>
                <w:lang w:eastAsia="bg-BG"/>
              </w:rPr>
              <w:t>p</w:t>
            </w:r>
            <w:r w:rsidRPr="008340BB">
              <w:rPr>
                <w:lang w:eastAsia="bg-BG"/>
              </w:rPr>
              <w:t>riority axis 5</w:t>
            </w:r>
            <w:r w:rsidR="008C03A8" w:rsidRPr="008340BB" w:rsidDel="008C03A8">
              <w:rPr>
                <w:lang w:eastAsia="bg-BG"/>
              </w:rPr>
              <w:t xml:space="preserve"> </w:t>
            </w:r>
            <w:r w:rsidR="00EA70F3">
              <w:rPr>
                <w:lang w:eastAsia="bg-BG"/>
              </w:rPr>
              <w:t>“Technical assistance”.</w:t>
            </w:r>
          </w:p>
        </w:tc>
      </w:tr>
    </w:tbl>
    <w:p w14:paraId="4829F7CF" w14:textId="77777777" w:rsidR="00F1341F" w:rsidRPr="008340BB" w:rsidRDefault="00F1341F" w:rsidP="003B600B"/>
    <w:p w14:paraId="0D148B5B" w14:textId="77777777" w:rsidR="00F1341F" w:rsidRPr="008340BB" w:rsidRDefault="00F1341F" w:rsidP="003B600B">
      <w:r w:rsidRPr="008340BB">
        <w:br w:type="page"/>
      </w:r>
    </w:p>
    <w:p w14:paraId="6832DCA7" w14:textId="77777777" w:rsidR="00F1341F" w:rsidRPr="008340BB" w:rsidRDefault="00F1341F" w:rsidP="00F936EB">
      <w:pPr>
        <w:tabs>
          <w:tab w:val="left" w:pos="1080"/>
        </w:tabs>
        <w:rPr>
          <w:b/>
        </w:rPr>
      </w:pPr>
      <w:r w:rsidRPr="008340BB">
        <w:rPr>
          <w:b/>
        </w:rPr>
        <w:lastRenderedPageBreak/>
        <w:t xml:space="preserve">2.A.2 </w:t>
      </w:r>
      <w:r w:rsidRPr="00D26234">
        <w:rPr>
          <w:b/>
        </w:rPr>
        <w:t xml:space="preserve">Priority axis “Development of road infrastructure along the „core” and “comprehensive” </w:t>
      </w:r>
      <w:r w:rsidR="00BE1286" w:rsidRPr="00D26234">
        <w:rPr>
          <w:b/>
        </w:rPr>
        <w:t>TEN-T</w:t>
      </w:r>
      <w:r w:rsidRPr="00D26234">
        <w:rPr>
          <w:b/>
        </w:rPr>
        <w:t>”</w:t>
      </w:r>
    </w:p>
    <w:p w14:paraId="0247CE29" w14:textId="77777777" w:rsidR="00F1341F" w:rsidRPr="008340BB" w:rsidRDefault="00F1341F" w:rsidP="008B4180">
      <w:pPr>
        <w:ind w:left="1418" w:hanging="1418"/>
        <w:rPr>
          <w:b/>
        </w:rPr>
      </w:pPr>
    </w:p>
    <w:p w14:paraId="17BCA60E" w14:textId="77777777" w:rsidR="00F1341F" w:rsidRPr="008340BB" w:rsidRDefault="00F1341F" w:rsidP="008B4180">
      <w:pPr>
        <w:ind w:left="1418" w:hanging="1418"/>
      </w:pPr>
      <w:r w:rsidRPr="008340BB">
        <w:rPr>
          <w:b/>
        </w:rPr>
        <w:t>2.A.2.1</w:t>
      </w:r>
      <w:r w:rsidRPr="008340BB">
        <w:rPr>
          <w:b/>
        </w:rPr>
        <w:tab/>
        <w:t xml:space="preserve">Justification for the establishment of a priority axis covering more than one category of region, thematic objective or Fund </w:t>
      </w:r>
      <w:r w:rsidRPr="008340BB">
        <w:t xml:space="preserve"> (where applicable)</w:t>
      </w:r>
    </w:p>
    <w:p w14:paraId="3B3B328B" w14:textId="77777777" w:rsidR="00F1341F" w:rsidRPr="008340BB" w:rsidRDefault="00F1341F" w:rsidP="008B4180">
      <w:pPr>
        <w:ind w:left="1418" w:hanging="1418"/>
      </w:pPr>
      <w:r w:rsidRPr="008340BB">
        <w:t>(Reference: Article 96(1) of Regulation (EU) No 1303/2013)</w:t>
      </w:r>
    </w:p>
    <w:p w14:paraId="690EC59A" w14:textId="77777777" w:rsidR="00F1341F" w:rsidRPr="008340BB" w:rsidRDefault="00F1341F" w:rsidP="008B4180">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F1341F" w:rsidRPr="008340BB" w14:paraId="2D9A7DBC" w14:textId="77777777" w:rsidTr="00067686">
        <w:tc>
          <w:tcPr>
            <w:tcW w:w="9286" w:type="dxa"/>
          </w:tcPr>
          <w:p w14:paraId="76BF8D3E" w14:textId="77777777" w:rsidR="00F1341F" w:rsidRPr="008340BB" w:rsidRDefault="00F1341F" w:rsidP="00067686">
            <w:pPr>
              <w:pStyle w:val="Text1"/>
              <w:ind w:left="0"/>
              <w:rPr>
                <w:i/>
                <w:color w:val="4F81BD"/>
                <w:sz w:val="20"/>
                <w:lang w:val="en-GB" w:eastAsia="en-GB"/>
              </w:rPr>
            </w:pPr>
            <w:r w:rsidRPr="008340BB">
              <w:rPr>
                <w:i/>
                <w:color w:val="4F81BD"/>
                <w:sz w:val="20"/>
                <w:lang w:val="en-GB" w:eastAsia="en-GB"/>
              </w:rPr>
              <w:t xml:space="preserve"> </w:t>
            </w:r>
            <w:r w:rsidRPr="008340BB">
              <w:rPr>
                <w:sz w:val="24"/>
                <w:szCs w:val="24"/>
                <w:lang w:val="en-GB" w:eastAsia="en-GB"/>
              </w:rPr>
              <w:t>Priority axis doesn’t cover more than one category of region, thematic objective or fund.</w:t>
            </w:r>
          </w:p>
        </w:tc>
      </w:tr>
    </w:tbl>
    <w:p w14:paraId="1AD652AA" w14:textId="77777777" w:rsidR="00F1341F" w:rsidRPr="008340BB" w:rsidRDefault="00F1341F" w:rsidP="008B418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4962"/>
      </w:tblGrid>
      <w:tr w:rsidR="00F1341F" w:rsidRPr="008340BB" w14:paraId="3BC2B23C" w14:textId="77777777" w:rsidTr="00067686">
        <w:trPr>
          <w:trHeight w:val="491"/>
        </w:trPr>
        <w:tc>
          <w:tcPr>
            <w:tcW w:w="3510" w:type="dxa"/>
          </w:tcPr>
          <w:p w14:paraId="2B2E1488" w14:textId="77777777" w:rsidR="00F1341F" w:rsidRPr="008340BB" w:rsidRDefault="00F1341F" w:rsidP="00067686">
            <w:pPr>
              <w:rPr>
                <w:i/>
              </w:rPr>
            </w:pPr>
            <w:r w:rsidRPr="008340BB">
              <w:t>ID of the priority axis</w:t>
            </w:r>
          </w:p>
        </w:tc>
        <w:tc>
          <w:tcPr>
            <w:tcW w:w="4962" w:type="dxa"/>
          </w:tcPr>
          <w:p w14:paraId="21D677E8" w14:textId="77777777" w:rsidR="00F1341F" w:rsidRPr="008340BB" w:rsidRDefault="00F1341F" w:rsidP="00067686">
            <w:pPr>
              <w:pStyle w:val="Text1"/>
              <w:ind w:left="0"/>
              <w:jc w:val="left"/>
              <w:rPr>
                <w:i/>
                <w:color w:val="8DB3E2"/>
                <w:sz w:val="18"/>
                <w:szCs w:val="18"/>
                <w:lang w:val="en-GB" w:eastAsia="en-GB"/>
              </w:rPr>
            </w:pPr>
            <w:r w:rsidRPr="008340BB">
              <w:rPr>
                <w:sz w:val="24"/>
                <w:szCs w:val="24"/>
                <w:lang w:val="en-GB" w:eastAsia="en-GB"/>
              </w:rPr>
              <w:t>2</w:t>
            </w:r>
          </w:p>
        </w:tc>
      </w:tr>
      <w:tr w:rsidR="00F1341F" w:rsidRPr="008340BB" w14:paraId="737217F8" w14:textId="77777777" w:rsidTr="00067686">
        <w:trPr>
          <w:trHeight w:val="422"/>
        </w:trPr>
        <w:tc>
          <w:tcPr>
            <w:tcW w:w="3510" w:type="dxa"/>
          </w:tcPr>
          <w:p w14:paraId="373C6F0E" w14:textId="77777777" w:rsidR="00F1341F" w:rsidRPr="008340BB" w:rsidRDefault="00F1341F" w:rsidP="00067686">
            <w:pPr>
              <w:rPr>
                <w:i/>
              </w:rPr>
            </w:pPr>
            <w:r w:rsidRPr="008340BB">
              <w:t>Title of the priority axis</w:t>
            </w:r>
          </w:p>
        </w:tc>
        <w:tc>
          <w:tcPr>
            <w:tcW w:w="4962" w:type="dxa"/>
          </w:tcPr>
          <w:p w14:paraId="247D3BF6" w14:textId="77777777" w:rsidR="00F1341F" w:rsidRPr="008340BB" w:rsidRDefault="00F1341F">
            <w:pPr>
              <w:tabs>
                <w:tab w:val="left" w:pos="1080"/>
              </w:tabs>
            </w:pPr>
            <w:r w:rsidRPr="008340BB">
              <w:t>Development of road infrastructure along the „core” and “comprehensive”</w:t>
            </w:r>
            <w:r w:rsidRPr="008340BB">
              <w:rPr>
                <w:b/>
              </w:rPr>
              <w:t xml:space="preserve"> </w:t>
            </w:r>
            <w:r w:rsidR="00BE1286">
              <w:t>TEN-T</w:t>
            </w:r>
          </w:p>
        </w:tc>
      </w:tr>
    </w:tbl>
    <w:p w14:paraId="7B0E697F" w14:textId="77777777" w:rsidR="00F1341F" w:rsidRPr="008340BB" w:rsidRDefault="00F1341F" w:rsidP="008B4180">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6"/>
        <w:gridCol w:w="2352"/>
      </w:tblGrid>
      <w:tr w:rsidR="00F1341F" w:rsidRPr="008340BB" w14:paraId="3181E19C" w14:textId="77777777" w:rsidTr="00067686">
        <w:tc>
          <w:tcPr>
            <w:tcW w:w="4986" w:type="dxa"/>
          </w:tcPr>
          <w:p w14:paraId="72F21642" w14:textId="77777777" w:rsidR="00F1341F" w:rsidRPr="008340BB" w:rsidRDefault="009B1DD8" w:rsidP="00067686">
            <w:pPr>
              <w:pStyle w:val="Text3"/>
              <w:ind w:left="0"/>
            </w:pPr>
            <w:r w:rsidRPr="00435AC3">
              <w:fldChar w:fldCharType="begin">
                <w:ffData>
                  <w:name w:val="Check1"/>
                  <w:enabled/>
                  <w:calcOnExit w:val="0"/>
                  <w:checkBox>
                    <w:sizeAuto/>
                    <w:default w:val="0"/>
                  </w:checkBox>
                </w:ffData>
              </w:fldChar>
            </w:r>
            <w:r w:rsidR="00F1341F" w:rsidRPr="008340BB">
              <w:instrText xml:space="preserve"> FORMCHECKBOX </w:instrText>
            </w:r>
            <w:r w:rsidR="004956FB">
              <w:fldChar w:fldCharType="separate"/>
            </w:r>
            <w:r w:rsidRPr="00435AC3">
              <w:fldChar w:fldCharType="end"/>
            </w:r>
            <w:r w:rsidR="00F1341F" w:rsidRPr="008340BB">
              <w:t xml:space="preserve">  The entire priority axis will be implemented solely through financial instruments </w:t>
            </w:r>
          </w:p>
          <w:p w14:paraId="4C4CDC2F" w14:textId="77777777" w:rsidR="00F1341F" w:rsidRPr="008340BB" w:rsidRDefault="00F1341F" w:rsidP="00067686">
            <w:pPr>
              <w:pStyle w:val="Text3"/>
              <w:ind w:left="0"/>
            </w:pPr>
          </w:p>
        </w:tc>
        <w:tc>
          <w:tcPr>
            <w:tcW w:w="2352" w:type="dxa"/>
          </w:tcPr>
          <w:p w14:paraId="3BA7DACE" w14:textId="77777777" w:rsidR="00F1341F" w:rsidRPr="008340BB" w:rsidRDefault="00F1341F" w:rsidP="00067686">
            <w:pPr>
              <w:pStyle w:val="Text3"/>
              <w:ind w:left="0"/>
            </w:pPr>
            <w:r w:rsidRPr="008340BB">
              <w:rPr>
                <w:i/>
                <w:sz w:val="18"/>
                <w:szCs w:val="18"/>
              </w:rPr>
              <w:t>N/A</w:t>
            </w:r>
          </w:p>
        </w:tc>
      </w:tr>
      <w:tr w:rsidR="00F1341F" w:rsidRPr="008340BB" w14:paraId="12EAB55E" w14:textId="77777777" w:rsidTr="0072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3"/>
        </w:trPr>
        <w:tc>
          <w:tcPr>
            <w:tcW w:w="4986" w:type="dxa"/>
          </w:tcPr>
          <w:p w14:paraId="5EB8F02B" w14:textId="77777777" w:rsidR="00F1341F" w:rsidRPr="008340BB" w:rsidRDefault="009B1DD8" w:rsidP="00067686">
            <w:pPr>
              <w:pStyle w:val="Text3"/>
              <w:ind w:left="0"/>
            </w:pPr>
            <w:r w:rsidRPr="00435AC3">
              <w:fldChar w:fldCharType="begin">
                <w:ffData>
                  <w:name w:val="Check2"/>
                  <w:enabled/>
                  <w:calcOnExit w:val="0"/>
                  <w:checkBox>
                    <w:sizeAuto/>
                    <w:default w:val="0"/>
                  </w:checkBox>
                </w:ffData>
              </w:fldChar>
            </w:r>
            <w:r w:rsidR="00F1341F" w:rsidRPr="008340BB">
              <w:instrText xml:space="preserve"> FORMCHECKBOX </w:instrText>
            </w:r>
            <w:r w:rsidR="004956FB">
              <w:fldChar w:fldCharType="separate"/>
            </w:r>
            <w:r w:rsidRPr="00435AC3">
              <w:fldChar w:fldCharType="end"/>
            </w:r>
            <w:r w:rsidR="00F1341F" w:rsidRPr="008340BB">
              <w:t xml:space="preserve">  The entire priority axis will be implemented solely though financial instruments set up at Union level </w:t>
            </w:r>
          </w:p>
          <w:p w14:paraId="77E27AEF" w14:textId="77777777" w:rsidR="00F1341F" w:rsidRPr="008340BB" w:rsidRDefault="00F1341F" w:rsidP="00067686">
            <w:pPr>
              <w:pStyle w:val="Text3"/>
              <w:ind w:left="0"/>
            </w:pPr>
          </w:p>
        </w:tc>
        <w:tc>
          <w:tcPr>
            <w:tcW w:w="2352" w:type="dxa"/>
          </w:tcPr>
          <w:p w14:paraId="46931072" w14:textId="77777777" w:rsidR="00F1341F" w:rsidRPr="008340BB" w:rsidRDefault="00F1341F" w:rsidP="00067686">
            <w:pPr>
              <w:pStyle w:val="Text3"/>
              <w:ind w:left="0"/>
            </w:pPr>
            <w:r w:rsidRPr="008340BB">
              <w:rPr>
                <w:i/>
                <w:sz w:val="18"/>
                <w:szCs w:val="18"/>
              </w:rPr>
              <w:t>N/A</w:t>
            </w:r>
          </w:p>
        </w:tc>
      </w:tr>
      <w:tr w:rsidR="00F1341F" w:rsidRPr="008340BB" w14:paraId="3A9E8D0F" w14:textId="77777777" w:rsidTr="00067686">
        <w:tc>
          <w:tcPr>
            <w:tcW w:w="4986" w:type="dxa"/>
          </w:tcPr>
          <w:p w14:paraId="513C835B" w14:textId="77777777" w:rsidR="00F1341F" w:rsidRPr="008340BB" w:rsidRDefault="009B1DD8" w:rsidP="00067686">
            <w:pPr>
              <w:pStyle w:val="Text3"/>
              <w:ind w:left="0"/>
            </w:pPr>
            <w:r w:rsidRPr="00435AC3">
              <w:fldChar w:fldCharType="begin">
                <w:ffData>
                  <w:name w:val="Check3"/>
                  <w:enabled/>
                  <w:calcOnExit w:val="0"/>
                  <w:checkBox>
                    <w:sizeAuto/>
                    <w:default w:val="0"/>
                  </w:checkBox>
                </w:ffData>
              </w:fldChar>
            </w:r>
            <w:r w:rsidR="00F1341F" w:rsidRPr="008340BB">
              <w:instrText xml:space="preserve"> FORMCHECKBOX </w:instrText>
            </w:r>
            <w:r w:rsidR="004956FB">
              <w:fldChar w:fldCharType="separate"/>
            </w:r>
            <w:r w:rsidRPr="00435AC3">
              <w:fldChar w:fldCharType="end"/>
            </w:r>
            <w:r w:rsidR="00F1341F" w:rsidRPr="008340BB">
              <w:t xml:space="preserve"> The entire priority axis will be implemented through community-led local development</w:t>
            </w:r>
          </w:p>
          <w:p w14:paraId="19881A58" w14:textId="77777777" w:rsidR="00F1341F" w:rsidRPr="008340BB" w:rsidRDefault="00F1341F" w:rsidP="00067686">
            <w:pPr>
              <w:pStyle w:val="Text3"/>
              <w:ind w:left="0"/>
            </w:pPr>
          </w:p>
        </w:tc>
        <w:tc>
          <w:tcPr>
            <w:tcW w:w="2352" w:type="dxa"/>
          </w:tcPr>
          <w:p w14:paraId="1567651C" w14:textId="77777777" w:rsidR="00F1341F" w:rsidRPr="008340BB" w:rsidRDefault="00F1341F" w:rsidP="00067686">
            <w:pPr>
              <w:pStyle w:val="Text3"/>
              <w:ind w:left="0"/>
            </w:pPr>
            <w:r w:rsidRPr="008340BB">
              <w:rPr>
                <w:i/>
                <w:sz w:val="18"/>
                <w:szCs w:val="18"/>
              </w:rPr>
              <w:t>N/A</w:t>
            </w:r>
          </w:p>
        </w:tc>
      </w:tr>
      <w:tr w:rsidR="00F1341F" w:rsidRPr="008340BB" w14:paraId="2DA1C2F7" w14:textId="77777777" w:rsidTr="00067686">
        <w:tc>
          <w:tcPr>
            <w:tcW w:w="4986" w:type="dxa"/>
          </w:tcPr>
          <w:p w14:paraId="6F964087" w14:textId="77777777" w:rsidR="00F1341F" w:rsidRPr="008340BB" w:rsidRDefault="009B1DD8" w:rsidP="00067686">
            <w:pPr>
              <w:pStyle w:val="Text3"/>
              <w:ind w:left="0"/>
            </w:pPr>
            <w:r w:rsidRPr="00435AC3">
              <w:fldChar w:fldCharType="begin">
                <w:ffData>
                  <w:name w:val="Check3"/>
                  <w:enabled/>
                  <w:calcOnExit w:val="0"/>
                  <w:checkBox>
                    <w:sizeAuto/>
                    <w:default w:val="0"/>
                  </w:checkBox>
                </w:ffData>
              </w:fldChar>
            </w:r>
            <w:r w:rsidR="00F1341F" w:rsidRPr="008340BB">
              <w:instrText xml:space="preserve"> FORMCHECKBOX </w:instrText>
            </w:r>
            <w:r w:rsidR="004956FB">
              <w:fldChar w:fldCharType="separate"/>
            </w:r>
            <w:r w:rsidRPr="00435AC3">
              <w:fldChar w:fldCharType="end"/>
            </w:r>
            <w:r w:rsidR="00F1341F" w:rsidRPr="008340BB">
              <w:t xml:space="preserve"> For the ESF: The entire priority axis is dedicated to social innovation or to transnational cooperation, or both</w:t>
            </w:r>
            <w:r w:rsidR="00F1341F" w:rsidRPr="008340BB">
              <w:rPr>
                <w:i/>
              </w:rPr>
              <w:t xml:space="preserve"> </w:t>
            </w:r>
          </w:p>
        </w:tc>
        <w:tc>
          <w:tcPr>
            <w:tcW w:w="2352" w:type="dxa"/>
          </w:tcPr>
          <w:p w14:paraId="72367134" w14:textId="77777777" w:rsidR="00F1341F" w:rsidRPr="008340BB" w:rsidRDefault="00F1341F" w:rsidP="00067686">
            <w:pPr>
              <w:pStyle w:val="Text3"/>
              <w:ind w:left="0"/>
            </w:pPr>
            <w:r w:rsidRPr="008340BB">
              <w:rPr>
                <w:i/>
                <w:sz w:val="18"/>
                <w:szCs w:val="18"/>
              </w:rPr>
              <w:t>N/A</w:t>
            </w:r>
          </w:p>
        </w:tc>
      </w:tr>
    </w:tbl>
    <w:p w14:paraId="31C146F0" w14:textId="77777777" w:rsidR="00F1341F" w:rsidRPr="008340BB" w:rsidRDefault="00F1341F" w:rsidP="008B4180">
      <w:pPr>
        <w:rPr>
          <w:b/>
        </w:rPr>
      </w:pPr>
      <w:r w:rsidRPr="008340BB">
        <w:rPr>
          <w:b/>
        </w:rPr>
        <w:t>2.A.2.2  Fund,  category of region and calculation basis for Union support</w:t>
      </w:r>
    </w:p>
    <w:p w14:paraId="5ECB2A6B" w14:textId="77777777" w:rsidR="00F1341F" w:rsidRPr="008340BB" w:rsidRDefault="00F1341F" w:rsidP="008B4180">
      <w:pPr>
        <w:rPr>
          <w:b/>
        </w:rPr>
      </w:pPr>
      <w:r w:rsidRPr="008340BB">
        <w:t>(Repeated for each combination under a priority axis)</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4962"/>
      </w:tblGrid>
      <w:tr w:rsidR="00F1341F" w:rsidRPr="008340BB" w14:paraId="352DC6FA" w14:textId="77777777" w:rsidTr="00067686">
        <w:tc>
          <w:tcPr>
            <w:tcW w:w="3544" w:type="dxa"/>
          </w:tcPr>
          <w:p w14:paraId="332744C8" w14:textId="77777777" w:rsidR="00F1341F" w:rsidRPr="008340BB" w:rsidRDefault="00F1341F" w:rsidP="00067686">
            <w:pPr>
              <w:rPr>
                <w:i/>
              </w:rPr>
            </w:pPr>
            <w:r w:rsidRPr="008340BB">
              <w:rPr>
                <w:i/>
              </w:rPr>
              <w:t>Fund</w:t>
            </w:r>
          </w:p>
        </w:tc>
        <w:tc>
          <w:tcPr>
            <w:tcW w:w="4962" w:type="dxa"/>
          </w:tcPr>
          <w:p w14:paraId="04867471" w14:textId="77777777" w:rsidR="00F1341F" w:rsidRPr="008340BB" w:rsidRDefault="00F1341F" w:rsidP="00067686">
            <w:pPr>
              <w:jc w:val="left"/>
              <w:rPr>
                <w:i/>
                <w:color w:val="8DB3E2"/>
                <w:sz w:val="18"/>
                <w:szCs w:val="18"/>
              </w:rPr>
            </w:pPr>
            <w:r w:rsidRPr="008340BB">
              <w:rPr>
                <w:i/>
                <w:szCs w:val="24"/>
              </w:rPr>
              <w:t>Cohesion Fund</w:t>
            </w:r>
            <w:r w:rsidRPr="008340BB">
              <w:rPr>
                <w:i/>
                <w:color w:val="8DB3E2"/>
                <w:sz w:val="18"/>
                <w:szCs w:val="18"/>
              </w:rPr>
              <w:t xml:space="preserve"> </w:t>
            </w:r>
          </w:p>
        </w:tc>
      </w:tr>
      <w:tr w:rsidR="00F1341F" w:rsidRPr="008340BB" w14:paraId="2C3A7574" w14:textId="77777777" w:rsidTr="00067686">
        <w:tc>
          <w:tcPr>
            <w:tcW w:w="3544" w:type="dxa"/>
          </w:tcPr>
          <w:p w14:paraId="383739F1" w14:textId="77777777" w:rsidR="00F1341F" w:rsidRPr="008340BB" w:rsidRDefault="00F1341F" w:rsidP="00067686">
            <w:pPr>
              <w:rPr>
                <w:i/>
              </w:rPr>
            </w:pPr>
            <w:r w:rsidRPr="008340BB">
              <w:rPr>
                <w:i/>
              </w:rPr>
              <w:t>Category of region</w:t>
            </w:r>
          </w:p>
        </w:tc>
        <w:tc>
          <w:tcPr>
            <w:tcW w:w="4962" w:type="dxa"/>
          </w:tcPr>
          <w:p w14:paraId="39B69337" w14:textId="77777777" w:rsidR="00F1341F" w:rsidRPr="008340BB" w:rsidRDefault="00F1341F" w:rsidP="00067686">
            <w:pPr>
              <w:jc w:val="left"/>
              <w:rPr>
                <w:i/>
                <w:color w:val="8DB3E2"/>
                <w:sz w:val="18"/>
                <w:szCs w:val="18"/>
              </w:rPr>
            </w:pPr>
            <w:r w:rsidRPr="008340BB">
              <w:rPr>
                <w:i/>
                <w:szCs w:val="24"/>
              </w:rPr>
              <w:t xml:space="preserve">NA </w:t>
            </w:r>
            <w:r w:rsidRPr="008340BB">
              <w:rPr>
                <w:i/>
                <w:color w:val="8DB3E2"/>
                <w:sz w:val="18"/>
                <w:szCs w:val="18"/>
              </w:rPr>
              <w:t xml:space="preserve"> </w:t>
            </w:r>
          </w:p>
        </w:tc>
      </w:tr>
      <w:tr w:rsidR="00F1341F" w:rsidRPr="008340BB" w14:paraId="29389C5C" w14:textId="77777777" w:rsidTr="00067686">
        <w:tc>
          <w:tcPr>
            <w:tcW w:w="3544" w:type="dxa"/>
          </w:tcPr>
          <w:p w14:paraId="59B8C020" w14:textId="77777777" w:rsidR="00F1341F" w:rsidRPr="008340BB" w:rsidRDefault="00F1341F" w:rsidP="00067686">
            <w:pPr>
              <w:rPr>
                <w:i/>
              </w:rPr>
            </w:pPr>
            <w:r w:rsidRPr="008340BB">
              <w:rPr>
                <w:i/>
              </w:rPr>
              <w:t>Calculation basis (public or total)</w:t>
            </w:r>
          </w:p>
        </w:tc>
        <w:tc>
          <w:tcPr>
            <w:tcW w:w="4962" w:type="dxa"/>
          </w:tcPr>
          <w:p w14:paraId="1FAF756D" w14:textId="77777777" w:rsidR="00F1341F" w:rsidRPr="008340BB" w:rsidRDefault="00F1341F" w:rsidP="00067686">
            <w:pPr>
              <w:jc w:val="left"/>
              <w:rPr>
                <w:i/>
                <w:color w:val="8DB3E2"/>
                <w:sz w:val="18"/>
                <w:szCs w:val="18"/>
              </w:rPr>
            </w:pPr>
            <w:r w:rsidRPr="008340BB">
              <w:rPr>
                <w:i/>
                <w:szCs w:val="24"/>
              </w:rPr>
              <w:t>Public</w:t>
            </w:r>
          </w:p>
        </w:tc>
      </w:tr>
      <w:tr w:rsidR="00F1341F" w:rsidRPr="008340BB" w14:paraId="268C3786" w14:textId="77777777" w:rsidTr="00067686">
        <w:tc>
          <w:tcPr>
            <w:tcW w:w="3544" w:type="dxa"/>
          </w:tcPr>
          <w:p w14:paraId="7BD32D04" w14:textId="77777777" w:rsidR="00F1341F" w:rsidRPr="008340BB" w:rsidRDefault="00F1341F" w:rsidP="00067686">
            <w:pPr>
              <w:rPr>
                <w:i/>
              </w:rPr>
            </w:pPr>
            <w:r w:rsidRPr="008340BB">
              <w:rPr>
                <w:i/>
              </w:rPr>
              <w:t xml:space="preserve">Category of region for outermost regions and northern sparsely </w:t>
            </w:r>
            <w:r w:rsidRPr="008340BB">
              <w:rPr>
                <w:i/>
              </w:rPr>
              <w:lastRenderedPageBreak/>
              <w:t>populated</w:t>
            </w:r>
            <w:r w:rsidRPr="008340BB" w:rsidDel="00337CA8">
              <w:rPr>
                <w:i/>
              </w:rPr>
              <w:t xml:space="preserve"> </w:t>
            </w:r>
            <w:r w:rsidRPr="008340BB">
              <w:rPr>
                <w:i/>
              </w:rPr>
              <w:t xml:space="preserve"> regions (where applicable)</w:t>
            </w:r>
          </w:p>
        </w:tc>
        <w:tc>
          <w:tcPr>
            <w:tcW w:w="4962" w:type="dxa"/>
          </w:tcPr>
          <w:p w14:paraId="6F72EA1C" w14:textId="77777777" w:rsidR="00F1341F" w:rsidRPr="008340BB" w:rsidRDefault="00F1341F" w:rsidP="00067686">
            <w:pPr>
              <w:jc w:val="left"/>
              <w:rPr>
                <w:i/>
                <w:color w:val="8DB3E2"/>
                <w:sz w:val="18"/>
                <w:szCs w:val="18"/>
              </w:rPr>
            </w:pPr>
            <w:r w:rsidRPr="008340BB">
              <w:rPr>
                <w:i/>
                <w:color w:val="8DB3E2"/>
                <w:sz w:val="18"/>
                <w:szCs w:val="18"/>
              </w:rPr>
              <w:lastRenderedPageBreak/>
              <w:t xml:space="preserve"> </w:t>
            </w:r>
            <w:r w:rsidRPr="008340BB">
              <w:rPr>
                <w:i/>
                <w:szCs w:val="24"/>
              </w:rPr>
              <w:t>N/A</w:t>
            </w:r>
          </w:p>
        </w:tc>
      </w:tr>
    </w:tbl>
    <w:p w14:paraId="6C3AD330" w14:textId="77777777" w:rsidR="00F1341F" w:rsidRPr="008340BB" w:rsidRDefault="00F1341F" w:rsidP="008B4180">
      <w:pPr>
        <w:rPr>
          <w:i/>
        </w:rPr>
      </w:pPr>
    </w:p>
    <w:p w14:paraId="27C4CB87" w14:textId="77777777" w:rsidR="00F1341F" w:rsidRPr="008340BB" w:rsidRDefault="00F1341F" w:rsidP="008B4180">
      <w:r w:rsidRPr="008340BB">
        <w:rPr>
          <w:b/>
        </w:rPr>
        <w:t>2.A.2.3 Investment priority</w:t>
      </w:r>
      <w:r w:rsidRPr="008340BB">
        <w:t xml:space="preserve"> </w:t>
      </w:r>
    </w:p>
    <w:p w14:paraId="43C0D3E2" w14:textId="77777777" w:rsidR="00F1341F" w:rsidRPr="008340BB" w:rsidRDefault="00F1341F" w:rsidP="008B4180">
      <w:r w:rsidRPr="008340BB">
        <w:t xml:space="preserve"> (Repeated for each investment priority under the priority axis)</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4962"/>
      </w:tblGrid>
      <w:tr w:rsidR="00F1341F" w:rsidRPr="008340BB" w14:paraId="09BFEF05" w14:textId="77777777" w:rsidTr="00067686">
        <w:tc>
          <w:tcPr>
            <w:tcW w:w="3544" w:type="dxa"/>
          </w:tcPr>
          <w:p w14:paraId="578D56C6" w14:textId="77777777" w:rsidR="00F1341F" w:rsidRPr="008340BB" w:rsidRDefault="00F1341F" w:rsidP="00067686">
            <w:pPr>
              <w:rPr>
                <w:i/>
                <w:szCs w:val="24"/>
              </w:rPr>
            </w:pPr>
            <w:r w:rsidRPr="008340BB">
              <w:rPr>
                <w:b/>
                <w:bCs/>
                <w:i/>
                <w:szCs w:val="24"/>
                <w:lang w:eastAsia="bg-BG"/>
              </w:rPr>
              <w:t>ID of the investment priority</w:t>
            </w:r>
          </w:p>
        </w:tc>
        <w:tc>
          <w:tcPr>
            <w:tcW w:w="4962" w:type="dxa"/>
          </w:tcPr>
          <w:p w14:paraId="6446C351" w14:textId="77777777" w:rsidR="00F1341F" w:rsidRPr="008340BB" w:rsidRDefault="00F1341F">
            <w:pPr>
              <w:autoSpaceDE w:val="0"/>
              <w:autoSpaceDN w:val="0"/>
              <w:adjustRightInd w:val="0"/>
              <w:rPr>
                <w:i/>
                <w:color w:val="8DB3E2"/>
                <w:szCs w:val="24"/>
              </w:rPr>
            </w:pPr>
            <w:r w:rsidRPr="008340BB">
              <w:rPr>
                <w:i/>
                <w:szCs w:val="24"/>
                <w:lang w:eastAsia="bg-BG"/>
              </w:rPr>
              <w:t>7</w:t>
            </w:r>
            <w:r w:rsidR="00590AC5">
              <w:rPr>
                <w:i/>
                <w:szCs w:val="24"/>
                <w:lang w:eastAsia="bg-BG"/>
              </w:rPr>
              <w:t>(</w:t>
            </w:r>
            <w:r w:rsidRPr="008340BB">
              <w:rPr>
                <w:i/>
                <w:szCs w:val="24"/>
                <w:lang w:eastAsia="bg-BG"/>
              </w:rPr>
              <w:t>i</w:t>
            </w:r>
            <w:r w:rsidR="00EB6636">
              <w:rPr>
                <w:i/>
                <w:szCs w:val="24"/>
                <w:lang w:eastAsia="bg-BG"/>
              </w:rPr>
              <w:t>)</w:t>
            </w:r>
          </w:p>
        </w:tc>
      </w:tr>
      <w:tr w:rsidR="00F1341F" w:rsidRPr="008340BB" w14:paraId="22395951" w14:textId="77777777" w:rsidTr="00067686">
        <w:tc>
          <w:tcPr>
            <w:tcW w:w="3544" w:type="dxa"/>
          </w:tcPr>
          <w:p w14:paraId="23413835" w14:textId="77777777" w:rsidR="00F1341F" w:rsidRPr="008340BB" w:rsidRDefault="00F1341F" w:rsidP="00067686">
            <w:pPr>
              <w:rPr>
                <w:i/>
              </w:rPr>
            </w:pPr>
            <w:r w:rsidRPr="008340BB">
              <w:rPr>
                <w:i/>
              </w:rPr>
              <w:t>Investment priority</w:t>
            </w:r>
          </w:p>
        </w:tc>
        <w:tc>
          <w:tcPr>
            <w:tcW w:w="4962" w:type="dxa"/>
          </w:tcPr>
          <w:p w14:paraId="1816153C" w14:textId="77777777" w:rsidR="00F1341F" w:rsidRPr="008340BB" w:rsidRDefault="00F1341F">
            <w:pPr>
              <w:autoSpaceDE w:val="0"/>
              <w:autoSpaceDN w:val="0"/>
              <w:adjustRightInd w:val="0"/>
            </w:pPr>
            <w:r w:rsidRPr="008340BB">
              <w:rPr>
                <w:i/>
              </w:rPr>
              <w:t xml:space="preserve">Supporting a multi-modal Single European Transport Area by investing in </w:t>
            </w:r>
            <w:r w:rsidR="001800DF">
              <w:rPr>
                <w:i/>
              </w:rPr>
              <w:t>the TEN-T</w:t>
            </w:r>
          </w:p>
        </w:tc>
      </w:tr>
    </w:tbl>
    <w:p w14:paraId="0D244CF3" w14:textId="77777777" w:rsidR="00F1341F" w:rsidRPr="008340BB" w:rsidRDefault="00F1341F" w:rsidP="008B4180">
      <w:pPr>
        <w:rPr>
          <w:i/>
        </w:rPr>
      </w:pPr>
    </w:p>
    <w:p w14:paraId="44A8B58F" w14:textId="77777777" w:rsidR="00F1341F" w:rsidRPr="008340BB" w:rsidRDefault="00F1341F" w:rsidP="008B4180">
      <w:pPr>
        <w:rPr>
          <w:b/>
        </w:rPr>
      </w:pPr>
      <w:r w:rsidRPr="008340BB">
        <w:rPr>
          <w:b/>
        </w:rPr>
        <w:t xml:space="preserve">2.A.2.4  Specific objectives corresponding to the investment priority and expected results </w:t>
      </w:r>
    </w:p>
    <w:p w14:paraId="1749FA08" w14:textId="77777777" w:rsidR="00F1341F" w:rsidRPr="008340BB" w:rsidRDefault="00F1341F" w:rsidP="008B4180">
      <w:r w:rsidRPr="008340BB">
        <w:t>(Repeated for each specific objective under the investment priority)</w:t>
      </w:r>
    </w:p>
    <w:p w14:paraId="0C09B889" w14:textId="77777777" w:rsidR="00F1341F" w:rsidRPr="008340BB" w:rsidRDefault="00F1341F" w:rsidP="008B4180">
      <w:r w:rsidRPr="008340BB">
        <w:t xml:space="preserve"> (Reference: points (b)(i) and (ii) of the first subparagraph of Article 96(2) of Regulation (EU) No 1303/2013)</w:t>
      </w:r>
    </w:p>
    <w:p w14:paraId="6BF91903" w14:textId="77777777" w:rsidR="00F1341F" w:rsidRPr="008340BB" w:rsidRDefault="00F1341F" w:rsidP="008B418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5103"/>
      </w:tblGrid>
      <w:tr w:rsidR="00F1341F" w:rsidRPr="008340BB" w14:paraId="57F7D350" w14:textId="77777777" w:rsidTr="00067686">
        <w:trPr>
          <w:trHeight w:val="491"/>
        </w:trPr>
        <w:tc>
          <w:tcPr>
            <w:tcW w:w="3510" w:type="dxa"/>
          </w:tcPr>
          <w:p w14:paraId="4E417F9A" w14:textId="77777777" w:rsidR="00F1341F" w:rsidRPr="008340BB" w:rsidRDefault="00F1341F" w:rsidP="00067686">
            <w:pPr>
              <w:rPr>
                <w:i/>
              </w:rPr>
            </w:pPr>
            <w:r w:rsidRPr="008340BB">
              <w:rPr>
                <w:i/>
              </w:rPr>
              <w:t>ID</w:t>
            </w:r>
          </w:p>
        </w:tc>
        <w:tc>
          <w:tcPr>
            <w:tcW w:w="5103" w:type="dxa"/>
          </w:tcPr>
          <w:p w14:paraId="41C905FF" w14:textId="77777777" w:rsidR="00F1341F" w:rsidRPr="008340BB" w:rsidRDefault="00F1341F" w:rsidP="00067686">
            <w:pPr>
              <w:pStyle w:val="Text1"/>
              <w:ind w:left="0"/>
              <w:jc w:val="left"/>
              <w:rPr>
                <w:i/>
                <w:color w:val="8DB3E2"/>
                <w:sz w:val="18"/>
                <w:szCs w:val="18"/>
                <w:lang w:val="en-GB" w:eastAsia="en-GB"/>
              </w:rPr>
            </w:pPr>
            <w:r w:rsidRPr="008340BB">
              <w:rPr>
                <w:i/>
                <w:color w:val="8DB3E2"/>
                <w:sz w:val="18"/>
                <w:szCs w:val="18"/>
                <w:lang w:val="en-GB" w:eastAsia="en-GB"/>
              </w:rPr>
              <w:t xml:space="preserve"> </w:t>
            </w:r>
            <w:r w:rsidRPr="008340BB">
              <w:rPr>
                <w:i/>
                <w:sz w:val="24"/>
                <w:szCs w:val="24"/>
                <w:lang w:val="en-GB" w:eastAsia="en-GB"/>
              </w:rPr>
              <w:t>1</w:t>
            </w:r>
          </w:p>
        </w:tc>
      </w:tr>
      <w:tr w:rsidR="00F1341F" w:rsidRPr="008340BB" w14:paraId="5662BCA9" w14:textId="77777777" w:rsidTr="00067686">
        <w:trPr>
          <w:trHeight w:val="360"/>
        </w:trPr>
        <w:tc>
          <w:tcPr>
            <w:tcW w:w="3510" w:type="dxa"/>
          </w:tcPr>
          <w:p w14:paraId="59728F6F" w14:textId="77777777" w:rsidR="00F1341F" w:rsidRPr="008340BB" w:rsidRDefault="00F1341F" w:rsidP="00067686">
            <w:pPr>
              <w:rPr>
                <w:i/>
              </w:rPr>
            </w:pPr>
            <w:r w:rsidRPr="008340BB">
              <w:rPr>
                <w:i/>
              </w:rPr>
              <w:t xml:space="preserve">Specific objective </w:t>
            </w:r>
          </w:p>
        </w:tc>
        <w:tc>
          <w:tcPr>
            <w:tcW w:w="5103" w:type="dxa"/>
          </w:tcPr>
          <w:p w14:paraId="1AF57A55" w14:textId="77777777" w:rsidR="00F1341F" w:rsidRPr="009D4890" w:rsidRDefault="009D4890">
            <w:pPr>
              <w:pStyle w:val="Text1"/>
              <w:ind w:left="0"/>
              <w:rPr>
                <w:i/>
                <w:color w:val="8DB3E2"/>
                <w:sz w:val="18"/>
                <w:szCs w:val="18"/>
                <w:lang w:val="en-GB" w:eastAsia="en-GB"/>
              </w:rPr>
            </w:pPr>
            <w:r w:rsidRPr="00B13FA5">
              <w:rPr>
                <w:i/>
                <w:lang w:val="en-GB"/>
              </w:rPr>
              <w:t>Removal of bottlenecks in the TEN-T road network</w:t>
            </w:r>
          </w:p>
        </w:tc>
      </w:tr>
      <w:tr w:rsidR="00F1341F" w:rsidRPr="008340BB" w14:paraId="4C7FE78B" w14:textId="77777777" w:rsidTr="00067686">
        <w:trPr>
          <w:trHeight w:val="360"/>
        </w:trPr>
        <w:tc>
          <w:tcPr>
            <w:tcW w:w="3510" w:type="dxa"/>
          </w:tcPr>
          <w:p w14:paraId="24EC7890" w14:textId="77777777" w:rsidR="00F1341F" w:rsidRPr="008340BB" w:rsidRDefault="00F1341F" w:rsidP="00067686">
            <w:pPr>
              <w:rPr>
                <w:i/>
              </w:rPr>
            </w:pPr>
            <w:r w:rsidRPr="008340BB">
              <w:rPr>
                <w:i/>
              </w:rPr>
              <w:t>The results that the Member State seeks to achieve with EU support</w:t>
            </w:r>
          </w:p>
        </w:tc>
        <w:tc>
          <w:tcPr>
            <w:tcW w:w="5103" w:type="dxa"/>
          </w:tcPr>
          <w:p w14:paraId="1ED9E5A3" w14:textId="77777777" w:rsidR="006E439B" w:rsidRDefault="00F1341F" w:rsidP="00E053D5">
            <w:pPr>
              <w:autoSpaceDE w:val="0"/>
              <w:autoSpaceDN w:val="0"/>
              <w:adjustRightInd w:val="0"/>
              <w:rPr>
                <w:rStyle w:val="hps"/>
                <w:i/>
              </w:rPr>
            </w:pPr>
            <w:r w:rsidRPr="008340BB">
              <w:rPr>
                <w:rFonts w:cs="Arial"/>
                <w:i/>
                <w:color w:val="000000"/>
                <w:lang w:eastAsia="bg-BG"/>
              </w:rPr>
              <w:t xml:space="preserve">- </w:t>
            </w:r>
            <w:r w:rsidRPr="008340BB">
              <w:rPr>
                <w:i/>
              </w:rPr>
              <w:t xml:space="preserve">Increased </w:t>
            </w:r>
            <w:r w:rsidRPr="008340BB">
              <w:rPr>
                <w:rStyle w:val="hps"/>
                <w:i/>
              </w:rPr>
              <w:t>throughput capacity</w:t>
            </w:r>
            <w:r w:rsidRPr="008340BB">
              <w:rPr>
                <w:i/>
              </w:rPr>
              <w:t xml:space="preserve"> </w:t>
            </w:r>
            <w:r w:rsidRPr="008340BB">
              <w:rPr>
                <w:rStyle w:val="hps"/>
                <w:i/>
              </w:rPr>
              <w:t>of</w:t>
            </w:r>
            <w:r w:rsidRPr="008340BB">
              <w:rPr>
                <w:i/>
              </w:rPr>
              <w:t xml:space="preserve"> </w:t>
            </w:r>
            <w:r w:rsidRPr="008340BB">
              <w:rPr>
                <w:rStyle w:val="hps"/>
                <w:i/>
              </w:rPr>
              <w:t>road infrastructure along the sections of the core</w:t>
            </w:r>
            <w:r w:rsidRPr="008340BB">
              <w:rPr>
                <w:i/>
              </w:rPr>
              <w:t xml:space="preserve"> </w:t>
            </w:r>
            <w:r w:rsidRPr="008340BB">
              <w:rPr>
                <w:rStyle w:val="hps"/>
                <w:i/>
              </w:rPr>
              <w:t>Trans</w:t>
            </w:r>
            <w:r w:rsidRPr="008340BB">
              <w:rPr>
                <w:rStyle w:val="atn"/>
                <w:i/>
              </w:rPr>
              <w:t>-</w:t>
            </w:r>
            <w:r w:rsidRPr="008340BB">
              <w:rPr>
                <w:i/>
              </w:rPr>
              <w:t xml:space="preserve">European Transport Network </w:t>
            </w:r>
            <w:r w:rsidRPr="008340BB">
              <w:rPr>
                <w:rStyle w:val="hps"/>
                <w:i/>
              </w:rPr>
              <w:t xml:space="preserve">across the territory of the country </w:t>
            </w:r>
          </w:p>
          <w:p w14:paraId="284B4FF8" w14:textId="77777777" w:rsidR="00F1341F" w:rsidRPr="008340BB" w:rsidRDefault="00F1341F" w:rsidP="00E053D5">
            <w:pPr>
              <w:autoSpaceDE w:val="0"/>
              <w:autoSpaceDN w:val="0"/>
              <w:adjustRightInd w:val="0"/>
              <w:rPr>
                <w:rStyle w:val="hps"/>
                <w:i/>
                <w:lang w:eastAsia="en-US"/>
              </w:rPr>
            </w:pPr>
            <w:r w:rsidRPr="008340BB">
              <w:rPr>
                <w:rFonts w:cs="Arial"/>
                <w:i/>
                <w:color w:val="000000"/>
                <w:lang w:eastAsia="bg-BG"/>
              </w:rPr>
              <w:t xml:space="preserve">- </w:t>
            </w:r>
            <w:r w:rsidRPr="008340BB">
              <w:rPr>
                <w:rStyle w:val="hps"/>
                <w:i/>
              </w:rPr>
              <w:t>Improved</w:t>
            </w:r>
            <w:r w:rsidRPr="008340BB">
              <w:rPr>
                <w:i/>
              </w:rPr>
              <w:t xml:space="preserve"> </w:t>
            </w:r>
            <w:r w:rsidRPr="008340BB">
              <w:rPr>
                <w:rStyle w:val="hps"/>
                <w:i/>
              </w:rPr>
              <w:t>traffic safety</w:t>
            </w:r>
            <w:r w:rsidRPr="008340BB">
              <w:rPr>
                <w:i/>
              </w:rPr>
              <w:t xml:space="preserve"> </w:t>
            </w:r>
            <w:r w:rsidRPr="008340BB">
              <w:rPr>
                <w:rStyle w:val="hps"/>
                <w:i/>
              </w:rPr>
              <w:t>along the core</w:t>
            </w:r>
            <w:r w:rsidRPr="008340BB">
              <w:rPr>
                <w:i/>
              </w:rPr>
              <w:t xml:space="preserve"> </w:t>
            </w:r>
            <w:r w:rsidRPr="008340BB">
              <w:rPr>
                <w:rStyle w:val="hps"/>
                <w:i/>
              </w:rPr>
              <w:t>Trans</w:t>
            </w:r>
            <w:r w:rsidRPr="008340BB">
              <w:rPr>
                <w:rStyle w:val="atn"/>
                <w:i/>
              </w:rPr>
              <w:t>-</w:t>
            </w:r>
            <w:r w:rsidRPr="008340BB">
              <w:rPr>
                <w:i/>
              </w:rPr>
              <w:t xml:space="preserve">European Transport Network </w:t>
            </w:r>
            <w:r w:rsidRPr="008340BB">
              <w:rPr>
                <w:rStyle w:val="hps"/>
                <w:i/>
              </w:rPr>
              <w:t>across the territory of the country with highest traffic intensity</w:t>
            </w:r>
          </w:p>
          <w:p w14:paraId="6C47A7F2" w14:textId="77777777" w:rsidR="00F1341F" w:rsidRPr="008340BB" w:rsidRDefault="00F1341F" w:rsidP="009C15A7">
            <w:pPr>
              <w:autoSpaceDE w:val="0"/>
              <w:autoSpaceDN w:val="0"/>
              <w:adjustRightInd w:val="0"/>
              <w:rPr>
                <w:rFonts w:cs="Arial"/>
                <w:i/>
                <w:color w:val="000000"/>
                <w:lang w:eastAsia="bg-BG"/>
              </w:rPr>
            </w:pPr>
            <w:r w:rsidRPr="008340BB">
              <w:rPr>
                <w:rStyle w:val="hps"/>
                <w:i/>
              </w:rPr>
              <w:t>- Improved traffic safety along the core  Trans</w:t>
            </w:r>
            <w:r w:rsidRPr="008340BB">
              <w:rPr>
                <w:rStyle w:val="atn"/>
                <w:i/>
              </w:rPr>
              <w:t>-</w:t>
            </w:r>
            <w:r w:rsidRPr="008340BB">
              <w:rPr>
                <w:i/>
              </w:rPr>
              <w:t xml:space="preserve">European Transport Network </w:t>
            </w:r>
            <w:r w:rsidRPr="008340BB">
              <w:rPr>
                <w:rStyle w:val="hps"/>
                <w:i/>
              </w:rPr>
              <w:t>across the territory of the country</w:t>
            </w:r>
          </w:p>
          <w:p w14:paraId="1402DA5D" w14:textId="77777777" w:rsidR="00F1341F" w:rsidRPr="008340BB" w:rsidRDefault="00F1341F" w:rsidP="00E826B1">
            <w:pPr>
              <w:autoSpaceDE w:val="0"/>
              <w:autoSpaceDN w:val="0"/>
              <w:adjustRightInd w:val="0"/>
              <w:rPr>
                <w:i/>
                <w:color w:val="8DB3E2"/>
                <w:sz w:val="18"/>
                <w:szCs w:val="18"/>
              </w:rPr>
            </w:pPr>
            <w:r w:rsidRPr="008340BB">
              <w:rPr>
                <w:i/>
              </w:rPr>
              <w:t xml:space="preserve">- </w:t>
            </w:r>
            <w:r w:rsidRPr="008340BB">
              <w:rPr>
                <w:rStyle w:val="hps"/>
                <w:i/>
              </w:rPr>
              <w:t>Improved</w:t>
            </w:r>
            <w:r w:rsidRPr="008340BB">
              <w:rPr>
                <w:i/>
              </w:rPr>
              <w:t xml:space="preserve"> </w:t>
            </w:r>
            <w:r w:rsidRPr="008340BB">
              <w:rPr>
                <w:rStyle w:val="hps"/>
                <w:i/>
              </w:rPr>
              <w:t>connectivity and</w:t>
            </w:r>
            <w:r w:rsidRPr="008340BB">
              <w:rPr>
                <w:i/>
              </w:rPr>
              <w:t xml:space="preserve"> </w:t>
            </w:r>
            <w:r w:rsidRPr="008340BB">
              <w:rPr>
                <w:rStyle w:val="hps"/>
                <w:i/>
              </w:rPr>
              <w:t>integration with</w:t>
            </w:r>
            <w:r w:rsidRPr="008340BB">
              <w:rPr>
                <w:i/>
              </w:rPr>
              <w:t xml:space="preserve"> </w:t>
            </w:r>
            <w:r w:rsidRPr="008340BB">
              <w:rPr>
                <w:rStyle w:val="hps"/>
                <w:i/>
              </w:rPr>
              <w:t>the road networks</w:t>
            </w:r>
            <w:r w:rsidRPr="008340BB">
              <w:rPr>
                <w:i/>
              </w:rPr>
              <w:t xml:space="preserve"> </w:t>
            </w:r>
            <w:r w:rsidRPr="008340BB">
              <w:rPr>
                <w:rStyle w:val="hps"/>
                <w:i/>
              </w:rPr>
              <w:t>of the neighbouring countries</w:t>
            </w:r>
            <w:r w:rsidRPr="008340BB" w:rsidDel="00F50AF3">
              <w:rPr>
                <w:i/>
              </w:rPr>
              <w:t xml:space="preserve"> </w:t>
            </w:r>
          </w:p>
        </w:tc>
      </w:tr>
    </w:tbl>
    <w:p w14:paraId="61E29D74" w14:textId="77777777" w:rsidR="00F1341F" w:rsidRPr="008340BB" w:rsidRDefault="00F1341F" w:rsidP="008B4180"/>
    <w:p w14:paraId="4DBF62CD" w14:textId="77777777" w:rsidR="00F1341F" w:rsidRPr="008340BB" w:rsidRDefault="00F1341F" w:rsidP="008B4180">
      <w:pPr>
        <w:sectPr w:rsidR="00F1341F" w:rsidRPr="008340BB" w:rsidSect="001E1D6F">
          <w:headerReference w:type="default" r:id="rId29"/>
          <w:footerReference w:type="default" r:id="rId30"/>
          <w:headerReference w:type="first" r:id="rId31"/>
          <w:footerReference w:type="first" r:id="rId32"/>
          <w:pgSz w:w="11906" w:h="16838"/>
          <w:pgMar w:top="1021" w:right="1418" w:bottom="1021" w:left="1418" w:header="601" w:footer="1077" w:gutter="0"/>
          <w:cols w:space="708"/>
          <w:docGrid w:linePitch="326"/>
        </w:sectPr>
      </w:pPr>
    </w:p>
    <w:p w14:paraId="423E2F62" w14:textId="77777777" w:rsidR="00F1341F" w:rsidRPr="008340BB" w:rsidRDefault="00F1341F" w:rsidP="008B4180">
      <w:r w:rsidRPr="008340BB">
        <w:rPr>
          <w:b/>
        </w:rPr>
        <w:lastRenderedPageBreak/>
        <w:t xml:space="preserve">Table 3: </w:t>
      </w:r>
      <w:r w:rsidRPr="008340BB">
        <w:rPr>
          <w:b/>
        </w:rPr>
        <w:tab/>
        <w:t xml:space="preserve">Programme-specific result indicators, by specific objective </w:t>
      </w:r>
      <w:r w:rsidRPr="008340BB">
        <w:t>(for the ERDF and the Cohesion Fund)</w:t>
      </w:r>
    </w:p>
    <w:p w14:paraId="66ACA56E" w14:textId="77777777" w:rsidR="00F1341F" w:rsidRPr="008340BB" w:rsidRDefault="00F1341F" w:rsidP="008B4180">
      <w:pPr>
        <w:rPr>
          <w:b/>
        </w:rPr>
      </w:pPr>
    </w:p>
    <w:p w14:paraId="08535D35" w14:textId="77777777" w:rsidR="00F1341F" w:rsidRPr="008340BB" w:rsidRDefault="00F1341F" w:rsidP="008B4180">
      <w:pPr>
        <w:rPr>
          <w:szCs w:val="24"/>
        </w:rPr>
      </w:pPr>
      <w:r w:rsidRPr="008340BB">
        <w:rPr>
          <w:szCs w:val="24"/>
        </w:rPr>
        <w:t>(Reference: point (b)(ii) of the first subparagraph of Article 96(2) of Regulation (EU) No 1303/2013</w:t>
      </w:r>
    </w:p>
    <w:p w14:paraId="012B717B" w14:textId="77777777" w:rsidR="00F1341F" w:rsidRPr="008340BB" w:rsidRDefault="00F1341F" w:rsidP="008B4180"/>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12"/>
        <w:gridCol w:w="2251"/>
        <w:gridCol w:w="1881"/>
        <w:gridCol w:w="1556"/>
        <w:gridCol w:w="1649"/>
        <w:gridCol w:w="1375"/>
        <w:gridCol w:w="2091"/>
        <w:gridCol w:w="1673"/>
        <w:gridCol w:w="1258"/>
      </w:tblGrid>
      <w:tr w:rsidR="00F1341F" w:rsidRPr="008340BB" w14:paraId="23C92E02" w14:textId="77777777" w:rsidTr="008A3BA2">
        <w:trPr>
          <w:trHeight w:val="531"/>
        </w:trPr>
        <w:tc>
          <w:tcPr>
            <w:tcW w:w="1184" w:type="pct"/>
            <w:gridSpan w:val="2"/>
          </w:tcPr>
          <w:p w14:paraId="7AAD2A23" w14:textId="77777777" w:rsidR="00F1341F" w:rsidRPr="008340BB" w:rsidRDefault="00F1341F" w:rsidP="00067686">
            <w:pPr>
              <w:pStyle w:val="ListBullet"/>
              <w:tabs>
                <w:tab w:val="clear" w:pos="360"/>
                <w:tab w:val="left" w:pos="720"/>
              </w:tabs>
              <w:ind w:left="0" w:firstLine="0"/>
              <w:rPr>
                <w:b/>
                <w:i/>
                <w:sz w:val="18"/>
                <w:szCs w:val="18"/>
              </w:rPr>
            </w:pPr>
            <w:r w:rsidRPr="008340BB">
              <w:rPr>
                <w:b/>
                <w:bCs/>
                <w:i/>
                <w:sz w:val="18"/>
                <w:szCs w:val="18"/>
                <w:lang w:eastAsia="bg-BG"/>
              </w:rPr>
              <w:t>Specific objective</w:t>
            </w:r>
          </w:p>
        </w:tc>
        <w:tc>
          <w:tcPr>
            <w:tcW w:w="3816" w:type="pct"/>
            <w:gridSpan w:val="7"/>
          </w:tcPr>
          <w:p w14:paraId="6036723B" w14:textId="77777777" w:rsidR="00F1341F" w:rsidRPr="008340BB" w:rsidRDefault="009D4890" w:rsidP="00067686">
            <w:pPr>
              <w:pStyle w:val="ListBullet"/>
              <w:tabs>
                <w:tab w:val="clear" w:pos="360"/>
                <w:tab w:val="left" w:pos="720"/>
              </w:tabs>
              <w:ind w:left="0" w:firstLine="0"/>
              <w:rPr>
                <w:b/>
                <w:i/>
                <w:sz w:val="20"/>
              </w:rPr>
            </w:pPr>
            <w:r w:rsidRPr="00DC4E10">
              <w:rPr>
                <w:i/>
              </w:rPr>
              <w:t>Removal of bottlenecks in the TEN-T road network</w:t>
            </w:r>
          </w:p>
        </w:tc>
      </w:tr>
      <w:tr w:rsidR="00F1341F" w:rsidRPr="008340BB" w14:paraId="3DC78502" w14:textId="77777777" w:rsidTr="00067686">
        <w:trPr>
          <w:trHeight w:val="531"/>
        </w:trPr>
        <w:tc>
          <w:tcPr>
            <w:tcW w:w="436" w:type="pct"/>
          </w:tcPr>
          <w:p w14:paraId="77F6BDC4" w14:textId="77777777" w:rsidR="00F1341F" w:rsidRPr="008340BB" w:rsidRDefault="00F1341F" w:rsidP="00067686">
            <w:pPr>
              <w:pStyle w:val="ListBullet"/>
              <w:tabs>
                <w:tab w:val="clear" w:pos="360"/>
                <w:tab w:val="left" w:pos="720"/>
              </w:tabs>
              <w:ind w:left="0" w:firstLine="0"/>
              <w:rPr>
                <w:b/>
                <w:i/>
                <w:sz w:val="18"/>
                <w:szCs w:val="18"/>
              </w:rPr>
            </w:pPr>
            <w:r w:rsidRPr="008340BB">
              <w:rPr>
                <w:b/>
                <w:i/>
                <w:sz w:val="18"/>
                <w:szCs w:val="18"/>
              </w:rPr>
              <w:t>ID</w:t>
            </w:r>
          </w:p>
        </w:tc>
        <w:tc>
          <w:tcPr>
            <w:tcW w:w="748" w:type="pct"/>
          </w:tcPr>
          <w:p w14:paraId="4FDB0D80" w14:textId="77777777" w:rsidR="00F1341F" w:rsidRPr="008340BB" w:rsidRDefault="00F1341F" w:rsidP="00067686">
            <w:pPr>
              <w:pStyle w:val="ListBullet"/>
              <w:tabs>
                <w:tab w:val="clear" w:pos="360"/>
                <w:tab w:val="left" w:pos="720"/>
              </w:tabs>
              <w:ind w:left="0" w:firstLine="0"/>
              <w:rPr>
                <w:b/>
                <w:i/>
                <w:sz w:val="18"/>
                <w:szCs w:val="18"/>
              </w:rPr>
            </w:pPr>
            <w:r w:rsidRPr="008340BB">
              <w:rPr>
                <w:b/>
                <w:i/>
                <w:sz w:val="18"/>
                <w:szCs w:val="18"/>
              </w:rPr>
              <w:t xml:space="preserve">Indicator </w:t>
            </w:r>
          </w:p>
        </w:tc>
        <w:tc>
          <w:tcPr>
            <w:tcW w:w="625" w:type="pct"/>
          </w:tcPr>
          <w:p w14:paraId="21A1C6BC" w14:textId="77777777" w:rsidR="00F1341F" w:rsidRPr="008340BB" w:rsidRDefault="00F1341F" w:rsidP="00067686">
            <w:pPr>
              <w:snapToGrid w:val="0"/>
              <w:rPr>
                <w:b/>
                <w:i/>
                <w:sz w:val="18"/>
                <w:szCs w:val="18"/>
              </w:rPr>
            </w:pPr>
            <w:r w:rsidRPr="008340BB">
              <w:rPr>
                <w:b/>
                <w:i/>
                <w:sz w:val="18"/>
                <w:szCs w:val="18"/>
              </w:rPr>
              <w:t>Measurement unit</w:t>
            </w:r>
          </w:p>
        </w:tc>
        <w:tc>
          <w:tcPr>
            <w:tcW w:w="517" w:type="pct"/>
          </w:tcPr>
          <w:p w14:paraId="5651EEF7" w14:textId="77777777" w:rsidR="00F1341F" w:rsidRPr="008340BB" w:rsidRDefault="00F1341F" w:rsidP="00067686">
            <w:pPr>
              <w:pStyle w:val="ListBullet"/>
              <w:tabs>
                <w:tab w:val="clear" w:pos="360"/>
                <w:tab w:val="left" w:pos="720"/>
              </w:tabs>
              <w:ind w:left="0" w:firstLine="0"/>
              <w:rPr>
                <w:b/>
                <w:i/>
                <w:sz w:val="18"/>
                <w:szCs w:val="18"/>
              </w:rPr>
            </w:pPr>
            <w:r w:rsidRPr="008340BB">
              <w:rPr>
                <w:b/>
                <w:i/>
                <w:sz w:val="18"/>
                <w:szCs w:val="18"/>
              </w:rPr>
              <w:t>Category of region (where relevant)</w:t>
            </w:r>
          </w:p>
        </w:tc>
        <w:tc>
          <w:tcPr>
            <w:tcW w:w="548" w:type="pct"/>
          </w:tcPr>
          <w:p w14:paraId="20495D50" w14:textId="77777777" w:rsidR="00F1341F" w:rsidRPr="008340BB" w:rsidRDefault="00F1341F" w:rsidP="00067686">
            <w:pPr>
              <w:pStyle w:val="ListBullet"/>
              <w:tabs>
                <w:tab w:val="clear" w:pos="360"/>
                <w:tab w:val="left" w:pos="720"/>
              </w:tabs>
              <w:ind w:left="0" w:firstLine="0"/>
              <w:rPr>
                <w:b/>
                <w:i/>
                <w:sz w:val="18"/>
                <w:szCs w:val="18"/>
              </w:rPr>
            </w:pPr>
            <w:r w:rsidRPr="008340BB">
              <w:rPr>
                <w:b/>
                <w:i/>
                <w:sz w:val="18"/>
                <w:szCs w:val="18"/>
              </w:rPr>
              <w:t xml:space="preserve">Baseline value </w:t>
            </w:r>
          </w:p>
        </w:tc>
        <w:tc>
          <w:tcPr>
            <w:tcW w:w="457" w:type="pct"/>
          </w:tcPr>
          <w:p w14:paraId="398D88E6" w14:textId="77777777" w:rsidR="00F1341F" w:rsidRPr="008340BB" w:rsidRDefault="00F1341F" w:rsidP="00067686">
            <w:pPr>
              <w:snapToGrid w:val="0"/>
              <w:rPr>
                <w:b/>
                <w:i/>
                <w:sz w:val="18"/>
                <w:szCs w:val="18"/>
              </w:rPr>
            </w:pPr>
            <w:r w:rsidRPr="008340BB">
              <w:rPr>
                <w:b/>
                <w:i/>
                <w:sz w:val="18"/>
                <w:szCs w:val="18"/>
              </w:rPr>
              <w:t>Baseline year</w:t>
            </w:r>
          </w:p>
        </w:tc>
        <w:tc>
          <w:tcPr>
            <w:tcW w:w="695" w:type="pct"/>
          </w:tcPr>
          <w:p w14:paraId="05C9BA4C" w14:textId="77777777" w:rsidR="00F1341F" w:rsidRPr="008340BB" w:rsidRDefault="00F1341F" w:rsidP="00067686">
            <w:pPr>
              <w:pStyle w:val="ListBullet"/>
              <w:tabs>
                <w:tab w:val="clear" w:pos="360"/>
                <w:tab w:val="left" w:pos="720"/>
              </w:tabs>
              <w:ind w:left="0" w:firstLine="0"/>
              <w:rPr>
                <w:b/>
                <w:i/>
                <w:sz w:val="18"/>
                <w:szCs w:val="18"/>
              </w:rPr>
            </w:pPr>
            <w:r w:rsidRPr="008340BB">
              <w:rPr>
                <w:b/>
                <w:i/>
                <w:sz w:val="18"/>
                <w:szCs w:val="18"/>
              </w:rPr>
              <w:t>Target value</w:t>
            </w:r>
            <w:r w:rsidRPr="008340BB">
              <w:rPr>
                <w:rStyle w:val="FootnoteReference"/>
                <w:b/>
                <w:i/>
                <w:sz w:val="18"/>
                <w:szCs w:val="18"/>
              </w:rPr>
              <w:footnoteReference w:id="28"/>
            </w:r>
            <w:r w:rsidRPr="008340BB">
              <w:rPr>
                <w:b/>
                <w:i/>
                <w:sz w:val="18"/>
                <w:szCs w:val="18"/>
              </w:rPr>
              <w:t xml:space="preserve"> (2023) </w:t>
            </w:r>
          </w:p>
        </w:tc>
        <w:tc>
          <w:tcPr>
            <w:tcW w:w="556" w:type="pct"/>
          </w:tcPr>
          <w:p w14:paraId="26FCA7D0" w14:textId="77777777" w:rsidR="00F1341F" w:rsidRPr="008340BB" w:rsidRDefault="00F1341F" w:rsidP="00067686">
            <w:pPr>
              <w:pStyle w:val="ListBullet"/>
              <w:tabs>
                <w:tab w:val="clear" w:pos="360"/>
                <w:tab w:val="left" w:pos="720"/>
              </w:tabs>
              <w:ind w:left="0" w:firstLine="0"/>
              <w:rPr>
                <w:b/>
                <w:i/>
                <w:sz w:val="18"/>
                <w:szCs w:val="18"/>
              </w:rPr>
            </w:pPr>
            <w:r w:rsidRPr="008340BB">
              <w:rPr>
                <w:b/>
                <w:i/>
                <w:sz w:val="18"/>
                <w:szCs w:val="18"/>
              </w:rPr>
              <w:t>Source of data</w:t>
            </w:r>
          </w:p>
        </w:tc>
        <w:tc>
          <w:tcPr>
            <w:tcW w:w="418" w:type="pct"/>
          </w:tcPr>
          <w:p w14:paraId="45BEA4DD" w14:textId="77777777" w:rsidR="00F1341F" w:rsidRPr="008340BB" w:rsidRDefault="00F1341F" w:rsidP="00067686">
            <w:pPr>
              <w:pStyle w:val="ListBullet"/>
              <w:tabs>
                <w:tab w:val="clear" w:pos="360"/>
                <w:tab w:val="left" w:pos="720"/>
              </w:tabs>
              <w:ind w:left="0" w:firstLine="0"/>
              <w:rPr>
                <w:b/>
                <w:i/>
                <w:sz w:val="18"/>
                <w:szCs w:val="18"/>
              </w:rPr>
            </w:pPr>
            <w:r w:rsidRPr="008340BB">
              <w:rPr>
                <w:b/>
                <w:i/>
                <w:sz w:val="18"/>
                <w:szCs w:val="18"/>
              </w:rPr>
              <w:t>Frequency of reporting</w:t>
            </w:r>
          </w:p>
        </w:tc>
      </w:tr>
      <w:tr w:rsidR="00F1341F" w:rsidRPr="008340BB" w14:paraId="5081010E" w14:textId="77777777" w:rsidTr="00067686">
        <w:trPr>
          <w:trHeight w:val="1729"/>
        </w:trPr>
        <w:tc>
          <w:tcPr>
            <w:tcW w:w="436" w:type="pct"/>
          </w:tcPr>
          <w:p w14:paraId="2A466596" w14:textId="77777777" w:rsidR="00F1341F" w:rsidRPr="008340BB" w:rsidRDefault="00F1341F" w:rsidP="00067686">
            <w:pPr>
              <w:pStyle w:val="Text1"/>
              <w:ind w:left="0"/>
              <w:jc w:val="left"/>
              <w:rPr>
                <w:i/>
                <w:sz w:val="20"/>
                <w:lang w:val="en-GB" w:eastAsia="en-GB"/>
              </w:rPr>
            </w:pPr>
            <w:r w:rsidRPr="008340BB">
              <w:rPr>
                <w:sz w:val="20"/>
                <w:lang w:val="en-GB" w:eastAsia="bg-BG"/>
              </w:rPr>
              <w:t>2.1</w:t>
            </w:r>
          </w:p>
        </w:tc>
        <w:tc>
          <w:tcPr>
            <w:tcW w:w="748" w:type="pct"/>
          </w:tcPr>
          <w:p w14:paraId="69B3E662" w14:textId="77777777" w:rsidR="00F1341F" w:rsidRPr="008340BB" w:rsidRDefault="00F1341F" w:rsidP="004B1EA8">
            <w:pPr>
              <w:pStyle w:val="Text1"/>
              <w:spacing w:after="0"/>
              <w:ind w:left="0"/>
              <w:jc w:val="left"/>
              <w:rPr>
                <w:i/>
                <w:sz w:val="20"/>
                <w:lang w:val="en-GB" w:eastAsia="en-GB"/>
              </w:rPr>
            </w:pPr>
            <w:r w:rsidRPr="008340BB">
              <w:rPr>
                <w:iCs/>
                <w:sz w:val="20"/>
                <w:lang w:val="en-GB" w:eastAsia="en-GB"/>
              </w:rPr>
              <w:t xml:space="preserve">Saturation ratio of road infrastructure along the </w:t>
            </w:r>
            <w:r w:rsidR="00AF6F66" w:rsidRPr="00AF6F66">
              <w:rPr>
                <w:iCs/>
                <w:sz w:val="20"/>
                <w:lang w:val="en-GB" w:eastAsia="en-GB"/>
              </w:rPr>
              <w:t>Struma Motorway</w:t>
            </w:r>
          </w:p>
        </w:tc>
        <w:tc>
          <w:tcPr>
            <w:tcW w:w="625" w:type="pct"/>
          </w:tcPr>
          <w:p w14:paraId="359A34F7" w14:textId="77777777" w:rsidR="00F1341F" w:rsidRPr="008340BB" w:rsidRDefault="00F1341F" w:rsidP="00067686">
            <w:pPr>
              <w:snapToGrid w:val="0"/>
              <w:rPr>
                <w:i/>
                <w:sz w:val="18"/>
                <w:szCs w:val="18"/>
              </w:rPr>
            </w:pPr>
            <w:r w:rsidRPr="008340BB">
              <w:rPr>
                <w:iCs/>
                <w:sz w:val="20"/>
                <w:lang w:eastAsia="bg-BG"/>
              </w:rPr>
              <w:t>%</w:t>
            </w:r>
          </w:p>
        </w:tc>
        <w:tc>
          <w:tcPr>
            <w:tcW w:w="517" w:type="pct"/>
          </w:tcPr>
          <w:p w14:paraId="77EEA8C4" w14:textId="77777777" w:rsidR="00F1341F" w:rsidRPr="008340BB" w:rsidRDefault="00F1341F" w:rsidP="00067686">
            <w:pPr>
              <w:pStyle w:val="ListBullet"/>
              <w:tabs>
                <w:tab w:val="clear" w:pos="360"/>
                <w:tab w:val="left" w:pos="720"/>
              </w:tabs>
              <w:ind w:left="0" w:firstLine="0"/>
              <w:jc w:val="left"/>
              <w:rPr>
                <w:i/>
                <w:sz w:val="18"/>
                <w:szCs w:val="18"/>
              </w:rPr>
            </w:pPr>
            <w:r w:rsidRPr="008340BB">
              <w:rPr>
                <w:iCs/>
                <w:sz w:val="20"/>
                <w:lang w:eastAsia="bg-BG"/>
              </w:rPr>
              <w:t>N/A</w:t>
            </w:r>
          </w:p>
        </w:tc>
        <w:tc>
          <w:tcPr>
            <w:tcW w:w="548" w:type="pct"/>
          </w:tcPr>
          <w:p w14:paraId="19CD5A85" w14:textId="1189BFDF" w:rsidR="00F1341F" w:rsidRPr="008340BB" w:rsidRDefault="00F1341F" w:rsidP="00D26234">
            <w:pPr>
              <w:pStyle w:val="ListBullet"/>
              <w:tabs>
                <w:tab w:val="clear" w:pos="360"/>
                <w:tab w:val="left" w:pos="720"/>
              </w:tabs>
              <w:ind w:left="0" w:firstLine="0"/>
              <w:jc w:val="left"/>
              <w:rPr>
                <w:i/>
                <w:sz w:val="18"/>
                <w:szCs w:val="18"/>
              </w:rPr>
            </w:pPr>
            <w:r w:rsidRPr="008340BB">
              <w:rPr>
                <w:iCs/>
                <w:sz w:val="20"/>
                <w:lang w:eastAsia="bg-BG"/>
              </w:rPr>
              <w:t xml:space="preserve">Over </w:t>
            </w:r>
            <w:r w:rsidR="00B72290" w:rsidRPr="00B72290">
              <w:rPr>
                <w:iCs/>
                <w:sz w:val="20"/>
                <w:lang w:val="bg-BG" w:eastAsia="bg-BG"/>
              </w:rPr>
              <w:t>60</w:t>
            </w:r>
            <w:r w:rsidRPr="008340BB">
              <w:rPr>
                <w:iCs/>
                <w:sz w:val="20"/>
                <w:lang w:eastAsia="bg-BG"/>
              </w:rPr>
              <w:t>%</w:t>
            </w:r>
          </w:p>
        </w:tc>
        <w:tc>
          <w:tcPr>
            <w:tcW w:w="457" w:type="pct"/>
          </w:tcPr>
          <w:p w14:paraId="761668C5" w14:textId="77777777" w:rsidR="00F1341F" w:rsidRPr="008340BB" w:rsidRDefault="00F1341F" w:rsidP="00067686">
            <w:pPr>
              <w:snapToGrid w:val="0"/>
              <w:rPr>
                <w:iCs/>
                <w:sz w:val="20"/>
                <w:lang w:eastAsia="bg-BG"/>
              </w:rPr>
            </w:pPr>
            <w:r w:rsidRPr="008340BB">
              <w:rPr>
                <w:iCs/>
                <w:sz w:val="20"/>
                <w:lang w:eastAsia="bg-BG"/>
              </w:rPr>
              <w:t>2013</w:t>
            </w:r>
          </w:p>
          <w:p w14:paraId="54BE4035" w14:textId="77777777" w:rsidR="00F1341F" w:rsidRPr="008340BB" w:rsidRDefault="00F1341F" w:rsidP="00067686">
            <w:pPr>
              <w:snapToGrid w:val="0"/>
              <w:rPr>
                <w:i/>
                <w:sz w:val="18"/>
                <w:szCs w:val="18"/>
              </w:rPr>
            </w:pPr>
          </w:p>
        </w:tc>
        <w:tc>
          <w:tcPr>
            <w:tcW w:w="695" w:type="pct"/>
          </w:tcPr>
          <w:p w14:paraId="21B207CC" w14:textId="338D2740" w:rsidR="00F1341F" w:rsidRPr="008340BB" w:rsidRDefault="00F1341F" w:rsidP="00B72290">
            <w:pPr>
              <w:pStyle w:val="ListBullet"/>
              <w:tabs>
                <w:tab w:val="clear" w:pos="360"/>
                <w:tab w:val="left" w:pos="720"/>
              </w:tabs>
              <w:ind w:left="0" w:firstLine="0"/>
              <w:rPr>
                <w:i/>
                <w:sz w:val="18"/>
                <w:szCs w:val="18"/>
              </w:rPr>
            </w:pPr>
            <w:r w:rsidRPr="008340BB">
              <w:rPr>
                <w:iCs/>
                <w:sz w:val="20"/>
                <w:lang w:eastAsia="bg-BG"/>
              </w:rPr>
              <w:t>Up to 50%</w:t>
            </w:r>
          </w:p>
        </w:tc>
        <w:tc>
          <w:tcPr>
            <w:tcW w:w="556" w:type="pct"/>
          </w:tcPr>
          <w:p w14:paraId="079DC788" w14:textId="1684E746" w:rsidR="00F1341F" w:rsidRPr="008340BB" w:rsidRDefault="00F1341F" w:rsidP="0044424B">
            <w:pPr>
              <w:autoSpaceDE w:val="0"/>
              <w:autoSpaceDN w:val="0"/>
              <w:adjustRightInd w:val="0"/>
              <w:rPr>
                <w:i/>
                <w:sz w:val="18"/>
                <w:szCs w:val="18"/>
              </w:rPr>
            </w:pPr>
            <w:r w:rsidRPr="008340BB">
              <w:rPr>
                <w:iCs/>
                <w:sz w:val="20"/>
                <w:lang w:eastAsia="bg-BG"/>
              </w:rPr>
              <w:t xml:space="preserve"> </w:t>
            </w:r>
            <w:r w:rsidR="001800DF">
              <w:rPr>
                <w:iCs/>
                <w:sz w:val="20"/>
                <w:lang w:eastAsia="bg-BG"/>
              </w:rPr>
              <w:t>RIA</w:t>
            </w:r>
          </w:p>
        </w:tc>
        <w:tc>
          <w:tcPr>
            <w:tcW w:w="418" w:type="pct"/>
          </w:tcPr>
          <w:p w14:paraId="4AFC6A26" w14:textId="77777777" w:rsidR="00F1341F" w:rsidRPr="008340BB" w:rsidRDefault="004F2F5A" w:rsidP="00067686">
            <w:pPr>
              <w:pStyle w:val="ListBullet"/>
              <w:tabs>
                <w:tab w:val="clear" w:pos="360"/>
                <w:tab w:val="left" w:pos="720"/>
              </w:tabs>
              <w:ind w:left="0" w:firstLine="0"/>
              <w:jc w:val="left"/>
              <w:rPr>
                <w:i/>
                <w:sz w:val="18"/>
                <w:szCs w:val="18"/>
              </w:rPr>
            </w:pPr>
            <w:r w:rsidRPr="004F2F5A">
              <w:rPr>
                <w:iCs/>
                <w:sz w:val="20"/>
                <w:lang w:eastAsia="bg-BG"/>
              </w:rPr>
              <w:t>annually</w:t>
            </w:r>
          </w:p>
        </w:tc>
      </w:tr>
    </w:tbl>
    <w:p w14:paraId="00125A58" w14:textId="77777777" w:rsidR="00F1341F" w:rsidRPr="008340BB" w:rsidRDefault="00F1341F" w:rsidP="00B737C9">
      <w:pPr>
        <w:spacing w:before="0" w:after="0"/>
        <w:rPr>
          <w:szCs w:val="24"/>
          <w:lang w:eastAsia="bg-BG"/>
        </w:rPr>
      </w:pPr>
    </w:p>
    <w:p w14:paraId="529E64C8" w14:textId="4E898BE4" w:rsidR="0073288F" w:rsidRPr="0073288F" w:rsidRDefault="00754DDA" w:rsidP="0073288F">
      <w:pPr>
        <w:spacing w:before="0" w:after="0"/>
        <w:rPr>
          <w:szCs w:val="24"/>
          <w:lang w:val="bg-BG" w:eastAsia="bg-BG"/>
        </w:rPr>
      </w:pPr>
      <w:r w:rsidRPr="00754DDA">
        <w:rPr>
          <w:szCs w:val="24"/>
          <w:lang w:val="en" w:eastAsia="bg-BG"/>
        </w:rPr>
        <w:t xml:space="preserve">Given the reported values until 2019 for this indicator (all of them are over 100%), a new method of calculating the indicator has been adopted, which uses the ratio between the maximum capacity of the road / highway and the average </w:t>
      </w:r>
      <w:r>
        <w:rPr>
          <w:szCs w:val="24"/>
          <w:lang w:val="en-US" w:eastAsia="bg-BG"/>
        </w:rPr>
        <w:t xml:space="preserve">annual </w:t>
      </w:r>
      <w:r w:rsidRPr="00754DDA">
        <w:rPr>
          <w:szCs w:val="24"/>
          <w:lang w:val="en" w:eastAsia="bg-BG"/>
        </w:rPr>
        <w:t>daily traffic intensity in number of vehicles (AADT) and the percentage of the constructed Struma Motorway, Lot 3 and of the unbuilt future highway.</w:t>
      </w:r>
      <w:r>
        <w:rPr>
          <w:szCs w:val="24"/>
          <w:lang w:val="bg-BG" w:eastAsia="bg-BG"/>
        </w:rPr>
        <w:t xml:space="preserve"> </w:t>
      </w:r>
      <w:r w:rsidR="0073288F" w:rsidRPr="0073288F">
        <w:rPr>
          <w:szCs w:val="24"/>
          <w:lang w:val="en" w:eastAsia="bg-BG"/>
        </w:rPr>
        <w:t>In this regard, the base</w:t>
      </w:r>
      <w:r w:rsidR="0073288F">
        <w:rPr>
          <w:szCs w:val="24"/>
          <w:lang w:val="en-US" w:eastAsia="bg-BG"/>
        </w:rPr>
        <w:t>line</w:t>
      </w:r>
      <w:r w:rsidR="0073288F" w:rsidRPr="0073288F">
        <w:rPr>
          <w:szCs w:val="24"/>
          <w:lang w:val="en" w:eastAsia="bg-BG"/>
        </w:rPr>
        <w:t xml:space="preserve"> value of the indicator changes to over 60%. Accordingly, the target value is retained.</w:t>
      </w:r>
    </w:p>
    <w:p w14:paraId="5B2096CB" w14:textId="21E58EEF" w:rsidR="00F1341F" w:rsidRPr="008340BB" w:rsidRDefault="00F1341F" w:rsidP="00B737C9">
      <w:pPr>
        <w:spacing w:before="0" w:after="0"/>
      </w:pPr>
      <w:r w:rsidRPr="008340BB">
        <w:rPr>
          <w:rStyle w:val="hps"/>
        </w:rPr>
        <w:t xml:space="preserve"> </w:t>
      </w:r>
    </w:p>
    <w:p w14:paraId="0C45C5C3" w14:textId="77777777" w:rsidR="00F1341F" w:rsidRPr="008340BB" w:rsidRDefault="00F1341F" w:rsidP="00B737C9">
      <w:pPr>
        <w:spacing w:before="0" w:after="0"/>
        <w:rPr>
          <w:rStyle w:val="hps"/>
        </w:rPr>
      </w:pPr>
    </w:p>
    <w:p w14:paraId="6BC08D0C" w14:textId="77777777" w:rsidR="00F1341F" w:rsidRPr="008340BB" w:rsidRDefault="00F1341F" w:rsidP="00B737C9">
      <w:pPr>
        <w:spacing w:before="0" w:after="0"/>
        <w:rPr>
          <w:szCs w:val="24"/>
          <w:lang w:eastAsia="bg-BG"/>
        </w:rPr>
      </w:pPr>
    </w:p>
    <w:p w14:paraId="54F002F0" w14:textId="77777777" w:rsidR="00F1341F" w:rsidRPr="008340BB" w:rsidRDefault="00F1341F" w:rsidP="00B737C9">
      <w:pPr>
        <w:suppressAutoHyphens/>
        <w:rPr>
          <w:b/>
        </w:rPr>
        <w:sectPr w:rsidR="00F1341F" w:rsidRPr="008340BB" w:rsidSect="001E1D6F">
          <w:headerReference w:type="default" r:id="rId33"/>
          <w:footerReference w:type="default" r:id="rId34"/>
          <w:headerReference w:type="first" r:id="rId35"/>
          <w:footerReference w:type="first" r:id="rId36"/>
          <w:pgSz w:w="16838" w:h="11906" w:orient="landscape"/>
          <w:pgMar w:top="1418" w:right="1021" w:bottom="1418" w:left="1021" w:header="601" w:footer="1077" w:gutter="0"/>
          <w:cols w:space="708"/>
          <w:docGrid w:linePitch="326"/>
        </w:sectPr>
      </w:pPr>
    </w:p>
    <w:p w14:paraId="16AD9B83" w14:textId="77777777" w:rsidR="00F1341F" w:rsidRPr="008340BB" w:rsidRDefault="00F1341F" w:rsidP="008B4180">
      <w:pPr>
        <w:ind w:left="1418" w:hanging="1418"/>
      </w:pPr>
      <w:r w:rsidRPr="008340BB">
        <w:rPr>
          <w:b/>
        </w:rPr>
        <w:lastRenderedPageBreak/>
        <w:t xml:space="preserve">Table 4: </w:t>
      </w:r>
      <w:r w:rsidRPr="008340BB">
        <w:rPr>
          <w:b/>
        </w:rPr>
        <w:tab/>
        <w:t xml:space="preserve">Common result indicators for which a target value has been set and programme specific result indicators corresponding to the specific objective (by investment priority and category of region) </w:t>
      </w:r>
      <w:r w:rsidRPr="008340BB">
        <w:t>(for the ESF)</w:t>
      </w:r>
    </w:p>
    <w:p w14:paraId="1D33C0C4" w14:textId="77777777" w:rsidR="00F1341F" w:rsidRPr="008340BB" w:rsidRDefault="00F1341F" w:rsidP="008B4180">
      <w:pPr>
        <w:rPr>
          <w:b/>
        </w:rPr>
      </w:pPr>
    </w:p>
    <w:p w14:paraId="6576E050" w14:textId="77777777" w:rsidR="00F1341F" w:rsidRPr="008340BB" w:rsidRDefault="00F1341F" w:rsidP="008B4180">
      <w:r w:rsidRPr="008340BB">
        <w:t>(Reference: point (b)(ii) of the first subparagraph of Article 96(2) of Regulation (EU) No 1303/2013)</w:t>
      </w:r>
    </w:p>
    <w:p w14:paraId="1C885759" w14:textId="77777777" w:rsidR="00F1341F" w:rsidRPr="008340BB" w:rsidRDefault="00F1341F" w:rsidP="008B4180">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6"/>
        <w:gridCol w:w="2149"/>
        <w:gridCol w:w="1395"/>
        <w:gridCol w:w="1398"/>
        <w:gridCol w:w="1535"/>
        <w:gridCol w:w="326"/>
        <w:gridCol w:w="326"/>
        <w:gridCol w:w="326"/>
        <w:gridCol w:w="1255"/>
        <w:gridCol w:w="900"/>
        <w:gridCol w:w="533"/>
        <w:gridCol w:w="9"/>
        <w:gridCol w:w="466"/>
        <w:gridCol w:w="466"/>
        <w:gridCol w:w="976"/>
        <w:gridCol w:w="1194"/>
      </w:tblGrid>
      <w:tr w:rsidR="00F1341F" w:rsidRPr="008340BB" w14:paraId="33653956" w14:textId="77777777" w:rsidTr="00C811EC">
        <w:trPr>
          <w:trHeight w:val="620"/>
        </w:trPr>
        <w:tc>
          <w:tcPr>
            <w:tcW w:w="449" w:type="pct"/>
            <w:vMerge w:val="restart"/>
          </w:tcPr>
          <w:p w14:paraId="358BB598" w14:textId="77777777" w:rsidR="00F1341F" w:rsidRPr="008340BB" w:rsidRDefault="00F1341F" w:rsidP="00067686">
            <w:pPr>
              <w:pStyle w:val="ListBullet"/>
              <w:tabs>
                <w:tab w:val="clear" w:pos="360"/>
                <w:tab w:val="left" w:pos="720"/>
              </w:tabs>
              <w:spacing w:before="60" w:after="60"/>
              <w:ind w:left="0" w:firstLine="0"/>
              <w:rPr>
                <w:b/>
                <w:i/>
                <w:sz w:val="16"/>
                <w:szCs w:val="16"/>
              </w:rPr>
            </w:pPr>
            <w:r w:rsidRPr="008340BB">
              <w:rPr>
                <w:b/>
                <w:i/>
                <w:sz w:val="16"/>
                <w:szCs w:val="16"/>
              </w:rPr>
              <w:t>ID</w:t>
            </w:r>
          </w:p>
        </w:tc>
        <w:tc>
          <w:tcPr>
            <w:tcW w:w="738" w:type="pct"/>
            <w:vMerge w:val="restart"/>
          </w:tcPr>
          <w:p w14:paraId="4BC24DE7" w14:textId="77777777" w:rsidR="00F1341F" w:rsidRPr="008340BB" w:rsidRDefault="00F1341F" w:rsidP="00067686">
            <w:pPr>
              <w:pStyle w:val="ListBullet"/>
              <w:tabs>
                <w:tab w:val="clear" w:pos="360"/>
                <w:tab w:val="left" w:pos="720"/>
              </w:tabs>
              <w:spacing w:before="60" w:after="60"/>
              <w:ind w:left="0" w:firstLine="0"/>
              <w:rPr>
                <w:b/>
                <w:i/>
                <w:sz w:val="16"/>
                <w:szCs w:val="16"/>
              </w:rPr>
            </w:pPr>
            <w:r w:rsidRPr="008340BB">
              <w:rPr>
                <w:b/>
                <w:i/>
                <w:sz w:val="16"/>
                <w:szCs w:val="16"/>
              </w:rPr>
              <w:t xml:space="preserve">Indicator </w:t>
            </w:r>
          </w:p>
        </w:tc>
        <w:tc>
          <w:tcPr>
            <w:tcW w:w="479" w:type="pct"/>
            <w:vMerge w:val="restart"/>
          </w:tcPr>
          <w:p w14:paraId="78336DE8" w14:textId="77777777" w:rsidR="00F1341F" w:rsidRPr="008340BB" w:rsidRDefault="00F1341F" w:rsidP="00067686">
            <w:pPr>
              <w:pStyle w:val="ListBullet"/>
              <w:tabs>
                <w:tab w:val="clear" w:pos="360"/>
                <w:tab w:val="left" w:pos="720"/>
              </w:tabs>
              <w:spacing w:before="60" w:after="60"/>
              <w:ind w:left="0" w:firstLine="0"/>
              <w:rPr>
                <w:b/>
                <w:i/>
                <w:sz w:val="16"/>
                <w:szCs w:val="16"/>
              </w:rPr>
            </w:pPr>
            <w:r w:rsidRPr="008340BB">
              <w:rPr>
                <w:b/>
                <w:i/>
                <w:sz w:val="16"/>
                <w:szCs w:val="16"/>
              </w:rPr>
              <w:t xml:space="preserve">Category of region </w:t>
            </w:r>
          </w:p>
        </w:tc>
        <w:tc>
          <w:tcPr>
            <w:tcW w:w="480" w:type="pct"/>
            <w:vMerge w:val="restart"/>
          </w:tcPr>
          <w:p w14:paraId="680C5910" w14:textId="77777777" w:rsidR="00F1341F" w:rsidRPr="008340BB" w:rsidRDefault="00F1341F" w:rsidP="00067686">
            <w:pPr>
              <w:pStyle w:val="ListBullet"/>
              <w:tabs>
                <w:tab w:val="clear" w:pos="360"/>
                <w:tab w:val="left" w:pos="720"/>
              </w:tabs>
              <w:spacing w:before="60" w:after="60"/>
              <w:ind w:left="0" w:firstLine="0"/>
              <w:rPr>
                <w:b/>
                <w:i/>
                <w:sz w:val="16"/>
                <w:szCs w:val="16"/>
              </w:rPr>
            </w:pPr>
            <w:r w:rsidRPr="008340BB">
              <w:rPr>
                <w:b/>
                <w:i/>
                <w:sz w:val="16"/>
                <w:szCs w:val="16"/>
              </w:rPr>
              <w:t>Measurement unit for indicator</w:t>
            </w:r>
          </w:p>
        </w:tc>
        <w:tc>
          <w:tcPr>
            <w:tcW w:w="527" w:type="pct"/>
            <w:vMerge w:val="restart"/>
          </w:tcPr>
          <w:p w14:paraId="3CC19759" w14:textId="77777777" w:rsidR="00F1341F" w:rsidRPr="008340BB" w:rsidRDefault="00F1341F" w:rsidP="00067686">
            <w:pPr>
              <w:snapToGrid w:val="0"/>
              <w:spacing w:before="60" w:after="60"/>
              <w:rPr>
                <w:b/>
                <w:i/>
                <w:sz w:val="16"/>
                <w:szCs w:val="16"/>
              </w:rPr>
            </w:pPr>
            <w:r w:rsidRPr="008340BB">
              <w:rPr>
                <w:b/>
                <w:i/>
                <w:sz w:val="16"/>
                <w:szCs w:val="16"/>
              </w:rPr>
              <w:t>Common output indicator used as basis for target setting</w:t>
            </w:r>
          </w:p>
        </w:tc>
        <w:tc>
          <w:tcPr>
            <w:tcW w:w="336" w:type="pct"/>
            <w:gridSpan w:val="3"/>
          </w:tcPr>
          <w:p w14:paraId="69D817AF" w14:textId="77777777" w:rsidR="00F1341F" w:rsidRPr="008340BB" w:rsidRDefault="00F1341F" w:rsidP="00067686">
            <w:pPr>
              <w:pStyle w:val="ListBullet"/>
              <w:tabs>
                <w:tab w:val="clear" w:pos="360"/>
                <w:tab w:val="left" w:pos="720"/>
              </w:tabs>
              <w:spacing w:before="60" w:after="60"/>
              <w:ind w:left="0" w:firstLine="0"/>
              <w:rPr>
                <w:b/>
                <w:i/>
                <w:sz w:val="16"/>
                <w:szCs w:val="16"/>
              </w:rPr>
            </w:pPr>
            <w:r w:rsidRPr="008340BB">
              <w:rPr>
                <w:b/>
                <w:i/>
                <w:sz w:val="16"/>
                <w:szCs w:val="16"/>
              </w:rPr>
              <w:t xml:space="preserve">Baseline value </w:t>
            </w:r>
          </w:p>
        </w:tc>
        <w:tc>
          <w:tcPr>
            <w:tcW w:w="431" w:type="pct"/>
            <w:vMerge w:val="restart"/>
          </w:tcPr>
          <w:p w14:paraId="22117310" w14:textId="77777777" w:rsidR="00F1341F" w:rsidRPr="008340BB" w:rsidRDefault="00F1341F" w:rsidP="00067686">
            <w:pPr>
              <w:pStyle w:val="ListBullet"/>
              <w:tabs>
                <w:tab w:val="clear" w:pos="360"/>
                <w:tab w:val="left" w:pos="720"/>
              </w:tabs>
              <w:spacing w:before="60" w:after="60"/>
              <w:ind w:left="0" w:firstLine="0"/>
              <w:rPr>
                <w:b/>
                <w:i/>
                <w:sz w:val="16"/>
                <w:szCs w:val="16"/>
              </w:rPr>
            </w:pPr>
            <w:r w:rsidRPr="008340BB">
              <w:rPr>
                <w:b/>
                <w:i/>
                <w:sz w:val="16"/>
                <w:szCs w:val="16"/>
              </w:rPr>
              <w:t>Measurement unit for baseline and target</w:t>
            </w:r>
          </w:p>
        </w:tc>
        <w:tc>
          <w:tcPr>
            <w:tcW w:w="309" w:type="pct"/>
            <w:vMerge w:val="restart"/>
          </w:tcPr>
          <w:p w14:paraId="1277E22A" w14:textId="77777777" w:rsidR="00F1341F" w:rsidRPr="008340BB" w:rsidRDefault="00F1341F" w:rsidP="00067686">
            <w:pPr>
              <w:pStyle w:val="ListBullet"/>
              <w:tabs>
                <w:tab w:val="clear" w:pos="360"/>
                <w:tab w:val="left" w:pos="720"/>
              </w:tabs>
              <w:spacing w:before="60" w:after="60"/>
              <w:ind w:left="0" w:firstLine="0"/>
              <w:rPr>
                <w:b/>
                <w:i/>
                <w:sz w:val="16"/>
                <w:szCs w:val="16"/>
              </w:rPr>
            </w:pPr>
            <w:r w:rsidRPr="008340BB">
              <w:rPr>
                <w:b/>
                <w:i/>
                <w:sz w:val="16"/>
                <w:szCs w:val="16"/>
              </w:rPr>
              <w:t>Baseline year</w:t>
            </w:r>
          </w:p>
        </w:tc>
        <w:tc>
          <w:tcPr>
            <w:tcW w:w="506" w:type="pct"/>
            <w:gridSpan w:val="4"/>
          </w:tcPr>
          <w:p w14:paraId="1C2C2553" w14:textId="77777777" w:rsidR="00F1341F" w:rsidRPr="008340BB" w:rsidRDefault="00F1341F" w:rsidP="00067686">
            <w:pPr>
              <w:snapToGrid w:val="0"/>
              <w:spacing w:before="60" w:after="60"/>
              <w:rPr>
                <w:b/>
                <w:i/>
                <w:sz w:val="16"/>
                <w:szCs w:val="16"/>
              </w:rPr>
            </w:pPr>
            <w:r w:rsidRPr="008340BB">
              <w:rPr>
                <w:b/>
                <w:i/>
                <w:sz w:val="16"/>
                <w:szCs w:val="16"/>
              </w:rPr>
              <w:t>Target value</w:t>
            </w:r>
            <w:r w:rsidRPr="008340BB">
              <w:rPr>
                <w:rStyle w:val="FootnoteReference"/>
                <w:b/>
                <w:i/>
                <w:sz w:val="16"/>
                <w:szCs w:val="16"/>
              </w:rPr>
              <w:footnoteReference w:id="29"/>
            </w:r>
            <w:r w:rsidRPr="008340BB">
              <w:rPr>
                <w:b/>
                <w:i/>
                <w:sz w:val="16"/>
                <w:szCs w:val="16"/>
              </w:rPr>
              <w:t xml:space="preserve"> (2023)</w:t>
            </w:r>
          </w:p>
        </w:tc>
        <w:tc>
          <w:tcPr>
            <w:tcW w:w="335" w:type="pct"/>
            <w:vMerge w:val="restart"/>
          </w:tcPr>
          <w:p w14:paraId="64A0A03D" w14:textId="77777777" w:rsidR="00F1341F" w:rsidRPr="0067246B" w:rsidRDefault="00F1341F" w:rsidP="00067686">
            <w:pPr>
              <w:pStyle w:val="ListBullet"/>
              <w:tabs>
                <w:tab w:val="clear" w:pos="360"/>
                <w:tab w:val="left" w:pos="720"/>
              </w:tabs>
              <w:spacing w:before="60" w:after="60"/>
              <w:ind w:left="0" w:firstLine="0"/>
              <w:rPr>
                <w:b/>
                <w:i/>
                <w:sz w:val="16"/>
                <w:szCs w:val="16"/>
              </w:rPr>
            </w:pPr>
            <w:r w:rsidRPr="0067246B">
              <w:rPr>
                <w:b/>
                <w:i/>
                <w:sz w:val="16"/>
                <w:szCs w:val="16"/>
              </w:rPr>
              <w:t>Source of data</w:t>
            </w:r>
          </w:p>
        </w:tc>
        <w:tc>
          <w:tcPr>
            <w:tcW w:w="410" w:type="pct"/>
            <w:vMerge w:val="restart"/>
          </w:tcPr>
          <w:p w14:paraId="0130421E" w14:textId="77777777" w:rsidR="00F1341F" w:rsidRPr="00020ADD" w:rsidRDefault="00F1341F" w:rsidP="00067686">
            <w:pPr>
              <w:pStyle w:val="ListBullet"/>
              <w:tabs>
                <w:tab w:val="clear" w:pos="360"/>
                <w:tab w:val="left" w:pos="720"/>
              </w:tabs>
              <w:spacing w:before="60" w:after="60"/>
              <w:ind w:left="0" w:firstLine="0"/>
              <w:rPr>
                <w:b/>
                <w:i/>
                <w:sz w:val="16"/>
                <w:szCs w:val="16"/>
              </w:rPr>
            </w:pPr>
            <w:r w:rsidRPr="00020ADD">
              <w:rPr>
                <w:b/>
                <w:i/>
                <w:sz w:val="16"/>
                <w:szCs w:val="16"/>
              </w:rPr>
              <w:t>Frequency of reporting</w:t>
            </w:r>
          </w:p>
        </w:tc>
      </w:tr>
      <w:tr w:rsidR="00F1341F" w:rsidRPr="008340BB" w14:paraId="6898D0DB" w14:textId="77777777" w:rsidTr="00C811EC">
        <w:trPr>
          <w:trHeight w:val="619"/>
        </w:trPr>
        <w:tc>
          <w:tcPr>
            <w:tcW w:w="449" w:type="pct"/>
            <w:vMerge/>
          </w:tcPr>
          <w:p w14:paraId="4D557A2D" w14:textId="77777777" w:rsidR="00F1341F" w:rsidRPr="008340BB" w:rsidRDefault="00F1341F" w:rsidP="00067686">
            <w:pPr>
              <w:pStyle w:val="ListBullet"/>
              <w:tabs>
                <w:tab w:val="clear" w:pos="360"/>
                <w:tab w:val="left" w:pos="720"/>
              </w:tabs>
              <w:spacing w:before="60" w:after="60"/>
              <w:ind w:left="0" w:firstLine="0"/>
              <w:rPr>
                <w:b/>
                <w:i/>
                <w:sz w:val="16"/>
                <w:szCs w:val="16"/>
              </w:rPr>
            </w:pPr>
          </w:p>
        </w:tc>
        <w:tc>
          <w:tcPr>
            <w:tcW w:w="738" w:type="pct"/>
            <w:vMerge/>
          </w:tcPr>
          <w:p w14:paraId="633CDED5" w14:textId="77777777" w:rsidR="00F1341F" w:rsidRPr="008340BB" w:rsidRDefault="00F1341F" w:rsidP="00067686">
            <w:pPr>
              <w:pStyle w:val="ListBullet"/>
              <w:tabs>
                <w:tab w:val="clear" w:pos="360"/>
                <w:tab w:val="left" w:pos="720"/>
              </w:tabs>
              <w:spacing w:before="60" w:after="60"/>
              <w:ind w:left="0" w:firstLine="0"/>
              <w:rPr>
                <w:b/>
                <w:i/>
                <w:sz w:val="16"/>
                <w:szCs w:val="16"/>
              </w:rPr>
            </w:pPr>
          </w:p>
        </w:tc>
        <w:tc>
          <w:tcPr>
            <w:tcW w:w="479" w:type="pct"/>
            <w:vMerge/>
          </w:tcPr>
          <w:p w14:paraId="313D88AA" w14:textId="77777777" w:rsidR="00F1341F" w:rsidRPr="008340BB" w:rsidRDefault="00F1341F" w:rsidP="00067686">
            <w:pPr>
              <w:pStyle w:val="ListBullet"/>
              <w:tabs>
                <w:tab w:val="clear" w:pos="360"/>
                <w:tab w:val="left" w:pos="720"/>
              </w:tabs>
              <w:spacing w:before="60" w:after="60"/>
              <w:ind w:left="0" w:firstLine="0"/>
              <w:rPr>
                <w:b/>
                <w:i/>
                <w:sz w:val="16"/>
                <w:szCs w:val="16"/>
              </w:rPr>
            </w:pPr>
          </w:p>
        </w:tc>
        <w:tc>
          <w:tcPr>
            <w:tcW w:w="480" w:type="pct"/>
            <w:vMerge/>
          </w:tcPr>
          <w:p w14:paraId="20B0C231" w14:textId="77777777" w:rsidR="00F1341F" w:rsidRPr="008340BB" w:rsidRDefault="00F1341F" w:rsidP="00067686">
            <w:pPr>
              <w:pStyle w:val="ListBullet"/>
              <w:tabs>
                <w:tab w:val="clear" w:pos="360"/>
                <w:tab w:val="left" w:pos="720"/>
              </w:tabs>
              <w:spacing w:before="60" w:after="60"/>
              <w:ind w:left="0" w:firstLine="0"/>
              <w:rPr>
                <w:b/>
                <w:i/>
                <w:sz w:val="16"/>
                <w:szCs w:val="16"/>
              </w:rPr>
            </w:pPr>
          </w:p>
        </w:tc>
        <w:tc>
          <w:tcPr>
            <w:tcW w:w="527" w:type="pct"/>
            <w:vMerge/>
          </w:tcPr>
          <w:p w14:paraId="3816A2E0" w14:textId="77777777" w:rsidR="00F1341F" w:rsidRPr="008340BB" w:rsidRDefault="00F1341F" w:rsidP="00067686">
            <w:pPr>
              <w:snapToGrid w:val="0"/>
              <w:spacing w:before="60" w:after="60"/>
              <w:rPr>
                <w:b/>
                <w:i/>
                <w:sz w:val="16"/>
                <w:szCs w:val="16"/>
              </w:rPr>
            </w:pPr>
          </w:p>
        </w:tc>
        <w:tc>
          <w:tcPr>
            <w:tcW w:w="112" w:type="pct"/>
          </w:tcPr>
          <w:p w14:paraId="57733361" w14:textId="77777777" w:rsidR="00F1341F" w:rsidRPr="008340BB" w:rsidRDefault="00F1341F" w:rsidP="00067686">
            <w:pPr>
              <w:pStyle w:val="ListBullet"/>
              <w:tabs>
                <w:tab w:val="clear" w:pos="360"/>
                <w:tab w:val="left" w:pos="720"/>
              </w:tabs>
              <w:spacing w:before="60" w:after="60"/>
              <w:ind w:left="0" w:firstLine="0"/>
              <w:rPr>
                <w:b/>
                <w:i/>
                <w:sz w:val="16"/>
                <w:szCs w:val="16"/>
              </w:rPr>
            </w:pPr>
            <w:r w:rsidRPr="008340BB">
              <w:rPr>
                <w:sz w:val="16"/>
                <w:szCs w:val="16"/>
              </w:rPr>
              <w:t>M</w:t>
            </w:r>
          </w:p>
        </w:tc>
        <w:tc>
          <w:tcPr>
            <w:tcW w:w="112" w:type="pct"/>
          </w:tcPr>
          <w:p w14:paraId="7986FF6E" w14:textId="77777777" w:rsidR="00F1341F" w:rsidRPr="008340BB" w:rsidRDefault="00F1341F" w:rsidP="00067686">
            <w:pPr>
              <w:pStyle w:val="ListBullet"/>
              <w:tabs>
                <w:tab w:val="clear" w:pos="360"/>
                <w:tab w:val="left" w:pos="720"/>
              </w:tabs>
              <w:spacing w:before="60" w:after="60"/>
              <w:ind w:left="0" w:firstLine="0"/>
              <w:rPr>
                <w:b/>
                <w:i/>
                <w:sz w:val="16"/>
                <w:szCs w:val="16"/>
              </w:rPr>
            </w:pPr>
            <w:r w:rsidRPr="008340BB">
              <w:rPr>
                <w:sz w:val="16"/>
                <w:szCs w:val="16"/>
              </w:rPr>
              <w:t>W</w:t>
            </w:r>
          </w:p>
        </w:tc>
        <w:tc>
          <w:tcPr>
            <w:tcW w:w="112" w:type="pct"/>
          </w:tcPr>
          <w:p w14:paraId="4B020E14" w14:textId="77777777" w:rsidR="00F1341F" w:rsidRPr="008340BB" w:rsidRDefault="00F1341F" w:rsidP="00067686">
            <w:pPr>
              <w:pStyle w:val="ListBullet"/>
              <w:tabs>
                <w:tab w:val="clear" w:pos="360"/>
                <w:tab w:val="left" w:pos="720"/>
              </w:tabs>
              <w:spacing w:before="60" w:after="60"/>
              <w:ind w:left="0" w:firstLine="0"/>
              <w:rPr>
                <w:b/>
                <w:i/>
                <w:sz w:val="16"/>
                <w:szCs w:val="16"/>
              </w:rPr>
            </w:pPr>
            <w:r w:rsidRPr="008340BB">
              <w:rPr>
                <w:sz w:val="16"/>
                <w:szCs w:val="16"/>
              </w:rPr>
              <w:t>T</w:t>
            </w:r>
          </w:p>
        </w:tc>
        <w:tc>
          <w:tcPr>
            <w:tcW w:w="431" w:type="pct"/>
            <w:vMerge/>
          </w:tcPr>
          <w:p w14:paraId="28E2FD7E" w14:textId="77777777" w:rsidR="00F1341F" w:rsidRPr="008340BB" w:rsidRDefault="00F1341F" w:rsidP="00067686">
            <w:pPr>
              <w:pStyle w:val="ListBullet"/>
              <w:tabs>
                <w:tab w:val="clear" w:pos="360"/>
                <w:tab w:val="left" w:pos="720"/>
              </w:tabs>
              <w:spacing w:before="60" w:after="60"/>
              <w:ind w:left="0" w:firstLine="0"/>
              <w:rPr>
                <w:b/>
                <w:i/>
                <w:sz w:val="16"/>
                <w:szCs w:val="16"/>
              </w:rPr>
            </w:pPr>
          </w:p>
        </w:tc>
        <w:tc>
          <w:tcPr>
            <w:tcW w:w="309" w:type="pct"/>
            <w:vMerge/>
          </w:tcPr>
          <w:p w14:paraId="272397A7" w14:textId="77777777" w:rsidR="00F1341F" w:rsidRPr="008340BB" w:rsidRDefault="00F1341F" w:rsidP="00067686">
            <w:pPr>
              <w:pStyle w:val="ListBullet"/>
              <w:tabs>
                <w:tab w:val="clear" w:pos="360"/>
                <w:tab w:val="left" w:pos="720"/>
              </w:tabs>
              <w:spacing w:before="60" w:after="60"/>
              <w:ind w:left="0" w:firstLine="0"/>
              <w:rPr>
                <w:b/>
                <w:i/>
                <w:sz w:val="16"/>
                <w:szCs w:val="16"/>
              </w:rPr>
            </w:pPr>
          </w:p>
        </w:tc>
        <w:tc>
          <w:tcPr>
            <w:tcW w:w="186" w:type="pct"/>
            <w:gridSpan w:val="2"/>
          </w:tcPr>
          <w:p w14:paraId="1B7DA315" w14:textId="77777777" w:rsidR="00F1341F" w:rsidRPr="008340BB" w:rsidRDefault="00F1341F" w:rsidP="00067686">
            <w:pPr>
              <w:snapToGrid w:val="0"/>
              <w:spacing w:before="60" w:after="60"/>
              <w:rPr>
                <w:b/>
                <w:i/>
                <w:sz w:val="16"/>
                <w:szCs w:val="16"/>
              </w:rPr>
            </w:pPr>
            <w:r w:rsidRPr="008340BB">
              <w:rPr>
                <w:sz w:val="16"/>
                <w:szCs w:val="16"/>
              </w:rPr>
              <w:t>M</w:t>
            </w:r>
          </w:p>
        </w:tc>
        <w:tc>
          <w:tcPr>
            <w:tcW w:w="160" w:type="pct"/>
          </w:tcPr>
          <w:p w14:paraId="3DE6260F" w14:textId="77777777" w:rsidR="00F1341F" w:rsidRPr="008340BB" w:rsidRDefault="00F1341F" w:rsidP="00067686">
            <w:pPr>
              <w:snapToGrid w:val="0"/>
              <w:spacing w:before="60" w:after="60"/>
              <w:rPr>
                <w:b/>
                <w:i/>
                <w:sz w:val="16"/>
                <w:szCs w:val="16"/>
              </w:rPr>
            </w:pPr>
            <w:r w:rsidRPr="008340BB">
              <w:rPr>
                <w:sz w:val="16"/>
                <w:szCs w:val="16"/>
              </w:rPr>
              <w:t>W</w:t>
            </w:r>
          </w:p>
        </w:tc>
        <w:tc>
          <w:tcPr>
            <w:tcW w:w="160" w:type="pct"/>
          </w:tcPr>
          <w:p w14:paraId="414EE797" w14:textId="77777777" w:rsidR="00F1341F" w:rsidRPr="008340BB" w:rsidRDefault="00F1341F" w:rsidP="00067686">
            <w:pPr>
              <w:snapToGrid w:val="0"/>
              <w:spacing w:before="60" w:after="60"/>
              <w:rPr>
                <w:b/>
                <w:i/>
                <w:sz w:val="16"/>
                <w:szCs w:val="16"/>
              </w:rPr>
            </w:pPr>
            <w:r w:rsidRPr="008340BB">
              <w:rPr>
                <w:sz w:val="16"/>
                <w:szCs w:val="16"/>
              </w:rPr>
              <w:t>T</w:t>
            </w:r>
          </w:p>
        </w:tc>
        <w:tc>
          <w:tcPr>
            <w:tcW w:w="335" w:type="pct"/>
            <w:vMerge/>
          </w:tcPr>
          <w:p w14:paraId="0B17530A" w14:textId="77777777" w:rsidR="00F1341F" w:rsidRPr="008340BB" w:rsidRDefault="00F1341F" w:rsidP="00067686">
            <w:pPr>
              <w:pStyle w:val="ListBullet"/>
              <w:tabs>
                <w:tab w:val="clear" w:pos="360"/>
                <w:tab w:val="left" w:pos="720"/>
              </w:tabs>
              <w:spacing w:before="60" w:after="60"/>
              <w:ind w:left="0" w:firstLine="0"/>
              <w:rPr>
                <w:b/>
                <w:i/>
                <w:sz w:val="16"/>
                <w:szCs w:val="16"/>
              </w:rPr>
            </w:pPr>
          </w:p>
        </w:tc>
        <w:tc>
          <w:tcPr>
            <w:tcW w:w="410" w:type="pct"/>
            <w:vMerge/>
          </w:tcPr>
          <w:p w14:paraId="18D96F8A" w14:textId="77777777" w:rsidR="00F1341F" w:rsidRPr="008340BB" w:rsidRDefault="00F1341F" w:rsidP="00067686">
            <w:pPr>
              <w:pStyle w:val="ListBullet"/>
              <w:tabs>
                <w:tab w:val="clear" w:pos="360"/>
                <w:tab w:val="left" w:pos="720"/>
              </w:tabs>
              <w:spacing w:before="60" w:after="60"/>
              <w:ind w:left="0" w:firstLine="0"/>
              <w:rPr>
                <w:b/>
                <w:sz w:val="16"/>
                <w:szCs w:val="16"/>
              </w:rPr>
            </w:pPr>
          </w:p>
        </w:tc>
      </w:tr>
      <w:tr w:rsidR="00F1341F" w:rsidRPr="008340BB" w14:paraId="0BC4B143" w14:textId="77777777" w:rsidTr="00C811EC">
        <w:trPr>
          <w:trHeight w:val="652"/>
        </w:trPr>
        <w:tc>
          <w:tcPr>
            <w:tcW w:w="449" w:type="pct"/>
          </w:tcPr>
          <w:p w14:paraId="49914596" w14:textId="77777777" w:rsidR="00F1341F" w:rsidRPr="008340BB" w:rsidRDefault="00F1341F" w:rsidP="00067686">
            <w:pPr>
              <w:pStyle w:val="Text1"/>
              <w:spacing w:before="60" w:after="60"/>
              <w:ind w:left="0"/>
              <w:jc w:val="left"/>
              <w:rPr>
                <w:i/>
                <w:sz w:val="16"/>
                <w:szCs w:val="16"/>
                <w:lang w:val="en-GB" w:eastAsia="en-GB"/>
              </w:rPr>
            </w:pPr>
            <w:r w:rsidRPr="008340BB">
              <w:rPr>
                <w:i/>
                <w:sz w:val="16"/>
                <w:szCs w:val="16"/>
                <w:lang w:val="en-GB" w:eastAsia="en-GB"/>
              </w:rPr>
              <w:t>N/A</w:t>
            </w:r>
          </w:p>
        </w:tc>
        <w:tc>
          <w:tcPr>
            <w:tcW w:w="738" w:type="pct"/>
          </w:tcPr>
          <w:p w14:paraId="65277823" w14:textId="77777777" w:rsidR="00F1341F" w:rsidRPr="008340BB" w:rsidRDefault="00F1341F">
            <w:r w:rsidRPr="008340BB">
              <w:rPr>
                <w:i/>
                <w:sz w:val="16"/>
                <w:szCs w:val="16"/>
              </w:rPr>
              <w:t>N/A</w:t>
            </w:r>
          </w:p>
        </w:tc>
        <w:tc>
          <w:tcPr>
            <w:tcW w:w="479" w:type="pct"/>
          </w:tcPr>
          <w:p w14:paraId="3638BF17" w14:textId="77777777" w:rsidR="00F1341F" w:rsidRPr="008340BB" w:rsidRDefault="00F1341F">
            <w:r w:rsidRPr="008340BB">
              <w:rPr>
                <w:i/>
                <w:sz w:val="16"/>
                <w:szCs w:val="16"/>
              </w:rPr>
              <w:t>N/A</w:t>
            </w:r>
          </w:p>
        </w:tc>
        <w:tc>
          <w:tcPr>
            <w:tcW w:w="480" w:type="pct"/>
          </w:tcPr>
          <w:p w14:paraId="3A07B02B" w14:textId="77777777" w:rsidR="00F1341F" w:rsidRPr="008340BB" w:rsidRDefault="00F1341F">
            <w:r w:rsidRPr="008340BB">
              <w:rPr>
                <w:i/>
                <w:sz w:val="16"/>
                <w:szCs w:val="16"/>
              </w:rPr>
              <w:t>N/A</w:t>
            </w:r>
          </w:p>
        </w:tc>
        <w:tc>
          <w:tcPr>
            <w:tcW w:w="527" w:type="pct"/>
          </w:tcPr>
          <w:p w14:paraId="53FE4127" w14:textId="77777777" w:rsidR="00F1341F" w:rsidRPr="008340BB" w:rsidRDefault="00F1341F">
            <w:r w:rsidRPr="008340BB">
              <w:rPr>
                <w:i/>
                <w:sz w:val="16"/>
                <w:szCs w:val="16"/>
              </w:rPr>
              <w:t>N/A</w:t>
            </w:r>
          </w:p>
        </w:tc>
        <w:tc>
          <w:tcPr>
            <w:tcW w:w="112" w:type="pct"/>
          </w:tcPr>
          <w:p w14:paraId="5C1665B5" w14:textId="77777777" w:rsidR="00F1341F" w:rsidRPr="008340BB" w:rsidRDefault="00F1341F">
            <w:r w:rsidRPr="008340BB">
              <w:rPr>
                <w:i/>
                <w:sz w:val="16"/>
                <w:szCs w:val="16"/>
              </w:rPr>
              <w:t>N/A</w:t>
            </w:r>
          </w:p>
        </w:tc>
        <w:tc>
          <w:tcPr>
            <w:tcW w:w="112" w:type="pct"/>
          </w:tcPr>
          <w:p w14:paraId="6248CA36" w14:textId="77777777" w:rsidR="00F1341F" w:rsidRPr="008340BB" w:rsidRDefault="00F1341F">
            <w:r w:rsidRPr="008340BB">
              <w:rPr>
                <w:i/>
                <w:sz w:val="16"/>
                <w:szCs w:val="16"/>
              </w:rPr>
              <w:t>N/A</w:t>
            </w:r>
          </w:p>
        </w:tc>
        <w:tc>
          <w:tcPr>
            <w:tcW w:w="112" w:type="pct"/>
          </w:tcPr>
          <w:p w14:paraId="1D826451" w14:textId="77777777" w:rsidR="00F1341F" w:rsidRPr="008340BB" w:rsidRDefault="00F1341F">
            <w:r w:rsidRPr="008340BB">
              <w:rPr>
                <w:i/>
                <w:sz w:val="16"/>
                <w:szCs w:val="16"/>
              </w:rPr>
              <w:t>N/A</w:t>
            </w:r>
          </w:p>
        </w:tc>
        <w:tc>
          <w:tcPr>
            <w:tcW w:w="431" w:type="pct"/>
          </w:tcPr>
          <w:p w14:paraId="2E4F4414" w14:textId="77777777" w:rsidR="00F1341F" w:rsidRPr="008340BB" w:rsidRDefault="00F1341F">
            <w:r w:rsidRPr="008340BB">
              <w:rPr>
                <w:i/>
                <w:sz w:val="16"/>
                <w:szCs w:val="16"/>
              </w:rPr>
              <w:t>N/A</w:t>
            </w:r>
          </w:p>
        </w:tc>
        <w:tc>
          <w:tcPr>
            <w:tcW w:w="309" w:type="pct"/>
          </w:tcPr>
          <w:p w14:paraId="31F38623" w14:textId="77777777" w:rsidR="00F1341F" w:rsidRPr="008340BB" w:rsidRDefault="00F1341F">
            <w:r w:rsidRPr="008340BB">
              <w:rPr>
                <w:i/>
                <w:sz w:val="16"/>
                <w:szCs w:val="16"/>
              </w:rPr>
              <w:t>N/A</w:t>
            </w:r>
          </w:p>
        </w:tc>
        <w:tc>
          <w:tcPr>
            <w:tcW w:w="183" w:type="pct"/>
          </w:tcPr>
          <w:p w14:paraId="666DC281" w14:textId="77777777" w:rsidR="00F1341F" w:rsidRPr="008340BB" w:rsidRDefault="00F1341F">
            <w:r w:rsidRPr="008340BB">
              <w:rPr>
                <w:i/>
                <w:sz w:val="16"/>
                <w:szCs w:val="16"/>
              </w:rPr>
              <w:t>N/A</w:t>
            </w:r>
          </w:p>
        </w:tc>
        <w:tc>
          <w:tcPr>
            <w:tcW w:w="163" w:type="pct"/>
            <w:gridSpan w:val="2"/>
          </w:tcPr>
          <w:p w14:paraId="1BCBCE3E" w14:textId="77777777" w:rsidR="00F1341F" w:rsidRPr="008340BB" w:rsidRDefault="00F1341F">
            <w:r w:rsidRPr="008340BB">
              <w:rPr>
                <w:i/>
                <w:sz w:val="16"/>
                <w:szCs w:val="16"/>
              </w:rPr>
              <w:t>N/A</w:t>
            </w:r>
          </w:p>
        </w:tc>
        <w:tc>
          <w:tcPr>
            <w:tcW w:w="160" w:type="pct"/>
          </w:tcPr>
          <w:p w14:paraId="74B3F244" w14:textId="77777777" w:rsidR="00F1341F" w:rsidRPr="008340BB" w:rsidRDefault="00F1341F">
            <w:r w:rsidRPr="008340BB">
              <w:rPr>
                <w:i/>
                <w:sz w:val="16"/>
                <w:szCs w:val="16"/>
              </w:rPr>
              <w:t>N/A</w:t>
            </w:r>
          </w:p>
        </w:tc>
        <w:tc>
          <w:tcPr>
            <w:tcW w:w="335" w:type="pct"/>
          </w:tcPr>
          <w:p w14:paraId="3662216D" w14:textId="77777777" w:rsidR="00F1341F" w:rsidRPr="008340BB" w:rsidRDefault="00F1341F">
            <w:r w:rsidRPr="008340BB">
              <w:rPr>
                <w:i/>
                <w:sz w:val="16"/>
                <w:szCs w:val="16"/>
              </w:rPr>
              <w:t>N/A</w:t>
            </w:r>
          </w:p>
        </w:tc>
        <w:tc>
          <w:tcPr>
            <w:tcW w:w="410" w:type="pct"/>
          </w:tcPr>
          <w:p w14:paraId="6DA91CD9" w14:textId="77777777" w:rsidR="00F1341F" w:rsidRPr="008340BB" w:rsidRDefault="00F1341F">
            <w:r w:rsidRPr="008340BB">
              <w:rPr>
                <w:i/>
                <w:sz w:val="16"/>
                <w:szCs w:val="16"/>
              </w:rPr>
              <w:t>N/A</w:t>
            </w:r>
          </w:p>
        </w:tc>
      </w:tr>
      <w:tr w:rsidR="00F1341F" w:rsidRPr="008340BB" w14:paraId="540B5D2B" w14:textId="77777777" w:rsidTr="00C811EC">
        <w:trPr>
          <w:trHeight w:val="665"/>
        </w:trPr>
        <w:tc>
          <w:tcPr>
            <w:tcW w:w="449" w:type="pct"/>
          </w:tcPr>
          <w:p w14:paraId="13D117B5" w14:textId="77777777" w:rsidR="00F1341F" w:rsidRPr="008340BB" w:rsidRDefault="00F1341F">
            <w:r w:rsidRPr="008340BB">
              <w:rPr>
                <w:i/>
                <w:sz w:val="16"/>
                <w:szCs w:val="16"/>
              </w:rPr>
              <w:t>N/A</w:t>
            </w:r>
          </w:p>
        </w:tc>
        <w:tc>
          <w:tcPr>
            <w:tcW w:w="738" w:type="pct"/>
          </w:tcPr>
          <w:p w14:paraId="57872F5A" w14:textId="77777777" w:rsidR="00F1341F" w:rsidRPr="008340BB" w:rsidRDefault="00F1341F">
            <w:r w:rsidRPr="008340BB">
              <w:rPr>
                <w:i/>
                <w:sz w:val="16"/>
                <w:szCs w:val="16"/>
              </w:rPr>
              <w:t>N/A</w:t>
            </w:r>
          </w:p>
        </w:tc>
        <w:tc>
          <w:tcPr>
            <w:tcW w:w="479" w:type="pct"/>
          </w:tcPr>
          <w:p w14:paraId="78307D2A" w14:textId="77777777" w:rsidR="00F1341F" w:rsidRPr="008340BB" w:rsidRDefault="00F1341F">
            <w:r w:rsidRPr="008340BB">
              <w:rPr>
                <w:i/>
                <w:sz w:val="16"/>
                <w:szCs w:val="16"/>
              </w:rPr>
              <w:t>N/A</w:t>
            </w:r>
          </w:p>
        </w:tc>
        <w:tc>
          <w:tcPr>
            <w:tcW w:w="480" w:type="pct"/>
          </w:tcPr>
          <w:p w14:paraId="773E9C8E" w14:textId="77777777" w:rsidR="00F1341F" w:rsidRPr="008340BB" w:rsidRDefault="00F1341F">
            <w:r w:rsidRPr="008340BB">
              <w:rPr>
                <w:i/>
                <w:sz w:val="16"/>
                <w:szCs w:val="16"/>
              </w:rPr>
              <w:t>N/A</w:t>
            </w:r>
          </w:p>
        </w:tc>
        <w:tc>
          <w:tcPr>
            <w:tcW w:w="527" w:type="pct"/>
          </w:tcPr>
          <w:p w14:paraId="3808EDCB" w14:textId="77777777" w:rsidR="00F1341F" w:rsidRPr="008340BB" w:rsidRDefault="00F1341F">
            <w:r w:rsidRPr="008340BB">
              <w:rPr>
                <w:i/>
                <w:sz w:val="16"/>
                <w:szCs w:val="16"/>
              </w:rPr>
              <w:t>N/A</w:t>
            </w:r>
          </w:p>
        </w:tc>
        <w:tc>
          <w:tcPr>
            <w:tcW w:w="112" w:type="pct"/>
          </w:tcPr>
          <w:p w14:paraId="4997687A" w14:textId="77777777" w:rsidR="00F1341F" w:rsidRPr="008340BB" w:rsidRDefault="00F1341F">
            <w:r w:rsidRPr="008340BB">
              <w:rPr>
                <w:i/>
                <w:sz w:val="16"/>
                <w:szCs w:val="16"/>
              </w:rPr>
              <w:t>N/A</w:t>
            </w:r>
          </w:p>
        </w:tc>
        <w:tc>
          <w:tcPr>
            <w:tcW w:w="112" w:type="pct"/>
          </w:tcPr>
          <w:p w14:paraId="508FE118" w14:textId="77777777" w:rsidR="00F1341F" w:rsidRPr="008340BB" w:rsidRDefault="00F1341F">
            <w:r w:rsidRPr="008340BB">
              <w:rPr>
                <w:i/>
                <w:sz w:val="16"/>
                <w:szCs w:val="16"/>
              </w:rPr>
              <w:t>N/A</w:t>
            </w:r>
          </w:p>
        </w:tc>
        <w:tc>
          <w:tcPr>
            <w:tcW w:w="112" w:type="pct"/>
          </w:tcPr>
          <w:p w14:paraId="3ABB2837" w14:textId="77777777" w:rsidR="00F1341F" w:rsidRPr="008340BB" w:rsidRDefault="00F1341F">
            <w:r w:rsidRPr="008340BB">
              <w:rPr>
                <w:i/>
                <w:sz w:val="16"/>
                <w:szCs w:val="16"/>
              </w:rPr>
              <w:t>N/A</w:t>
            </w:r>
          </w:p>
        </w:tc>
        <w:tc>
          <w:tcPr>
            <w:tcW w:w="431" w:type="pct"/>
          </w:tcPr>
          <w:p w14:paraId="39029F4C" w14:textId="77777777" w:rsidR="00F1341F" w:rsidRPr="008340BB" w:rsidRDefault="00F1341F">
            <w:r w:rsidRPr="008340BB">
              <w:rPr>
                <w:i/>
                <w:sz w:val="16"/>
                <w:szCs w:val="16"/>
              </w:rPr>
              <w:t>N/A</w:t>
            </w:r>
          </w:p>
        </w:tc>
        <w:tc>
          <w:tcPr>
            <w:tcW w:w="309" w:type="pct"/>
          </w:tcPr>
          <w:p w14:paraId="34A5EDDE" w14:textId="77777777" w:rsidR="00F1341F" w:rsidRPr="008340BB" w:rsidRDefault="00F1341F">
            <w:r w:rsidRPr="008340BB">
              <w:rPr>
                <w:i/>
                <w:sz w:val="16"/>
                <w:szCs w:val="16"/>
              </w:rPr>
              <w:t>N/A</w:t>
            </w:r>
          </w:p>
        </w:tc>
        <w:tc>
          <w:tcPr>
            <w:tcW w:w="183" w:type="pct"/>
          </w:tcPr>
          <w:p w14:paraId="5CA32D85" w14:textId="77777777" w:rsidR="00F1341F" w:rsidRPr="008340BB" w:rsidRDefault="00F1341F">
            <w:r w:rsidRPr="008340BB">
              <w:rPr>
                <w:i/>
                <w:sz w:val="16"/>
                <w:szCs w:val="16"/>
              </w:rPr>
              <w:t>N/A</w:t>
            </w:r>
          </w:p>
        </w:tc>
        <w:tc>
          <w:tcPr>
            <w:tcW w:w="163" w:type="pct"/>
            <w:gridSpan w:val="2"/>
          </w:tcPr>
          <w:p w14:paraId="7B163947" w14:textId="77777777" w:rsidR="00F1341F" w:rsidRPr="008340BB" w:rsidRDefault="00F1341F">
            <w:r w:rsidRPr="008340BB">
              <w:rPr>
                <w:i/>
                <w:sz w:val="16"/>
                <w:szCs w:val="16"/>
              </w:rPr>
              <w:t>N/A</w:t>
            </w:r>
          </w:p>
        </w:tc>
        <w:tc>
          <w:tcPr>
            <w:tcW w:w="160" w:type="pct"/>
          </w:tcPr>
          <w:p w14:paraId="1EA06390" w14:textId="77777777" w:rsidR="00F1341F" w:rsidRPr="008340BB" w:rsidRDefault="00F1341F">
            <w:r w:rsidRPr="008340BB">
              <w:rPr>
                <w:i/>
                <w:sz w:val="16"/>
                <w:szCs w:val="16"/>
              </w:rPr>
              <w:t>N/A</w:t>
            </w:r>
          </w:p>
        </w:tc>
        <w:tc>
          <w:tcPr>
            <w:tcW w:w="335" w:type="pct"/>
          </w:tcPr>
          <w:p w14:paraId="0A184E14" w14:textId="77777777" w:rsidR="00F1341F" w:rsidRPr="008340BB" w:rsidRDefault="00F1341F" w:rsidP="00067686">
            <w:r w:rsidRPr="008340BB">
              <w:rPr>
                <w:i/>
                <w:sz w:val="16"/>
                <w:szCs w:val="16"/>
              </w:rPr>
              <w:t>N/A</w:t>
            </w:r>
          </w:p>
        </w:tc>
        <w:tc>
          <w:tcPr>
            <w:tcW w:w="410" w:type="pct"/>
          </w:tcPr>
          <w:p w14:paraId="617802AC" w14:textId="77777777" w:rsidR="00F1341F" w:rsidRPr="008340BB" w:rsidRDefault="00F1341F" w:rsidP="00067686">
            <w:r w:rsidRPr="008340BB">
              <w:rPr>
                <w:i/>
                <w:sz w:val="16"/>
                <w:szCs w:val="16"/>
              </w:rPr>
              <w:t>N/A</w:t>
            </w:r>
          </w:p>
        </w:tc>
      </w:tr>
    </w:tbl>
    <w:p w14:paraId="53022EE9" w14:textId="77777777" w:rsidR="00F1341F" w:rsidRPr="008340BB" w:rsidRDefault="00F1341F" w:rsidP="008B4180">
      <w:pPr>
        <w:tabs>
          <w:tab w:val="left" w:pos="720"/>
        </w:tabs>
        <w:spacing w:before="0" w:after="240"/>
        <w:jc w:val="center"/>
        <w:rPr>
          <w:b/>
          <w:lang w:eastAsia="en-US"/>
        </w:rPr>
      </w:pPr>
    </w:p>
    <w:p w14:paraId="15CE76E4" w14:textId="77777777" w:rsidR="00F1341F" w:rsidRPr="008340BB" w:rsidRDefault="00F1341F" w:rsidP="008B4180">
      <w:pPr>
        <w:tabs>
          <w:tab w:val="left" w:pos="720"/>
        </w:tabs>
        <w:spacing w:before="0" w:after="240"/>
        <w:jc w:val="left"/>
        <w:rPr>
          <w:b/>
          <w:lang w:eastAsia="en-US"/>
        </w:rPr>
      </w:pPr>
      <w:r w:rsidRPr="008340BB">
        <w:rPr>
          <w:b/>
          <w:lang w:eastAsia="en-US"/>
        </w:rPr>
        <w:br w:type="page"/>
      </w:r>
      <w:r w:rsidRPr="008340BB">
        <w:rPr>
          <w:b/>
          <w:lang w:eastAsia="en-US"/>
        </w:rPr>
        <w:lastRenderedPageBreak/>
        <w:t xml:space="preserve">Table 4a: </w:t>
      </w:r>
      <w:r w:rsidRPr="008340BB">
        <w:rPr>
          <w:b/>
          <w:lang w:eastAsia="en-US"/>
        </w:rPr>
        <w:tab/>
        <w:t xml:space="preserve">YEI result indicators and programme-specific result indicators corresponding to the specific objective </w:t>
      </w:r>
    </w:p>
    <w:p w14:paraId="2CB3BEEE" w14:textId="77777777" w:rsidR="00F1341F" w:rsidRPr="008340BB" w:rsidRDefault="00F1341F" w:rsidP="008B4180">
      <w:pPr>
        <w:tabs>
          <w:tab w:val="left" w:pos="720"/>
        </w:tabs>
        <w:spacing w:before="0" w:after="240"/>
        <w:jc w:val="left"/>
        <w:rPr>
          <w:lang w:eastAsia="en-US"/>
        </w:rPr>
      </w:pPr>
      <w:r w:rsidRPr="008340BB">
        <w:rPr>
          <w:lang w:eastAsia="en-US"/>
        </w:rPr>
        <w:t xml:space="preserve">(by priority axis or by part of a priority axis) </w:t>
      </w:r>
    </w:p>
    <w:p w14:paraId="06B0697C" w14:textId="77777777" w:rsidR="00F1341F" w:rsidRPr="008340BB" w:rsidRDefault="00F1341F" w:rsidP="008B4180">
      <w:pPr>
        <w:tabs>
          <w:tab w:val="left" w:pos="720"/>
        </w:tabs>
        <w:spacing w:before="0" w:after="240"/>
        <w:jc w:val="left"/>
        <w:rPr>
          <w:lang w:eastAsia="en-US"/>
        </w:rPr>
      </w:pPr>
      <w:r w:rsidRPr="008340BB">
        <w:rPr>
          <w:lang w:eastAsia="en-US"/>
        </w:rPr>
        <w:t xml:space="preserve"> (</w:t>
      </w:r>
      <w:r w:rsidRPr="008340BB">
        <w:rPr>
          <w:szCs w:val="24"/>
          <w:lang w:eastAsia="en-US"/>
        </w:rPr>
        <w:t xml:space="preserve">Reference: Article 19(3) of Regulation (EU) No </w:t>
      </w:r>
      <w:r w:rsidRPr="008340BB">
        <w:rPr>
          <w:szCs w:val="24"/>
        </w:rPr>
        <w:t>1304/2013 of the European Parliament and of the Council</w:t>
      </w:r>
      <w:r w:rsidRPr="008340BB">
        <w:rPr>
          <w:rStyle w:val="FootnoteReference"/>
          <w:lang w:eastAsia="en-US"/>
        </w:rPr>
        <w:footnoteReference w:id="30"/>
      </w:r>
      <w:r w:rsidRPr="008340BB">
        <w:rPr>
          <w:lang w:eastAsia="en-US"/>
        </w:rPr>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10"/>
        <w:gridCol w:w="2149"/>
        <w:gridCol w:w="1398"/>
        <w:gridCol w:w="1535"/>
        <w:gridCol w:w="326"/>
        <w:gridCol w:w="326"/>
        <w:gridCol w:w="326"/>
        <w:gridCol w:w="1256"/>
        <w:gridCol w:w="874"/>
        <w:gridCol w:w="532"/>
        <w:gridCol w:w="37"/>
        <w:gridCol w:w="466"/>
        <w:gridCol w:w="466"/>
        <w:gridCol w:w="977"/>
        <w:gridCol w:w="1187"/>
      </w:tblGrid>
      <w:tr w:rsidR="00F1341F" w:rsidRPr="008340BB" w14:paraId="12436012" w14:textId="77777777" w:rsidTr="00BA78FB">
        <w:trPr>
          <w:trHeight w:val="620"/>
        </w:trPr>
        <w:tc>
          <w:tcPr>
            <w:tcW w:w="497" w:type="pct"/>
            <w:vMerge w:val="restart"/>
          </w:tcPr>
          <w:p w14:paraId="38CB764A" w14:textId="77777777" w:rsidR="00F1341F" w:rsidRPr="0067246B" w:rsidRDefault="00F1341F" w:rsidP="00067686">
            <w:pPr>
              <w:tabs>
                <w:tab w:val="left" w:pos="720"/>
              </w:tabs>
              <w:spacing w:before="60" w:after="60"/>
              <w:rPr>
                <w:b/>
                <w:i/>
                <w:sz w:val="16"/>
                <w:szCs w:val="16"/>
                <w:lang w:eastAsia="en-US"/>
              </w:rPr>
            </w:pPr>
            <w:r w:rsidRPr="0067246B" w:rsidDel="00496ED7">
              <w:rPr>
                <w:lang w:eastAsia="en-US"/>
              </w:rPr>
              <w:t xml:space="preserve"> </w:t>
            </w:r>
            <w:r w:rsidRPr="0067246B">
              <w:rPr>
                <w:b/>
                <w:i/>
                <w:sz w:val="16"/>
                <w:szCs w:val="16"/>
                <w:lang w:eastAsia="en-US"/>
              </w:rPr>
              <w:t>ID</w:t>
            </w:r>
          </w:p>
        </w:tc>
        <w:tc>
          <w:tcPr>
            <w:tcW w:w="816" w:type="pct"/>
            <w:vMerge w:val="restart"/>
          </w:tcPr>
          <w:p w14:paraId="7085D038" w14:textId="77777777" w:rsidR="00F1341F" w:rsidRPr="00020ADD" w:rsidRDefault="00F1341F" w:rsidP="00067686">
            <w:pPr>
              <w:tabs>
                <w:tab w:val="left" w:pos="720"/>
              </w:tabs>
              <w:spacing w:before="60" w:after="60"/>
              <w:rPr>
                <w:b/>
                <w:i/>
                <w:sz w:val="16"/>
                <w:szCs w:val="16"/>
                <w:lang w:eastAsia="en-US"/>
              </w:rPr>
            </w:pPr>
            <w:r w:rsidRPr="00020ADD">
              <w:rPr>
                <w:b/>
                <w:i/>
                <w:sz w:val="16"/>
                <w:szCs w:val="16"/>
                <w:lang w:eastAsia="en-US"/>
              </w:rPr>
              <w:t xml:space="preserve">Indicator </w:t>
            </w:r>
          </w:p>
        </w:tc>
        <w:tc>
          <w:tcPr>
            <w:tcW w:w="531" w:type="pct"/>
            <w:vMerge w:val="restart"/>
          </w:tcPr>
          <w:p w14:paraId="5891DE4B" w14:textId="77777777" w:rsidR="00F1341F" w:rsidRPr="00020ADD" w:rsidRDefault="00F1341F" w:rsidP="00067686">
            <w:pPr>
              <w:tabs>
                <w:tab w:val="left" w:pos="720"/>
              </w:tabs>
              <w:spacing w:before="60" w:after="60"/>
              <w:rPr>
                <w:b/>
                <w:i/>
                <w:sz w:val="16"/>
                <w:szCs w:val="16"/>
                <w:lang w:eastAsia="en-US"/>
              </w:rPr>
            </w:pPr>
            <w:r w:rsidRPr="00020ADD">
              <w:rPr>
                <w:b/>
                <w:i/>
                <w:sz w:val="16"/>
                <w:szCs w:val="16"/>
                <w:lang w:eastAsia="en-US"/>
              </w:rPr>
              <w:t>Measurement unit for indicator</w:t>
            </w:r>
          </w:p>
        </w:tc>
        <w:tc>
          <w:tcPr>
            <w:tcW w:w="583" w:type="pct"/>
            <w:vMerge w:val="restart"/>
          </w:tcPr>
          <w:p w14:paraId="6F09B717" w14:textId="77777777" w:rsidR="00F1341F" w:rsidRPr="00DC0475" w:rsidRDefault="00F1341F" w:rsidP="00067686">
            <w:pPr>
              <w:snapToGrid w:val="0"/>
              <w:spacing w:before="60" w:after="60"/>
              <w:rPr>
                <w:b/>
                <w:i/>
                <w:sz w:val="16"/>
                <w:szCs w:val="16"/>
                <w:lang w:eastAsia="en-US"/>
              </w:rPr>
            </w:pPr>
            <w:r w:rsidRPr="00DC0475">
              <w:rPr>
                <w:b/>
                <w:i/>
                <w:sz w:val="16"/>
                <w:szCs w:val="16"/>
                <w:lang w:eastAsia="en-US"/>
              </w:rPr>
              <w:t>Common output indicator used as basis for target setting</w:t>
            </w:r>
          </w:p>
        </w:tc>
        <w:tc>
          <w:tcPr>
            <w:tcW w:w="372" w:type="pct"/>
            <w:gridSpan w:val="3"/>
          </w:tcPr>
          <w:p w14:paraId="62C1D102" w14:textId="77777777" w:rsidR="00F1341F" w:rsidRPr="00B5130A" w:rsidRDefault="00F1341F" w:rsidP="00067686">
            <w:pPr>
              <w:tabs>
                <w:tab w:val="left" w:pos="720"/>
              </w:tabs>
              <w:spacing w:before="60" w:after="60"/>
              <w:rPr>
                <w:b/>
                <w:i/>
                <w:sz w:val="16"/>
                <w:szCs w:val="16"/>
                <w:lang w:eastAsia="en-US"/>
              </w:rPr>
            </w:pPr>
            <w:r w:rsidRPr="00B5130A">
              <w:rPr>
                <w:b/>
                <w:i/>
                <w:sz w:val="16"/>
                <w:szCs w:val="16"/>
                <w:lang w:eastAsia="en-US"/>
              </w:rPr>
              <w:t xml:space="preserve">Baseline value </w:t>
            </w:r>
          </w:p>
        </w:tc>
        <w:tc>
          <w:tcPr>
            <w:tcW w:w="477" w:type="pct"/>
            <w:vMerge w:val="restart"/>
          </w:tcPr>
          <w:p w14:paraId="407C2A0B" w14:textId="77777777" w:rsidR="00F1341F" w:rsidRPr="00A828C5" w:rsidRDefault="00F1341F" w:rsidP="00067686">
            <w:pPr>
              <w:tabs>
                <w:tab w:val="left" w:pos="720"/>
              </w:tabs>
              <w:spacing w:before="60" w:after="60"/>
              <w:rPr>
                <w:b/>
                <w:i/>
                <w:sz w:val="16"/>
                <w:szCs w:val="16"/>
                <w:lang w:eastAsia="en-US"/>
              </w:rPr>
            </w:pPr>
            <w:r w:rsidRPr="00A828C5">
              <w:rPr>
                <w:b/>
                <w:i/>
                <w:sz w:val="16"/>
                <w:szCs w:val="16"/>
                <w:lang w:eastAsia="en-US"/>
              </w:rPr>
              <w:t>Measurement unit for baseline and target</w:t>
            </w:r>
          </w:p>
        </w:tc>
        <w:tc>
          <w:tcPr>
            <w:tcW w:w="332" w:type="pct"/>
            <w:vMerge w:val="restart"/>
          </w:tcPr>
          <w:p w14:paraId="7665CC8C" w14:textId="77777777" w:rsidR="00F1341F" w:rsidRPr="008340BB" w:rsidRDefault="00F1341F" w:rsidP="00067686">
            <w:pPr>
              <w:tabs>
                <w:tab w:val="left" w:pos="720"/>
              </w:tabs>
              <w:spacing w:before="60" w:after="60"/>
              <w:rPr>
                <w:b/>
                <w:i/>
                <w:sz w:val="16"/>
                <w:szCs w:val="16"/>
                <w:lang w:eastAsia="en-US"/>
              </w:rPr>
            </w:pPr>
            <w:r w:rsidRPr="008340BB">
              <w:rPr>
                <w:b/>
                <w:i/>
                <w:sz w:val="16"/>
                <w:szCs w:val="16"/>
                <w:lang w:eastAsia="en-US"/>
              </w:rPr>
              <w:t>Baseline year</w:t>
            </w:r>
          </w:p>
        </w:tc>
        <w:tc>
          <w:tcPr>
            <w:tcW w:w="570" w:type="pct"/>
            <w:gridSpan w:val="4"/>
          </w:tcPr>
          <w:p w14:paraId="3A650DEC" w14:textId="77777777" w:rsidR="00F1341F" w:rsidRPr="008340BB" w:rsidRDefault="00F1341F" w:rsidP="00067686">
            <w:pPr>
              <w:snapToGrid w:val="0"/>
              <w:spacing w:before="60" w:after="60"/>
              <w:rPr>
                <w:b/>
                <w:i/>
                <w:sz w:val="16"/>
                <w:szCs w:val="16"/>
                <w:lang w:eastAsia="en-US"/>
              </w:rPr>
            </w:pPr>
            <w:r w:rsidRPr="008340BB">
              <w:rPr>
                <w:b/>
                <w:i/>
                <w:sz w:val="16"/>
                <w:szCs w:val="16"/>
                <w:lang w:eastAsia="en-US"/>
              </w:rPr>
              <w:t>Target value</w:t>
            </w:r>
            <w:r w:rsidRPr="008340BB">
              <w:rPr>
                <w:rStyle w:val="FootnoteReference"/>
              </w:rPr>
              <w:footnoteReference w:id="31"/>
            </w:r>
            <w:r w:rsidRPr="008340BB">
              <w:rPr>
                <w:b/>
                <w:i/>
                <w:sz w:val="16"/>
                <w:szCs w:val="16"/>
                <w:lang w:eastAsia="en-US"/>
              </w:rPr>
              <w:t xml:space="preserve"> (2023)</w:t>
            </w:r>
          </w:p>
        </w:tc>
        <w:tc>
          <w:tcPr>
            <w:tcW w:w="371" w:type="pct"/>
            <w:vMerge w:val="restart"/>
          </w:tcPr>
          <w:p w14:paraId="51D3E256" w14:textId="77777777" w:rsidR="00F1341F" w:rsidRPr="0067246B" w:rsidRDefault="00F1341F" w:rsidP="00067686">
            <w:pPr>
              <w:tabs>
                <w:tab w:val="left" w:pos="720"/>
              </w:tabs>
              <w:spacing w:before="60" w:after="60"/>
              <w:rPr>
                <w:b/>
                <w:i/>
                <w:sz w:val="16"/>
                <w:szCs w:val="16"/>
                <w:lang w:eastAsia="en-US"/>
              </w:rPr>
            </w:pPr>
            <w:r w:rsidRPr="0067246B">
              <w:rPr>
                <w:b/>
                <w:i/>
                <w:sz w:val="16"/>
                <w:szCs w:val="16"/>
                <w:lang w:eastAsia="en-US"/>
              </w:rPr>
              <w:t>Source of data</w:t>
            </w:r>
          </w:p>
        </w:tc>
        <w:tc>
          <w:tcPr>
            <w:tcW w:w="451" w:type="pct"/>
            <w:vMerge w:val="restart"/>
          </w:tcPr>
          <w:p w14:paraId="489EE1A5" w14:textId="77777777" w:rsidR="00F1341F" w:rsidRPr="00020ADD" w:rsidRDefault="00F1341F" w:rsidP="00067686">
            <w:pPr>
              <w:tabs>
                <w:tab w:val="left" w:pos="720"/>
              </w:tabs>
              <w:spacing w:before="60" w:after="60"/>
              <w:rPr>
                <w:b/>
                <w:i/>
                <w:sz w:val="16"/>
                <w:szCs w:val="16"/>
                <w:lang w:eastAsia="en-US"/>
              </w:rPr>
            </w:pPr>
            <w:r w:rsidRPr="00020ADD">
              <w:rPr>
                <w:b/>
                <w:i/>
                <w:sz w:val="16"/>
                <w:szCs w:val="16"/>
                <w:lang w:eastAsia="en-US"/>
              </w:rPr>
              <w:t>Frequency of reporting</w:t>
            </w:r>
          </w:p>
        </w:tc>
      </w:tr>
      <w:tr w:rsidR="00F1341F" w:rsidRPr="008340BB" w14:paraId="2B75B3DA" w14:textId="77777777" w:rsidTr="00BA78FB">
        <w:trPr>
          <w:trHeight w:val="619"/>
        </w:trPr>
        <w:tc>
          <w:tcPr>
            <w:tcW w:w="497" w:type="pct"/>
            <w:vMerge/>
          </w:tcPr>
          <w:p w14:paraId="3DC93FF2" w14:textId="77777777" w:rsidR="00F1341F" w:rsidRPr="008340BB" w:rsidRDefault="00F1341F" w:rsidP="00067686">
            <w:pPr>
              <w:tabs>
                <w:tab w:val="left" w:pos="720"/>
              </w:tabs>
              <w:spacing w:before="60" w:after="60"/>
              <w:rPr>
                <w:b/>
                <w:i/>
                <w:sz w:val="16"/>
                <w:szCs w:val="16"/>
                <w:lang w:eastAsia="en-US"/>
              </w:rPr>
            </w:pPr>
          </w:p>
        </w:tc>
        <w:tc>
          <w:tcPr>
            <w:tcW w:w="816" w:type="pct"/>
            <w:vMerge/>
          </w:tcPr>
          <w:p w14:paraId="6CA70399" w14:textId="77777777" w:rsidR="00F1341F" w:rsidRPr="008340BB" w:rsidRDefault="00F1341F" w:rsidP="00067686">
            <w:pPr>
              <w:tabs>
                <w:tab w:val="left" w:pos="720"/>
              </w:tabs>
              <w:spacing w:before="60" w:after="60"/>
              <w:rPr>
                <w:b/>
                <w:i/>
                <w:sz w:val="16"/>
                <w:szCs w:val="16"/>
                <w:lang w:eastAsia="en-US"/>
              </w:rPr>
            </w:pPr>
          </w:p>
        </w:tc>
        <w:tc>
          <w:tcPr>
            <w:tcW w:w="531" w:type="pct"/>
            <w:vMerge/>
          </w:tcPr>
          <w:p w14:paraId="5E41F8DF" w14:textId="77777777" w:rsidR="00F1341F" w:rsidRPr="008340BB" w:rsidRDefault="00F1341F" w:rsidP="00067686">
            <w:pPr>
              <w:tabs>
                <w:tab w:val="left" w:pos="720"/>
              </w:tabs>
              <w:spacing w:before="60" w:after="60"/>
              <w:rPr>
                <w:b/>
                <w:i/>
                <w:sz w:val="16"/>
                <w:szCs w:val="16"/>
                <w:lang w:eastAsia="en-US"/>
              </w:rPr>
            </w:pPr>
          </w:p>
        </w:tc>
        <w:tc>
          <w:tcPr>
            <w:tcW w:w="583" w:type="pct"/>
            <w:vMerge/>
          </w:tcPr>
          <w:p w14:paraId="23F55942" w14:textId="77777777" w:rsidR="00F1341F" w:rsidRPr="008340BB" w:rsidRDefault="00F1341F" w:rsidP="00067686">
            <w:pPr>
              <w:snapToGrid w:val="0"/>
              <w:spacing w:before="60" w:after="60"/>
              <w:rPr>
                <w:b/>
                <w:i/>
                <w:sz w:val="16"/>
                <w:szCs w:val="16"/>
                <w:lang w:eastAsia="en-US"/>
              </w:rPr>
            </w:pPr>
          </w:p>
        </w:tc>
        <w:tc>
          <w:tcPr>
            <w:tcW w:w="124" w:type="pct"/>
          </w:tcPr>
          <w:p w14:paraId="166DEF14" w14:textId="77777777" w:rsidR="00F1341F" w:rsidRPr="008340BB" w:rsidRDefault="00F1341F" w:rsidP="00067686">
            <w:pPr>
              <w:tabs>
                <w:tab w:val="left" w:pos="720"/>
              </w:tabs>
              <w:spacing w:before="60" w:after="60"/>
              <w:rPr>
                <w:b/>
                <w:i/>
                <w:sz w:val="16"/>
                <w:szCs w:val="16"/>
                <w:lang w:eastAsia="en-US"/>
              </w:rPr>
            </w:pPr>
            <w:r w:rsidRPr="008340BB">
              <w:rPr>
                <w:sz w:val="16"/>
                <w:szCs w:val="16"/>
                <w:lang w:eastAsia="en-US"/>
              </w:rPr>
              <w:t>M</w:t>
            </w:r>
          </w:p>
        </w:tc>
        <w:tc>
          <w:tcPr>
            <w:tcW w:w="124" w:type="pct"/>
          </w:tcPr>
          <w:p w14:paraId="12798B4A" w14:textId="77777777" w:rsidR="00F1341F" w:rsidRPr="008340BB" w:rsidRDefault="00F1341F" w:rsidP="00067686">
            <w:pPr>
              <w:tabs>
                <w:tab w:val="left" w:pos="720"/>
              </w:tabs>
              <w:spacing w:before="60" w:after="60"/>
              <w:rPr>
                <w:b/>
                <w:i/>
                <w:sz w:val="16"/>
                <w:szCs w:val="16"/>
                <w:lang w:eastAsia="en-US"/>
              </w:rPr>
            </w:pPr>
            <w:r w:rsidRPr="008340BB">
              <w:rPr>
                <w:sz w:val="16"/>
                <w:szCs w:val="16"/>
                <w:lang w:eastAsia="en-US"/>
              </w:rPr>
              <w:t>W</w:t>
            </w:r>
          </w:p>
        </w:tc>
        <w:tc>
          <w:tcPr>
            <w:tcW w:w="124" w:type="pct"/>
          </w:tcPr>
          <w:p w14:paraId="5BE15220" w14:textId="77777777" w:rsidR="00F1341F" w:rsidRPr="008340BB" w:rsidRDefault="00F1341F" w:rsidP="00067686">
            <w:pPr>
              <w:tabs>
                <w:tab w:val="left" w:pos="720"/>
              </w:tabs>
              <w:spacing w:before="60" w:after="60"/>
              <w:rPr>
                <w:b/>
                <w:i/>
                <w:sz w:val="16"/>
                <w:szCs w:val="16"/>
                <w:lang w:eastAsia="en-US"/>
              </w:rPr>
            </w:pPr>
            <w:r w:rsidRPr="008340BB">
              <w:rPr>
                <w:sz w:val="16"/>
                <w:szCs w:val="16"/>
                <w:lang w:eastAsia="en-US"/>
              </w:rPr>
              <w:t>T</w:t>
            </w:r>
          </w:p>
        </w:tc>
        <w:tc>
          <w:tcPr>
            <w:tcW w:w="477" w:type="pct"/>
            <w:vMerge/>
          </w:tcPr>
          <w:p w14:paraId="6E1870F6" w14:textId="77777777" w:rsidR="00F1341F" w:rsidRPr="008340BB" w:rsidRDefault="00F1341F" w:rsidP="00067686">
            <w:pPr>
              <w:tabs>
                <w:tab w:val="left" w:pos="720"/>
              </w:tabs>
              <w:spacing w:before="60" w:after="60"/>
              <w:rPr>
                <w:b/>
                <w:i/>
                <w:sz w:val="16"/>
                <w:szCs w:val="16"/>
                <w:lang w:eastAsia="en-US"/>
              </w:rPr>
            </w:pPr>
          </w:p>
        </w:tc>
        <w:tc>
          <w:tcPr>
            <w:tcW w:w="332" w:type="pct"/>
            <w:vMerge/>
          </w:tcPr>
          <w:p w14:paraId="3AB27751" w14:textId="77777777" w:rsidR="00F1341F" w:rsidRPr="008340BB" w:rsidRDefault="00F1341F" w:rsidP="00067686">
            <w:pPr>
              <w:tabs>
                <w:tab w:val="left" w:pos="720"/>
              </w:tabs>
              <w:spacing w:before="60" w:after="60"/>
              <w:rPr>
                <w:b/>
                <w:i/>
                <w:sz w:val="16"/>
                <w:szCs w:val="16"/>
                <w:lang w:eastAsia="en-US"/>
              </w:rPr>
            </w:pPr>
          </w:p>
        </w:tc>
        <w:tc>
          <w:tcPr>
            <w:tcW w:w="216" w:type="pct"/>
            <w:gridSpan w:val="2"/>
          </w:tcPr>
          <w:p w14:paraId="6B983245" w14:textId="77777777" w:rsidR="00F1341F" w:rsidRPr="008340BB" w:rsidRDefault="00F1341F" w:rsidP="00067686">
            <w:pPr>
              <w:snapToGrid w:val="0"/>
              <w:spacing w:before="60" w:after="60"/>
              <w:rPr>
                <w:b/>
                <w:i/>
                <w:sz w:val="16"/>
                <w:szCs w:val="16"/>
                <w:lang w:eastAsia="en-US"/>
              </w:rPr>
            </w:pPr>
            <w:r w:rsidRPr="008340BB">
              <w:rPr>
                <w:sz w:val="16"/>
                <w:szCs w:val="16"/>
                <w:lang w:eastAsia="en-US"/>
              </w:rPr>
              <w:t>M</w:t>
            </w:r>
          </w:p>
        </w:tc>
        <w:tc>
          <w:tcPr>
            <w:tcW w:w="177" w:type="pct"/>
          </w:tcPr>
          <w:p w14:paraId="48CD64B9" w14:textId="77777777" w:rsidR="00F1341F" w:rsidRPr="008340BB" w:rsidRDefault="00F1341F" w:rsidP="00067686">
            <w:pPr>
              <w:snapToGrid w:val="0"/>
              <w:spacing w:before="60" w:after="60"/>
              <w:rPr>
                <w:b/>
                <w:i/>
                <w:sz w:val="16"/>
                <w:szCs w:val="16"/>
                <w:lang w:eastAsia="en-US"/>
              </w:rPr>
            </w:pPr>
            <w:r w:rsidRPr="008340BB">
              <w:rPr>
                <w:sz w:val="16"/>
                <w:szCs w:val="16"/>
                <w:lang w:eastAsia="en-US"/>
              </w:rPr>
              <w:t>W</w:t>
            </w:r>
          </w:p>
        </w:tc>
        <w:tc>
          <w:tcPr>
            <w:tcW w:w="177" w:type="pct"/>
          </w:tcPr>
          <w:p w14:paraId="0A9DD72A" w14:textId="77777777" w:rsidR="00F1341F" w:rsidRPr="008340BB" w:rsidRDefault="00F1341F" w:rsidP="00067686">
            <w:pPr>
              <w:snapToGrid w:val="0"/>
              <w:spacing w:before="60" w:after="60"/>
              <w:rPr>
                <w:b/>
                <w:i/>
                <w:sz w:val="16"/>
                <w:szCs w:val="16"/>
                <w:lang w:eastAsia="en-US"/>
              </w:rPr>
            </w:pPr>
            <w:r w:rsidRPr="008340BB">
              <w:rPr>
                <w:sz w:val="16"/>
                <w:szCs w:val="16"/>
                <w:lang w:eastAsia="en-US"/>
              </w:rPr>
              <w:t>T</w:t>
            </w:r>
          </w:p>
        </w:tc>
        <w:tc>
          <w:tcPr>
            <w:tcW w:w="371" w:type="pct"/>
            <w:vMerge/>
          </w:tcPr>
          <w:p w14:paraId="64542472" w14:textId="77777777" w:rsidR="00F1341F" w:rsidRPr="008340BB" w:rsidRDefault="00F1341F" w:rsidP="00067686">
            <w:pPr>
              <w:tabs>
                <w:tab w:val="left" w:pos="720"/>
              </w:tabs>
              <w:spacing w:before="60" w:after="60"/>
              <w:rPr>
                <w:b/>
                <w:i/>
                <w:sz w:val="16"/>
                <w:szCs w:val="16"/>
                <w:lang w:eastAsia="en-US"/>
              </w:rPr>
            </w:pPr>
          </w:p>
        </w:tc>
        <w:tc>
          <w:tcPr>
            <w:tcW w:w="451" w:type="pct"/>
            <w:vMerge/>
          </w:tcPr>
          <w:p w14:paraId="0B07207B" w14:textId="77777777" w:rsidR="00F1341F" w:rsidRPr="008340BB" w:rsidRDefault="00F1341F" w:rsidP="00067686">
            <w:pPr>
              <w:tabs>
                <w:tab w:val="left" w:pos="720"/>
              </w:tabs>
              <w:spacing w:before="60" w:after="60"/>
              <w:rPr>
                <w:b/>
                <w:sz w:val="16"/>
                <w:szCs w:val="16"/>
                <w:lang w:eastAsia="en-US"/>
              </w:rPr>
            </w:pPr>
          </w:p>
        </w:tc>
      </w:tr>
      <w:tr w:rsidR="00F1341F" w:rsidRPr="008340BB" w14:paraId="6C79D8EB" w14:textId="77777777" w:rsidTr="00BA78FB">
        <w:trPr>
          <w:trHeight w:val="652"/>
        </w:trPr>
        <w:tc>
          <w:tcPr>
            <w:tcW w:w="497" w:type="pct"/>
          </w:tcPr>
          <w:p w14:paraId="5D816944" w14:textId="77777777" w:rsidR="00F1341F" w:rsidRPr="008340BB" w:rsidRDefault="00F1341F" w:rsidP="00067686">
            <w:r w:rsidRPr="008340BB">
              <w:rPr>
                <w:i/>
                <w:sz w:val="16"/>
                <w:szCs w:val="16"/>
              </w:rPr>
              <w:t>N/A</w:t>
            </w:r>
          </w:p>
        </w:tc>
        <w:tc>
          <w:tcPr>
            <w:tcW w:w="816" w:type="pct"/>
          </w:tcPr>
          <w:p w14:paraId="48B042F3" w14:textId="77777777" w:rsidR="00F1341F" w:rsidRPr="008340BB" w:rsidRDefault="00F1341F" w:rsidP="00067686">
            <w:r w:rsidRPr="008340BB">
              <w:rPr>
                <w:i/>
                <w:sz w:val="16"/>
                <w:szCs w:val="16"/>
              </w:rPr>
              <w:t>N/A</w:t>
            </w:r>
          </w:p>
        </w:tc>
        <w:tc>
          <w:tcPr>
            <w:tcW w:w="531" w:type="pct"/>
          </w:tcPr>
          <w:p w14:paraId="2D0537AD" w14:textId="77777777" w:rsidR="00F1341F" w:rsidRPr="008340BB" w:rsidRDefault="00F1341F">
            <w:r w:rsidRPr="008340BB">
              <w:rPr>
                <w:i/>
                <w:sz w:val="16"/>
                <w:szCs w:val="16"/>
              </w:rPr>
              <w:t>N/A</w:t>
            </w:r>
          </w:p>
        </w:tc>
        <w:tc>
          <w:tcPr>
            <w:tcW w:w="583" w:type="pct"/>
          </w:tcPr>
          <w:p w14:paraId="3C35A1B1" w14:textId="77777777" w:rsidR="00F1341F" w:rsidRPr="008340BB" w:rsidRDefault="00F1341F">
            <w:r w:rsidRPr="008340BB">
              <w:rPr>
                <w:i/>
                <w:sz w:val="16"/>
                <w:szCs w:val="16"/>
              </w:rPr>
              <w:t>N/A</w:t>
            </w:r>
          </w:p>
        </w:tc>
        <w:tc>
          <w:tcPr>
            <w:tcW w:w="372" w:type="pct"/>
            <w:gridSpan w:val="3"/>
          </w:tcPr>
          <w:p w14:paraId="7088E5D4" w14:textId="77777777" w:rsidR="00F1341F" w:rsidRPr="008340BB" w:rsidRDefault="00F1341F">
            <w:r w:rsidRPr="008340BB">
              <w:rPr>
                <w:i/>
                <w:sz w:val="16"/>
                <w:szCs w:val="16"/>
              </w:rPr>
              <w:t>N/A</w:t>
            </w:r>
          </w:p>
        </w:tc>
        <w:tc>
          <w:tcPr>
            <w:tcW w:w="477" w:type="pct"/>
          </w:tcPr>
          <w:p w14:paraId="4EE5F0BF" w14:textId="77777777" w:rsidR="00F1341F" w:rsidRPr="008340BB" w:rsidRDefault="00F1341F">
            <w:r w:rsidRPr="008340BB">
              <w:rPr>
                <w:i/>
                <w:sz w:val="16"/>
                <w:szCs w:val="16"/>
              </w:rPr>
              <w:t>N/A</w:t>
            </w:r>
          </w:p>
        </w:tc>
        <w:tc>
          <w:tcPr>
            <w:tcW w:w="332" w:type="pct"/>
          </w:tcPr>
          <w:p w14:paraId="6651BD9B" w14:textId="77777777" w:rsidR="00F1341F" w:rsidRPr="008340BB" w:rsidRDefault="00F1341F">
            <w:r w:rsidRPr="008340BB">
              <w:rPr>
                <w:i/>
                <w:sz w:val="16"/>
                <w:szCs w:val="16"/>
              </w:rPr>
              <w:t>N/A</w:t>
            </w:r>
          </w:p>
        </w:tc>
        <w:tc>
          <w:tcPr>
            <w:tcW w:w="202" w:type="pct"/>
          </w:tcPr>
          <w:p w14:paraId="68E3C490" w14:textId="77777777" w:rsidR="00F1341F" w:rsidRPr="008340BB" w:rsidRDefault="00F1341F">
            <w:r w:rsidRPr="008340BB">
              <w:rPr>
                <w:i/>
                <w:sz w:val="16"/>
                <w:szCs w:val="16"/>
              </w:rPr>
              <w:t>N/A</w:t>
            </w:r>
          </w:p>
        </w:tc>
        <w:tc>
          <w:tcPr>
            <w:tcW w:w="191" w:type="pct"/>
            <w:gridSpan w:val="2"/>
          </w:tcPr>
          <w:p w14:paraId="04F8BFAD" w14:textId="77777777" w:rsidR="00F1341F" w:rsidRPr="008340BB" w:rsidRDefault="00F1341F">
            <w:r w:rsidRPr="008340BB">
              <w:rPr>
                <w:i/>
                <w:sz w:val="16"/>
                <w:szCs w:val="16"/>
              </w:rPr>
              <w:t>N/A</w:t>
            </w:r>
          </w:p>
        </w:tc>
        <w:tc>
          <w:tcPr>
            <w:tcW w:w="177" w:type="pct"/>
          </w:tcPr>
          <w:p w14:paraId="55DE10E2" w14:textId="77777777" w:rsidR="00F1341F" w:rsidRPr="008340BB" w:rsidRDefault="00F1341F">
            <w:r w:rsidRPr="008340BB">
              <w:rPr>
                <w:i/>
                <w:sz w:val="16"/>
                <w:szCs w:val="16"/>
              </w:rPr>
              <w:t>N/A</w:t>
            </w:r>
          </w:p>
        </w:tc>
        <w:tc>
          <w:tcPr>
            <w:tcW w:w="371" w:type="pct"/>
          </w:tcPr>
          <w:p w14:paraId="433AA16B" w14:textId="77777777" w:rsidR="00F1341F" w:rsidRPr="008340BB" w:rsidRDefault="00F1341F">
            <w:r w:rsidRPr="008340BB">
              <w:rPr>
                <w:i/>
                <w:sz w:val="16"/>
                <w:szCs w:val="16"/>
              </w:rPr>
              <w:t>N/A</w:t>
            </w:r>
          </w:p>
        </w:tc>
        <w:tc>
          <w:tcPr>
            <w:tcW w:w="451" w:type="pct"/>
          </w:tcPr>
          <w:p w14:paraId="3B4F4E41" w14:textId="77777777" w:rsidR="00F1341F" w:rsidRPr="008340BB" w:rsidRDefault="00F1341F">
            <w:r w:rsidRPr="008340BB">
              <w:rPr>
                <w:i/>
                <w:sz w:val="16"/>
                <w:szCs w:val="16"/>
              </w:rPr>
              <w:t>N/A</w:t>
            </w:r>
          </w:p>
        </w:tc>
      </w:tr>
    </w:tbl>
    <w:p w14:paraId="1983B040" w14:textId="77777777" w:rsidR="00F1341F" w:rsidRPr="008340BB" w:rsidRDefault="00F1341F" w:rsidP="008B4180">
      <w:pPr>
        <w:suppressAutoHyphens/>
        <w:rPr>
          <w:b/>
        </w:rPr>
        <w:sectPr w:rsidR="00F1341F" w:rsidRPr="008340BB" w:rsidSect="001E1D6F">
          <w:pgSz w:w="16838" w:h="11906" w:orient="landscape"/>
          <w:pgMar w:top="1021" w:right="1134" w:bottom="1021" w:left="1134" w:header="601" w:footer="1077" w:gutter="0"/>
          <w:cols w:space="708"/>
          <w:docGrid w:linePitch="326"/>
        </w:sectPr>
      </w:pPr>
    </w:p>
    <w:p w14:paraId="6C0D4AE8" w14:textId="77777777" w:rsidR="00F1341F" w:rsidRPr="008340BB" w:rsidRDefault="00F1341F" w:rsidP="008B4180">
      <w:pPr>
        <w:suppressAutoHyphens/>
        <w:rPr>
          <w:b/>
        </w:rPr>
      </w:pPr>
      <w:r w:rsidRPr="008340BB">
        <w:rPr>
          <w:b/>
        </w:rPr>
        <w:lastRenderedPageBreak/>
        <w:t xml:space="preserve">2.A.2.5  </w:t>
      </w:r>
      <w:r w:rsidRPr="008340BB">
        <w:rPr>
          <w:b/>
        </w:rPr>
        <w:tab/>
        <w:t xml:space="preserve">Action to be supported under the investment priority </w:t>
      </w:r>
    </w:p>
    <w:p w14:paraId="54FFA74F" w14:textId="77777777" w:rsidR="00F1341F" w:rsidRPr="008340BB" w:rsidRDefault="00F1341F" w:rsidP="008B4180">
      <w:pPr>
        <w:suppressAutoHyphens/>
      </w:pPr>
      <w:r w:rsidRPr="008340BB">
        <w:t>(by investment priority)</w:t>
      </w:r>
    </w:p>
    <w:p w14:paraId="6EC25372" w14:textId="77777777" w:rsidR="00F1341F" w:rsidRPr="008340BB" w:rsidRDefault="00F1341F" w:rsidP="008B4180">
      <w:pPr>
        <w:suppressAutoHyphens/>
        <w:rPr>
          <w:b/>
        </w:rPr>
      </w:pPr>
    </w:p>
    <w:p w14:paraId="30081CC6" w14:textId="77777777" w:rsidR="00F1341F" w:rsidRPr="008340BB" w:rsidRDefault="00F1341F" w:rsidP="008B4180">
      <w:pPr>
        <w:pStyle w:val="ManualHeading3"/>
        <w:tabs>
          <w:tab w:val="clear" w:pos="850"/>
        </w:tabs>
        <w:ind w:left="1418" w:hanging="1418"/>
        <w:rPr>
          <w:b/>
        </w:rPr>
      </w:pPr>
      <w:r w:rsidRPr="008340BB">
        <w:rPr>
          <w:b/>
        </w:rPr>
        <w:t xml:space="preserve">2.A.2.5.1 </w:t>
      </w:r>
      <w:r w:rsidRPr="008340BB">
        <w:rPr>
          <w:b/>
        </w:rPr>
        <w:tab/>
        <w:t>Description of the type and examples of actions to be supported and their expected contribution to the specific objectives including, where appropriate,  the identification of main target groups, specific territories targeted and  types of beneficiaries</w:t>
      </w:r>
    </w:p>
    <w:p w14:paraId="4244A22F" w14:textId="77777777" w:rsidR="00F1341F" w:rsidRPr="008340BB" w:rsidRDefault="00F1341F" w:rsidP="008B4180">
      <w:pPr>
        <w:pStyle w:val="ManualHeading3"/>
        <w:tabs>
          <w:tab w:val="clear" w:pos="850"/>
        </w:tabs>
        <w:ind w:left="1418" w:hanging="1418"/>
        <w:rPr>
          <w:i w:val="0"/>
        </w:rPr>
      </w:pPr>
      <w:r w:rsidRPr="008340BB">
        <w:rPr>
          <w:i w:val="0"/>
        </w:rPr>
        <w:t>(Reference: point (b)(iii) of the first subparagraph of Article 96 (2) of Regulation (EU) No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5FC47245" w14:textId="77777777" w:rsidTr="00067686">
        <w:trPr>
          <w:trHeight w:val="518"/>
        </w:trPr>
        <w:tc>
          <w:tcPr>
            <w:tcW w:w="2235" w:type="dxa"/>
          </w:tcPr>
          <w:p w14:paraId="5E0EBF23" w14:textId="77777777" w:rsidR="00F1341F" w:rsidRPr="00020ADD" w:rsidRDefault="00F1341F" w:rsidP="00067686">
            <w:pPr>
              <w:rPr>
                <w:i/>
                <w:color w:val="8DB3E2"/>
                <w:sz w:val="18"/>
                <w:szCs w:val="18"/>
              </w:rPr>
            </w:pPr>
            <w:r w:rsidRPr="00020ADD">
              <w:rPr>
                <w:i/>
              </w:rPr>
              <w:t>Investment priority</w:t>
            </w:r>
          </w:p>
        </w:tc>
        <w:tc>
          <w:tcPr>
            <w:tcW w:w="6443" w:type="dxa"/>
          </w:tcPr>
          <w:p w14:paraId="76C7884A" w14:textId="77777777" w:rsidR="00F1341F" w:rsidRPr="00435AC3" w:rsidRDefault="00F1341F">
            <w:pPr>
              <w:rPr>
                <w:i/>
                <w:color w:val="8DB3E2"/>
                <w:sz w:val="18"/>
                <w:szCs w:val="18"/>
                <w:highlight w:val="yellow"/>
              </w:rPr>
            </w:pPr>
            <w:r w:rsidRPr="0058170A">
              <w:rPr>
                <w:i/>
                <w:szCs w:val="24"/>
                <w:lang w:eastAsia="bg-BG"/>
              </w:rPr>
              <w:t>7</w:t>
            </w:r>
            <w:r w:rsidR="00590AC5">
              <w:rPr>
                <w:i/>
                <w:szCs w:val="24"/>
                <w:lang w:eastAsia="bg-BG"/>
              </w:rPr>
              <w:t>(</w:t>
            </w:r>
            <w:r w:rsidRPr="0058170A">
              <w:rPr>
                <w:i/>
                <w:szCs w:val="24"/>
                <w:lang w:eastAsia="bg-BG"/>
              </w:rPr>
              <w:t>i</w:t>
            </w:r>
            <w:r w:rsidR="00590AC5">
              <w:rPr>
                <w:i/>
                <w:szCs w:val="24"/>
                <w:lang w:eastAsia="bg-BG"/>
              </w:rPr>
              <w:t>)</w:t>
            </w:r>
            <w:r w:rsidRPr="0058170A">
              <w:rPr>
                <w:i/>
                <w:szCs w:val="24"/>
                <w:lang w:eastAsia="bg-BG"/>
              </w:rPr>
              <w:t xml:space="preserve"> -</w:t>
            </w:r>
            <w:r w:rsidRPr="0058170A">
              <w:rPr>
                <w:i/>
              </w:rPr>
              <w:t xml:space="preserve"> </w:t>
            </w:r>
            <w:r w:rsidR="00590AC5" w:rsidRPr="00590AC5">
              <w:rPr>
                <w:i/>
              </w:rPr>
              <w:t>Supporting a multi-modal Single European Transport Area by investing in the TEN-T</w:t>
            </w:r>
          </w:p>
        </w:tc>
      </w:tr>
      <w:tr w:rsidR="00F1341F" w:rsidRPr="008340BB" w14:paraId="0CB45C6D" w14:textId="77777777" w:rsidTr="00067686">
        <w:trPr>
          <w:trHeight w:val="819"/>
        </w:trPr>
        <w:tc>
          <w:tcPr>
            <w:tcW w:w="8678" w:type="dxa"/>
            <w:gridSpan w:val="2"/>
          </w:tcPr>
          <w:p w14:paraId="0E60B6C8" w14:textId="77777777" w:rsidR="00F1341F" w:rsidRPr="008340BB" w:rsidRDefault="00F1341F" w:rsidP="0065286A">
            <w:pPr>
              <w:autoSpaceDE w:val="0"/>
              <w:autoSpaceDN w:val="0"/>
              <w:adjustRightInd w:val="0"/>
              <w:rPr>
                <w:b/>
                <w:bCs/>
                <w:lang w:eastAsia="bg-BG"/>
              </w:rPr>
            </w:pPr>
            <w:r w:rsidRPr="008340BB">
              <w:rPr>
                <w:b/>
                <w:bCs/>
                <w:lang w:eastAsia="bg-BG"/>
              </w:rPr>
              <w:t xml:space="preserve">Examples of actions to be financed: </w:t>
            </w:r>
          </w:p>
          <w:p w14:paraId="2F50D7D8" w14:textId="5CB78777" w:rsidR="00F1341F" w:rsidRPr="008340BB" w:rsidRDefault="00F1341F" w:rsidP="0065286A">
            <w:pPr>
              <w:widowControl w:val="0"/>
              <w:autoSpaceDE w:val="0"/>
              <w:autoSpaceDN w:val="0"/>
              <w:adjustRightInd w:val="0"/>
            </w:pPr>
            <w:r w:rsidRPr="008340BB">
              <w:t xml:space="preserve">Construction and modernisation of sections of the </w:t>
            </w:r>
            <w:r w:rsidR="00FF3528" w:rsidRPr="00FF3528">
              <w:t xml:space="preserve">“core” TEN-T </w:t>
            </w:r>
            <w:r w:rsidRPr="008340BB">
              <w:t>road infrastructure</w:t>
            </w:r>
            <w:r w:rsidR="003D4F54">
              <w:t xml:space="preserve">, </w:t>
            </w:r>
            <w:r w:rsidR="003D4F54" w:rsidRPr="003D4F54">
              <w:t>improving connectivity and accessibility to the Trans-European Transport Network,</w:t>
            </w:r>
            <w:r w:rsidRPr="008340BB">
              <w:t xml:space="preserve"> </w:t>
            </w:r>
            <w:r w:rsidR="000F30FA" w:rsidRPr="000F30FA">
              <w:t xml:space="preserve">and technical assistance for preparation of projects </w:t>
            </w:r>
            <w:r w:rsidRPr="008340BB">
              <w:t>along the “core” and “comprehensive” Trans-European Transport Network</w:t>
            </w:r>
            <w:r w:rsidR="003D4F54">
              <w:t xml:space="preserve"> and road connections</w:t>
            </w:r>
            <w:r w:rsidRPr="008340BB">
              <w:t>.</w:t>
            </w:r>
            <w:r w:rsidR="003D4F54">
              <w:t xml:space="preserve">   </w:t>
            </w:r>
            <w:r w:rsidR="00FF3528">
              <w:t xml:space="preserve"> </w:t>
            </w:r>
          </w:p>
          <w:p w14:paraId="4B75545B" w14:textId="77777777" w:rsidR="00F1341F" w:rsidRPr="008340BB" w:rsidRDefault="00F1341F" w:rsidP="0065286A">
            <w:pPr>
              <w:widowControl w:val="0"/>
              <w:autoSpaceDE w:val="0"/>
              <w:autoSpaceDN w:val="0"/>
              <w:adjustRightInd w:val="0"/>
            </w:pPr>
            <w:r w:rsidRPr="008340BB">
              <w:rPr>
                <w:szCs w:val="24"/>
              </w:rPr>
              <w:t>The main axis North-South between West Romania and Greece passes through the territory of Bulgaria. The corridor starts in the North at the town of Vidin, crosses the Danube Valley and the Stara Planina Mountains before reaching Sofia. To the South of Sofia the corridor passes through the western parts of Vitosha Mountain and then follows the valley of the Struma River to the Greek border at Kulata. Important international road links follow the route which provides land links between Northwest Bulgaria, Sofia and Greece on the one hand and between Sofia and Burgas on the other.</w:t>
            </w:r>
            <w:r w:rsidRPr="008340BB">
              <w:rPr>
                <w:spacing w:val="17"/>
                <w:szCs w:val="24"/>
              </w:rPr>
              <w:t xml:space="preserve"> </w:t>
            </w:r>
            <w:r w:rsidRPr="008340BB">
              <w:rPr>
                <w:szCs w:val="24"/>
              </w:rPr>
              <w:t xml:space="preserve">The opening of the bridge Vidin – Calafat provides a direct link across the Danube to Romania through the corridor. </w:t>
            </w:r>
          </w:p>
          <w:p w14:paraId="6F320D8F" w14:textId="7EA9223D" w:rsidR="00F1341F" w:rsidRPr="008340BB" w:rsidRDefault="00F1341F" w:rsidP="0065286A">
            <w:pPr>
              <w:pStyle w:val="listparagraph0"/>
              <w:spacing w:after="0" w:line="240" w:lineRule="auto"/>
              <w:ind w:left="0"/>
              <w:jc w:val="both"/>
              <w:rPr>
                <w:rFonts w:ascii="Times New Roman" w:hAnsi="Times New Roman"/>
                <w:sz w:val="24"/>
                <w:szCs w:val="24"/>
                <w:lang w:val="en-GB"/>
              </w:rPr>
            </w:pPr>
            <w:r w:rsidRPr="008340BB">
              <w:rPr>
                <w:rFonts w:ascii="Times New Roman" w:hAnsi="Times New Roman"/>
                <w:sz w:val="24"/>
                <w:szCs w:val="24"/>
                <w:lang w:val="en-GB"/>
              </w:rPr>
              <w:t>The central section of the route includes a great number of topographical and environmental challenges, particularly in the area of Kresna gorge.</w:t>
            </w:r>
            <w:r w:rsidRPr="008340BB">
              <w:rPr>
                <w:rFonts w:ascii="Times New Roman" w:hAnsi="Times New Roman"/>
                <w:spacing w:val="27"/>
                <w:sz w:val="24"/>
                <w:szCs w:val="24"/>
                <w:lang w:val="en-GB"/>
              </w:rPr>
              <w:t xml:space="preserve"> </w:t>
            </w:r>
            <w:r w:rsidRPr="008340BB">
              <w:rPr>
                <w:rFonts w:ascii="Times New Roman" w:hAnsi="Times New Roman"/>
                <w:sz w:val="24"/>
                <w:szCs w:val="24"/>
                <w:lang w:val="en-GB"/>
              </w:rPr>
              <w:t xml:space="preserve">Therefore, the construction of the motorway should be implemented in stages where the North Section (Dolna Dikanya to Blagoevgrad) and the Southern Section (Sandanski to Kulata) are constructed in the programming period 2007-2013, and the construction of the Central Section (Blagoevgrad to Sandanski) should be </w:t>
            </w:r>
            <w:r w:rsidR="0046789C">
              <w:rPr>
                <w:rFonts w:ascii="Times New Roman" w:hAnsi="Times New Roman"/>
                <w:sz w:val="24"/>
                <w:szCs w:val="24"/>
                <w:lang w:val="en-GB"/>
              </w:rPr>
              <w:t>started</w:t>
            </w:r>
            <w:r w:rsidRPr="008340BB">
              <w:rPr>
                <w:rFonts w:ascii="Times New Roman" w:hAnsi="Times New Roman"/>
                <w:sz w:val="24"/>
                <w:szCs w:val="24"/>
                <w:lang w:val="en-GB"/>
              </w:rPr>
              <w:t xml:space="preserve"> </w:t>
            </w:r>
            <w:r w:rsidR="00FF787C">
              <w:rPr>
                <w:rFonts w:ascii="Times New Roman" w:hAnsi="Times New Roman"/>
                <w:sz w:val="24"/>
                <w:szCs w:val="24"/>
                <w:lang w:val="en-GB"/>
              </w:rPr>
              <w:t xml:space="preserve">and partially implemented </w:t>
            </w:r>
            <w:r w:rsidRPr="008340BB">
              <w:rPr>
                <w:rFonts w:ascii="Times New Roman" w:hAnsi="Times New Roman"/>
                <w:sz w:val="24"/>
                <w:szCs w:val="24"/>
                <w:lang w:val="en-GB"/>
              </w:rPr>
              <w:t>in the programming period 2014-2020, when the significant engineering and environmental impacts should be mitigated or overcome.</w:t>
            </w:r>
          </w:p>
          <w:p w14:paraId="6E3F135E" w14:textId="2961BD68" w:rsidR="00F1341F" w:rsidRPr="008340BB" w:rsidRDefault="00F1341F" w:rsidP="0065286A">
            <w:pPr>
              <w:spacing w:after="0"/>
              <w:rPr>
                <w:szCs w:val="24"/>
              </w:rPr>
            </w:pPr>
            <w:r w:rsidRPr="008340BB">
              <w:rPr>
                <w:szCs w:val="24"/>
              </w:rPr>
              <w:t xml:space="preserve">Construction of the road section Blagoevgrad - Sandanski of the Struma Motorway is the main priority in the </w:t>
            </w:r>
            <w:r w:rsidR="00C86BE0" w:rsidRPr="008340BB">
              <w:rPr>
                <w:szCs w:val="24"/>
              </w:rPr>
              <w:t xml:space="preserve">PA 2 of the </w:t>
            </w:r>
            <w:r w:rsidRPr="008340BB">
              <w:rPr>
                <w:szCs w:val="24"/>
              </w:rPr>
              <w:t xml:space="preserve">program. In order to accelerate the project implementation this section is divided into three subsections </w:t>
            </w:r>
            <w:r w:rsidR="008C4421" w:rsidRPr="008340BB">
              <w:rPr>
                <w:szCs w:val="24"/>
              </w:rPr>
              <w:t xml:space="preserve">and for two of these, namely </w:t>
            </w:r>
            <w:r w:rsidRPr="008340BB">
              <w:rPr>
                <w:szCs w:val="24"/>
              </w:rPr>
              <w:t xml:space="preserve">Blagoevgrad – Krupnik and Kresna - Sandanski in 2014 were launched procedures for award of public procurement contracts with </w:t>
            </w:r>
            <w:r w:rsidR="005B23F8">
              <w:rPr>
                <w:szCs w:val="24"/>
              </w:rPr>
              <w:t>p</w:t>
            </w:r>
            <w:r w:rsidRPr="008340BB">
              <w:rPr>
                <w:szCs w:val="24"/>
              </w:rPr>
              <w:t>requalification. The division into the three subsections and launched public procurement procedures comply with the technical implementation of Lot 3, and it will not predetermine the construction options</w:t>
            </w:r>
            <w:r w:rsidR="00630456">
              <w:rPr>
                <w:szCs w:val="24"/>
              </w:rPr>
              <w:t xml:space="preserve"> in the Kresna Gorge </w:t>
            </w:r>
            <w:r w:rsidR="00A90165">
              <w:rPr>
                <w:szCs w:val="24"/>
              </w:rPr>
              <w:t>sub</w:t>
            </w:r>
            <w:r w:rsidR="00630456">
              <w:rPr>
                <w:szCs w:val="24"/>
              </w:rPr>
              <w:t>section</w:t>
            </w:r>
            <w:r w:rsidRPr="008340BB">
              <w:rPr>
                <w:szCs w:val="24"/>
              </w:rPr>
              <w:t>.</w:t>
            </w:r>
            <w:r w:rsidR="00630456">
              <w:rPr>
                <w:szCs w:val="24"/>
              </w:rPr>
              <w:t xml:space="preserve"> </w:t>
            </w:r>
            <w:r w:rsidR="00443C04">
              <w:rPr>
                <w:szCs w:val="24"/>
              </w:rPr>
              <w:t xml:space="preserve">The project for construction of </w:t>
            </w:r>
            <w:r w:rsidR="00443C04" w:rsidRPr="00443C04">
              <w:rPr>
                <w:szCs w:val="24"/>
              </w:rPr>
              <w:t>road section Blagoevgrad - Sandanski of the Struma Motorway was divided</w:t>
            </w:r>
            <w:r w:rsidR="00443C04">
              <w:rPr>
                <w:szCs w:val="24"/>
              </w:rPr>
              <w:t xml:space="preserve"> in to two major projects namely </w:t>
            </w:r>
            <w:r w:rsidR="0097686F" w:rsidRPr="0097686F">
              <w:rPr>
                <w:szCs w:val="24"/>
              </w:rPr>
              <w:t>„Struma Motorway, Lot 3.1, 3.3 and Zheleznitsa tunnel”</w:t>
            </w:r>
            <w:r w:rsidR="0097686F">
              <w:rPr>
                <w:szCs w:val="24"/>
              </w:rPr>
              <w:t xml:space="preserve"> </w:t>
            </w:r>
            <w:r w:rsidR="00A90165">
              <w:rPr>
                <w:szCs w:val="24"/>
              </w:rPr>
              <w:t>(</w:t>
            </w:r>
            <w:r w:rsidR="009C433F" w:rsidRPr="009C433F">
              <w:rPr>
                <w:szCs w:val="24"/>
              </w:rPr>
              <w:t xml:space="preserve">Blagoevgrad – Krupnik and Kresna </w:t>
            </w:r>
            <w:r w:rsidR="009C433F">
              <w:rPr>
                <w:szCs w:val="24"/>
              </w:rPr>
              <w:t>–</w:t>
            </w:r>
            <w:r w:rsidR="009C433F" w:rsidRPr="009C433F">
              <w:rPr>
                <w:szCs w:val="24"/>
              </w:rPr>
              <w:t xml:space="preserve"> Sandanski</w:t>
            </w:r>
            <w:r w:rsidR="009C433F">
              <w:rPr>
                <w:szCs w:val="24"/>
              </w:rPr>
              <w:t xml:space="preserve"> subsections</w:t>
            </w:r>
            <w:r w:rsidR="00A92B84" w:rsidRPr="00A92B84">
              <w:rPr>
                <w:szCs w:val="24"/>
              </w:rPr>
              <w:t xml:space="preserve"> and Zheleznitsa tunnel</w:t>
            </w:r>
            <w:r w:rsidR="00A90165" w:rsidRPr="00A90165">
              <w:rPr>
                <w:szCs w:val="24"/>
              </w:rPr>
              <w:t>)</w:t>
            </w:r>
            <w:r w:rsidR="00A90165">
              <w:rPr>
                <w:szCs w:val="24"/>
              </w:rPr>
              <w:t xml:space="preserve"> </w:t>
            </w:r>
            <w:r w:rsidR="0097686F">
              <w:rPr>
                <w:szCs w:val="24"/>
              </w:rPr>
              <w:t xml:space="preserve">and </w:t>
            </w:r>
            <w:r w:rsidR="0097686F" w:rsidRPr="0097686F">
              <w:rPr>
                <w:szCs w:val="24"/>
              </w:rPr>
              <w:t>„Struma Motorway, Lot 3.2”</w:t>
            </w:r>
            <w:r w:rsidR="00A90165" w:rsidRPr="00A90165">
              <w:rPr>
                <w:szCs w:val="24"/>
              </w:rPr>
              <w:t xml:space="preserve"> (Kresna </w:t>
            </w:r>
            <w:r w:rsidR="00A90165" w:rsidRPr="00A90165">
              <w:rPr>
                <w:szCs w:val="24"/>
              </w:rPr>
              <w:lastRenderedPageBreak/>
              <w:t>Gorge subsection)</w:t>
            </w:r>
            <w:r w:rsidR="0097686F">
              <w:rPr>
                <w:szCs w:val="24"/>
              </w:rPr>
              <w:t>.</w:t>
            </w:r>
            <w:r w:rsidR="009214BC">
              <w:rPr>
                <w:szCs w:val="24"/>
              </w:rPr>
              <w:t xml:space="preserve"> Project </w:t>
            </w:r>
            <w:r w:rsidR="009214BC" w:rsidRPr="009214BC">
              <w:rPr>
                <w:szCs w:val="24"/>
              </w:rPr>
              <w:t>„Struma Motorway, Lot 3.1, 3.3 and Zheleznitsa tunnel”</w:t>
            </w:r>
            <w:r w:rsidR="009214BC">
              <w:rPr>
                <w:szCs w:val="24"/>
              </w:rPr>
              <w:t xml:space="preserve"> is expected to be completed successfully in the current programming period. Regarding the project </w:t>
            </w:r>
            <w:r w:rsidR="009214BC" w:rsidRPr="009214BC">
              <w:rPr>
                <w:szCs w:val="24"/>
              </w:rPr>
              <w:t>„Struma Motorway, Lot 3.2”</w:t>
            </w:r>
            <w:r w:rsidR="00C43189">
              <w:rPr>
                <w:szCs w:val="24"/>
              </w:rPr>
              <w:t xml:space="preserve">, the expectations are until the end of the programming period to implement preparatory and environmental mitigation measures. The project is planned to be completed in programming period 2021-2027.  </w:t>
            </w:r>
          </w:p>
          <w:p w14:paraId="2964C8EA" w14:textId="71F83CAD" w:rsidR="00217665" w:rsidRDefault="0021100B" w:rsidP="00276ED1">
            <w:pPr>
              <w:rPr>
                <w:bCs/>
              </w:rPr>
            </w:pPr>
            <w:r>
              <w:rPr>
                <w:bCs/>
                <w:lang w:val="bg-BG"/>
              </w:rPr>
              <w:t>Road</w:t>
            </w:r>
            <w:r w:rsidRPr="0021100B">
              <w:rPr>
                <w:bCs/>
                <w:lang w:val="bg-BG"/>
              </w:rPr>
              <w:t xml:space="preserve"> </w:t>
            </w:r>
            <w:r w:rsidRPr="0021100B">
              <w:rPr>
                <w:bCs/>
                <w:lang w:val="en-US"/>
              </w:rPr>
              <w:t>I</w:t>
            </w:r>
            <w:r w:rsidRPr="0021100B">
              <w:rPr>
                <w:bCs/>
                <w:lang w:val="bg-BG"/>
              </w:rPr>
              <w:t xml:space="preserve">-8 </w:t>
            </w:r>
            <w:r>
              <w:rPr>
                <w:bCs/>
                <w:lang w:val="en-US"/>
              </w:rPr>
              <w:t>connects</w:t>
            </w:r>
            <w:r w:rsidRPr="0021100B">
              <w:rPr>
                <w:bCs/>
                <w:lang w:val="bg-BG"/>
              </w:rPr>
              <w:t xml:space="preserve"> </w:t>
            </w:r>
            <w:r>
              <w:rPr>
                <w:bCs/>
                <w:lang w:val="en-US"/>
              </w:rPr>
              <w:t>BCCP</w:t>
            </w:r>
            <w:r w:rsidRPr="0021100B">
              <w:rPr>
                <w:bCs/>
                <w:lang w:val="bg-BG"/>
              </w:rPr>
              <w:t xml:space="preserve"> </w:t>
            </w:r>
            <w:r>
              <w:rPr>
                <w:bCs/>
                <w:lang w:val="en-US"/>
              </w:rPr>
              <w:t>“Kalotina</w:t>
            </w:r>
            <w:r w:rsidRPr="0021100B">
              <w:rPr>
                <w:bCs/>
                <w:lang w:val="bg-BG"/>
              </w:rPr>
              <w:t xml:space="preserve">” </w:t>
            </w:r>
            <w:r>
              <w:rPr>
                <w:bCs/>
                <w:lang w:val="en-US"/>
              </w:rPr>
              <w:t>on the</w:t>
            </w:r>
            <w:r w:rsidRPr="0021100B">
              <w:rPr>
                <w:bCs/>
                <w:lang w:val="bg-BG"/>
              </w:rPr>
              <w:t xml:space="preserve"> </w:t>
            </w:r>
            <w:r>
              <w:rPr>
                <w:bCs/>
                <w:lang w:val="en-US"/>
              </w:rPr>
              <w:t>Serbian border</w:t>
            </w:r>
            <w:r w:rsidRPr="0021100B">
              <w:rPr>
                <w:bCs/>
                <w:lang w:val="bg-BG"/>
              </w:rPr>
              <w:t xml:space="preserve"> </w:t>
            </w:r>
            <w:r>
              <w:rPr>
                <w:bCs/>
                <w:lang w:val="en-US"/>
              </w:rPr>
              <w:t>to</w:t>
            </w:r>
            <w:r w:rsidRPr="0021100B">
              <w:rPr>
                <w:bCs/>
                <w:lang w:val="bg-BG"/>
              </w:rPr>
              <w:t xml:space="preserve"> </w:t>
            </w:r>
            <w:r>
              <w:rPr>
                <w:bCs/>
                <w:lang w:val="en-US"/>
              </w:rPr>
              <w:t>BCCP</w:t>
            </w:r>
            <w:r w:rsidRPr="0021100B">
              <w:rPr>
                <w:bCs/>
                <w:lang w:val="bg-BG"/>
              </w:rPr>
              <w:t xml:space="preserve"> </w:t>
            </w:r>
            <w:r>
              <w:rPr>
                <w:bCs/>
                <w:lang w:val="en-US"/>
              </w:rPr>
              <w:t>“Capitan Andreevo</w:t>
            </w:r>
            <w:r w:rsidRPr="0021100B">
              <w:rPr>
                <w:bCs/>
                <w:lang w:val="bg-BG"/>
              </w:rPr>
              <w:t xml:space="preserve">” </w:t>
            </w:r>
            <w:r>
              <w:rPr>
                <w:bCs/>
                <w:lang w:val="bg-BG"/>
              </w:rPr>
              <w:t>on the</w:t>
            </w:r>
            <w:r w:rsidRPr="0021100B">
              <w:rPr>
                <w:bCs/>
                <w:lang w:val="bg-BG"/>
              </w:rPr>
              <w:t xml:space="preserve"> </w:t>
            </w:r>
            <w:r>
              <w:rPr>
                <w:bCs/>
                <w:lang w:val="en-US"/>
              </w:rPr>
              <w:t>Turkish border.</w:t>
            </w:r>
            <w:r w:rsidRPr="0021100B">
              <w:rPr>
                <w:bCs/>
              </w:rPr>
              <w:t xml:space="preserve"> </w:t>
            </w:r>
            <w:r w:rsidR="00576554">
              <w:rPr>
                <w:bCs/>
              </w:rPr>
              <w:t>The project for construction of</w:t>
            </w:r>
            <w:r w:rsidR="00576554" w:rsidRPr="00576554">
              <w:rPr>
                <w:bCs/>
              </w:rPr>
              <w:t xml:space="preserve"> </w:t>
            </w:r>
            <w:r w:rsidR="008E3BA1">
              <w:rPr>
                <w:bCs/>
              </w:rPr>
              <w:t xml:space="preserve">Road </w:t>
            </w:r>
            <w:r w:rsidR="008E3BA1" w:rsidRPr="008E3BA1">
              <w:rPr>
                <w:bCs/>
                <w:lang w:val="en-US"/>
              </w:rPr>
              <w:t>I</w:t>
            </w:r>
            <w:r w:rsidR="008E3BA1" w:rsidRPr="008E3BA1">
              <w:rPr>
                <w:bCs/>
                <w:lang w:val="bg-BG"/>
              </w:rPr>
              <w:t xml:space="preserve">-8 </w:t>
            </w:r>
            <w:r w:rsidR="008E3BA1">
              <w:rPr>
                <w:bCs/>
                <w:lang w:val="en-US"/>
              </w:rPr>
              <w:t xml:space="preserve">section </w:t>
            </w:r>
            <w:r w:rsidR="00576554">
              <w:rPr>
                <w:bCs/>
              </w:rPr>
              <w:t>“Kalotina</w:t>
            </w:r>
            <w:r w:rsidR="00576554" w:rsidRPr="00576554">
              <w:rPr>
                <w:bCs/>
              </w:rPr>
              <w:t>-</w:t>
            </w:r>
            <w:r w:rsidR="00576554">
              <w:rPr>
                <w:bCs/>
              </w:rPr>
              <w:t>Sofia</w:t>
            </w:r>
            <w:r w:rsidR="00576554" w:rsidRPr="00576554">
              <w:rPr>
                <w:bCs/>
              </w:rPr>
              <w:t>”</w:t>
            </w:r>
            <w:r w:rsidR="006A5555">
              <w:rPr>
                <w:bCs/>
              </w:rPr>
              <w:t xml:space="preserve"> </w:t>
            </w:r>
            <w:r w:rsidR="006A5555" w:rsidRPr="006A5555">
              <w:rPr>
                <w:bCs/>
              </w:rPr>
              <w:t>(</w:t>
            </w:r>
            <w:r w:rsidR="000030AA">
              <w:rPr>
                <w:bCs/>
              </w:rPr>
              <w:t xml:space="preserve">part of </w:t>
            </w:r>
            <w:r w:rsidR="00CE1EEB">
              <w:rPr>
                <w:bCs/>
              </w:rPr>
              <w:t>Europa</w:t>
            </w:r>
            <w:r w:rsidR="00576554">
              <w:rPr>
                <w:bCs/>
              </w:rPr>
              <w:t xml:space="preserve"> </w:t>
            </w:r>
            <w:r w:rsidR="00576554" w:rsidRPr="00576554">
              <w:rPr>
                <w:bCs/>
              </w:rPr>
              <w:t>Motorway</w:t>
            </w:r>
            <w:r w:rsidR="006A5555" w:rsidRPr="006A5555">
              <w:rPr>
                <w:bCs/>
              </w:rPr>
              <w:t>)</w:t>
            </w:r>
            <w:r w:rsidR="00576554" w:rsidRPr="00576554">
              <w:rPr>
                <w:bCs/>
              </w:rPr>
              <w:t xml:space="preserve"> </w:t>
            </w:r>
            <w:r w:rsidR="00576554">
              <w:rPr>
                <w:bCs/>
              </w:rPr>
              <w:t xml:space="preserve">includes three </w:t>
            </w:r>
            <w:r w:rsidR="00F932F9">
              <w:rPr>
                <w:bCs/>
              </w:rPr>
              <w:t>sections – “BCCP</w:t>
            </w:r>
            <w:r w:rsidR="00576554" w:rsidRPr="00576554">
              <w:rPr>
                <w:bCs/>
              </w:rPr>
              <w:t xml:space="preserve"> </w:t>
            </w:r>
            <w:r w:rsidR="00F932F9">
              <w:rPr>
                <w:bCs/>
              </w:rPr>
              <w:t>Kalotina</w:t>
            </w:r>
            <w:r w:rsidR="00576554" w:rsidRPr="00576554">
              <w:rPr>
                <w:bCs/>
              </w:rPr>
              <w:t xml:space="preserve"> – </w:t>
            </w:r>
            <w:r w:rsidR="00F932F9">
              <w:rPr>
                <w:bCs/>
              </w:rPr>
              <w:t xml:space="preserve">Sofia </w:t>
            </w:r>
            <w:r w:rsidR="006D11B4">
              <w:rPr>
                <w:bCs/>
              </w:rPr>
              <w:t>R</w:t>
            </w:r>
            <w:r w:rsidR="00F932F9">
              <w:rPr>
                <w:bCs/>
              </w:rPr>
              <w:t>ing road</w:t>
            </w:r>
            <w:r w:rsidR="006D11B4">
              <w:rPr>
                <w:bCs/>
              </w:rPr>
              <w:t>”, “Western</w:t>
            </w:r>
            <w:r w:rsidR="00576554" w:rsidRPr="00576554">
              <w:rPr>
                <w:bCs/>
              </w:rPr>
              <w:t xml:space="preserve"> </w:t>
            </w:r>
            <w:r w:rsidR="006D11B4">
              <w:rPr>
                <w:bCs/>
              </w:rPr>
              <w:t>arc</w:t>
            </w:r>
            <w:r w:rsidR="00576554" w:rsidRPr="00576554">
              <w:rPr>
                <w:bCs/>
              </w:rPr>
              <w:t xml:space="preserve"> </w:t>
            </w:r>
            <w:r w:rsidR="006D11B4">
              <w:rPr>
                <w:bCs/>
              </w:rPr>
              <w:t>of</w:t>
            </w:r>
            <w:r w:rsidR="00576554" w:rsidRPr="00576554">
              <w:rPr>
                <w:bCs/>
              </w:rPr>
              <w:t xml:space="preserve"> </w:t>
            </w:r>
            <w:r w:rsidR="006D11B4" w:rsidRPr="006D11B4">
              <w:rPr>
                <w:bCs/>
              </w:rPr>
              <w:t>Sofia Ring road</w:t>
            </w:r>
            <w:r w:rsidR="00576554" w:rsidRPr="00576554">
              <w:rPr>
                <w:bCs/>
              </w:rPr>
              <w:t xml:space="preserve">” </w:t>
            </w:r>
            <w:r w:rsidR="006D11B4">
              <w:rPr>
                <w:bCs/>
              </w:rPr>
              <w:t>and “North</w:t>
            </w:r>
            <w:r w:rsidR="00576554" w:rsidRPr="00576554">
              <w:rPr>
                <w:bCs/>
              </w:rPr>
              <w:t xml:space="preserve"> </w:t>
            </w:r>
            <w:r w:rsidR="006D11B4">
              <w:rPr>
                <w:bCs/>
              </w:rPr>
              <w:t>speed</w:t>
            </w:r>
            <w:r w:rsidR="00576554" w:rsidRPr="00576554">
              <w:rPr>
                <w:bCs/>
              </w:rPr>
              <w:t xml:space="preserve"> </w:t>
            </w:r>
            <w:r w:rsidR="006D11B4">
              <w:rPr>
                <w:bCs/>
              </w:rPr>
              <w:t>tangent</w:t>
            </w:r>
            <w:r w:rsidR="00576554" w:rsidRPr="00576554">
              <w:rPr>
                <w:bCs/>
              </w:rPr>
              <w:t xml:space="preserve">”. </w:t>
            </w:r>
            <w:r w:rsidR="006D11B4" w:rsidRPr="006D11B4">
              <w:rPr>
                <w:bCs/>
              </w:rPr>
              <w:t xml:space="preserve">The “North speed tangent” and </w:t>
            </w:r>
            <w:r w:rsidR="00B76DC6">
              <w:rPr>
                <w:bCs/>
                <w:lang w:val="en-US"/>
              </w:rPr>
              <w:t xml:space="preserve">phase 1 of </w:t>
            </w:r>
            <w:r w:rsidR="00BA6E56">
              <w:rPr>
                <w:bCs/>
              </w:rPr>
              <w:t xml:space="preserve">the </w:t>
            </w:r>
            <w:r w:rsidR="006D11B4" w:rsidRPr="006D11B4">
              <w:rPr>
                <w:bCs/>
              </w:rPr>
              <w:t xml:space="preserve">“Western arc of the Sofia Ring road” </w:t>
            </w:r>
            <w:r w:rsidR="00B769CE">
              <w:rPr>
                <w:bCs/>
              </w:rPr>
              <w:t xml:space="preserve">(section 1 </w:t>
            </w:r>
            <w:r w:rsidR="00B769CE" w:rsidRPr="00B769CE">
              <w:rPr>
                <w:rFonts w:eastAsia="Times New Roman"/>
                <w:szCs w:val="24"/>
                <w:lang w:val="en" w:eastAsia="bg-BG"/>
              </w:rPr>
              <w:t>from km 59+400 to km 61+629,18 and from km 0+000 to km 0+780</w:t>
            </w:r>
            <w:r w:rsidR="00B769CE">
              <w:rPr>
                <w:rFonts w:eastAsia="Times New Roman"/>
                <w:szCs w:val="24"/>
                <w:lang w:val="bg-BG" w:eastAsia="bg-BG"/>
              </w:rPr>
              <w:t xml:space="preserve"> </w:t>
            </w:r>
            <w:r w:rsidR="00B769CE">
              <w:rPr>
                <w:rFonts w:eastAsia="Times New Roman"/>
                <w:szCs w:val="24"/>
                <w:lang w:val="en-US" w:eastAsia="bg-BG"/>
              </w:rPr>
              <w:t xml:space="preserve">and </w:t>
            </w:r>
            <w:r w:rsidR="00B769CE">
              <w:rPr>
                <w:rFonts w:eastAsia="Times New Roman"/>
                <w:szCs w:val="24"/>
                <w:lang w:val="en" w:eastAsia="bg-BG"/>
              </w:rPr>
              <w:t xml:space="preserve">part of </w:t>
            </w:r>
            <w:r w:rsidR="00B769CE" w:rsidRPr="00B769CE">
              <w:rPr>
                <w:rFonts w:eastAsia="Times New Roman"/>
                <w:szCs w:val="24"/>
                <w:lang w:val="en" w:eastAsia="bg-BG"/>
              </w:rPr>
              <w:t xml:space="preserve">section 2 </w:t>
            </w:r>
            <w:r w:rsidR="00B769CE">
              <w:rPr>
                <w:rFonts w:eastAsia="Times New Roman"/>
                <w:szCs w:val="24"/>
                <w:lang w:val="en" w:eastAsia="bg-BG"/>
              </w:rPr>
              <w:t>including p</w:t>
            </w:r>
            <w:r w:rsidR="00B769CE" w:rsidRPr="00B769CE">
              <w:rPr>
                <w:rFonts w:eastAsia="Times New Roman"/>
                <w:szCs w:val="24"/>
                <w:lang w:val="en" w:eastAsia="bg-BG"/>
              </w:rPr>
              <w:t xml:space="preserve">artial performance of the overpass from </w:t>
            </w:r>
            <w:r w:rsidR="00B769CE">
              <w:rPr>
                <w:rFonts w:eastAsia="Times New Roman"/>
                <w:szCs w:val="24"/>
                <w:lang w:val="en" w:eastAsia="bg-BG"/>
              </w:rPr>
              <w:t xml:space="preserve">km </w:t>
            </w:r>
            <w:r w:rsidR="00B769CE" w:rsidRPr="00B769CE">
              <w:rPr>
                <w:rFonts w:eastAsia="Times New Roman"/>
                <w:szCs w:val="24"/>
                <w:lang w:val="en" w:eastAsia="bg-BG"/>
              </w:rPr>
              <w:t>1+290.46 to km 1+634.46, part of road junction Stefanson Boulevard left lane in the direction of the North Speed Tangent – i.e. implementation of earth works, pilots,  over-pilot plates, columns, piers, main girders, road slab and sidewalk blocks</w:t>
            </w:r>
            <w:r w:rsidR="00B769CE">
              <w:rPr>
                <w:rFonts w:eastAsia="Times New Roman"/>
                <w:szCs w:val="24"/>
                <w:lang w:val="en" w:eastAsia="bg-BG"/>
              </w:rPr>
              <w:t xml:space="preserve"> and c</w:t>
            </w:r>
            <w:r w:rsidR="00B769CE" w:rsidRPr="00B769CE">
              <w:rPr>
                <w:rFonts w:eastAsia="Times New Roman"/>
                <w:szCs w:val="24"/>
                <w:lang w:val="en" w:eastAsia="bg-BG"/>
              </w:rPr>
              <w:t>onstruction of the 0.678 km right lane of the road sections from km 4+430 to km. 4+900 and from km 6</w:t>
            </w:r>
            <w:r w:rsidR="00BA6E56">
              <w:rPr>
                <w:rFonts w:eastAsia="Times New Roman"/>
                <w:szCs w:val="24"/>
                <w:lang w:val="en" w:eastAsia="bg-BG"/>
              </w:rPr>
              <w:t>+100 to km 6</w:t>
            </w:r>
            <w:r w:rsidR="00B769CE" w:rsidRPr="00B769CE">
              <w:rPr>
                <w:rFonts w:eastAsia="Times New Roman"/>
                <w:szCs w:val="24"/>
                <w:lang w:val="en" w:eastAsia="bg-BG"/>
              </w:rPr>
              <w:t>+308.17 /up to layer of incompact asphalt-concrete</w:t>
            </w:r>
            <w:r w:rsidR="00B769CE">
              <w:rPr>
                <w:rFonts w:eastAsia="Times New Roman"/>
                <w:szCs w:val="24"/>
                <w:lang w:val="en" w:eastAsia="bg-BG"/>
              </w:rPr>
              <w:t xml:space="preserve">/) </w:t>
            </w:r>
            <w:r w:rsidR="006D11B4" w:rsidRPr="006D11B4">
              <w:rPr>
                <w:bCs/>
              </w:rPr>
              <w:t>are construct</w:t>
            </w:r>
            <w:r>
              <w:rPr>
                <w:bCs/>
              </w:rPr>
              <w:t>ed</w:t>
            </w:r>
            <w:r w:rsidR="006D11B4" w:rsidRPr="006D11B4">
              <w:rPr>
                <w:bCs/>
              </w:rPr>
              <w:t xml:space="preserve"> financed respectively by Operational Programme Regional Development and Operational Programme on Transport 2007-2013.</w:t>
            </w:r>
            <w:r w:rsidR="006D11B4">
              <w:rPr>
                <w:bCs/>
              </w:rPr>
              <w:t xml:space="preserve"> </w:t>
            </w:r>
            <w:r w:rsidR="00D07D00" w:rsidRPr="00D07D00">
              <w:rPr>
                <w:rFonts w:eastAsia="Times New Roman"/>
                <w:szCs w:val="24"/>
                <w:lang w:val="en" w:eastAsia="bg-BG"/>
              </w:rPr>
              <w:t>Construction of a right lane of 678 m road section includes earthworks, embankments, construction of drainage facilities.</w:t>
            </w:r>
            <w:r w:rsidR="00D07D00">
              <w:rPr>
                <w:rFonts w:eastAsia="Times New Roman"/>
                <w:szCs w:val="24"/>
                <w:lang w:val="en" w:eastAsia="bg-BG"/>
              </w:rPr>
              <w:t xml:space="preserve"> C</w:t>
            </w:r>
            <w:r w:rsidR="00D07D00">
              <w:rPr>
                <w:bCs/>
              </w:rPr>
              <w:t>onstruction</w:t>
            </w:r>
            <w:r w:rsidR="006D11B4">
              <w:rPr>
                <w:bCs/>
              </w:rPr>
              <w:t xml:space="preserve"> of</w:t>
            </w:r>
            <w:r w:rsidR="00576554" w:rsidRPr="00576554">
              <w:rPr>
                <w:bCs/>
              </w:rPr>
              <w:t xml:space="preserve"> </w:t>
            </w:r>
            <w:r w:rsidR="00D07D00" w:rsidRPr="00D07D00">
              <w:rPr>
                <w:rFonts w:eastAsia="Times New Roman"/>
                <w:szCs w:val="24"/>
                <w:lang w:val="en" w:eastAsia="bg-BG"/>
              </w:rPr>
              <w:t xml:space="preserve">the rest part of </w:t>
            </w:r>
            <w:r w:rsidR="008E7FA4">
              <w:rPr>
                <w:bCs/>
              </w:rPr>
              <w:t>section</w:t>
            </w:r>
            <w:r w:rsidR="00576554" w:rsidRPr="00576554">
              <w:rPr>
                <w:bCs/>
              </w:rPr>
              <w:t xml:space="preserve"> 2 </w:t>
            </w:r>
            <w:r w:rsidR="006D11B4">
              <w:rPr>
                <w:bCs/>
              </w:rPr>
              <w:t xml:space="preserve">of </w:t>
            </w:r>
            <w:r w:rsidR="00D07D00">
              <w:rPr>
                <w:bCs/>
              </w:rPr>
              <w:t xml:space="preserve">the </w:t>
            </w:r>
            <w:r w:rsidR="006D11B4" w:rsidRPr="006D11B4">
              <w:rPr>
                <w:bCs/>
              </w:rPr>
              <w:t xml:space="preserve">Western arc of Sofia Ring road </w:t>
            </w:r>
            <w:r w:rsidR="00D07D00" w:rsidRPr="00D07D00">
              <w:rPr>
                <w:rFonts w:eastAsia="Times New Roman"/>
                <w:szCs w:val="24"/>
                <w:lang w:val="en" w:eastAsia="bg-BG"/>
              </w:rPr>
              <w:t>(the completion of the entire route of section 2 from km 0+780 to km 6+308,17, including the respective overpasses,</w:t>
            </w:r>
            <w:r w:rsidR="00D07D00" w:rsidRPr="00D07D00">
              <w:rPr>
                <w:rFonts w:eastAsia="Times New Roman"/>
                <w:szCs w:val="24"/>
                <w:lang w:val="bg-BG" w:eastAsia="bg-BG"/>
              </w:rPr>
              <w:t xml:space="preserve"> </w:t>
            </w:r>
            <w:r w:rsidR="00D07D00" w:rsidRPr="00D07D00">
              <w:rPr>
                <w:rFonts w:eastAsia="Times New Roman"/>
                <w:szCs w:val="24"/>
                <w:lang w:val="en" w:eastAsia="bg-BG"/>
              </w:rPr>
              <w:t xml:space="preserve">as well as implementing the right lane in the direction of the North Tangent overpass, from km 1+290,46 to </w:t>
            </w:r>
            <w:r w:rsidR="00D07D00">
              <w:rPr>
                <w:rFonts w:eastAsia="Times New Roman"/>
                <w:szCs w:val="24"/>
                <w:lang w:val="en" w:eastAsia="bg-BG"/>
              </w:rPr>
              <w:t xml:space="preserve">km </w:t>
            </w:r>
            <w:r w:rsidR="00D07D00" w:rsidRPr="00D07D00">
              <w:rPr>
                <w:rFonts w:eastAsia="Times New Roman"/>
                <w:szCs w:val="24"/>
                <w:lang w:val="en" w:eastAsia="bg-BG"/>
              </w:rPr>
              <w:t>1+634,46, road of the left lane from km 4+430 to km 4+900 and from km 6+100 to km 6+308,17)</w:t>
            </w:r>
            <w:r w:rsidR="00576554" w:rsidRPr="00576554">
              <w:rPr>
                <w:bCs/>
              </w:rPr>
              <w:t xml:space="preserve"> </w:t>
            </w:r>
            <w:r w:rsidR="005B0319">
              <w:rPr>
                <w:bCs/>
              </w:rPr>
              <w:t>is</w:t>
            </w:r>
            <w:r w:rsidR="006D11B4">
              <w:rPr>
                <w:bCs/>
              </w:rPr>
              <w:t xml:space="preserve"> implemented in programming period</w:t>
            </w:r>
            <w:r w:rsidR="00576554" w:rsidRPr="00576554">
              <w:rPr>
                <w:bCs/>
              </w:rPr>
              <w:t xml:space="preserve"> 2014-2020.</w:t>
            </w:r>
            <w:r w:rsidR="00CC07AD">
              <w:rPr>
                <w:bCs/>
              </w:rPr>
              <w:t xml:space="preserve"> </w:t>
            </w:r>
          </w:p>
          <w:p w14:paraId="208E438A" w14:textId="52F2CA58" w:rsidR="00935969" w:rsidRPr="00935969" w:rsidRDefault="00CE1EEB" w:rsidP="00DD660F">
            <w:pPr>
              <w:rPr>
                <w:b/>
                <w:bCs/>
                <w:lang w:val="en-US"/>
              </w:rPr>
            </w:pPr>
            <w:r>
              <w:rPr>
                <w:b/>
                <w:bCs/>
                <w:lang w:val="bg-BG"/>
              </w:rPr>
              <w:t>Project</w:t>
            </w:r>
            <w:r w:rsidR="00935969" w:rsidRPr="00935969">
              <w:rPr>
                <w:b/>
                <w:bCs/>
                <w:lang w:val="bg-BG"/>
              </w:rPr>
              <w:t xml:space="preserve"> </w:t>
            </w:r>
            <w:r w:rsidR="00935969" w:rsidRPr="00935969">
              <w:rPr>
                <w:b/>
                <w:bCs/>
                <w:lang w:val="en-US"/>
              </w:rPr>
              <w:t>Europa M</w:t>
            </w:r>
            <w:r w:rsidR="001632A9">
              <w:rPr>
                <w:b/>
                <w:bCs/>
                <w:lang w:val="en-US"/>
              </w:rPr>
              <w:t xml:space="preserve">W from km 15+500 to km </w:t>
            </w:r>
            <w:r w:rsidR="001632A9" w:rsidRPr="001632A9">
              <w:rPr>
                <w:b/>
                <w:bCs/>
                <w:lang w:val="bg-BG"/>
              </w:rPr>
              <w:t>48+903</w:t>
            </w:r>
          </w:p>
          <w:p w14:paraId="4660322A" w14:textId="02EB886C" w:rsidR="009B76EB" w:rsidRPr="009B76EB" w:rsidRDefault="00CE1EEB" w:rsidP="009B76EB">
            <w:pPr>
              <w:rPr>
                <w:bCs/>
                <w:lang w:val="bg-BG"/>
              </w:rPr>
            </w:pPr>
            <w:r>
              <w:rPr>
                <w:bCs/>
                <w:lang w:val="bg-BG"/>
              </w:rPr>
              <w:t>Road I-8 “</w:t>
            </w:r>
            <w:r w:rsidRPr="00CE1EEB">
              <w:rPr>
                <w:bCs/>
              </w:rPr>
              <w:t>Kalotina – Sofia Ring road</w:t>
            </w:r>
            <w:r>
              <w:rPr>
                <w:bCs/>
                <w:lang w:val="bg-BG"/>
              </w:rPr>
              <w:t xml:space="preserve">” </w:t>
            </w:r>
            <w:r w:rsidR="00D7686D" w:rsidRPr="00D7686D">
              <w:rPr>
                <w:bCs/>
              </w:rPr>
              <w:t>(part of Europa Motorway)</w:t>
            </w:r>
            <w:r w:rsidR="00D7686D">
              <w:rPr>
                <w:bCs/>
              </w:rPr>
              <w:t xml:space="preserve"> </w:t>
            </w:r>
            <w:r>
              <w:rPr>
                <w:bCs/>
                <w:lang w:val="en-US"/>
              </w:rPr>
              <w:t>along the “core”</w:t>
            </w:r>
            <w:r w:rsidR="00935969" w:rsidRPr="00935969">
              <w:rPr>
                <w:bCs/>
                <w:lang w:val="bg-BG"/>
              </w:rPr>
              <w:t xml:space="preserve"> </w:t>
            </w:r>
            <w:r>
              <w:rPr>
                <w:bCs/>
                <w:lang w:val="en-US"/>
              </w:rPr>
              <w:t>Trans-European Transport Network represents an important link</w:t>
            </w:r>
            <w:r w:rsidR="00935969" w:rsidRPr="00935969">
              <w:rPr>
                <w:bCs/>
                <w:lang w:val="bg-BG"/>
              </w:rPr>
              <w:t xml:space="preserve"> </w:t>
            </w:r>
            <w:r>
              <w:rPr>
                <w:bCs/>
                <w:lang w:val="en-US"/>
              </w:rPr>
              <w:t>to</w:t>
            </w:r>
            <w:r w:rsidR="00935969" w:rsidRPr="00935969">
              <w:rPr>
                <w:bCs/>
                <w:lang w:val="bg-BG"/>
              </w:rPr>
              <w:t xml:space="preserve"> </w:t>
            </w:r>
            <w:r>
              <w:rPr>
                <w:bCs/>
                <w:lang w:val="en-US"/>
              </w:rPr>
              <w:t>corridor</w:t>
            </w:r>
            <w:r w:rsidR="00935969" w:rsidRPr="00935969">
              <w:rPr>
                <w:bCs/>
                <w:lang w:val="bg-BG"/>
              </w:rPr>
              <w:t xml:space="preserve"> </w:t>
            </w:r>
            <w:r>
              <w:rPr>
                <w:bCs/>
                <w:lang w:val="en-US"/>
              </w:rPr>
              <w:t>“Orient</w:t>
            </w:r>
            <w:r w:rsidR="00935969" w:rsidRPr="00935969">
              <w:rPr>
                <w:bCs/>
                <w:lang w:val="bg-BG"/>
              </w:rPr>
              <w:t>/</w:t>
            </w:r>
            <w:r>
              <w:rPr>
                <w:bCs/>
                <w:lang w:val="en-US"/>
              </w:rPr>
              <w:t>East</w:t>
            </w:r>
            <w:r w:rsidR="00935969" w:rsidRPr="00935969">
              <w:rPr>
                <w:bCs/>
                <w:lang w:val="bg-BG"/>
              </w:rPr>
              <w:t>-</w:t>
            </w:r>
            <w:r>
              <w:rPr>
                <w:bCs/>
                <w:lang w:val="en-US"/>
              </w:rPr>
              <w:t>Mediterranean”</w:t>
            </w:r>
            <w:r w:rsidR="00935969" w:rsidRPr="00935969">
              <w:rPr>
                <w:bCs/>
                <w:lang w:val="bg-BG"/>
              </w:rPr>
              <w:t xml:space="preserve">. </w:t>
            </w:r>
            <w:r w:rsidR="00C04BD6">
              <w:rPr>
                <w:bCs/>
                <w:lang w:val="en-US"/>
              </w:rPr>
              <w:t>Currently the road from</w:t>
            </w:r>
            <w:r w:rsidR="00935969" w:rsidRPr="00935969">
              <w:rPr>
                <w:bCs/>
                <w:lang w:val="bg-BG"/>
              </w:rPr>
              <w:t xml:space="preserve"> </w:t>
            </w:r>
            <w:r w:rsidR="00C04BD6">
              <w:rPr>
                <w:bCs/>
                <w:lang w:val="en-US"/>
              </w:rPr>
              <w:t>km</w:t>
            </w:r>
            <w:r w:rsidR="00935969" w:rsidRPr="00935969">
              <w:rPr>
                <w:bCs/>
                <w:lang w:val="bg-BG"/>
              </w:rPr>
              <w:t xml:space="preserve"> 15+500 </w:t>
            </w:r>
            <w:r w:rsidR="00C04BD6">
              <w:rPr>
                <w:bCs/>
                <w:lang w:val="en-US"/>
              </w:rPr>
              <w:t>to</w:t>
            </w:r>
            <w:r w:rsidR="00935969" w:rsidRPr="00935969">
              <w:rPr>
                <w:bCs/>
                <w:lang w:val="bg-BG"/>
              </w:rPr>
              <w:t xml:space="preserve"> </w:t>
            </w:r>
            <w:r w:rsidR="00C04BD6">
              <w:rPr>
                <w:bCs/>
                <w:lang w:val="en-US"/>
              </w:rPr>
              <w:t>km</w:t>
            </w:r>
            <w:r w:rsidR="00935969" w:rsidRPr="00935969">
              <w:rPr>
                <w:bCs/>
                <w:lang w:val="bg-BG"/>
              </w:rPr>
              <w:t xml:space="preserve"> </w:t>
            </w:r>
            <w:r w:rsidR="009B76EB" w:rsidRPr="009B76EB">
              <w:rPr>
                <w:bCs/>
                <w:lang w:val="bg-BG"/>
              </w:rPr>
              <w:t>48+903</w:t>
            </w:r>
            <w:r w:rsidR="00935969" w:rsidRPr="00935969">
              <w:rPr>
                <w:bCs/>
                <w:lang w:val="bg-BG"/>
              </w:rPr>
              <w:t xml:space="preserve"> </w:t>
            </w:r>
            <w:r w:rsidR="00C04BD6">
              <w:rPr>
                <w:bCs/>
                <w:lang w:val="en-US"/>
              </w:rPr>
              <w:t>should be modernized in compliance to</w:t>
            </w:r>
            <w:r w:rsidR="00935969" w:rsidRPr="00935969">
              <w:rPr>
                <w:bCs/>
                <w:lang w:val="bg-BG"/>
              </w:rPr>
              <w:t xml:space="preserve"> </w:t>
            </w:r>
            <w:r w:rsidR="00C04BD6">
              <w:rPr>
                <w:bCs/>
                <w:lang w:val="en-US"/>
              </w:rPr>
              <w:t xml:space="preserve">the </w:t>
            </w:r>
            <w:r w:rsidR="000030AA">
              <w:rPr>
                <w:bCs/>
                <w:lang w:val="en-US"/>
              </w:rPr>
              <w:t xml:space="preserve">motorway </w:t>
            </w:r>
            <w:r w:rsidR="00C04BD6">
              <w:rPr>
                <w:bCs/>
                <w:lang w:val="en-US"/>
              </w:rPr>
              <w:t>standards</w:t>
            </w:r>
            <w:r w:rsidR="00935969" w:rsidRPr="00935969">
              <w:rPr>
                <w:bCs/>
                <w:lang w:val="bg-BG"/>
              </w:rPr>
              <w:t xml:space="preserve">. </w:t>
            </w:r>
            <w:r w:rsidR="00C04BD6">
              <w:rPr>
                <w:bCs/>
                <w:lang w:val="en-US"/>
              </w:rPr>
              <w:t xml:space="preserve">The modernization of the road section </w:t>
            </w:r>
            <w:r w:rsidR="00165D80">
              <w:rPr>
                <w:bCs/>
                <w:lang w:val="en-US"/>
              </w:rPr>
              <w:t xml:space="preserve">is going to increase </w:t>
            </w:r>
            <w:r w:rsidR="003C76E9">
              <w:rPr>
                <w:bCs/>
                <w:lang w:val="en-US"/>
              </w:rPr>
              <w:t>its</w:t>
            </w:r>
            <w:r w:rsidR="00165D80">
              <w:rPr>
                <w:bCs/>
                <w:lang w:val="en-US"/>
              </w:rPr>
              <w:t xml:space="preserve"> capacity </w:t>
            </w:r>
            <w:r w:rsidR="003C76E9" w:rsidRPr="003C76E9">
              <w:rPr>
                <w:bCs/>
                <w:lang w:val="en-US"/>
              </w:rPr>
              <w:t xml:space="preserve">and safety </w:t>
            </w:r>
            <w:r w:rsidR="00165D80">
              <w:rPr>
                <w:bCs/>
                <w:lang w:val="en-US"/>
              </w:rPr>
              <w:t>and</w:t>
            </w:r>
            <w:r w:rsidR="00935969" w:rsidRPr="00935969">
              <w:rPr>
                <w:bCs/>
                <w:lang w:val="bg-BG"/>
              </w:rPr>
              <w:t xml:space="preserve"> </w:t>
            </w:r>
            <w:r w:rsidR="00165D80">
              <w:rPr>
                <w:bCs/>
                <w:lang w:val="en-US"/>
              </w:rPr>
              <w:t>to provide economic effectiveness</w:t>
            </w:r>
            <w:r w:rsidR="00935969" w:rsidRPr="00935969">
              <w:rPr>
                <w:bCs/>
                <w:lang w:val="bg-BG"/>
              </w:rPr>
              <w:t xml:space="preserve"> </w:t>
            </w:r>
            <w:r w:rsidR="00165D80">
              <w:rPr>
                <w:bCs/>
                <w:lang w:val="en-US"/>
              </w:rPr>
              <w:t>of</w:t>
            </w:r>
            <w:r w:rsidR="00935969" w:rsidRPr="00935969">
              <w:rPr>
                <w:bCs/>
                <w:lang w:val="bg-BG"/>
              </w:rPr>
              <w:t xml:space="preserve"> </w:t>
            </w:r>
            <w:r w:rsidR="003C76E9">
              <w:rPr>
                <w:bCs/>
                <w:lang w:val="en-US"/>
              </w:rPr>
              <w:t xml:space="preserve">the </w:t>
            </w:r>
            <w:r w:rsidR="00165D80">
              <w:rPr>
                <w:bCs/>
                <w:lang w:val="en-US"/>
              </w:rPr>
              <w:t>traffic</w:t>
            </w:r>
            <w:r w:rsidR="00935969" w:rsidRPr="00935969">
              <w:rPr>
                <w:bCs/>
                <w:lang w:val="bg-BG"/>
              </w:rPr>
              <w:t>.</w:t>
            </w:r>
            <w:r w:rsidR="00935969">
              <w:rPr>
                <w:bCs/>
                <w:lang w:val="en-US"/>
              </w:rPr>
              <w:t xml:space="preserve"> </w:t>
            </w:r>
            <w:r w:rsidR="009B76EB" w:rsidRPr="009B76EB">
              <w:rPr>
                <w:bCs/>
                <w:lang w:val="en"/>
              </w:rPr>
              <w:t xml:space="preserve">The project is divided into two sections - from km. 15 + 500 to km 32 + 447.20 and from km 32 + 447.20 to km 48 + 903. The length of the first section is 16,947 km. and </w:t>
            </w:r>
            <w:r w:rsidR="009B76EB">
              <w:rPr>
                <w:bCs/>
                <w:lang w:val="en"/>
              </w:rPr>
              <w:t>11 large facilities are</w:t>
            </w:r>
            <w:r w:rsidR="009B76EB" w:rsidRPr="009B76EB">
              <w:rPr>
                <w:bCs/>
                <w:lang w:val="en"/>
              </w:rPr>
              <w:t xml:space="preserve"> planned</w:t>
            </w:r>
            <w:r w:rsidR="009B76EB">
              <w:rPr>
                <w:bCs/>
                <w:lang w:val="bg-BG"/>
              </w:rPr>
              <w:t xml:space="preserve"> </w:t>
            </w:r>
            <w:r w:rsidR="009B76EB">
              <w:rPr>
                <w:bCs/>
                <w:lang w:val="en-US"/>
              </w:rPr>
              <w:t>to be constructed</w:t>
            </w:r>
            <w:r w:rsidR="009B76EB" w:rsidRPr="009B76EB">
              <w:rPr>
                <w:bCs/>
                <w:lang w:val="en"/>
              </w:rPr>
              <w:t>. The length of the second section is 16,456 km. It is planned to build 13 large facilities.</w:t>
            </w:r>
          </w:p>
          <w:p w14:paraId="6679DC0B" w14:textId="263D101B" w:rsidR="00CA3FC8" w:rsidRDefault="00CD2481" w:rsidP="00E75C64">
            <w:pPr>
              <w:rPr>
                <w:bCs/>
                <w:lang w:val="en-US"/>
              </w:rPr>
            </w:pPr>
            <w:r>
              <w:rPr>
                <w:bCs/>
                <w:lang w:val="en-US"/>
              </w:rPr>
              <w:t>Project activities includes preparation of technical design,</w:t>
            </w:r>
            <w:r w:rsidR="00935969">
              <w:rPr>
                <w:bCs/>
                <w:lang w:val="en-US"/>
              </w:rPr>
              <w:t xml:space="preserve"> </w:t>
            </w:r>
            <w:r>
              <w:rPr>
                <w:bCs/>
                <w:lang w:val="en-US"/>
              </w:rPr>
              <w:t>construction,</w:t>
            </w:r>
            <w:r w:rsidR="00935969">
              <w:rPr>
                <w:bCs/>
                <w:lang w:val="en-US"/>
              </w:rPr>
              <w:t xml:space="preserve"> </w:t>
            </w:r>
            <w:r>
              <w:rPr>
                <w:bCs/>
                <w:lang w:val="en-US"/>
              </w:rPr>
              <w:t>consultant</w:t>
            </w:r>
            <w:r w:rsidR="00935969" w:rsidRPr="00935969">
              <w:rPr>
                <w:bCs/>
                <w:lang w:val="bg-BG"/>
              </w:rPr>
              <w:t xml:space="preserve"> </w:t>
            </w:r>
            <w:r>
              <w:rPr>
                <w:bCs/>
                <w:lang w:val="en-US"/>
              </w:rPr>
              <w:t>services</w:t>
            </w:r>
            <w:r w:rsidR="00935969" w:rsidRPr="00935969">
              <w:rPr>
                <w:bCs/>
                <w:lang w:val="bg-BG"/>
              </w:rPr>
              <w:t xml:space="preserve"> /</w:t>
            </w:r>
            <w:r>
              <w:rPr>
                <w:bCs/>
                <w:lang w:val="en-US"/>
              </w:rPr>
              <w:t>compliance assessment and</w:t>
            </w:r>
            <w:r w:rsidR="00935969" w:rsidRPr="00935969">
              <w:rPr>
                <w:bCs/>
                <w:lang w:val="bg-BG"/>
              </w:rPr>
              <w:t xml:space="preserve"> </w:t>
            </w:r>
            <w:r>
              <w:rPr>
                <w:bCs/>
                <w:lang w:val="en-US"/>
              </w:rPr>
              <w:t>supervision</w:t>
            </w:r>
            <w:r w:rsidR="00935969" w:rsidRPr="00935969">
              <w:rPr>
                <w:bCs/>
                <w:lang w:val="bg-BG"/>
              </w:rPr>
              <w:t>/</w:t>
            </w:r>
            <w:r>
              <w:rPr>
                <w:bCs/>
                <w:lang w:val="en-US"/>
              </w:rPr>
              <w:t>,</w:t>
            </w:r>
            <w:r w:rsidR="00935969">
              <w:rPr>
                <w:bCs/>
                <w:lang w:val="en-US"/>
              </w:rPr>
              <w:t xml:space="preserve"> </w:t>
            </w:r>
            <w:r>
              <w:rPr>
                <w:bCs/>
                <w:lang w:val="en-US"/>
              </w:rPr>
              <w:t>information and communication,</w:t>
            </w:r>
            <w:r w:rsidR="00935969">
              <w:rPr>
                <w:bCs/>
                <w:lang w:val="en-US"/>
              </w:rPr>
              <w:t xml:space="preserve"> </w:t>
            </w:r>
            <w:r>
              <w:rPr>
                <w:bCs/>
                <w:lang w:val="en-US"/>
              </w:rPr>
              <w:t>archeology, project management, update of</w:t>
            </w:r>
            <w:r w:rsidR="00935969">
              <w:rPr>
                <w:bCs/>
                <w:lang w:val="en-US"/>
              </w:rPr>
              <w:t xml:space="preserve"> </w:t>
            </w:r>
            <w:r>
              <w:rPr>
                <w:bCs/>
                <w:lang w:val="en-US"/>
              </w:rPr>
              <w:t>CBA</w:t>
            </w:r>
            <w:r w:rsidR="00935969" w:rsidRPr="00935969">
              <w:rPr>
                <w:bCs/>
                <w:lang w:val="bg-BG"/>
              </w:rPr>
              <w:t xml:space="preserve"> </w:t>
            </w:r>
            <w:r>
              <w:rPr>
                <w:bCs/>
                <w:lang w:val="en-US"/>
              </w:rPr>
              <w:t>and</w:t>
            </w:r>
            <w:r w:rsidR="00935969" w:rsidRPr="00935969">
              <w:rPr>
                <w:bCs/>
                <w:lang w:val="bg-BG"/>
              </w:rPr>
              <w:t xml:space="preserve"> </w:t>
            </w:r>
            <w:r w:rsidR="00CF70DA">
              <w:rPr>
                <w:bCs/>
                <w:lang w:val="en-US"/>
              </w:rPr>
              <w:t>preparation of application form</w:t>
            </w:r>
            <w:r w:rsidR="00935969">
              <w:rPr>
                <w:bCs/>
                <w:lang w:val="en-US"/>
              </w:rPr>
              <w:t>.</w:t>
            </w:r>
            <w:r w:rsidR="00CA3FC8">
              <w:rPr>
                <w:bCs/>
                <w:lang w:val="en-US"/>
              </w:rPr>
              <w:t xml:space="preserve"> </w:t>
            </w:r>
          </w:p>
          <w:p w14:paraId="496CC38A" w14:textId="5226FA58" w:rsidR="00996FD3" w:rsidRDefault="00CA3FC8" w:rsidP="00E75C64">
            <w:pPr>
              <w:rPr>
                <w:bCs/>
                <w:lang w:val="en-US"/>
              </w:rPr>
            </w:pPr>
            <w:r>
              <w:rPr>
                <w:bCs/>
                <w:lang w:val="en-US"/>
              </w:rPr>
              <w:t>The project is under construction.</w:t>
            </w:r>
          </w:p>
          <w:p w14:paraId="0F893CB0" w14:textId="3884E66D" w:rsidR="004C1A72" w:rsidRPr="00E260BD" w:rsidRDefault="00C86BE0" w:rsidP="004C1A72">
            <w:pPr>
              <w:autoSpaceDE w:val="0"/>
              <w:autoSpaceDN w:val="0"/>
              <w:adjustRightInd w:val="0"/>
              <w:rPr>
                <w:bCs/>
                <w:lang w:val="en-US"/>
              </w:rPr>
            </w:pPr>
            <w:r w:rsidRPr="008340BB">
              <w:rPr>
                <w:rStyle w:val="hps"/>
              </w:rPr>
              <w:t>Within the PA 2 of the OPTTI 2014-2020 it is envisaged to finance  Construction works for Struma Motorway Lot 3</w:t>
            </w:r>
            <w:r w:rsidR="00F04A95">
              <w:rPr>
                <w:rStyle w:val="hps"/>
              </w:rPr>
              <w:t xml:space="preserve"> Blagoevgrad-Sandanski</w:t>
            </w:r>
            <w:r w:rsidR="004C1A72">
              <w:rPr>
                <w:rStyle w:val="hps"/>
              </w:rPr>
              <w:t>,</w:t>
            </w:r>
            <w:r w:rsidR="006D11B4">
              <w:rPr>
                <w:rStyle w:val="hps"/>
              </w:rPr>
              <w:t xml:space="preserve"> </w:t>
            </w:r>
            <w:r w:rsidR="00AE32A6">
              <w:rPr>
                <w:rStyle w:val="hps"/>
              </w:rPr>
              <w:t>phase</w:t>
            </w:r>
            <w:r w:rsidR="00BC43DF">
              <w:rPr>
                <w:rStyle w:val="hps"/>
              </w:rPr>
              <w:t xml:space="preserve"> 2 of </w:t>
            </w:r>
            <w:r w:rsidR="00C22581">
              <w:rPr>
                <w:rStyle w:val="hps"/>
              </w:rPr>
              <w:t xml:space="preserve">the </w:t>
            </w:r>
            <w:r w:rsidR="00883EAC" w:rsidRPr="00883EAC">
              <w:rPr>
                <w:rStyle w:val="hps"/>
              </w:rPr>
              <w:t>Western arc of Sofia Ring road</w:t>
            </w:r>
            <w:r w:rsidR="00BC43DF">
              <w:rPr>
                <w:rStyle w:val="hps"/>
              </w:rPr>
              <w:t xml:space="preserve"> (</w:t>
            </w:r>
            <w:r w:rsidR="00A20688">
              <w:rPr>
                <w:rStyle w:val="hps"/>
              </w:rPr>
              <w:t>and</w:t>
            </w:r>
            <w:r w:rsidR="004C1A72">
              <w:rPr>
                <w:rStyle w:val="hps"/>
              </w:rPr>
              <w:t xml:space="preserve"> </w:t>
            </w:r>
            <w:r w:rsidR="004C1A72" w:rsidRPr="00E260BD">
              <w:rPr>
                <w:bCs/>
                <w:lang w:val="en-US"/>
              </w:rPr>
              <w:t xml:space="preserve">Europa MW from km 15+500 to km </w:t>
            </w:r>
            <w:r w:rsidR="009B76EB" w:rsidRPr="009B76EB">
              <w:rPr>
                <w:bCs/>
                <w:lang w:val="bg-BG"/>
              </w:rPr>
              <w:t>48+903</w:t>
            </w:r>
            <w:r w:rsidR="004C1A72">
              <w:rPr>
                <w:bCs/>
                <w:lang w:val="en-US"/>
              </w:rPr>
              <w:t xml:space="preserve">. </w:t>
            </w:r>
          </w:p>
          <w:p w14:paraId="45D0C24E" w14:textId="2D8E50A8" w:rsidR="00F1341F" w:rsidRDefault="00E80A56" w:rsidP="00276ED1">
            <w:pPr>
              <w:autoSpaceDE w:val="0"/>
              <w:autoSpaceDN w:val="0"/>
              <w:adjustRightInd w:val="0"/>
              <w:rPr>
                <w:rStyle w:val="hps"/>
              </w:rPr>
            </w:pPr>
            <w:r>
              <w:rPr>
                <w:rStyle w:val="hps"/>
              </w:rPr>
              <w:t xml:space="preserve"> To this end the Action Plan for fulfilment of ex-ante conditionality 7.1 will provide for the necessary framework for the development and further maturation of the project pipeline of priority investments. </w:t>
            </w:r>
          </w:p>
          <w:p w14:paraId="47B90C88" w14:textId="6242B331" w:rsidR="000340CE" w:rsidRPr="00F13846" w:rsidRDefault="000340CE" w:rsidP="00276ED1">
            <w:pPr>
              <w:autoSpaceDE w:val="0"/>
              <w:autoSpaceDN w:val="0"/>
              <w:adjustRightInd w:val="0"/>
            </w:pPr>
            <w:r w:rsidRPr="000340CE">
              <w:lastRenderedPageBreak/>
              <w:t xml:space="preserve">In addition, a project will be financed for the construction of the Bypass of the city of Burgas from km 230+700 on the I-9 Sarafovo - Burgas road to km 493+550 on the I-6 Vetren-Burgas road and local lanes. The project is a connection between the "Trakiya" highway, which is part of the Orient/Eastern-Mediterranean corridor, and the I-9 Burgas - Varna road, which is part of the </w:t>
            </w:r>
            <w:r>
              <w:t>comprehensive</w:t>
            </w:r>
            <w:r w:rsidRPr="000340CE">
              <w:t xml:space="preserve"> Trans-European transport network. The implementation of the project will have socio-economic and environmental benefits mainly by moving out of the city of Burgas the transit traffic entering the city from the north on the I-9 road to the I-6 road in the south and limiting the load on the city street n</w:t>
            </w:r>
            <w:r>
              <w:t>etwork from the transit traffic</w:t>
            </w:r>
            <w:r w:rsidRPr="000340CE">
              <w:t>, which will contribute to reducing traffic jams and increasing traffic safety / for 2022 in the area of the road section - subject of the project and in the direction of the center of Burgas, 23 road accidents occurred/.</w:t>
            </w:r>
            <w:r w:rsidR="00871732">
              <w:t xml:space="preserve"> </w:t>
            </w:r>
            <w:r w:rsidR="00A75F09" w:rsidRPr="00A75F09">
              <w:t>The reduction in incidents has a net present value of 2.21 million euros. This is a determined net present value of the benefits of reducing the number of incidents in total over the forecast period, i.e. for the economic life of the project.</w:t>
            </w:r>
            <w:r w:rsidR="00A75F09">
              <w:rPr>
                <w:lang w:val="bg-BG"/>
              </w:rPr>
              <w:t xml:space="preserve"> </w:t>
            </w:r>
            <w:r w:rsidR="00871732" w:rsidRPr="00871732">
              <w:t xml:space="preserve">Traffic diversion will also reduce fragmentation and disturbance to bird species from traffic on the existing Sarafovo-Burgas road, which runs parallel to the western shore of the Lake Atanasovo Protected Area. According to the most recent data available, the average day-night load on I-9, as measured by automatic road traffic recording devices in the area of the beginning and end of the road section, is 17,760 vehicles. </w:t>
            </w:r>
            <w:r w:rsidR="00FF5E93" w:rsidRPr="00FF5E93">
              <w:t>The biggest benefit of the project is the saving of travel time, as passengers in buses and cars that leave the city or pass by Burgas without entering the city will save 340,668 hours on average per year.</w:t>
            </w:r>
            <w:r w:rsidR="00FF5E93">
              <w:rPr>
                <w:lang w:val="bg-BG"/>
              </w:rPr>
              <w:t xml:space="preserve"> </w:t>
            </w:r>
            <w:r w:rsidR="00871732" w:rsidRPr="00871732">
              <w:t xml:space="preserve">With the removal of transit traffic, harmful emissions, fine dust particles and noise pollution in the city of Burgas from road transport will be reduced. </w:t>
            </w:r>
            <w:r w:rsidR="002B238F" w:rsidRPr="002B238F">
              <w:t>The valued environmental benefits amount to 7.27 million euros.</w:t>
            </w:r>
            <w:r w:rsidR="002B238F">
              <w:rPr>
                <w:lang w:val="bg-BG"/>
              </w:rPr>
              <w:t xml:space="preserve"> </w:t>
            </w:r>
            <w:r w:rsidR="00871732" w:rsidRPr="00871732">
              <w:t xml:space="preserve">According to the data in the Plan for Sustainable Urban Mobility of the Municipality of Burgas for 2014 - 2023, road transport is the second largest source of harmful emissions for the city, and 61.58% of the entire population of Burgas is exposed to levels of </w:t>
            </w:r>
            <w:r w:rsidR="00871732">
              <w:t xml:space="preserve">noise from the </w:t>
            </w:r>
            <w:r w:rsidR="00871732" w:rsidRPr="00871732">
              <w:t>road transport above the limit values for Lday, 56.41% – above those for Levening and 57.64% for Lnight.</w:t>
            </w:r>
            <w:r w:rsidR="00F13846">
              <w:rPr>
                <w:lang w:val="bg-BG"/>
              </w:rPr>
              <w:t xml:space="preserve"> </w:t>
            </w:r>
            <w:r w:rsidR="00F13846" w:rsidRPr="00F13846">
              <w:t>From the analyses made for the project, it is expected that after its implementation, harmful gas emissions will be reduced by 2,721 tons in a typical year, or in total for the reference period /until 2035/ by 76,176 tons. Their value is determined according to the EIB Methodology for determin</w:t>
            </w:r>
            <w:r w:rsidR="0047428E">
              <w:t>ing gas emissions in projects (</w:t>
            </w:r>
            <w:r w:rsidR="00F13846" w:rsidRPr="00F13846">
              <w:t>EIB Project Carbon Footprint Methodologies, Version 11.3, January 2023</w:t>
            </w:r>
            <w:r w:rsidR="0047428E">
              <w:t>)</w:t>
            </w:r>
            <w:r w:rsidR="00F13846" w:rsidRPr="00F13846">
              <w:t>.</w:t>
            </w:r>
          </w:p>
          <w:p w14:paraId="03691DB4" w14:textId="77777777" w:rsidR="000340CE" w:rsidRPr="008340BB" w:rsidRDefault="000340CE" w:rsidP="00276ED1">
            <w:pPr>
              <w:autoSpaceDE w:val="0"/>
              <w:autoSpaceDN w:val="0"/>
              <w:adjustRightInd w:val="0"/>
            </w:pPr>
          </w:p>
          <w:p w14:paraId="74BB0B97" w14:textId="77777777" w:rsidR="00F1341F" w:rsidRPr="008340BB" w:rsidRDefault="00F1341F" w:rsidP="0065286A">
            <w:pPr>
              <w:pStyle w:val="Default"/>
              <w:jc w:val="both"/>
              <w:rPr>
                <w:b/>
                <w:lang w:val="en-GB"/>
              </w:rPr>
            </w:pPr>
            <w:r w:rsidRPr="008340BB">
              <w:rPr>
                <w:b/>
                <w:lang w:val="en-GB"/>
              </w:rPr>
              <w:t>Potential beneficiaries:</w:t>
            </w:r>
          </w:p>
          <w:p w14:paraId="46B89737" w14:textId="77777777" w:rsidR="00F1341F" w:rsidRPr="008340BB" w:rsidRDefault="00F1341F" w:rsidP="000C23C6">
            <w:pPr>
              <w:pStyle w:val="Default"/>
              <w:ind w:left="900"/>
              <w:jc w:val="both"/>
              <w:rPr>
                <w:b/>
                <w:lang w:val="en-GB"/>
              </w:rPr>
            </w:pPr>
          </w:p>
          <w:p w14:paraId="328E0075" w14:textId="77777777" w:rsidR="00F1341F" w:rsidRPr="008340BB" w:rsidRDefault="00F1341F" w:rsidP="0065286A">
            <w:pPr>
              <w:pStyle w:val="Default"/>
              <w:numPr>
                <w:ilvl w:val="0"/>
                <w:numId w:val="50"/>
              </w:numPr>
              <w:jc w:val="both"/>
              <w:rPr>
                <w:lang w:val="en-GB"/>
              </w:rPr>
            </w:pPr>
            <w:r w:rsidRPr="008340BB">
              <w:rPr>
                <w:lang w:val="en-GB"/>
              </w:rPr>
              <w:t>Road Infrastructure Agency.</w:t>
            </w:r>
          </w:p>
        </w:tc>
      </w:tr>
    </w:tbl>
    <w:p w14:paraId="7E4A85DB" w14:textId="77777777" w:rsidR="00F1341F" w:rsidRPr="0067246B" w:rsidRDefault="00F1341F" w:rsidP="008B4180"/>
    <w:p w14:paraId="0BFE0E9C" w14:textId="77777777" w:rsidR="00F1341F" w:rsidRPr="00020ADD" w:rsidRDefault="00F1341F" w:rsidP="008B4180">
      <w:pPr>
        <w:pStyle w:val="ManualHeading3"/>
        <w:tabs>
          <w:tab w:val="clear" w:pos="850"/>
        </w:tabs>
        <w:ind w:left="1418" w:hanging="1418"/>
        <w:rPr>
          <w:b/>
        </w:rPr>
      </w:pPr>
      <w:r w:rsidRPr="00020ADD">
        <w:rPr>
          <w:b/>
        </w:rPr>
        <w:t>2.A.2.5.2   Guiding principles for selection of operations</w:t>
      </w:r>
    </w:p>
    <w:p w14:paraId="2C832774" w14:textId="77777777" w:rsidR="00F1341F" w:rsidRPr="00020ADD" w:rsidRDefault="00F1341F" w:rsidP="008B4180">
      <w:pPr>
        <w:pStyle w:val="ManualHeading3"/>
        <w:tabs>
          <w:tab w:val="clear" w:pos="850"/>
        </w:tabs>
        <w:ind w:left="1418" w:hanging="1418"/>
        <w:rPr>
          <w:i w:val="0"/>
        </w:rPr>
      </w:pPr>
      <w:r w:rsidRPr="00020ADD">
        <w:rPr>
          <w:i w:val="0"/>
        </w:rPr>
        <w:t xml:space="preserve"> (Reference: point (b)(iii) of the first subparagraph of Article 96(2) of Regulation (EU) No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3C41770B" w14:textId="77777777" w:rsidTr="00067686">
        <w:trPr>
          <w:trHeight w:val="518"/>
        </w:trPr>
        <w:tc>
          <w:tcPr>
            <w:tcW w:w="2235" w:type="dxa"/>
          </w:tcPr>
          <w:p w14:paraId="3E8D4A22" w14:textId="77777777" w:rsidR="00F1341F" w:rsidRPr="00020ADD" w:rsidRDefault="00F1341F" w:rsidP="00067686">
            <w:pPr>
              <w:rPr>
                <w:i/>
                <w:color w:val="8DB3E2"/>
                <w:sz w:val="18"/>
                <w:szCs w:val="18"/>
              </w:rPr>
            </w:pPr>
            <w:r w:rsidRPr="00020ADD">
              <w:rPr>
                <w:i/>
              </w:rPr>
              <w:t>Investment Priority</w:t>
            </w:r>
          </w:p>
        </w:tc>
        <w:tc>
          <w:tcPr>
            <w:tcW w:w="6443" w:type="dxa"/>
          </w:tcPr>
          <w:p w14:paraId="4D61CEA5" w14:textId="77777777" w:rsidR="00F1341F" w:rsidRPr="00DC0475" w:rsidRDefault="00F1341F" w:rsidP="001976F3">
            <w:pPr>
              <w:rPr>
                <w:i/>
                <w:color w:val="8DB3E2"/>
                <w:sz w:val="18"/>
                <w:szCs w:val="18"/>
              </w:rPr>
            </w:pPr>
            <w:r w:rsidRPr="001976F3">
              <w:rPr>
                <w:i/>
                <w:szCs w:val="24"/>
                <w:lang w:eastAsia="bg-BG"/>
              </w:rPr>
              <w:t>7i -</w:t>
            </w:r>
            <w:r w:rsidRPr="001976F3">
              <w:rPr>
                <w:i/>
              </w:rPr>
              <w:t xml:space="preserve"> </w:t>
            </w:r>
            <w:r w:rsidR="001976F3" w:rsidRPr="001976F3">
              <w:rPr>
                <w:i/>
              </w:rPr>
              <w:t>Supporting a multi-modal Single European Transport Area by investing in the TEN-T</w:t>
            </w:r>
            <w:r w:rsidR="001976F3" w:rsidRPr="00435AC3" w:rsidDel="009543F5">
              <w:rPr>
                <w:i/>
              </w:rPr>
              <w:t xml:space="preserve"> </w:t>
            </w:r>
          </w:p>
        </w:tc>
      </w:tr>
      <w:tr w:rsidR="00F1341F" w:rsidRPr="008340BB" w14:paraId="53082B9D" w14:textId="77777777" w:rsidTr="00067686">
        <w:trPr>
          <w:trHeight w:val="1088"/>
        </w:trPr>
        <w:tc>
          <w:tcPr>
            <w:tcW w:w="8678" w:type="dxa"/>
            <w:gridSpan w:val="2"/>
          </w:tcPr>
          <w:p w14:paraId="3680B870" w14:textId="77777777" w:rsidR="00F1341F" w:rsidRPr="0067246B" w:rsidRDefault="00F1341F" w:rsidP="002B7585">
            <w:r w:rsidRPr="00B5130A">
              <w:lastRenderedPageBreak/>
              <w:t xml:space="preserve">Defining the operation, included in the list of investment projects for funding were used the methodology and the approach, as outlined </w:t>
            </w:r>
            <w:r w:rsidR="00C53621">
              <w:t>in section</w:t>
            </w:r>
            <w:r w:rsidR="00952171">
              <w:t xml:space="preserve"> </w:t>
            </w:r>
            <w:r w:rsidR="00952171" w:rsidRPr="00952171">
              <w:t>2.A.1.5.2</w:t>
            </w:r>
            <w:r w:rsidRPr="00B5130A">
              <w:t xml:space="preserve">: </w:t>
            </w:r>
            <w:r w:rsidRPr="00A828C5">
              <w:rPr>
                <w:vertAlign w:val="superscript"/>
              </w:rPr>
              <w:t>(</w:t>
            </w:r>
            <w:r w:rsidRPr="008340BB">
              <w:rPr>
                <w:vertAlign w:val="superscript"/>
              </w:rPr>
              <w:t>)</w:t>
            </w:r>
            <w:r w:rsidRPr="0067246B">
              <w:t xml:space="preserve">. </w:t>
            </w:r>
          </w:p>
          <w:p w14:paraId="0330798E" w14:textId="77777777" w:rsidR="00F1341F" w:rsidRPr="00020ADD" w:rsidRDefault="00F1341F" w:rsidP="002B7585">
            <w:r w:rsidRPr="00020ADD">
              <w:t>More attention in the evaluation for selection of the operation under the Priority Axis 2 is drawn on reporting the achievement of the following sub-criteria:</w:t>
            </w:r>
          </w:p>
          <w:p w14:paraId="75B40065" w14:textId="77777777" w:rsidR="00F1341F" w:rsidRPr="00DC0475" w:rsidRDefault="00F1341F" w:rsidP="005E5DBD">
            <w:pPr>
              <w:numPr>
                <w:ilvl w:val="0"/>
                <w:numId w:val="50"/>
              </w:numPr>
              <w:ind w:left="567" w:hanging="283"/>
            </w:pPr>
            <w:r w:rsidRPr="00020ADD">
              <w:rPr>
                <w:rStyle w:val="hps"/>
              </w:rPr>
              <w:t>degree</w:t>
            </w:r>
            <w:r w:rsidRPr="00020ADD">
              <w:t xml:space="preserve"> </w:t>
            </w:r>
            <w:r w:rsidRPr="00E774D2">
              <w:rPr>
                <w:rStyle w:val="hps"/>
              </w:rPr>
              <w:t>of intensity of</w:t>
            </w:r>
            <w:r w:rsidRPr="00E84DEF">
              <w:t xml:space="preserve"> </w:t>
            </w:r>
            <w:r w:rsidRPr="00E84DEF">
              <w:rPr>
                <w:rStyle w:val="hps"/>
              </w:rPr>
              <w:t>international passenger traffic</w:t>
            </w:r>
            <w:r w:rsidRPr="00DC0475">
              <w:t xml:space="preserve">; </w:t>
            </w:r>
          </w:p>
          <w:p w14:paraId="15800B4C" w14:textId="77777777" w:rsidR="00F1341F" w:rsidRPr="008340BB" w:rsidRDefault="00F1341F" w:rsidP="005E5DBD">
            <w:pPr>
              <w:numPr>
                <w:ilvl w:val="0"/>
                <w:numId w:val="50"/>
              </w:numPr>
              <w:ind w:left="567" w:hanging="283"/>
              <w:rPr>
                <w:i/>
                <w:sz w:val="18"/>
                <w:szCs w:val="18"/>
              </w:rPr>
            </w:pPr>
            <w:r w:rsidRPr="00B5130A">
              <w:rPr>
                <w:rStyle w:val="hps"/>
              </w:rPr>
              <w:t>degree of</w:t>
            </w:r>
            <w:r w:rsidRPr="00A828C5">
              <w:t xml:space="preserve"> </w:t>
            </w:r>
            <w:r w:rsidRPr="008340BB">
              <w:rPr>
                <w:rStyle w:val="hps"/>
              </w:rPr>
              <w:t>overlapping with main directions</w:t>
            </w:r>
            <w:r w:rsidRPr="008340BB">
              <w:t xml:space="preserve"> </w:t>
            </w:r>
            <w:r w:rsidRPr="008340BB">
              <w:rPr>
                <w:rStyle w:val="hps"/>
              </w:rPr>
              <w:t>of demand for</w:t>
            </w:r>
            <w:r w:rsidRPr="008340BB">
              <w:t xml:space="preserve"> </w:t>
            </w:r>
            <w:r w:rsidRPr="008340BB">
              <w:rPr>
                <w:rStyle w:val="hps"/>
              </w:rPr>
              <w:t>freight transport</w:t>
            </w:r>
            <w:r w:rsidRPr="008340BB">
              <w:t xml:space="preserve"> </w:t>
            </w:r>
            <w:r w:rsidRPr="008340BB">
              <w:rPr>
                <w:rStyle w:val="hps"/>
              </w:rPr>
              <w:t>by road</w:t>
            </w:r>
            <w:r w:rsidRPr="008340BB">
              <w:t>;</w:t>
            </w:r>
          </w:p>
          <w:p w14:paraId="6C3E1CAD" w14:textId="77777777" w:rsidR="00F1341F" w:rsidRPr="008340BB" w:rsidRDefault="00F1341F" w:rsidP="005E5DBD">
            <w:pPr>
              <w:numPr>
                <w:ilvl w:val="0"/>
                <w:numId w:val="50"/>
              </w:numPr>
              <w:ind w:left="567" w:hanging="283"/>
              <w:rPr>
                <w:i/>
                <w:sz w:val="18"/>
                <w:szCs w:val="18"/>
              </w:rPr>
            </w:pPr>
            <w:r w:rsidRPr="008340BB">
              <w:rPr>
                <w:szCs w:val="24"/>
                <w:lang w:eastAsia="bg-BG"/>
              </w:rPr>
              <w:t>completion of investment projects funded under the OPT 2007-2013;</w:t>
            </w:r>
          </w:p>
          <w:p w14:paraId="25DF1049" w14:textId="77777777" w:rsidR="00F1341F" w:rsidRPr="008340BB" w:rsidRDefault="00F1341F" w:rsidP="005E5DBD">
            <w:pPr>
              <w:numPr>
                <w:ilvl w:val="0"/>
                <w:numId w:val="50"/>
              </w:numPr>
              <w:ind w:left="567" w:hanging="283"/>
              <w:rPr>
                <w:i/>
                <w:sz w:val="18"/>
                <w:szCs w:val="18"/>
              </w:rPr>
            </w:pPr>
            <w:r w:rsidRPr="008340BB">
              <w:rPr>
                <w:szCs w:val="24"/>
                <w:lang w:eastAsia="bg-BG"/>
              </w:rPr>
              <w:t xml:space="preserve">evaluation of the benefits from the environment; </w:t>
            </w:r>
          </w:p>
          <w:p w14:paraId="798088AC" w14:textId="77777777" w:rsidR="00F1341F" w:rsidRPr="008340BB" w:rsidRDefault="00F1341F" w:rsidP="00C02294">
            <w:pPr>
              <w:numPr>
                <w:ilvl w:val="0"/>
                <w:numId w:val="50"/>
              </w:numPr>
              <w:ind w:left="567" w:hanging="283"/>
              <w:rPr>
                <w:i/>
                <w:sz w:val="18"/>
                <w:szCs w:val="18"/>
              </w:rPr>
            </w:pPr>
            <w:r w:rsidRPr="008340BB">
              <w:rPr>
                <w:szCs w:val="24"/>
                <w:lang w:eastAsia="bg-BG"/>
              </w:rPr>
              <w:t>evaluation of the improvement of road transport safety.</w:t>
            </w:r>
          </w:p>
        </w:tc>
      </w:tr>
    </w:tbl>
    <w:p w14:paraId="7B7E0D0F" w14:textId="77777777" w:rsidR="00F1341F" w:rsidRPr="008340BB" w:rsidRDefault="00F1341F" w:rsidP="008B4180">
      <w:pPr>
        <w:pStyle w:val="Text3"/>
        <w:ind w:left="0"/>
        <w:rPr>
          <w:szCs w:val="24"/>
        </w:rPr>
      </w:pPr>
    </w:p>
    <w:p w14:paraId="2DC7EF49" w14:textId="77777777" w:rsidR="00F1341F" w:rsidRPr="008340BB" w:rsidRDefault="00F1341F" w:rsidP="008B4180">
      <w:pPr>
        <w:pStyle w:val="Text1"/>
        <w:ind w:left="0"/>
        <w:rPr>
          <w:lang w:val="en-GB"/>
        </w:rPr>
      </w:pPr>
      <w:r w:rsidRPr="008340BB">
        <w:rPr>
          <w:b/>
          <w:i/>
          <w:lang w:val="en-GB"/>
        </w:rPr>
        <w:t>2.A.2.5.3</w:t>
      </w:r>
      <w:r w:rsidRPr="008340BB">
        <w:rPr>
          <w:b/>
          <w:i/>
          <w:lang w:val="en-GB"/>
        </w:rPr>
        <w:tab/>
        <w:t xml:space="preserve"> Planned use of financial instruments </w:t>
      </w:r>
      <w:r w:rsidRPr="008340BB">
        <w:rPr>
          <w:lang w:val="en-GB"/>
        </w:rPr>
        <w:t>(where appropriate)</w:t>
      </w:r>
    </w:p>
    <w:p w14:paraId="6A33A0A7" w14:textId="77777777" w:rsidR="00F1341F" w:rsidRPr="008340BB" w:rsidRDefault="00F1341F" w:rsidP="008B4180">
      <w:pPr>
        <w:pStyle w:val="ManualHeading3"/>
        <w:tabs>
          <w:tab w:val="clear" w:pos="850"/>
        </w:tabs>
        <w:ind w:left="0" w:firstLine="0"/>
        <w:rPr>
          <w:i w:val="0"/>
        </w:rPr>
      </w:pPr>
      <w:r w:rsidRPr="008340BB">
        <w:rPr>
          <w:i w:val="0"/>
        </w:rPr>
        <w:t>(Reference: point (b)(iii) of the first subparagraph of Article 96(2)</w:t>
      </w:r>
      <w:r w:rsidRPr="008340BB" w:rsidDel="00961976">
        <w:rPr>
          <w:i w:val="0"/>
        </w:rPr>
        <w:t xml:space="preserve"> </w:t>
      </w:r>
      <w:r w:rsidRPr="008340BB">
        <w:rPr>
          <w:i w:val="0"/>
        </w:rPr>
        <w:t xml:space="preserve">of Regulation (EU) No 1303/2013) </w:t>
      </w:r>
    </w:p>
    <w:p w14:paraId="59A71E67" w14:textId="77777777" w:rsidR="00F1341F" w:rsidRPr="008340BB" w:rsidRDefault="00F1341F" w:rsidP="008B4180">
      <w:pPr>
        <w:pStyle w:val="Text1"/>
        <w:rPr>
          <w:lang w:val="en-GB"/>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9"/>
        <w:gridCol w:w="4339"/>
      </w:tblGrid>
      <w:tr w:rsidR="00F1341F" w:rsidRPr="008340BB" w14:paraId="35ECCF0B" w14:textId="77777777" w:rsidTr="00067686">
        <w:trPr>
          <w:trHeight w:val="518"/>
        </w:trPr>
        <w:tc>
          <w:tcPr>
            <w:tcW w:w="4339" w:type="dxa"/>
          </w:tcPr>
          <w:p w14:paraId="7B46394B" w14:textId="77777777" w:rsidR="00F1341F" w:rsidRPr="008340BB" w:rsidRDefault="00F1341F" w:rsidP="00067686">
            <w:pPr>
              <w:rPr>
                <w:i/>
                <w:color w:val="8DB3E2"/>
                <w:sz w:val="18"/>
                <w:szCs w:val="18"/>
              </w:rPr>
            </w:pPr>
            <w:r w:rsidRPr="008340BB">
              <w:rPr>
                <w:i/>
              </w:rPr>
              <w:t>Investment Priority</w:t>
            </w:r>
          </w:p>
        </w:tc>
        <w:tc>
          <w:tcPr>
            <w:tcW w:w="4339" w:type="dxa"/>
          </w:tcPr>
          <w:p w14:paraId="5010F751" w14:textId="77777777" w:rsidR="00F1341F" w:rsidRPr="008340BB" w:rsidRDefault="00F1341F" w:rsidP="00A96E32">
            <w:pPr>
              <w:rPr>
                <w:i/>
                <w:color w:val="8DB3E2"/>
                <w:sz w:val="18"/>
                <w:szCs w:val="18"/>
              </w:rPr>
            </w:pPr>
            <w:r w:rsidRPr="008340BB">
              <w:rPr>
                <w:i/>
                <w:color w:val="8DB3E2"/>
                <w:sz w:val="18"/>
                <w:szCs w:val="18"/>
              </w:rPr>
              <w:t xml:space="preserve"> </w:t>
            </w:r>
            <w:r w:rsidRPr="008340BB">
              <w:rPr>
                <w:i/>
                <w:szCs w:val="24"/>
                <w:lang w:eastAsia="bg-BG"/>
              </w:rPr>
              <w:t>7i -</w:t>
            </w:r>
            <w:r w:rsidR="00A96E32">
              <w:t xml:space="preserve"> </w:t>
            </w:r>
            <w:r w:rsidR="00A96E32" w:rsidRPr="00A96E32">
              <w:rPr>
                <w:i/>
                <w:szCs w:val="24"/>
                <w:lang w:eastAsia="bg-BG"/>
              </w:rPr>
              <w:t>Supporting a multi-modal Single European Transport Area by investing in the TEN-T</w:t>
            </w:r>
          </w:p>
        </w:tc>
      </w:tr>
      <w:tr w:rsidR="00F1341F" w:rsidRPr="008340BB" w14:paraId="4E6D3292" w14:textId="77777777" w:rsidTr="00067686">
        <w:trPr>
          <w:trHeight w:val="379"/>
        </w:trPr>
        <w:tc>
          <w:tcPr>
            <w:tcW w:w="4339" w:type="dxa"/>
          </w:tcPr>
          <w:p w14:paraId="58CFB30F" w14:textId="77777777" w:rsidR="00F1341F" w:rsidRPr="008340BB" w:rsidRDefault="00F1341F" w:rsidP="00067686">
            <w:pPr>
              <w:rPr>
                <w:i/>
                <w:color w:val="8DB3E2"/>
                <w:sz w:val="18"/>
                <w:szCs w:val="18"/>
              </w:rPr>
            </w:pPr>
            <w:r w:rsidRPr="008340BB">
              <w:rPr>
                <w:i/>
              </w:rPr>
              <w:t>Planned use of financial instruments</w:t>
            </w:r>
          </w:p>
        </w:tc>
        <w:tc>
          <w:tcPr>
            <w:tcW w:w="4339" w:type="dxa"/>
          </w:tcPr>
          <w:p w14:paraId="33152D07" w14:textId="77777777" w:rsidR="00F1341F" w:rsidRPr="008340BB" w:rsidRDefault="00F1341F" w:rsidP="00067686">
            <w:pPr>
              <w:rPr>
                <w:i/>
                <w:color w:val="8DB3E2"/>
                <w:sz w:val="18"/>
                <w:szCs w:val="18"/>
              </w:rPr>
            </w:pPr>
            <w:r w:rsidRPr="008340BB">
              <w:rPr>
                <w:i/>
                <w:color w:val="8DB3E2"/>
                <w:sz w:val="18"/>
                <w:szCs w:val="18"/>
              </w:rPr>
              <w:t xml:space="preserve"> </w:t>
            </w:r>
            <w:r w:rsidRPr="008340BB">
              <w:rPr>
                <w:i/>
                <w:szCs w:val="24"/>
              </w:rPr>
              <w:t>N/A</w:t>
            </w:r>
          </w:p>
        </w:tc>
      </w:tr>
      <w:tr w:rsidR="00F1341F" w:rsidRPr="008340BB" w14:paraId="59A075D7" w14:textId="77777777" w:rsidTr="00067686">
        <w:trPr>
          <w:trHeight w:val="1407"/>
        </w:trPr>
        <w:tc>
          <w:tcPr>
            <w:tcW w:w="8678" w:type="dxa"/>
            <w:gridSpan w:val="2"/>
          </w:tcPr>
          <w:p w14:paraId="4E39DA63" w14:textId="77777777" w:rsidR="00F1341F" w:rsidRPr="008340BB" w:rsidRDefault="00F1341F" w:rsidP="00067686">
            <w:pPr>
              <w:rPr>
                <w:i/>
                <w:szCs w:val="24"/>
              </w:rPr>
            </w:pPr>
          </w:p>
          <w:p w14:paraId="1C7BEF85" w14:textId="77777777" w:rsidR="00F1341F" w:rsidRPr="008340BB" w:rsidRDefault="00F1341F" w:rsidP="00067686">
            <w:pPr>
              <w:rPr>
                <w:i/>
                <w:sz w:val="18"/>
                <w:szCs w:val="18"/>
              </w:rPr>
            </w:pPr>
            <w:r w:rsidRPr="008340BB">
              <w:rPr>
                <w:i/>
                <w:szCs w:val="24"/>
              </w:rPr>
              <w:t>N/A</w:t>
            </w:r>
          </w:p>
        </w:tc>
      </w:tr>
    </w:tbl>
    <w:p w14:paraId="7BD59F9B" w14:textId="77777777" w:rsidR="00F1341F" w:rsidRPr="008340BB" w:rsidRDefault="00F1341F" w:rsidP="008B4180"/>
    <w:p w14:paraId="4D58E9BB" w14:textId="77777777" w:rsidR="00F1341F" w:rsidRPr="008340BB" w:rsidRDefault="00F1341F" w:rsidP="008B4180">
      <w:pPr>
        <w:pStyle w:val="Text1"/>
        <w:ind w:left="0"/>
        <w:rPr>
          <w:lang w:val="en-GB"/>
        </w:rPr>
      </w:pPr>
      <w:r w:rsidRPr="008340BB">
        <w:rPr>
          <w:b/>
          <w:i/>
          <w:lang w:val="en-GB"/>
        </w:rPr>
        <w:t xml:space="preserve">2.A.2.5.4 </w:t>
      </w:r>
      <w:r w:rsidRPr="008340BB">
        <w:rPr>
          <w:b/>
          <w:i/>
          <w:lang w:val="en-GB"/>
        </w:rPr>
        <w:tab/>
      </w:r>
      <w:r w:rsidRPr="00A3551A">
        <w:rPr>
          <w:b/>
          <w:i/>
          <w:lang w:val="en-GB"/>
        </w:rPr>
        <w:t>Planned use of major projects</w:t>
      </w:r>
      <w:r w:rsidRPr="008340BB">
        <w:rPr>
          <w:b/>
          <w:i/>
          <w:lang w:val="en-GB"/>
        </w:rPr>
        <w:t xml:space="preserve"> </w:t>
      </w:r>
      <w:r w:rsidRPr="008340BB">
        <w:rPr>
          <w:lang w:val="en-GB"/>
        </w:rPr>
        <w:t>(where appropriate)</w:t>
      </w:r>
    </w:p>
    <w:p w14:paraId="670B7E7A" w14:textId="77777777" w:rsidR="00F1341F" w:rsidRPr="008340BB" w:rsidRDefault="00F1341F" w:rsidP="008B4180">
      <w:pPr>
        <w:pStyle w:val="ManualHeading3"/>
        <w:tabs>
          <w:tab w:val="clear" w:pos="850"/>
        </w:tabs>
        <w:ind w:left="1418" w:hanging="1418"/>
        <w:rPr>
          <w:i w:val="0"/>
        </w:rPr>
      </w:pPr>
      <w:r w:rsidRPr="008340BB">
        <w:rPr>
          <w:i w:val="0"/>
        </w:rPr>
        <w:t xml:space="preserve"> (Reference: point (b)(iii) of the first subparagraph of Article 96 (2) of Regulation (EU) No 1303/2013) </w:t>
      </w:r>
    </w:p>
    <w:p w14:paraId="3EFFFC77" w14:textId="77777777" w:rsidR="00F1341F" w:rsidRPr="008340BB" w:rsidRDefault="00F1341F" w:rsidP="008B4180">
      <w:pPr>
        <w:pStyle w:val="Text1"/>
        <w:ind w:left="0"/>
        <w:rPr>
          <w:lang w:val="en-GB"/>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9"/>
        <w:gridCol w:w="4416"/>
      </w:tblGrid>
      <w:tr w:rsidR="00F1341F" w:rsidRPr="008340BB" w14:paraId="4220B35A" w14:textId="77777777" w:rsidTr="00067686">
        <w:trPr>
          <w:trHeight w:val="518"/>
        </w:trPr>
        <w:tc>
          <w:tcPr>
            <w:tcW w:w="4339" w:type="dxa"/>
          </w:tcPr>
          <w:p w14:paraId="7D853B84" w14:textId="77777777" w:rsidR="00F1341F" w:rsidRPr="008340BB" w:rsidRDefault="00F1341F" w:rsidP="00067686">
            <w:pPr>
              <w:rPr>
                <w:i/>
                <w:color w:val="8DB3E2"/>
                <w:sz w:val="18"/>
                <w:szCs w:val="18"/>
              </w:rPr>
            </w:pPr>
            <w:r w:rsidRPr="008340BB">
              <w:rPr>
                <w:i/>
              </w:rPr>
              <w:t>Investment Priority</w:t>
            </w:r>
          </w:p>
        </w:tc>
        <w:tc>
          <w:tcPr>
            <w:tcW w:w="4416" w:type="dxa"/>
          </w:tcPr>
          <w:p w14:paraId="7B49326F" w14:textId="77777777" w:rsidR="00F1341F" w:rsidRPr="008340BB" w:rsidRDefault="00F1341F" w:rsidP="000F4359">
            <w:pPr>
              <w:rPr>
                <w:i/>
                <w:color w:val="8DB3E2"/>
                <w:sz w:val="18"/>
                <w:szCs w:val="18"/>
              </w:rPr>
            </w:pPr>
            <w:r w:rsidRPr="007C747B">
              <w:rPr>
                <w:i/>
                <w:szCs w:val="24"/>
                <w:lang w:eastAsia="bg-BG"/>
              </w:rPr>
              <w:t>7i</w:t>
            </w:r>
            <w:r w:rsidR="007C747B">
              <w:rPr>
                <w:i/>
                <w:szCs w:val="24"/>
                <w:lang w:val="bg-BG" w:eastAsia="bg-BG"/>
              </w:rPr>
              <w:t xml:space="preserve"> -</w:t>
            </w:r>
            <w:r w:rsidR="007C747B">
              <w:t xml:space="preserve"> </w:t>
            </w:r>
            <w:r w:rsidR="007C747B" w:rsidRPr="007C747B">
              <w:rPr>
                <w:i/>
                <w:szCs w:val="24"/>
                <w:lang w:val="bg-BG" w:eastAsia="bg-BG"/>
              </w:rPr>
              <w:t>Supporting a multi-modal Single European Transport Area by investing in the TEN-T</w:t>
            </w:r>
            <w:r w:rsidRPr="007C747B">
              <w:rPr>
                <w:i/>
                <w:szCs w:val="24"/>
                <w:lang w:eastAsia="bg-BG"/>
              </w:rPr>
              <w:t xml:space="preserve"> </w:t>
            </w:r>
          </w:p>
        </w:tc>
      </w:tr>
      <w:tr w:rsidR="00F1341F" w:rsidRPr="008340BB" w14:paraId="510E679F" w14:textId="77777777" w:rsidTr="00067686">
        <w:trPr>
          <w:trHeight w:val="980"/>
        </w:trPr>
        <w:tc>
          <w:tcPr>
            <w:tcW w:w="8755" w:type="dxa"/>
            <w:gridSpan w:val="2"/>
          </w:tcPr>
          <w:p w14:paraId="4503FE4A" w14:textId="408AB700" w:rsidR="00825ABC" w:rsidRDefault="00E774D2" w:rsidP="000817EA">
            <w:pPr>
              <w:autoSpaceDE w:val="0"/>
              <w:autoSpaceDN w:val="0"/>
              <w:adjustRightInd w:val="0"/>
            </w:pPr>
            <w:r w:rsidRPr="00C61081">
              <w:rPr>
                <w:rStyle w:val="hps"/>
              </w:rPr>
              <w:t>Within the framework of this</w:t>
            </w:r>
            <w:r w:rsidRPr="00C61081">
              <w:t xml:space="preserve"> </w:t>
            </w:r>
            <w:r w:rsidRPr="00C61081">
              <w:rPr>
                <w:rStyle w:val="hps"/>
              </w:rPr>
              <w:t>priority axis of</w:t>
            </w:r>
            <w:r w:rsidRPr="00C61081">
              <w:t xml:space="preserve"> </w:t>
            </w:r>
            <w:r w:rsidRPr="00C61081">
              <w:rPr>
                <w:rStyle w:val="hps"/>
              </w:rPr>
              <w:t>OPTTI</w:t>
            </w:r>
            <w:r w:rsidRPr="00C61081">
              <w:t xml:space="preserve"> </w:t>
            </w:r>
            <w:r w:rsidRPr="00C61081">
              <w:rPr>
                <w:rStyle w:val="hps"/>
              </w:rPr>
              <w:t>2014-2020</w:t>
            </w:r>
            <w:r w:rsidRPr="00C61081">
              <w:t xml:space="preserve"> </w:t>
            </w:r>
            <w:r w:rsidRPr="00C61081">
              <w:rPr>
                <w:rStyle w:val="hps"/>
              </w:rPr>
              <w:t>it is envisaged funding of</w:t>
            </w:r>
            <w:r w:rsidRPr="00C61081">
              <w:t xml:space="preserve"> </w:t>
            </w:r>
            <w:r w:rsidRPr="00C61081">
              <w:rPr>
                <w:rStyle w:val="hps"/>
              </w:rPr>
              <w:t>the major</w:t>
            </w:r>
            <w:r w:rsidRPr="00C61081">
              <w:t xml:space="preserve"> </w:t>
            </w:r>
            <w:r w:rsidRPr="00C61081">
              <w:rPr>
                <w:rStyle w:val="hps"/>
              </w:rPr>
              <w:t>project Construction of the</w:t>
            </w:r>
            <w:r w:rsidRPr="00C61081">
              <w:t xml:space="preserve"> </w:t>
            </w:r>
            <w:r w:rsidRPr="00C61081">
              <w:rPr>
                <w:rStyle w:val="alt-edited"/>
              </w:rPr>
              <w:t>Struma Motorway</w:t>
            </w:r>
            <w:r w:rsidRPr="00C61081">
              <w:t xml:space="preserve"> </w:t>
            </w:r>
            <w:r w:rsidRPr="00C61081">
              <w:rPr>
                <w:rStyle w:val="hps"/>
              </w:rPr>
              <w:t>Lot 3</w:t>
            </w:r>
            <w:r w:rsidRPr="00C61081">
              <w:t xml:space="preserve"> </w:t>
            </w:r>
            <w:r w:rsidRPr="00C61081">
              <w:rPr>
                <w:rStyle w:val="hps"/>
              </w:rPr>
              <w:t>–</w:t>
            </w:r>
            <w:r w:rsidRPr="00C61081">
              <w:t xml:space="preserve"> </w:t>
            </w:r>
            <w:r w:rsidRPr="00C61081">
              <w:rPr>
                <w:rStyle w:val="hps"/>
              </w:rPr>
              <w:t xml:space="preserve">Blagoevgrad </w:t>
            </w:r>
            <w:r w:rsidRPr="00C61081">
              <w:rPr>
                <w:rStyle w:val="atn"/>
              </w:rPr>
              <w:t xml:space="preserve">– </w:t>
            </w:r>
            <w:r w:rsidRPr="00E774D2">
              <w:t>Sandanski</w:t>
            </w:r>
            <w:r w:rsidR="005B7517">
              <w:t xml:space="preserve"> and the major project Construction</w:t>
            </w:r>
            <w:r w:rsidR="005B7517" w:rsidRPr="005B7517">
              <w:rPr>
                <w:iCs/>
                <w:lang w:val="bg-BG"/>
              </w:rPr>
              <w:t xml:space="preserve"> </w:t>
            </w:r>
            <w:r w:rsidR="005B7517">
              <w:rPr>
                <w:iCs/>
                <w:lang w:val="en-US"/>
              </w:rPr>
              <w:t>of</w:t>
            </w:r>
            <w:r w:rsidR="005B7517" w:rsidRPr="005B7517">
              <w:rPr>
                <w:iCs/>
                <w:lang w:val="bg-BG"/>
              </w:rPr>
              <w:t xml:space="preserve"> </w:t>
            </w:r>
            <w:r w:rsidR="005B7517">
              <w:rPr>
                <w:iCs/>
                <w:lang w:val="en-US"/>
              </w:rPr>
              <w:t>“Europa”</w:t>
            </w:r>
            <w:r w:rsidR="005B7517" w:rsidRPr="005B7517">
              <w:rPr>
                <w:iCs/>
                <w:lang w:val="bg-BG"/>
              </w:rPr>
              <w:t xml:space="preserve"> </w:t>
            </w:r>
            <w:r w:rsidR="005B7517">
              <w:rPr>
                <w:iCs/>
                <w:lang w:val="en-US"/>
              </w:rPr>
              <w:t>MW from</w:t>
            </w:r>
            <w:r w:rsidR="005B7517" w:rsidRPr="005B7517">
              <w:rPr>
                <w:iCs/>
                <w:lang w:val="bg-BG"/>
              </w:rPr>
              <w:t xml:space="preserve"> </w:t>
            </w:r>
            <w:r w:rsidR="005B7517">
              <w:rPr>
                <w:iCs/>
                <w:lang w:val="en-US"/>
              </w:rPr>
              <w:t>km</w:t>
            </w:r>
            <w:r w:rsidR="005B7517" w:rsidRPr="005B7517">
              <w:rPr>
                <w:iCs/>
                <w:lang w:val="bg-BG"/>
              </w:rPr>
              <w:t xml:space="preserve"> </w:t>
            </w:r>
            <w:r w:rsidR="005B7517" w:rsidRPr="005B7517">
              <w:rPr>
                <w:bCs/>
                <w:iCs/>
                <w:lang w:val="en-US"/>
              </w:rPr>
              <w:t xml:space="preserve">15+500 </w:t>
            </w:r>
            <w:r w:rsidR="005B7517">
              <w:rPr>
                <w:bCs/>
                <w:iCs/>
                <w:lang w:val="en-US"/>
              </w:rPr>
              <w:t>to</w:t>
            </w:r>
            <w:r w:rsidR="005B7517" w:rsidRPr="005B7517">
              <w:rPr>
                <w:bCs/>
                <w:iCs/>
                <w:lang w:val="en-US"/>
              </w:rPr>
              <w:t xml:space="preserve"> </w:t>
            </w:r>
            <w:r w:rsidR="005B7517">
              <w:rPr>
                <w:bCs/>
                <w:iCs/>
                <w:lang w:val="en-US"/>
              </w:rPr>
              <w:t>km</w:t>
            </w:r>
            <w:r w:rsidR="005B7517" w:rsidRPr="005B7517">
              <w:rPr>
                <w:bCs/>
                <w:iCs/>
                <w:lang w:val="en-US"/>
              </w:rPr>
              <w:t xml:space="preserve"> </w:t>
            </w:r>
            <w:r w:rsidR="005B7517" w:rsidRPr="005B7517">
              <w:rPr>
                <w:bCs/>
                <w:iCs/>
                <w:lang w:val="bg-BG"/>
              </w:rPr>
              <w:t>48+903</w:t>
            </w:r>
            <w:r w:rsidRPr="00E774D2">
              <w:t>.</w:t>
            </w:r>
            <w:r w:rsidR="005B7517">
              <w:t xml:space="preserve"> </w:t>
            </w:r>
            <w:r w:rsidR="00F1341F" w:rsidRPr="00E02732">
              <w:rPr>
                <w:iCs/>
                <w:lang w:eastAsia="bg-BG"/>
              </w:rPr>
              <w:t>Implementin</w:t>
            </w:r>
            <w:r w:rsidR="00E02732">
              <w:rPr>
                <w:iCs/>
                <w:lang w:eastAsia="bg-BG"/>
              </w:rPr>
              <w:t>g</w:t>
            </w:r>
            <w:r w:rsidR="00F1341F" w:rsidRPr="00E02732">
              <w:rPr>
                <w:iCs/>
                <w:lang w:eastAsia="bg-BG"/>
              </w:rPr>
              <w:t xml:space="preserve"> the planned major project</w:t>
            </w:r>
            <w:r w:rsidR="00825ABC">
              <w:rPr>
                <w:iCs/>
                <w:lang w:eastAsia="bg-BG"/>
              </w:rPr>
              <w:t>s</w:t>
            </w:r>
            <w:r w:rsidR="00F1341F" w:rsidRPr="00E84DEF">
              <w:rPr>
                <w:iCs/>
                <w:lang w:eastAsia="bg-BG"/>
              </w:rPr>
              <w:t xml:space="preserve"> under the priority axis, will contribute to the removal of the bottlenecks in the road network and will ensure infrastructure conditions for conflict-free distribution of local and international traffic along sections of the </w:t>
            </w:r>
            <w:r w:rsidR="00F1341F" w:rsidRPr="00DC0475">
              <w:t>Trans-</w:t>
            </w:r>
            <w:r w:rsidR="00F1341F" w:rsidRPr="00E774D2">
              <w:t>European transport network across the territory of Bulgaria.</w:t>
            </w:r>
            <w:r w:rsidR="00F57DD1">
              <w:t xml:space="preserve"> </w:t>
            </w:r>
          </w:p>
          <w:p w14:paraId="249B4ACD" w14:textId="752F6FE3" w:rsidR="00825ABC" w:rsidRDefault="00825ABC" w:rsidP="000817EA">
            <w:pPr>
              <w:autoSpaceDE w:val="0"/>
              <w:autoSpaceDN w:val="0"/>
              <w:adjustRightInd w:val="0"/>
            </w:pPr>
            <w:r>
              <w:lastRenderedPageBreak/>
              <w:t>P</w:t>
            </w:r>
            <w:r w:rsidRPr="00825ABC">
              <w:t>roject Construction of the Struma Motorway Lot 3 – Blagoevgrad – Sandanski</w:t>
            </w:r>
          </w:p>
          <w:p w14:paraId="7B8D543D" w14:textId="5F8D2652" w:rsidR="00F1341F" w:rsidRDefault="005A373B" w:rsidP="000817EA">
            <w:pPr>
              <w:autoSpaceDE w:val="0"/>
              <w:autoSpaceDN w:val="0"/>
              <w:adjustRightInd w:val="0"/>
            </w:pPr>
            <w:r w:rsidRPr="005A373B">
              <w:t xml:space="preserve">In view of the scope and </w:t>
            </w:r>
            <w:r>
              <w:t>investment value of construction activities and also the stage of preparation,</w:t>
            </w:r>
            <w:r w:rsidRPr="005A373B">
              <w:t xml:space="preserve"> </w:t>
            </w:r>
            <w:r>
              <w:t>t</w:t>
            </w:r>
            <w:r w:rsidR="00F57DD1">
              <w:t>he project was divided at two major projects:</w:t>
            </w:r>
          </w:p>
          <w:p w14:paraId="6F761602" w14:textId="77777777" w:rsidR="00F57DD1" w:rsidRPr="00B238A2" w:rsidRDefault="00F57DD1" w:rsidP="00F57DD1">
            <w:pPr>
              <w:pStyle w:val="ListParagraph"/>
              <w:numPr>
                <w:ilvl w:val="0"/>
                <w:numId w:val="109"/>
              </w:numPr>
              <w:autoSpaceDE w:val="0"/>
              <w:autoSpaceDN w:val="0"/>
              <w:adjustRightInd w:val="0"/>
              <w:rPr>
                <w:iCs/>
                <w:lang w:eastAsia="bg-BG"/>
              </w:rPr>
            </w:pPr>
            <w:r w:rsidRPr="00F57DD1">
              <w:rPr>
                <w:iCs/>
                <w:lang w:eastAsia="bg-BG"/>
              </w:rPr>
              <w:t>for Lot 3.1 from Blagoevgrad to Krupnic (17 km), Lot 3.3 from Kresna to Sandanski (23 km) and</w:t>
            </w:r>
            <w:r w:rsidRPr="00B238A2">
              <w:rPr>
                <w:iCs/>
                <w:lang w:eastAsia="bg-BG"/>
              </w:rPr>
              <w:t xml:space="preserve"> Zheleznitsa tunnel; </w:t>
            </w:r>
          </w:p>
          <w:p w14:paraId="20374E74" w14:textId="452B746E" w:rsidR="00F57DD1" w:rsidRPr="00150E6E" w:rsidRDefault="00F57DD1" w:rsidP="00F57DD1">
            <w:pPr>
              <w:pStyle w:val="ListParagraph"/>
              <w:numPr>
                <w:ilvl w:val="0"/>
                <w:numId w:val="109"/>
              </w:numPr>
              <w:autoSpaceDE w:val="0"/>
              <w:autoSpaceDN w:val="0"/>
              <w:adjustRightInd w:val="0"/>
              <w:rPr>
                <w:iCs/>
                <w:lang w:eastAsia="bg-BG"/>
              </w:rPr>
            </w:pPr>
            <w:r w:rsidRPr="00582AF2">
              <w:rPr>
                <w:iCs/>
                <w:lang w:eastAsia="bg-BG"/>
              </w:rPr>
              <w:t xml:space="preserve">for Lot 3.2 from Krupnic to Kresna (21 km).  </w:t>
            </w:r>
          </w:p>
          <w:p w14:paraId="4D90D050" w14:textId="392FD7C4" w:rsidR="00F57DD1" w:rsidRPr="00377B53" w:rsidRDefault="00F57DD1" w:rsidP="000817EA">
            <w:pPr>
              <w:autoSpaceDE w:val="0"/>
              <w:autoSpaceDN w:val="0"/>
              <w:adjustRightInd w:val="0"/>
              <w:rPr>
                <w:iCs/>
                <w:lang w:eastAsia="bg-BG"/>
              </w:rPr>
            </w:pPr>
            <w:r>
              <w:rPr>
                <w:iCs/>
                <w:lang w:eastAsia="bg-BG"/>
              </w:rPr>
              <w:t>The project for construction of Lot 3.1, Lot 3.3 and</w:t>
            </w:r>
            <w:r w:rsidRPr="00F57DD1">
              <w:rPr>
                <w:iCs/>
                <w:lang w:eastAsia="bg-BG"/>
              </w:rPr>
              <w:t xml:space="preserve"> Zheleznitsa tunnel</w:t>
            </w:r>
            <w:r w:rsidR="00A02035">
              <w:rPr>
                <w:iCs/>
                <w:lang w:eastAsia="bg-BG"/>
              </w:rPr>
              <w:t xml:space="preserve"> is fully prepared and under construction. </w:t>
            </w:r>
            <w:r w:rsidR="00725F97" w:rsidRPr="00725F97">
              <w:rPr>
                <w:iCs/>
                <w:lang w:val="en-US" w:eastAsia="bg-BG"/>
              </w:rPr>
              <w:t>The overall lot 3</w:t>
            </w:r>
            <w:r w:rsidR="00E13725" w:rsidRPr="00E13725">
              <w:rPr>
                <w:iCs/>
                <w:lang w:eastAsia="bg-BG"/>
              </w:rPr>
              <w:t xml:space="preserve"> will be completed in</w:t>
            </w:r>
            <w:r w:rsidR="006A49A2">
              <w:rPr>
                <w:iCs/>
                <w:lang w:eastAsia="bg-BG"/>
              </w:rPr>
              <w:t xml:space="preserve"> programming period 2021-2027. </w:t>
            </w:r>
            <w:r w:rsidR="000125E8">
              <w:rPr>
                <w:iCs/>
                <w:lang w:eastAsia="bg-BG"/>
              </w:rPr>
              <w:t xml:space="preserve">Preparatory activities and environmental mitigation measures are envisaged for Lot 3.2. </w:t>
            </w:r>
          </w:p>
          <w:p w14:paraId="05FFB393" w14:textId="2BA423FC" w:rsidR="00E647E6" w:rsidRDefault="00E647E6" w:rsidP="00F269B6">
            <w:pPr>
              <w:autoSpaceDE w:val="0"/>
              <w:autoSpaceDN w:val="0"/>
              <w:adjustRightInd w:val="0"/>
              <w:rPr>
                <w:lang w:val="en"/>
              </w:rPr>
            </w:pPr>
            <w:r w:rsidRPr="00E647E6">
              <w:rPr>
                <w:lang w:val="en"/>
              </w:rPr>
              <w:t>Project "Construction of the Motorway of Europe from km 15 + 500 to km 48 + 903"</w:t>
            </w:r>
          </w:p>
          <w:p w14:paraId="760FA3DE" w14:textId="23896D34" w:rsidR="007339FD" w:rsidRDefault="00E647E6" w:rsidP="00324A17">
            <w:r>
              <w:rPr>
                <w:lang w:val="en"/>
              </w:rPr>
              <w:t>Another "major</w:t>
            </w:r>
            <w:r w:rsidRPr="00E647E6">
              <w:rPr>
                <w:lang w:val="en"/>
              </w:rPr>
              <w:t xml:space="preserve">" project, envisaged for financing under the priority axis, is the project for construction of the </w:t>
            </w:r>
            <w:r>
              <w:rPr>
                <w:lang w:val="en"/>
              </w:rPr>
              <w:t>“</w:t>
            </w:r>
            <w:r w:rsidRPr="00E647E6">
              <w:rPr>
                <w:lang w:val="en"/>
              </w:rPr>
              <w:t>E</w:t>
            </w:r>
            <w:r>
              <w:rPr>
                <w:lang w:val="en"/>
              </w:rPr>
              <w:t xml:space="preserve">uropa” </w:t>
            </w:r>
            <w:r w:rsidRPr="00E647E6">
              <w:rPr>
                <w:lang w:val="en"/>
              </w:rPr>
              <w:t>Motorway from km 15 + 500 to km 4</w:t>
            </w:r>
            <w:r>
              <w:rPr>
                <w:lang w:val="en"/>
              </w:rPr>
              <w:t>8 + 903. The project is in implementation</w:t>
            </w:r>
            <w:r w:rsidRPr="00E647E6">
              <w:rPr>
                <w:lang w:val="en"/>
              </w:rPr>
              <w:t xml:space="preserve">. The section from km 15 + 500 to km 32 + 447.20 is </w:t>
            </w:r>
            <w:r w:rsidR="00851E33">
              <w:rPr>
                <w:lang w:val="en"/>
              </w:rPr>
              <w:t>operational</w:t>
            </w:r>
            <w:r w:rsidR="00942180">
              <w:rPr>
                <w:lang w:val="en"/>
              </w:rPr>
              <w:t xml:space="preserve">. </w:t>
            </w:r>
          </w:p>
        </w:tc>
      </w:tr>
    </w:tbl>
    <w:p w14:paraId="30AA0EDC" w14:textId="77777777" w:rsidR="00F1341F" w:rsidRPr="00DC0475" w:rsidRDefault="00F1341F" w:rsidP="008B4180"/>
    <w:p w14:paraId="0708EE6F" w14:textId="77777777" w:rsidR="00F1341F" w:rsidRPr="00A828C5" w:rsidRDefault="00F1341F" w:rsidP="008B4180">
      <w:pPr>
        <w:rPr>
          <w:b/>
          <w:i/>
        </w:rPr>
      </w:pPr>
      <w:r w:rsidRPr="00B5130A">
        <w:rPr>
          <w:b/>
          <w:i/>
        </w:rPr>
        <w:t>2.A.2.5.5</w:t>
      </w:r>
      <w:r w:rsidRPr="00B5130A">
        <w:rPr>
          <w:b/>
          <w:i/>
        </w:rPr>
        <w:tab/>
        <w:t xml:space="preserve">  Output indi</w:t>
      </w:r>
      <w:r w:rsidRPr="00A828C5">
        <w:rPr>
          <w:b/>
          <w:i/>
        </w:rPr>
        <w:t>cators by investment priority and, where appropriate by category of region</w:t>
      </w:r>
    </w:p>
    <w:p w14:paraId="7CAFCA00" w14:textId="77777777" w:rsidR="00F1341F" w:rsidRPr="008340BB" w:rsidRDefault="00F1341F" w:rsidP="008B4180">
      <w:r w:rsidRPr="008340BB">
        <w:t>(Reference: point (b)(iv) of the first subparagraph of</w:t>
      </w:r>
      <w:r w:rsidRPr="008340BB">
        <w:rPr>
          <w:i/>
        </w:rPr>
        <w:t xml:space="preserve"> </w:t>
      </w:r>
      <w:r w:rsidRPr="008340BB">
        <w:t>Article 96(2) of Regulation (EU) No 1303/2013)</w:t>
      </w:r>
    </w:p>
    <w:p w14:paraId="7EE54C3F" w14:textId="77777777" w:rsidR="00F1341F" w:rsidRPr="008340BB" w:rsidRDefault="00F1341F" w:rsidP="008B4180">
      <w:pPr>
        <w:rPr>
          <w:i/>
        </w:rPr>
      </w:pPr>
    </w:p>
    <w:p w14:paraId="3DAAFC9B" w14:textId="77777777" w:rsidR="00F1341F" w:rsidRPr="008340BB" w:rsidRDefault="00F1341F" w:rsidP="008B4180">
      <w:pPr>
        <w:rPr>
          <w:b/>
        </w:rPr>
      </w:pPr>
      <w:r w:rsidRPr="008340BB">
        <w:rPr>
          <w:b/>
        </w:rPr>
        <w:t xml:space="preserve">Table 5: </w:t>
      </w:r>
      <w:r w:rsidRPr="008340BB">
        <w:rPr>
          <w:b/>
        </w:rPr>
        <w:tab/>
        <w:t xml:space="preserve">Common and programme-specific output indicators </w:t>
      </w:r>
    </w:p>
    <w:p w14:paraId="63A9998D" w14:textId="77777777" w:rsidR="00F1341F" w:rsidRPr="008340BB" w:rsidRDefault="00F1341F" w:rsidP="008B4180">
      <w:r w:rsidRPr="008340BB">
        <w:t>(by investment priority, broken down by category of region for the ESF, and where relevant, for the ERDF)</w:t>
      </w:r>
    </w:p>
    <w:tbl>
      <w:tblPr>
        <w:tblW w:w="536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3"/>
        <w:gridCol w:w="1301"/>
        <w:gridCol w:w="1161"/>
        <w:gridCol w:w="1236"/>
        <w:gridCol w:w="1046"/>
        <w:gridCol w:w="1273"/>
        <w:gridCol w:w="1382"/>
        <w:gridCol w:w="1538"/>
      </w:tblGrid>
      <w:tr w:rsidR="002E458D" w:rsidRPr="008340BB" w14:paraId="72B17A92" w14:textId="77777777" w:rsidTr="00EA561C">
        <w:trPr>
          <w:trHeight w:val="954"/>
          <w:jc w:val="center"/>
        </w:trPr>
        <w:tc>
          <w:tcPr>
            <w:tcW w:w="1072" w:type="pct"/>
            <w:gridSpan w:val="2"/>
          </w:tcPr>
          <w:p w14:paraId="7C74AEDB" w14:textId="77777777" w:rsidR="002E458D" w:rsidRPr="00435AC3" w:rsidRDefault="002E458D" w:rsidP="00067686">
            <w:pPr>
              <w:pStyle w:val="ListDash"/>
              <w:numPr>
                <w:ilvl w:val="0"/>
                <w:numId w:val="0"/>
              </w:numPr>
              <w:ind w:left="283" w:hanging="283"/>
              <w:rPr>
                <w:b/>
                <w:i/>
                <w:sz w:val="16"/>
                <w:szCs w:val="16"/>
                <w:lang w:val="en-US"/>
              </w:rPr>
            </w:pPr>
            <w:r>
              <w:rPr>
                <w:b/>
                <w:i/>
                <w:sz w:val="16"/>
                <w:szCs w:val="16"/>
                <w:lang w:val="en-US"/>
              </w:rPr>
              <w:t>Investment priority</w:t>
            </w:r>
          </w:p>
        </w:tc>
        <w:tc>
          <w:tcPr>
            <w:tcW w:w="3928" w:type="pct"/>
            <w:gridSpan w:val="6"/>
          </w:tcPr>
          <w:p w14:paraId="2364F255" w14:textId="77777777" w:rsidR="002E458D" w:rsidRPr="008340BB" w:rsidRDefault="002E458D" w:rsidP="00067686">
            <w:pPr>
              <w:pStyle w:val="ListDash"/>
              <w:numPr>
                <w:ilvl w:val="0"/>
                <w:numId w:val="0"/>
              </w:numPr>
              <w:rPr>
                <w:b/>
                <w:i/>
                <w:sz w:val="16"/>
                <w:szCs w:val="16"/>
              </w:rPr>
            </w:pPr>
            <w:r w:rsidRPr="007C747B">
              <w:rPr>
                <w:i/>
                <w:szCs w:val="24"/>
                <w:lang w:eastAsia="bg-BG"/>
              </w:rPr>
              <w:t>7i</w:t>
            </w:r>
            <w:r>
              <w:rPr>
                <w:i/>
                <w:szCs w:val="24"/>
                <w:lang w:val="bg-BG" w:eastAsia="bg-BG"/>
              </w:rPr>
              <w:t xml:space="preserve"> -</w:t>
            </w:r>
            <w:r>
              <w:t xml:space="preserve"> </w:t>
            </w:r>
            <w:r w:rsidRPr="007C747B">
              <w:rPr>
                <w:i/>
                <w:szCs w:val="24"/>
                <w:lang w:val="bg-BG" w:eastAsia="bg-BG"/>
              </w:rPr>
              <w:t>Supporting a multi-modal Single European Transport Area by investing in the TEN-T</w:t>
            </w:r>
          </w:p>
        </w:tc>
      </w:tr>
      <w:tr w:rsidR="00F1341F" w:rsidRPr="008340BB" w14:paraId="20B7EF8A" w14:textId="77777777" w:rsidTr="00EA561C">
        <w:trPr>
          <w:trHeight w:val="954"/>
          <w:jc w:val="center"/>
        </w:trPr>
        <w:tc>
          <w:tcPr>
            <w:tcW w:w="403" w:type="pct"/>
          </w:tcPr>
          <w:p w14:paraId="1DB82F1F" w14:textId="77777777" w:rsidR="00F1341F" w:rsidRPr="008340BB" w:rsidRDefault="00F1341F" w:rsidP="00067686">
            <w:pPr>
              <w:pStyle w:val="ListDash"/>
              <w:numPr>
                <w:ilvl w:val="0"/>
                <w:numId w:val="0"/>
              </w:numPr>
              <w:ind w:left="283" w:hanging="283"/>
              <w:rPr>
                <w:b/>
                <w:i/>
                <w:sz w:val="16"/>
                <w:szCs w:val="16"/>
              </w:rPr>
            </w:pPr>
            <w:r w:rsidRPr="008340BB">
              <w:rPr>
                <w:b/>
                <w:i/>
                <w:sz w:val="16"/>
                <w:szCs w:val="16"/>
              </w:rPr>
              <w:t>ID</w:t>
            </w:r>
          </w:p>
        </w:tc>
        <w:tc>
          <w:tcPr>
            <w:tcW w:w="669" w:type="pct"/>
          </w:tcPr>
          <w:p w14:paraId="3DF48A4F" w14:textId="77777777" w:rsidR="00F1341F" w:rsidRPr="008340BB" w:rsidRDefault="00F1341F" w:rsidP="00067686">
            <w:pPr>
              <w:pStyle w:val="ListDash"/>
              <w:numPr>
                <w:ilvl w:val="0"/>
                <w:numId w:val="0"/>
              </w:numPr>
              <w:ind w:left="283" w:hanging="283"/>
              <w:rPr>
                <w:b/>
                <w:i/>
                <w:sz w:val="16"/>
                <w:szCs w:val="16"/>
              </w:rPr>
            </w:pPr>
            <w:r w:rsidRPr="008340BB">
              <w:rPr>
                <w:b/>
                <w:i/>
                <w:sz w:val="16"/>
                <w:szCs w:val="16"/>
              </w:rPr>
              <w:t xml:space="preserve">Indicator </w:t>
            </w:r>
          </w:p>
        </w:tc>
        <w:tc>
          <w:tcPr>
            <w:tcW w:w="597" w:type="pct"/>
          </w:tcPr>
          <w:p w14:paraId="696ACE91" w14:textId="77777777" w:rsidR="00F1341F" w:rsidRPr="008340BB" w:rsidRDefault="00F1341F" w:rsidP="00067686">
            <w:pPr>
              <w:pStyle w:val="ListDash"/>
              <w:numPr>
                <w:ilvl w:val="0"/>
                <w:numId w:val="0"/>
              </w:numPr>
              <w:rPr>
                <w:b/>
                <w:i/>
                <w:sz w:val="16"/>
                <w:szCs w:val="16"/>
              </w:rPr>
            </w:pPr>
            <w:r w:rsidRPr="008340BB">
              <w:rPr>
                <w:b/>
                <w:i/>
                <w:sz w:val="16"/>
                <w:szCs w:val="16"/>
              </w:rPr>
              <w:t>Measurement unit</w:t>
            </w:r>
          </w:p>
        </w:tc>
        <w:tc>
          <w:tcPr>
            <w:tcW w:w="636" w:type="pct"/>
          </w:tcPr>
          <w:p w14:paraId="418370A9" w14:textId="77777777" w:rsidR="00F1341F" w:rsidRPr="008340BB" w:rsidRDefault="00F1341F" w:rsidP="00067686">
            <w:pPr>
              <w:pStyle w:val="ListDash"/>
              <w:numPr>
                <w:ilvl w:val="0"/>
                <w:numId w:val="0"/>
              </w:numPr>
              <w:rPr>
                <w:b/>
                <w:i/>
                <w:sz w:val="16"/>
                <w:szCs w:val="16"/>
              </w:rPr>
            </w:pPr>
            <w:r w:rsidRPr="008340BB">
              <w:rPr>
                <w:b/>
                <w:i/>
                <w:sz w:val="16"/>
                <w:szCs w:val="16"/>
              </w:rPr>
              <w:t xml:space="preserve">Fund </w:t>
            </w:r>
          </w:p>
        </w:tc>
        <w:tc>
          <w:tcPr>
            <w:tcW w:w="538" w:type="pct"/>
          </w:tcPr>
          <w:p w14:paraId="6A85D105" w14:textId="77777777" w:rsidR="00F1341F" w:rsidRPr="008340BB" w:rsidRDefault="00F1341F" w:rsidP="00067686">
            <w:pPr>
              <w:pStyle w:val="ListDash"/>
              <w:numPr>
                <w:ilvl w:val="0"/>
                <w:numId w:val="0"/>
              </w:numPr>
              <w:rPr>
                <w:b/>
                <w:i/>
                <w:sz w:val="16"/>
                <w:szCs w:val="16"/>
              </w:rPr>
            </w:pPr>
            <w:r w:rsidRPr="008340BB">
              <w:rPr>
                <w:b/>
                <w:i/>
                <w:sz w:val="16"/>
                <w:szCs w:val="16"/>
              </w:rPr>
              <w:t xml:space="preserve">Category of region (where relevant ) </w:t>
            </w:r>
          </w:p>
        </w:tc>
        <w:tc>
          <w:tcPr>
            <w:tcW w:w="655" w:type="pct"/>
          </w:tcPr>
          <w:p w14:paraId="2AB08D8D" w14:textId="77777777" w:rsidR="00F1341F" w:rsidRPr="008340BB" w:rsidRDefault="00F1341F" w:rsidP="00067686">
            <w:pPr>
              <w:pStyle w:val="ListDash"/>
              <w:numPr>
                <w:ilvl w:val="0"/>
                <w:numId w:val="0"/>
              </w:numPr>
              <w:rPr>
                <w:b/>
                <w:i/>
                <w:sz w:val="16"/>
                <w:szCs w:val="16"/>
              </w:rPr>
            </w:pPr>
            <w:r w:rsidRPr="008340BB">
              <w:rPr>
                <w:b/>
                <w:i/>
                <w:sz w:val="16"/>
                <w:szCs w:val="16"/>
              </w:rPr>
              <w:t>Target value (2023)</w:t>
            </w:r>
            <w:r w:rsidRPr="008340BB">
              <w:rPr>
                <w:rStyle w:val="FootnoteReference"/>
                <w:b/>
                <w:i/>
                <w:sz w:val="16"/>
                <w:szCs w:val="16"/>
              </w:rPr>
              <w:footnoteReference w:id="32"/>
            </w:r>
          </w:p>
        </w:tc>
        <w:tc>
          <w:tcPr>
            <w:tcW w:w="711" w:type="pct"/>
          </w:tcPr>
          <w:p w14:paraId="523320CE" w14:textId="77777777" w:rsidR="00F1341F" w:rsidRPr="008340BB" w:rsidRDefault="00F1341F" w:rsidP="00067686">
            <w:pPr>
              <w:pStyle w:val="ListDash"/>
              <w:numPr>
                <w:ilvl w:val="0"/>
                <w:numId w:val="0"/>
              </w:numPr>
              <w:rPr>
                <w:b/>
                <w:i/>
                <w:sz w:val="16"/>
                <w:szCs w:val="16"/>
              </w:rPr>
            </w:pPr>
            <w:r w:rsidRPr="008340BB">
              <w:rPr>
                <w:b/>
                <w:i/>
                <w:sz w:val="16"/>
                <w:szCs w:val="16"/>
              </w:rPr>
              <w:t>Source of data</w:t>
            </w:r>
          </w:p>
        </w:tc>
        <w:tc>
          <w:tcPr>
            <w:tcW w:w="791" w:type="pct"/>
          </w:tcPr>
          <w:p w14:paraId="0E7E5CB9" w14:textId="77777777" w:rsidR="00F1341F" w:rsidRPr="008340BB" w:rsidRDefault="00F1341F" w:rsidP="00067686">
            <w:pPr>
              <w:pStyle w:val="ListDash"/>
              <w:numPr>
                <w:ilvl w:val="0"/>
                <w:numId w:val="0"/>
              </w:numPr>
              <w:rPr>
                <w:b/>
                <w:i/>
                <w:sz w:val="16"/>
                <w:szCs w:val="16"/>
              </w:rPr>
            </w:pPr>
            <w:r w:rsidRPr="008340BB">
              <w:rPr>
                <w:b/>
                <w:i/>
                <w:sz w:val="16"/>
                <w:szCs w:val="16"/>
              </w:rPr>
              <w:t>Frequency of reporting</w:t>
            </w:r>
          </w:p>
        </w:tc>
      </w:tr>
      <w:tr w:rsidR="00F1341F" w:rsidRPr="008340BB" w14:paraId="693F5369" w14:textId="77777777" w:rsidTr="00EA561C">
        <w:trPr>
          <w:trHeight w:val="79"/>
          <w:jc w:val="center"/>
        </w:trPr>
        <w:tc>
          <w:tcPr>
            <w:tcW w:w="403" w:type="pct"/>
          </w:tcPr>
          <w:p w14:paraId="4B6D3BCD" w14:textId="77777777" w:rsidR="00F1341F" w:rsidRPr="008340BB" w:rsidRDefault="00F1341F" w:rsidP="001B3341">
            <w:pPr>
              <w:pStyle w:val="ListDash"/>
              <w:numPr>
                <w:ilvl w:val="0"/>
                <w:numId w:val="0"/>
              </w:numPr>
              <w:rPr>
                <w:sz w:val="20"/>
              </w:rPr>
            </w:pPr>
            <w:r w:rsidRPr="008340BB">
              <w:rPr>
                <w:sz w:val="20"/>
              </w:rPr>
              <w:t>CO13a</w:t>
            </w:r>
          </w:p>
        </w:tc>
        <w:tc>
          <w:tcPr>
            <w:tcW w:w="669" w:type="pct"/>
          </w:tcPr>
          <w:p w14:paraId="389C09EE" w14:textId="77777777" w:rsidR="00F1341F" w:rsidRPr="004D025D" w:rsidRDefault="00F1341F" w:rsidP="00616980">
            <w:pPr>
              <w:pStyle w:val="ListDash"/>
              <w:numPr>
                <w:ilvl w:val="0"/>
                <w:numId w:val="0"/>
              </w:numPr>
              <w:jc w:val="left"/>
              <w:rPr>
                <w:sz w:val="20"/>
              </w:rPr>
            </w:pPr>
            <w:r w:rsidRPr="008340BB">
              <w:rPr>
                <w:sz w:val="20"/>
              </w:rPr>
              <w:t>Total length of new</w:t>
            </w:r>
            <w:r w:rsidR="0047570E" w:rsidRPr="0047570E">
              <w:rPr>
                <w:sz w:val="20"/>
              </w:rPr>
              <w:t>ly built roads</w:t>
            </w:r>
            <w:r w:rsidR="00664211">
              <w:rPr>
                <w:sz w:val="20"/>
              </w:rPr>
              <w:t xml:space="preserve">, </w:t>
            </w:r>
            <w:r w:rsidR="00664211" w:rsidRPr="001F15D3">
              <w:rPr>
                <w:sz w:val="20"/>
              </w:rPr>
              <w:t>of which</w:t>
            </w:r>
            <w:r w:rsidR="00664211">
              <w:rPr>
                <w:sz w:val="20"/>
              </w:rPr>
              <w:t>:</w:t>
            </w:r>
            <w:r w:rsidR="00664211" w:rsidRPr="001F15D3">
              <w:rPr>
                <w:sz w:val="20"/>
              </w:rPr>
              <w:t xml:space="preserve"> TEN-T</w:t>
            </w:r>
          </w:p>
        </w:tc>
        <w:tc>
          <w:tcPr>
            <w:tcW w:w="597" w:type="pct"/>
          </w:tcPr>
          <w:p w14:paraId="5535BCDC" w14:textId="77777777" w:rsidR="00F1341F" w:rsidRPr="008340BB" w:rsidRDefault="00F1341F" w:rsidP="00067686">
            <w:pPr>
              <w:pStyle w:val="ListDash"/>
              <w:numPr>
                <w:ilvl w:val="0"/>
                <w:numId w:val="0"/>
              </w:numPr>
              <w:rPr>
                <w:sz w:val="20"/>
              </w:rPr>
            </w:pPr>
            <w:r w:rsidRPr="008340BB">
              <w:rPr>
                <w:sz w:val="20"/>
              </w:rPr>
              <w:t>km</w:t>
            </w:r>
          </w:p>
        </w:tc>
        <w:tc>
          <w:tcPr>
            <w:tcW w:w="636" w:type="pct"/>
          </w:tcPr>
          <w:p w14:paraId="099B361E" w14:textId="77777777" w:rsidR="00F1341F" w:rsidRPr="008340BB" w:rsidRDefault="00F1341F" w:rsidP="00067686">
            <w:pPr>
              <w:pStyle w:val="ListDash"/>
              <w:numPr>
                <w:ilvl w:val="0"/>
                <w:numId w:val="0"/>
              </w:numPr>
              <w:rPr>
                <w:i/>
                <w:sz w:val="20"/>
              </w:rPr>
            </w:pPr>
            <w:r w:rsidRPr="008340BB">
              <w:rPr>
                <w:sz w:val="20"/>
              </w:rPr>
              <w:t>CF</w:t>
            </w:r>
          </w:p>
        </w:tc>
        <w:tc>
          <w:tcPr>
            <w:tcW w:w="538" w:type="pct"/>
          </w:tcPr>
          <w:p w14:paraId="2277C97C" w14:textId="77777777" w:rsidR="00F1341F" w:rsidRPr="008340BB" w:rsidRDefault="00F1341F" w:rsidP="00067686">
            <w:pPr>
              <w:pStyle w:val="ListDash"/>
              <w:numPr>
                <w:ilvl w:val="0"/>
                <w:numId w:val="0"/>
              </w:numPr>
              <w:rPr>
                <w:i/>
                <w:sz w:val="20"/>
              </w:rPr>
            </w:pPr>
            <w:r w:rsidRPr="008340BB">
              <w:rPr>
                <w:sz w:val="20"/>
              </w:rPr>
              <w:t>N/A</w:t>
            </w:r>
          </w:p>
        </w:tc>
        <w:tc>
          <w:tcPr>
            <w:tcW w:w="655" w:type="pct"/>
          </w:tcPr>
          <w:p w14:paraId="61AA1065" w14:textId="77777777" w:rsidR="00EA561C" w:rsidRPr="00EA561C" w:rsidRDefault="00EA561C" w:rsidP="00EA561C">
            <w:pPr>
              <w:pStyle w:val="ListDash"/>
              <w:numPr>
                <w:ilvl w:val="0"/>
                <w:numId w:val="0"/>
              </w:numPr>
              <w:ind w:left="31"/>
              <w:jc w:val="left"/>
              <w:rPr>
                <w:sz w:val="20"/>
                <w:lang w:val="bg-BG"/>
              </w:rPr>
            </w:pPr>
            <w:r w:rsidRPr="00DD7B5D">
              <w:rPr>
                <w:sz w:val="20"/>
                <w:lang w:val="bg-BG"/>
              </w:rPr>
              <w:t>65,90</w:t>
            </w:r>
            <w:r w:rsidRPr="00EA561C">
              <w:rPr>
                <w:sz w:val="20"/>
                <w:lang w:val="bg-BG"/>
              </w:rPr>
              <w:t xml:space="preserve"> </w:t>
            </w:r>
          </w:p>
          <w:p w14:paraId="5A000FA0" w14:textId="6A2F1FAE" w:rsidR="00060E6C" w:rsidRPr="00060E6C" w:rsidRDefault="00060E6C" w:rsidP="00060E6C">
            <w:pPr>
              <w:pStyle w:val="ListDash"/>
              <w:numPr>
                <w:ilvl w:val="0"/>
                <w:numId w:val="0"/>
              </w:numPr>
              <w:ind w:left="283" w:hanging="283"/>
              <w:jc w:val="left"/>
              <w:rPr>
                <w:sz w:val="20"/>
                <w:lang w:val="bg-BG"/>
              </w:rPr>
            </w:pPr>
          </w:p>
          <w:p w14:paraId="68795071" w14:textId="0DAA9667" w:rsidR="00F1341F" w:rsidRPr="008340BB" w:rsidRDefault="00770CD7" w:rsidP="00770CD7">
            <w:pPr>
              <w:pStyle w:val="ListDash"/>
              <w:numPr>
                <w:ilvl w:val="0"/>
                <w:numId w:val="0"/>
              </w:numPr>
              <w:jc w:val="left"/>
              <w:rPr>
                <w:i/>
                <w:sz w:val="20"/>
              </w:rPr>
            </w:pPr>
            <w:r w:rsidRPr="00770CD7">
              <w:rPr>
                <w:b/>
                <w:sz w:val="20"/>
                <w:lang w:val="bg-BG"/>
              </w:rPr>
              <w:t xml:space="preserve"> </w:t>
            </w:r>
          </w:p>
        </w:tc>
        <w:tc>
          <w:tcPr>
            <w:tcW w:w="711" w:type="pct"/>
          </w:tcPr>
          <w:p w14:paraId="2D027AD2" w14:textId="77777777" w:rsidR="002A61BE" w:rsidRDefault="002A61BE" w:rsidP="008932F3">
            <w:pPr>
              <w:pStyle w:val="ListDash"/>
              <w:numPr>
                <w:ilvl w:val="0"/>
                <w:numId w:val="0"/>
              </w:numPr>
              <w:jc w:val="left"/>
              <w:rPr>
                <w:iCs/>
                <w:sz w:val="20"/>
                <w:lang w:eastAsia="bg-BG"/>
              </w:rPr>
            </w:pPr>
            <w:r w:rsidRPr="002A61BE">
              <w:rPr>
                <w:iCs/>
                <w:sz w:val="20"/>
                <w:lang w:eastAsia="bg-BG"/>
              </w:rPr>
              <w:t>R</w:t>
            </w:r>
            <w:r>
              <w:rPr>
                <w:iCs/>
                <w:sz w:val="20"/>
                <w:lang w:eastAsia="bg-BG"/>
              </w:rPr>
              <w:t>I</w:t>
            </w:r>
            <w:r w:rsidRPr="002A61BE">
              <w:rPr>
                <w:iCs/>
                <w:sz w:val="20"/>
                <w:lang w:eastAsia="bg-BG"/>
              </w:rPr>
              <w:t>A</w:t>
            </w:r>
          </w:p>
          <w:p w14:paraId="532EA720" w14:textId="77777777" w:rsidR="002A61BE" w:rsidRPr="008340BB" w:rsidRDefault="002A61BE" w:rsidP="008932F3">
            <w:pPr>
              <w:pStyle w:val="ListDash"/>
              <w:numPr>
                <w:ilvl w:val="0"/>
                <w:numId w:val="0"/>
              </w:numPr>
              <w:jc w:val="left"/>
              <w:rPr>
                <w:sz w:val="20"/>
              </w:rPr>
            </w:pPr>
          </w:p>
        </w:tc>
        <w:tc>
          <w:tcPr>
            <w:tcW w:w="791" w:type="pct"/>
          </w:tcPr>
          <w:p w14:paraId="3FCE527D" w14:textId="77777777" w:rsidR="00F1341F" w:rsidRPr="008340BB" w:rsidRDefault="004F2F5A" w:rsidP="008932F3">
            <w:pPr>
              <w:pStyle w:val="ListDash"/>
              <w:numPr>
                <w:ilvl w:val="0"/>
                <w:numId w:val="0"/>
              </w:numPr>
              <w:jc w:val="left"/>
              <w:rPr>
                <w:sz w:val="20"/>
              </w:rPr>
            </w:pPr>
            <w:r w:rsidRPr="004F2F5A">
              <w:rPr>
                <w:sz w:val="20"/>
              </w:rPr>
              <w:t>annually</w:t>
            </w:r>
          </w:p>
        </w:tc>
      </w:tr>
      <w:tr w:rsidR="008064B8" w:rsidRPr="008340BB" w14:paraId="36007654" w14:textId="77777777" w:rsidTr="00EA561C">
        <w:trPr>
          <w:trHeight w:val="79"/>
          <w:jc w:val="center"/>
        </w:trPr>
        <w:tc>
          <w:tcPr>
            <w:tcW w:w="403" w:type="pct"/>
          </w:tcPr>
          <w:p w14:paraId="1990A9F9" w14:textId="77777777" w:rsidR="008064B8" w:rsidRPr="008340BB" w:rsidRDefault="008064B8" w:rsidP="008064B8">
            <w:pPr>
              <w:pStyle w:val="ListDash"/>
              <w:numPr>
                <w:ilvl w:val="0"/>
                <w:numId w:val="0"/>
              </w:numPr>
              <w:rPr>
                <w:sz w:val="20"/>
              </w:rPr>
            </w:pPr>
          </w:p>
        </w:tc>
        <w:tc>
          <w:tcPr>
            <w:tcW w:w="669" w:type="pct"/>
          </w:tcPr>
          <w:p w14:paraId="5DD57C1D" w14:textId="700B37EC" w:rsidR="008064B8" w:rsidRPr="008340BB" w:rsidRDefault="008064B8" w:rsidP="008064B8">
            <w:pPr>
              <w:pStyle w:val="ListDash"/>
              <w:numPr>
                <w:ilvl w:val="0"/>
                <w:numId w:val="0"/>
              </w:numPr>
              <w:jc w:val="left"/>
              <w:rPr>
                <w:sz w:val="20"/>
              </w:rPr>
            </w:pPr>
            <w:r w:rsidRPr="008064B8">
              <w:rPr>
                <w:sz w:val="20"/>
              </w:rPr>
              <w:t xml:space="preserve">Length of </w:t>
            </w:r>
            <w:r>
              <w:rPr>
                <w:sz w:val="20"/>
              </w:rPr>
              <w:t xml:space="preserve">newly </w:t>
            </w:r>
            <w:r w:rsidRPr="008064B8">
              <w:rPr>
                <w:sz w:val="20"/>
              </w:rPr>
              <w:t xml:space="preserve">built </w:t>
            </w:r>
            <w:r w:rsidRPr="008064B8">
              <w:rPr>
                <w:sz w:val="20"/>
              </w:rPr>
              <w:lastRenderedPageBreak/>
              <w:t>road links to TEN-T</w:t>
            </w:r>
          </w:p>
        </w:tc>
        <w:tc>
          <w:tcPr>
            <w:tcW w:w="597" w:type="pct"/>
          </w:tcPr>
          <w:p w14:paraId="62074963" w14:textId="78410D91" w:rsidR="008064B8" w:rsidRPr="008340BB" w:rsidRDefault="008064B8" w:rsidP="008064B8">
            <w:pPr>
              <w:pStyle w:val="ListDash"/>
              <w:numPr>
                <w:ilvl w:val="0"/>
                <w:numId w:val="0"/>
              </w:numPr>
              <w:rPr>
                <w:sz w:val="20"/>
              </w:rPr>
            </w:pPr>
            <w:r w:rsidRPr="008340BB">
              <w:rPr>
                <w:sz w:val="20"/>
              </w:rPr>
              <w:lastRenderedPageBreak/>
              <w:t>km</w:t>
            </w:r>
          </w:p>
        </w:tc>
        <w:tc>
          <w:tcPr>
            <w:tcW w:w="636" w:type="pct"/>
          </w:tcPr>
          <w:p w14:paraId="4C974789" w14:textId="72B2785F" w:rsidR="008064B8" w:rsidRPr="008340BB" w:rsidRDefault="008064B8" w:rsidP="008064B8">
            <w:pPr>
              <w:pStyle w:val="ListDash"/>
              <w:numPr>
                <w:ilvl w:val="0"/>
                <w:numId w:val="0"/>
              </w:numPr>
              <w:rPr>
                <w:sz w:val="20"/>
              </w:rPr>
            </w:pPr>
            <w:r w:rsidRPr="008340BB">
              <w:rPr>
                <w:sz w:val="20"/>
              </w:rPr>
              <w:t>CF</w:t>
            </w:r>
          </w:p>
        </w:tc>
        <w:tc>
          <w:tcPr>
            <w:tcW w:w="538" w:type="pct"/>
          </w:tcPr>
          <w:p w14:paraId="62A0342D" w14:textId="43C0C8BA" w:rsidR="008064B8" w:rsidRPr="008340BB" w:rsidRDefault="008064B8" w:rsidP="008064B8">
            <w:pPr>
              <w:pStyle w:val="ListDash"/>
              <w:numPr>
                <w:ilvl w:val="0"/>
                <w:numId w:val="0"/>
              </w:numPr>
              <w:rPr>
                <w:sz w:val="20"/>
              </w:rPr>
            </w:pPr>
            <w:r w:rsidRPr="008340BB">
              <w:rPr>
                <w:sz w:val="20"/>
              </w:rPr>
              <w:t>N/A</w:t>
            </w:r>
          </w:p>
        </w:tc>
        <w:tc>
          <w:tcPr>
            <w:tcW w:w="655" w:type="pct"/>
          </w:tcPr>
          <w:p w14:paraId="36FE8148" w14:textId="69C1B5D0" w:rsidR="008064B8" w:rsidRPr="00060E6C" w:rsidRDefault="008064B8" w:rsidP="008064B8">
            <w:pPr>
              <w:pStyle w:val="ListDash"/>
              <w:numPr>
                <w:ilvl w:val="0"/>
                <w:numId w:val="0"/>
              </w:numPr>
              <w:ind w:left="283" w:hanging="283"/>
              <w:jc w:val="left"/>
              <w:rPr>
                <w:sz w:val="20"/>
                <w:lang w:val="bg-BG"/>
              </w:rPr>
            </w:pPr>
            <w:r w:rsidRPr="008064B8">
              <w:rPr>
                <w:sz w:val="20"/>
                <w:lang w:val="bg-BG"/>
              </w:rPr>
              <w:t>4,68</w:t>
            </w:r>
          </w:p>
        </w:tc>
        <w:tc>
          <w:tcPr>
            <w:tcW w:w="711" w:type="pct"/>
          </w:tcPr>
          <w:p w14:paraId="575BED28" w14:textId="77777777" w:rsidR="008064B8" w:rsidRDefault="008064B8" w:rsidP="008064B8">
            <w:pPr>
              <w:pStyle w:val="ListDash"/>
              <w:numPr>
                <w:ilvl w:val="0"/>
                <w:numId w:val="0"/>
              </w:numPr>
              <w:jc w:val="left"/>
              <w:rPr>
                <w:iCs/>
                <w:sz w:val="20"/>
                <w:lang w:eastAsia="bg-BG"/>
              </w:rPr>
            </w:pPr>
            <w:r w:rsidRPr="002A61BE">
              <w:rPr>
                <w:iCs/>
                <w:sz w:val="20"/>
                <w:lang w:eastAsia="bg-BG"/>
              </w:rPr>
              <w:t>R</w:t>
            </w:r>
            <w:r>
              <w:rPr>
                <w:iCs/>
                <w:sz w:val="20"/>
                <w:lang w:eastAsia="bg-BG"/>
              </w:rPr>
              <w:t>I</w:t>
            </w:r>
            <w:r w:rsidRPr="002A61BE">
              <w:rPr>
                <w:iCs/>
                <w:sz w:val="20"/>
                <w:lang w:eastAsia="bg-BG"/>
              </w:rPr>
              <w:t>A</w:t>
            </w:r>
          </w:p>
          <w:p w14:paraId="5CB28650" w14:textId="77777777" w:rsidR="008064B8" w:rsidRPr="002A61BE" w:rsidRDefault="008064B8" w:rsidP="008064B8">
            <w:pPr>
              <w:pStyle w:val="ListDash"/>
              <w:numPr>
                <w:ilvl w:val="0"/>
                <w:numId w:val="0"/>
              </w:numPr>
              <w:jc w:val="left"/>
              <w:rPr>
                <w:iCs/>
                <w:sz w:val="20"/>
                <w:lang w:eastAsia="bg-BG"/>
              </w:rPr>
            </w:pPr>
          </w:p>
        </w:tc>
        <w:tc>
          <w:tcPr>
            <w:tcW w:w="791" w:type="pct"/>
          </w:tcPr>
          <w:p w14:paraId="47D79F20" w14:textId="7CA5E993" w:rsidR="008064B8" w:rsidRPr="004F2F5A" w:rsidRDefault="008064B8" w:rsidP="008064B8">
            <w:pPr>
              <w:pStyle w:val="ListDash"/>
              <w:numPr>
                <w:ilvl w:val="0"/>
                <w:numId w:val="0"/>
              </w:numPr>
              <w:jc w:val="left"/>
              <w:rPr>
                <w:sz w:val="20"/>
              </w:rPr>
            </w:pPr>
            <w:r w:rsidRPr="004F2F5A">
              <w:rPr>
                <w:sz w:val="20"/>
              </w:rPr>
              <w:lastRenderedPageBreak/>
              <w:t>annually</w:t>
            </w:r>
          </w:p>
        </w:tc>
      </w:tr>
    </w:tbl>
    <w:p w14:paraId="2D551B4A" w14:textId="77777777" w:rsidR="002E129B" w:rsidRDefault="002E129B" w:rsidP="002E129B">
      <w:r>
        <w:t>For the target value of the indicator, the following projects included in the program are taken into account:</w:t>
      </w:r>
    </w:p>
    <w:p w14:paraId="3504A832" w14:textId="77BEF46B" w:rsidR="002E129B" w:rsidRDefault="002E129B" w:rsidP="002E129B">
      <w:r>
        <w:t xml:space="preserve">Lot 3.1 Blagoevgrad - Krupnik - (9.7 km) on the "Struma" </w:t>
      </w:r>
      <w:r>
        <w:rPr>
          <w:lang w:val="en-US"/>
        </w:rPr>
        <w:t>Motor</w:t>
      </w:r>
      <w:r>
        <w:t>way, which includes the implementation of two sections:</w:t>
      </w:r>
    </w:p>
    <w:p w14:paraId="0EB5567E" w14:textId="77777777" w:rsidR="002E129B" w:rsidRDefault="002E129B" w:rsidP="002E129B">
      <w:r>
        <w:t>- section 1 from km 359+000 to km 366+000 /7 km/</w:t>
      </w:r>
    </w:p>
    <w:p w14:paraId="5DC3C875" w14:textId="77777777" w:rsidR="002E129B" w:rsidRDefault="002E129B" w:rsidP="002E129B">
      <w:r>
        <w:t>- section 2 from km 370+400 to km 373+100 /2.7 km/</w:t>
      </w:r>
    </w:p>
    <w:p w14:paraId="3AEE228C" w14:textId="57ED5F89" w:rsidR="002E129B" w:rsidRDefault="002E129B" w:rsidP="002E129B">
      <w:r>
        <w:t xml:space="preserve">Lot 3.1 - "Zheleznitsa" tunnel on "Struma" </w:t>
      </w:r>
      <w:r w:rsidRPr="002E129B">
        <w:rPr>
          <w:lang w:val="en-US"/>
        </w:rPr>
        <w:t>Motor</w:t>
      </w:r>
      <w:r w:rsidRPr="002E129B">
        <w:t xml:space="preserve">way </w:t>
      </w:r>
      <w:r>
        <w:t>- section from km 366+000 to km 370+400 (4.4 km)</w:t>
      </w:r>
    </w:p>
    <w:p w14:paraId="3D6FC05B" w14:textId="08AFAD00" w:rsidR="00F1341F" w:rsidRDefault="002E129B" w:rsidP="002E129B">
      <w:r>
        <w:t xml:space="preserve">Lot 3.3 Kresna - Sandanski on "Struma" </w:t>
      </w:r>
      <w:r w:rsidRPr="002E129B">
        <w:rPr>
          <w:lang w:val="en-US"/>
        </w:rPr>
        <w:t>Motor</w:t>
      </w:r>
      <w:r w:rsidRPr="002E129B">
        <w:t xml:space="preserve">way </w:t>
      </w:r>
      <w:r>
        <w:t>from km 397+000 to km 420+624 (23.624 km).</w:t>
      </w:r>
    </w:p>
    <w:p w14:paraId="772DE75E" w14:textId="26D4E063" w:rsidR="00642476" w:rsidRDefault="00642476" w:rsidP="00642476">
      <w:r>
        <w:t>"Kalotina - Sofia" Motorway, Lot 1, Western arc of the Sofia ring road, phase 2, section from km 0+780 to km 6+308.17, with a total length of 5.528 km.</w:t>
      </w:r>
    </w:p>
    <w:p w14:paraId="371202C6" w14:textId="7058E2A8" w:rsidR="00642476" w:rsidRDefault="00E02A62" w:rsidP="00642476">
      <w:r>
        <w:t>"Europa</w:t>
      </w:r>
      <w:r w:rsidR="00642476">
        <w:t>" Motorway from km 15+500 to km 48+903:</w:t>
      </w:r>
    </w:p>
    <w:p w14:paraId="4901490F" w14:textId="0BB593A6" w:rsidR="00642476" w:rsidRDefault="00642476" w:rsidP="00642476">
      <w:r>
        <w:t xml:space="preserve">- the section of </w:t>
      </w:r>
      <w:r w:rsidR="00E02A62">
        <w:t>"Europa</w:t>
      </w:r>
      <w:r>
        <w:t>" Motorway from km 15+500 to km 32+447.20 was built with national funds and has been put into operation since 2020 - 16.95 km;</w:t>
      </w:r>
    </w:p>
    <w:p w14:paraId="568C7EC3" w14:textId="7DCD62A7" w:rsidR="002E129B" w:rsidRPr="00DD7B5D" w:rsidRDefault="00642476" w:rsidP="00642476">
      <w:r>
        <w:t xml:space="preserve">- </w:t>
      </w:r>
      <w:r w:rsidR="005E2A6B">
        <w:t xml:space="preserve">the </w:t>
      </w:r>
      <w:r>
        <w:t>section from km 32+447.20 to km 48+903– 16.45 km.</w:t>
      </w:r>
      <w:r w:rsidR="00DD568D">
        <w:rPr>
          <w:lang w:val="bg-BG"/>
        </w:rPr>
        <w:t xml:space="preserve"> </w:t>
      </w:r>
      <w:r w:rsidR="00DD568D" w:rsidRPr="00DD7B5D">
        <w:t>The construction is in progress, but the section will not be completed in its entirety within the period of eligibility of costs under OPTTI. It is planned to build 5.7 km of the route.</w:t>
      </w:r>
    </w:p>
    <w:p w14:paraId="3B6376AC" w14:textId="6A29A5A6" w:rsidR="002E129B" w:rsidRDefault="002E64DB" w:rsidP="002E129B">
      <w:r w:rsidRPr="00DD7B5D">
        <w:t>On the recommendation of the European Commission, the</w:t>
      </w:r>
      <w:r w:rsidRPr="002E64DB">
        <w:t xml:space="preserve"> financing of the section from km 373+100 to km 376+000, falling into Lot 3.1 Blagoevgrad - Krupnik, was excluded from the Application Form for financing the "Struma" Motorway project Lot 3.1, Lot 3.3 and the "Zheleznitsa" tunnel. The reason for excluding the financing of the section is that at the time when the Application </w:t>
      </w:r>
      <w:r w:rsidRPr="002E64DB">
        <w:rPr>
          <w:lang w:val="bg-BG"/>
        </w:rPr>
        <w:t>Form was</w:t>
      </w:r>
      <w:r w:rsidRPr="002E64DB">
        <w:t xml:space="preserve"> approved by the EC, the EIA procedure of Lot 3.2 had been started, but the final decision on the EIA of the Minister of Environment and Water had not yet been made, and that the construction of these 2.9 km is organizationally and technically related to the construction of Lot 3.2, but is a contractual obligation of the Contractor of Lot 3.1.</w:t>
      </w:r>
    </w:p>
    <w:p w14:paraId="5AC4C4D8" w14:textId="6A78301D" w:rsidR="002E64DB" w:rsidRDefault="002E64DB" w:rsidP="002E129B"/>
    <w:p w14:paraId="1FDAC9A4" w14:textId="505C5B56" w:rsidR="008F2023" w:rsidRDefault="008F2023" w:rsidP="002E129B">
      <w:r w:rsidRPr="008F2023">
        <w:t xml:space="preserve">For the target value of the indicator "Length of newly built road links to TEN-T </w:t>
      </w:r>
      <w:r>
        <w:t>", the project for</w:t>
      </w:r>
      <w:r w:rsidRPr="008F2023">
        <w:t xml:space="preserve"> construction of the Bypass of the city of Burgas from km 230+700 on the road I-9 Sarafovo - Burgas to km 493+550 on the road I -6 Vetren-Burgas and local lanes is taken into account. The length of the road section as a connection bet</w:t>
      </w:r>
      <w:r>
        <w:t>ween two sections of the TEN-T is</w:t>
      </w:r>
      <w:r w:rsidRPr="008F2023">
        <w:t xml:space="preserve"> 4.68 km.</w:t>
      </w:r>
    </w:p>
    <w:p w14:paraId="420CA087" w14:textId="77777777" w:rsidR="008F2023" w:rsidRPr="008340BB" w:rsidRDefault="008F2023" w:rsidP="002E129B"/>
    <w:p w14:paraId="03333B67" w14:textId="77777777" w:rsidR="00F1341F" w:rsidRPr="008340BB" w:rsidRDefault="00F1341F" w:rsidP="008B4180">
      <w:pPr>
        <w:ind w:left="1418" w:hanging="1418"/>
        <w:rPr>
          <w:b/>
        </w:rPr>
      </w:pPr>
      <w:r w:rsidRPr="008340BB">
        <w:rPr>
          <w:b/>
        </w:rPr>
        <w:t xml:space="preserve">2.A.2.6 </w:t>
      </w:r>
      <w:r w:rsidRPr="008340BB">
        <w:rPr>
          <w:b/>
        </w:rPr>
        <w:tab/>
        <w:t>Social innovation, transnational cooperation and contribution to thematic objectives 1-7</w:t>
      </w:r>
      <w:r w:rsidRPr="008340BB">
        <w:rPr>
          <w:rStyle w:val="FootnoteReference"/>
          <w:b/>
        </w:rPr>
        <w:footnoteReference w:id="33"/>
      </w:r>
    </w:p>
    <w:p w14:paraId="5F7A97D0" w14:textId="77777777" w:rsidR="00F1341F" w:rsidRPr="008340BB" w:rsidRDefault="00F1341F" w:rsidP="008B4180">
      <w:r w:rsidRPr="0067246B">
        <w:lastRenderedPageBreak/>
        <w:t>Specific provisions for ESF</w:t>
      </w:r>
      <w:r w:rsidRPr="008340BB">
        <w:rPr>
          <w:rStyle w:val="FootnoteReference"/>
        </w:rPr>
        <w:footnoteReference w:id="34"/>
      </w:r>
      <w:r w:rsidRPr="008340BB">
        <w:t>, where applicable (by priority axis and, where relevant, category of region): social innovation, transnational cooperation and ESF contribution to thematic objectives 1 to 7.</w:t>
      </w:r>
    </w:p>
    <w:p w14:paraId="7D1EE5A5" w14:textId="77777777" w:rsidR="00F1341F" w:rsidRPr="0067246B" w:rsidRDefault="00F1341F" w:rsidP="008B4180"/>
    <w:p w14:paraId="255CEF0B" w14:textId="77777777" w:rsidR="00F1341F" w:rsidRPr="00020ADD" w:rsidRDefault="00F1341F" w:rsidP="008B4180">
      <w:r w:rsidRPr="00020ADD">
        <w:t xml:space="preserve">Description of the contribution of the planned actions of the priority axis to: </w:t>
      </w:r>
    </w:p>
    <w:p w14:paraId="794B3576" w14:textId="77777777" w:rsidR="00F1341F" w:rsidRPr="00020ADD" w:rsidRDefault="00F1341F" w:rsidP="008B4180">
      <w:pPr>
        <w:pStyle w:val="ListDash"/>
        <w:tabs>
          <w:tab w:val="clear" w:pos="283"/>
          <w:tab w:val="num" w:pos="851"/>
        </w:tabs>
        <w:spacing w:before="120" w:after="120"/>
        <w:ind w:left="851"/>
      </w:pPr>
      <w:r w:rsidRPr="00020ADD">
        <w:t>social innovation (if not covered by a dedicated priority axis);</w:t>
      </w:r>
    </w:p>
    <w:p w14:paraId="554EE01C" w14:textId="77777777" w:rsidR="00F1341F" w:rsidRPr="00DC0475" w:rsidRDefault="00F1341F" w:rsidP="008B4180">
      <w:pPr>
        <w:pStyle w:val="ListDash"/>
        <w:tabs>
          <w:tab w:val="clear" w:pos="283"/>
          <w:tab w:val="num" w:pos="851"/>
        </w:tabs>
        <w:spacing w:before="120" w:after="120"/>
        <w:ind w:left="851"/>
      </w:pPr>
      <w:r w:rsidRPr="00DC0475">
        <w:t xml:space="preserve"> trans national cooperation (if not covered by a dedicated priority axis). </w:t>
      </w:r>
    </w:p>
    <w:p w14:paraId="4DF86FE8" w14:textId="77777777" w:rsidR="00F1341F" w:rsidRPr="00B5130A" w:rsidRDefault="00F1341F" w:rsidP="008B4180">
      <w:pPr>
        <w:pStyle w:val="ListDash"/>
        <w:tabs>
          <w:tab w:val="clear" w:pos="283"/>
          <w:tab w:val="num" w:pos="851"/>
        </w:tabs>
        <w:spacing w:before="120" w:after="120"/>
        <w:ind w:left="851"/>
      </w:pPr>
      <w:r w:rsidRPr="00B5130A">
        <w:t>thematic objectives referred to in points (1) to (7) of the first paragraph of Article 9 of Regulation (EU) No 1303/2013.</w:t>
      </w:r>
    </w:p>
    <w:p w14:paraId="4EE9FA09" w14:textId="77777777" w:rsidR="00F1341F" w:rsidRPr="00A828C5" w:rsidRDefault="00F1341F" w:rsidP="008B4180"/>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5E257156" w14:textId="77777777" w:rsidTr="00067686">
        <w:trPr>
          <w:trHeight w:val="518"/>
        </w:trPr>
        <w:tc>
          <w:tcPr>
            <w:tcW w:w="2235" w:type="dxa"/>
          </w:tcPr>
          <w:p w14:paraId="012A148C" w14:textId="77777777" w:rsidR="00F1341F" w:rsidRPr="008340BB" w:rsidRDefault="00F1341F" w:rsidP="00067686">
            <w:pPr>
              <w:rPr>
                <w:i/>
                <w:color w:val="8DB3E2"/>
                <w:sz w:val="18"/>
                <w:szCs w:val="18"/>
              </w:rPr>
            </w:pPr>
            <w:r w:rsidRPr="008340BB">
              <w:rPr>
                <w:i/>
              </w:rPr>
              <w:t>Priority axis</w:t>
            </w:r>
          </w:p>
        </w:tc>
        <w:tc>
          <w:tcPr>
            <w:tcW w:w="6443" w:type="dxa"/>
          </w:tcPr>
          <w:p w14:paraId="4662FA34" w14:textId="77777777" w:rsidR="00F1341F" w:rsidRPr="008340BB" w:rsidRDefault="00F1341F">
            <w:pPr>
              <w:rPr>
                <w:i/>
                <w:color w:val="8DB3E2"/>
                <w:sz w:val="18"/>
                <w:szCs w:val="18"/>
              </w:rPr>
            </w:pPr>
            <w:r w:rsidRPr="008340BB">
              <w:rPr>
                <w:i/>
              </w:rPr>
              <w:t xml:space="preserve">Development of road infrastructure along the „core” and “comprehensive” </w:t>
            </w:r>
            <w:r w:rsidR="00D31C20">
              <w:rPr>
                <w:i/>
              </w:rPr>
              <w:t>TEN-T</w:t>
            </w:r>
          </w:p>
        </w:tc>
      </w:tr>
      <w:tr w:rsidR="00F1341F" w:rsidRPr="008340BB" w14:paraId="0C6A5FEE" w14:textId="77777777" w:rsidTr="00067686">
        <w:trPr>
          <w:trHeight w:val="1154"/>
        </w:trPr>
        <w:tc>
          <w:tcPr>
            <w:tcW w:w="8678" w:type="dxa"/>
            <w:gridSpan w:val="2"/>
          </w:tcPr>
          <w:p w14:paraId="5D79CA61" w14:textId="77777777" w:rsidR="00F1341F" w:rsidRPr="008340BB" w:rsidRDefault="00F1341F" w:rsidP="00067686">
            <w:pPr>
              <w:rPr>
                <w:i/>
                <w:color w:val="8DB3E2"/>
                <w:sz w:val="18"/>
                <w:szCs w:val="18"/>
              </w:rPr>
            </w:pPr>
          </w:p>
          <w:p w14:paraId="2455D8C9" w14:textId="77777777" w:rsidR="00F1341F" w:rsidRPr="008340BB" w:rsidRDefault="00F1341F" w:rsidP="00067686">
            <w:pPr>
              <w:rPr>
                <w:i/>
                <w:szCs w:val="24"/>
              </w:rPr>
            </w:pPr>
            <w:r w:rsidRPr="008340BB">
              <w:rPr>
                <w:i/>
                <w:szCs w:val="24"/>
              </w:rPr>
              <w:t>N/A</w:t>
            </w:r>
          </w:p>
        </w:tc>
      </w:tr>
    </w:tbl>
    <w:p w14:paraId="67EED6D2" w14:textId="77777777" w:rsidR="00F1341F" w:rsidRPr="008340BB" w:rsidRDefault="00F1341F" w:rsidP="008B4180"/>
    <w:p w14:paraId="50B41A51" w14:textId="77777777" w:rsidR="00F1341F" w:rsidRPr="008340BB" w:rsidRDefault="00F1341F" w:rsidP="008B4180">
      <w:pPr>
        <w:suppressAutoHyphens/>
        <w:rPr>
          <w:b/>
        </w:rPr>
        <w:sectPr w:rsidR="00F1341F" w:rsidRPr="008340BB" w:rsidSect="001E1D6F">
          <w:headerReference w:type="default" r:id="rId37"/>
          <w:footerReference w:type="default" r:id="rId38"/>
          <w:headerReference w:type="first" r:id="rId39"/>
          <w:footerReference w:type="first" r:id="rId40"/>
          <w:pgSz w:w="11906" w:h="16838"/>
          <w:pgMar w:top="1021" w:right="1418" w:bottom="1021" w:left="1418" w:header="601" w:footer="1077" w:gutter="0"/>
          <w:cols w:space="708"/>
          <w:docGrid w:linePitch="326"/>
        </w:sectPr>
      </w:pPr>
    </w:p>
    <w:p w14:paraId="28628213" w14:textId="77777777" w:rsidR="00F1341F" w:rsidRPr="008340BB" w:rsidRDefault="00F1341F" w:rsidP="008B4180">
      <w:pPr>
        <w:ind w:left="1418" w:hanging="1418"/>
        <w:rPr>
          <w:b/>
        </w:rPr>
      </w:pPr>
      <w:r w:rsidRPr="008340BB">
        <w:rPr>
          <w:b/>
        </w:rPr>
        <w:lastRenderedPageBreak/>
        <w:t xml:space="preserve">2.A.2.7 </w:t>
      </w:r>
      <w:r w:rsidRPr="008340BB">
        <w:rPr>
          <w:b/>
        </w:rPr>
        <w:tab/>
        <w:t xml:space="preserve">Performance framework </w:t>
      </w:r>
    </w:p>
    <w:p w14:paraId="6624D4EA" w14:textId="77777777" w:rsidR="00F1341F" w:rsidRPr="008340BB" w:rsidRDefault="00F1341F" w:rsidP="008B4180">
      <w:pPr>
        <w:ind w:left="1418" w:hanging="1418"/>
      </w:pPr>
      <w:r w:rsidRPr="008340BB">
        <w:t>(Reference: point (b)(v) of the first subparagraph of Article 96(2), and Annex II to Regulation (EU) No 1303/2013)</w:t>
      </w:r>
    </w:p>
    <w:p w14:paraId="2E08EFD3" w14:textId="77777777" w:rsidR="00F1341F" w:rsidRPr="008340BB" w:rsidRDefault="00F1341F" w:rsidP="008B4180">
      <w:pPr>
        <w:rPr>
          <w:b/>
        </w:rPr>
      </w:pPr>
      <w:r w:rsidRPr="008340BB">
        <w:rPr>
          <w:b/>
        </w:rPr>
        <w:t xml:space="preserve">Table 6: </w:t>
      </w:r>
      <w:r w:rsidRPr="008340BB">
        <w:rPr>
          <w:b/>
        </w:rPr>
        <w:tab/>
        <w:t>Performance framework of the priority axis</w:t>
      </w:r>
    </w:p>
    <w:p w14:paraId="27E52AD3" w14:textId="77777777" w:rsidR="00F1341F" w:rsidRPr="008340BB" w:rsidRDefault="00F1341F" w:rsidP="008B4180">
      <w:pPr>
        <w:pStyle w:val="TableTitle"/>
        <w:jc w:val="left"/>
        <w:rPr>
          <w:b w:val="0"/>
        </w:rPr>
      </w:pPr>
      <w:r w:rsidRPr="008340BB">
        <w:rPr>
          <w:b w:val="0"/>
        </w:rPr>
        <w:t xml:space="preserve"> (by fund and category of region)</w:t>
      </w:r>
      <w:r w:rsidRPr="008340BB">
        <w:rPr>
          <w:rStyle w:val="FootnoteReference"/>
          <w:b w:val="0"/>
        </w:rPr>
        <w:footnoteReference w:id="35"/>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8"/>
        <w:gridCol w:w="1550"/>
        <w:gridCol w:w="1538"/>
        <w:gridCol w:w="1395"/>
        <w:gridCol w:w="838"/>
        <w:gridCol w:w="1395"/>
        <w:gridCol w:w="1438"/>
        <w:gridCol w:w="1495"/>
        <w:gridCol w:w="1535"/>
        <w:gridCol w:w="1816"/>
      </w:tblGrid>
      <w:tr w:rsidR="00F1341F" w:rsidRPr="008340BB" w14:paraId="43838CA8" w14:textId="77777777" w:rsidTr="0046317A">
        <w:trPr>
          <w:trHeight w:val="740"/>
        </w:trPr>
        <w:tc>
          <w:tcPr>
            <w:tcW w:w="1010" w:type="pct"/>
            <w:gridSpan w:val="2"/>
          </w:tcPr>
          <w:p w14:paraId="1DA8AAD5" w14:textId="77777777" w:rsidR="00F1341F" w:rsidRPr="008340BB" w:rsidRDefault="00F1341F" w:rsidP="00067686">
            <w:pPr>
              <w:pStyle w:val="Text1"/>
              <w:ind w:left="0"/>
              <w:rPr>
                <w:b/>
                <w:i/>
                <w:sz w:val="20"/>
                <w:lang w:val="en-GB" w:eastAsia="en-GB"/>
              </w:rPr>
            </w:pPr>
            <w:r w:rsidRPr="008340BB">
              <w:rPr>
                <w:b/>
                <w:i/>
                <w:sz w:val="18"/>
                <w:szCs w:val="18"/>
                <w:lang w:val="en-GB" w:eastAsia="en-GB"/>
              </w:rPr>
              <w:t>Priority axis</w:t>
            </w:r>
          </w:p>
        </w:tc>
        <w:tc>
          <w:tcPr>
            <w:tcW w:w="3990" w:type="pct"/>
            <w:gridSpan w:val="8"/>
          </w:tcPr>
          <w:p w14:paraId="6AAE8079" w14:textId="77777777" w:rsidR="00F1341F" w:rsidRPr="008340BB" w:rsidRDefault="00F1341F" w:rsidP="00067686">
            <w:pPr>
              <w:rPr>
                <w:b/>
                <w:i/>
                <w:sz w:val="20"/>
              </w:rPr>
            </w:pPr>
            <w:r w:rsidRPr="008340BB">
              <w:rPr>
                <w:b/>
                <w:i/>
                <w:sz w:val="18"/>
                <w:szCs w:val="18"/>
              </w:rPr>
              <w:t>“Development of road infrastructure along the „core” and “comprehensive”</w:t>
            </w:r>
            <w:r w:rsidRPr="008340BB">
              <w:rPr>
                <w:i/>
              </w:rPr>
              <w:t xml:space="preserve"> </w:t>
            </w:r>
            <w:r w:rsidRPr="008340BB">
              <w:rPr>
                <w:b/>
                <w:i/>
                <w:sz w:val="18"/>
                <w:szCs w:val="18"/>
              </w:rPr>
              <w:t>Trans-European transport network”</w:t>
            </w:r>
          </w:p>
        </w:tc>
      </w:tr>
      <w:tr w:rsidR="00F1341F" w:rsidRPr="008340BB" w14:paraId="3328B57E" w14:textId="77777777" w:rsidTr="00FB7356">
        <w:trPr>
          <w:trHeight w:val="1459"/>
        </w:trPr>
        <w:tc>
          <w:tcPr>
            <w:tcW w:w="470" w:type="pct"/>
          </w:tcPr>
          <w:p w14:paraId="28B7D5AF" w14:textId="77777777" w:rsidR="00F1341F" w:rsidRPr="008340BB" w:rsidRDefault="00F1341F" w:rsidP="00067686">
            <w:pPr>
              <w:pStyle w:val="Text1"/>
              <w:ind w:left="0"/>
              <w:rPr>
                <w:b/>
                <w:i/>
                <w:sz w:val="18"/>
                <w:szCs w:val="18"/>
                <w:lang w:val="en-GB" w:eastAsia="en-GB"/>
              </w:rPr>
            </w:pPr>
            <w:r w:rsidRPr="008340BB">
              <w:rPr>
                <w:b/>
                <w:i/>
                <w:sz w:val="20"/>
                <w:lang w:val="en-GB" w:eastAsia="en-GB"/>
              </w:rPr>
              <w:t>ID</w:t>
            </w:r>
            <w:r w:rsidRPr="008340BB" w:rsidDel="0046317A">
              <w:rPr>
                <w:b/>
                <w:i/>
                <w:sz w:val="18"/>
                <w:szCs w:val="18"/>
                <w:lang w:val="en-GB" w:eastAsia="en-GB"/>
              </w:rPr>
              <w:t xml:space="preserve"> </w:t>
            </w:r>
          </w:p>
        </w:tc>
        <w:tc>
          <w:tcPr>
            <w:tcW w:w="540" w:type="pct"/>
          </w:tcPr>
          <w:p w14:paraId="2F8D6D72" w14:textId="77777777" w:rsidR="00F1341F" w:rsidRPr="008340BB" w:rsidRDefault="00F1341F" w:rsidP="00067686">
            <w:pPr>
              <w:pStyle w:val="Text1"/>
              <w:ind w:left="0"/>
              <w:rPr>
                <w:b/>
                <w:i/>
                <w:sz w:val="18"/>
                <w:szCs w:val="18"/>
                <w:lang w:val="en-GB" w:eastAsia="en-GB"/>
              </w:rPr>
            </w:pPr>
            <w:r w:rsidRPr="008340BB">
              <w:rPr>
                <w:b/>
                <w:i/>
                <w:sz w:val="18"/>
                <w:szCs w:val="18"/>
                <w:lang w:val="en-GB" w:eastAsia="en-GB"/>
              </w:rPr>
              <w:t>Indicator type</w:t>
            </w:r>
          </w:p>
          <w:p w14:paraId="5FAC8435" w14:textId="77777777" w:rsidR="00F1341F" w:rsidRPr="008340BB" w:rsidRDefault="00F1341F" w:rsidP="00067686">
            <w:pPr>
              <w:pStyle w:val="Text1"/>
              <w:ind w:left="0"/>
              <w:rPr>
                <w:b/>
                <w:i/>
                <w:sz w:val="18"/>
                <w:szCs w:val="18"/>
                <w:lang w:val="en-GB" w:eastAsia="en-GB"/>
              </w:rPr>
            </w:pPr>
            <w:r w:rsidRPr="008340BB">
              <w:rPr>
                <w:b/>
                <w:i/>
                <w:sz w:val="18"/>
                <w:szCs w:val="18"/>
                <w:lang w:val="en-GB" w:eastAsia="en-GB"/>
              </w:rPr>
              <w:t>(Key implementation step, financial, output or, where appropriate, result indicator)</w:t>
            </w:r>
          </w:p>
          <w:p w14:paraId="7858BE44" w14:textId="77777777" w:rsidR="00F1341F" w:rsidRPr="008340BB" w:rsidRDefault="00F1341F" w:rsidP="00067686">
            <w:pPr>
              <w:pStyle w:val="Text1"/>
              <w:ind w:left="0"/>
              <w:rPr>
                <w:b/>
                <w:i/>
                <w:sz w:val="20"/>
                <w:lang w:val="en-GB" w:eastAsia="en-GB"/>
              </w:rPr>
            </w:pPr>
          </w:p>
        </w:tc>
        <w:tc>
          <w:tcPr>
            <w:tcW w:w="536" w:type="pct"/>
          </w:tcPr>
          <w:p w14:paraId="7F882ECF" w14:textId="77777777" w:rsidR="00F1341F" w:rsidRPr="008340BB" w:rsidRDefault="00F1341F" w:rsidP="00067686">
            <w:pPr>
              <w:pStyle w:val="Text1"/>
              <w:ind w:left="0"/>
              <w:rPr>
                <w:b/>
                <w:i/>
                <w:sz w:val="20"/>
                <w:lang w:val="en-GB" w:eastAsia="en-GB"/>
              </w:rPr>
            </w:pPr>
            <w:r w:rsidRPr="008340BB">
              <w:rPr>
                <w:b/>
                <w:i/>
                <w:sz w:val="20"/>
                <w:lang w:val="en-GB" w:eastAsia="en-GB"/>
              </w:rPr>
              <w:t xml:space="preserve">Indicator or key implementation step </w:t>
            </w:r>
          </w:p>
        </w:tc>
        <w:tc>
          <w:tcPr>
            <w:tcW w:w="486" w:type="pct"/>
          </w:tcPr>
          <w:p w14:paraId="2678C1FF" w14:textId="77777777" w:rsidR="00F1341F" w:rsidRPr="008340BB" w:rsidRDefault="00F1341F" w:rsidP="00067686">
            <w:pPr>
              <w:pStyle w:val="Text1"/>
              <w:ind w:left="0"/>
              <w:rPr>
                <w:b/>
                <w:i/>
                <w:sz w:val="20"/>
                <w:lang w:val="en-GB" w:eastAsia="en-GB"/>
              </w:rPr>
            </w:pPr>
            <w:r w:rsidRPr="008340BB">
              <w:rPr>
                <w:b/>
                <w:i/>
                <w:sz w:val="20"/>
                <w:lang w:val="en-GB" w:eastAsia="en-GB"/>
              </w:rPr>
              <w:t xml:space="preserve">Measurement unit, where appropriate </w:t>
            </w:r>
          </w:p>
        </w:tc>
        <w:tc>
          <w:tcPr>
            <w:tcW w:w="292" w:type="pct"/>
          </w:tcPr>
          <w:p w14:paraId="01B724CA" w14:textId="77777777" w:rsidR="00F1341F" w:rsidRPr="008340BB" w:rsidRDefault="00F1341F" w:rsidP="00067686">
            <w:pPr>
              <w:pStyle w:val="Text1"/>
              <w:ind w:left="0"/>
              <w:rPr>
                <w:b/>
                <w:i/>
                <w:sz w:val="20"/>
                <w:lang w:val="en-GB" w:eastAsia="en-GB"/>
              </w:rPr>
            </w:pPr>
            <w:r w:rsidRPr="008340BB">
              <w:rPr>
                <w:b/>
                <w:i/>
                <w:sz w:val="20"/>
                <w:lang w:val="en-GB" w:eastAsia="en-GB"/>
              </w:rPr>
              <w:t>Fund</w:t>
            </w:r>
          </w:p>
        </w:tc>
        <w:tc>
          <w:tcPr>
            <w:tcW w:w="486" w:type="pct"/>
          </w:tcPr>
          <w:p w14:paraId="6A0B01FE" w14:textId="77777777" w:rsidR="00F1341F" w:rsidRPr="008340BB" w:rsidRDefault="00F1341F" w:rsidP="00067686">
            <w:pPr>
              <w:pStyle w:val="Text1"/>
              <w:ind w:left="0"/>
              <w:rPr>
                <w:b/>
                <w:i/>
                <w:sz w:val="20"/>
                <w:lang w:val="en-GB" w:eastAsia="en-GB"/>
              </w:rPr>
            </w:pPr>
            <w:r w:rsidRPr="008340BB">
              <w:rPr>
                <w:b/>
                <w:i/>
                <w:sz w:val="20"/>
                <w:lang w:val="en-GB" w:eastAsia="en-GB"/>
              </w:rPr>
              <w:t>Category of region</w:t>
            </w:r>
          </w:p>
        </w:tc>
        <w:tc>
          <w:tcPr>
            <w:tcW w:w="501" w:type="pct"/>
          </w:tcPr>
          <w:p w14:paraId="43585859" w14:textId="77777777" w:rsidR="00F1341F" w:rsidRPr="008340BB" w:rsidRDefault="00F1341F" w:rsidP="00067686">
            <w:pPr>
              <w:pStyle w:val="Text1"/>
              <w:ind w:left="0"/>
              <w:rPr>
                <w:b/>
                <w:i/>
                <w:sz w:val="20"/>
                <w:lang w:val="en-GB" w:eastAsia="en-GB"/>
              </w:rPr>
            </w:pPr>
            <w:r w:rsidRPr="008340BB">
              <w:rPr>
                <w:b/>
                <w:i/>
                <w:sz w:val="20"/>
                <w:lang w:val="en-GB" w:eastAsia="en-GB"/>
              </w:rPr>
              <w:t>Milestone for 2018</w:t>
            </w:r>
          </w:p>
        </w:tc>
        <w:tc>
          <w:tcPr>
            <w:tcW w:w="521" w:type="pct"/>
          </w:tcPr>
          <w:p w14:paraId="2F422E77" w14:textId="77777777" w:rsidR="00F1341F" w:rsidRPr="008340BB" w:rsidRDefault="00F1341F" w:rsidP="00067686">
            <w:pPr>
              <w:pStyle w:val="Text1"/>
              <w:ind w:left="0"/>
              <w:rPr>
                <w:b/>
                <w:i/>
                <w:sz w:val="20"/>
                <w:lang w:val="en-GB" w:eastAsia="en-GB"/>
              </w:rPr>
            </w:pPr>
            <w:r w:rsidRPr="008340BB">
              <w:rPr>
                <w:b/>
                <w:i/>
                <w:sz w:val="20"/>
                <w:lang w:val="en-GB" w:eastAsia="en-GB"/>
              </w:rPr>
              <w:t>Final target (2023)</w:t>
            </w:r>
            <w:r w:rsidRPr="008340BB">
              <w:rPr>
                <w:rStyle w:val="FootnoteReference"/>
                <w:b/>
                <w:i/>
                <w:sz w:val="20"/>
                <w:lang w:val="en-GB" w:eastAsia="en-GB"/>
              </w:rPr>
              <w:footnoteReference w:id="36"/>
            </w:r>
          </w:p>
        </w:tc>
        <w:tc>
          <w:tcPr>
            <w:tcW w:w="535" w:type="pct"/>
          </w:tcPr>
          <w:p w14:paraId="18FD66CC" w14:textId="77777777" w:rsidR="00F1341F" w:rsidRPr="008340BB" w:rsidRDefault="00F1341F" w:rsidP="00067686">
            <w:pPr>
              <w:pStyle w:val="Text1"/>
              <w:spacing w:line="480" w:lineRule="auto"/>
              <w:ind w:left="0"/>
              <w:rPr>
                <w:b/>
                <w:i/>
                <w:sz w:val="20"/>
                <w:lang w:val="en-GB" w:eastAsia="en-GB"/>
              </w:rPr>
            </w:pPr>
            <w:r w:rsidRPr="008340BB">
              <w:rPr>
                <w:b/>
                <w:i/>
                <w:sz w:val="20"/>
                <w:lang w:val="en-GB" w:eastAsia="en-GB"/>
              </w:rPr>
              <w:t>Source of data</w:t>
            </w:r>
          </w:p>
        </w:tc>
        <w:tc>
          <w:tcPr>
            <w:tcW w:w="633" w:type="pct"/>
          </w:tcPr>
          <w:p w14:paraId="4C5D523C" w14:textId="77777777" w:rsidR="00F1341F" w:rsidRPr="008340BB" w:rsidRDefault="00F1341F" w:rsidP="00067686">
            <w:pPr>
              <w:rPr>
                <w:b/>
                <w:i/>
                <w:sz w:val="20"/>
              </w:rPr>
            </w:pPr>
            <w:r w:rsidRPr="008340BB">
              <w:rPr>
                <w:b/>
                <w:i/>
                <w:sz w:val="20"/>
              </w:rPr>
              <w:t>Explanation of relevance of indicator, where appropriate</w:t>
            </w:r>
          </w:p>
        </w:tc>
      </w:tr>
      <w:tr w:rsidR="00F1341F" w:rsidRPr="008340BB" w14:paraId="42ADDE4D" w14:textId="77777777" w:rsidTr="00FB7356">
        <w:trPr>
          <w:trHeight w:val="397"/>
        </w:trPr>
        <w:tc>
          <w:tcPr>
            <w:tcW w:w="470" w:type="pct"/>
          </w:tcPr>
          <w:p w14:paraId="3BC7799E" w14:textId="77777777" w:rsidR="00F1341F" w:rsidRPr="008340BB" w:rsidDel="00232FFB" w:rsidRDefault="00F1341F" w:rsidP="009F6F66">
            <w:pPr>
              <w:pStyle w:val="Text1"/>
              <w:ind w:left="0"/>
              <w:jc w:val="left"/>
              <w:rPr>
                <w:i/>
                <w:sz w:val="20"/>
                <w:lang w:val="en-GB" w:eastAsia="en-GB"/>
              </w:rPr>
            </w:pPr>
            <w:r w:rsidRPr="008340BB">
              <w:rPr>
                <w:sz w:val="20"/>
                <w:lang w:val="en-GB" w:eastAsia="bg-BG"/>
              </w:rPr>
              <w:t>CO13a</w:t>
            </w:r>
          </w:p>
        </w:tc>
        <w:tc>
          <w:tcPr>
            <w:tcW w:w="540" w:type="pct"/>
          </w:tcPr>
          <w:p w14:paraId="6E9169E1" w14:textId="77777777" w:rsidR="00F1341F" w:rsidRPr="008340BB" w:rsidRDefault="00F1341F" w:rsidP="00067686">
            <w:pPr>
              <w:pStyle w:val="Text1"/>
              <w:ind w:left="0"/>
              <w:rPr>
                <w:sz w:val="18"/>
                <w:szCs w:val="18"/>
                <w:lang w:val="en-GB" w:eastAsia="en-GB"/>
              </w:rPr>
            </w:pPr>
            <w:r w:rsidRPr="008340BB">
              <w:rPr>
                <w:sz w:val="18"/>
                <w:szCs w:val="18"/>
                <w:lang w:val="en-GB" w:eastAsia="en-GB"/>
              </w:rPr>
              <w:t>output indicator</w:t>
            </w:r>
          </w:p>
        </w:tc>
        <w:tc>
          <w:tcPr>
            <w:tcW w:w="536" w:type="pct"/>
          </w:tcPr>
          <w:p w14:paraId="5B97C184" w14:textId="77777777" w:rsidR="00F1341F" w:rsidRPr="008340BB" w:rsidRDefault="00F1341F" w:rsidP="000412D8">
            <w:pPr>
              <w:pStyle w:val="Text1"/>
              <w:ind w:left="0"/>
              <w:rPr>
                <w:sz w:val="18"/>
                <w:szCs w:val="18"/>
                <w:lang w:val="en-GB" w:eastAsia="en-GB"/>
              </w:rPr>
            </w:pPr>
            <w:r w:rsidRPr="008340BB">
              <w:rPr>
                <w:sz w:val="18"/>
                <w:szCs w:val="18"/>
                <w:lang w:val="en-GB" w:eastAsia="bg-BG"/>
              </w:rPr>
              <w:t>Total length of newly built roads, of which: TEN-T</w:t>
            </w:r>
          </w:p>
        </w:tc>
        <w:tc>
          <w:tcPr>
            <w:tcW w:w="486" w:type="pct"/>
          </w:tcPr>
          <w:p w14:paraId="67E7CAA1" w14:textId="77777777" w:rsidR="00F1341F" w:rsidRPr="008340BB" w:rsidRDefault="00F1341F" w:rsidP="00067686">
            <w:pPr>
              <w:pStyle w:val="Text1"/>
              <w:ind w:left="0"/>
              <w:rPr>
                <w:sz w:val="20"/>
                <w:lang w:val="en-GB" w:eastAsia="en-GB"/>
              </w:rPr>
            </w:pPr>
            <w:r w:rsidRPr="008340BB">
              <w:rPr>
                <w:sz w:val="20"/>
                <w:lang w:val="en-GB" w:eastAsia="en-GB"/>
              </w:rPr>
              <w:t>km</w:t>
            </w:r>
          </w:p>
        </w:tc>
        <w:tc>
          <w:tcPr>
            <w:tcW w:w="292" w:type="pct"/>
          </w:tcPr>
          <w:p w14:paraId="42556EFC" w14:textId="77777777" w:rsidR="00F1341F" w:rsidRPr="008340BB" w:rsidRDefault="00F1341F" w:rsidP="00067686">
            <w:pPr>
              <w:pStyle w:val="Text1"/>
              <w:ind w:left="0"/>
              <w:rPr>
                <w:sz w:val="20"/>
                <w:lang w:val="en-GB" w:eastAsia="en-GB"/>
              </w:rPr>
            </w:pPr>
            <w:r w:rsidRPr="008340BB">
              <w:rPr>
                <w:sz w:val="20"/>
                <w:lang w:val="en-GB" w:eastAsia="en-GB"/>
              </w:rPr>
              <w:t>CF</w:t>
            </w:r>
          </w:p>
        </w:tc>
        <w:tc>
          <w:tcPr>
            <w:tcW w:w="486" w:type="pct"/>
          </w:tcPr>
          <w:p w14:paraId="628F93FC" w14:textId="77777777" w:rsidR="00F1341F" w:rsidRPr="008340BB" w:rsidRDefault="00F1341F" w:rsidP="00067686">
            <w:pPr>
              <w:pStyle w:val="Text1"/>
              <w:ind w:left="0"/>
              <w:rPr>
                <w:sz w:val="20"/>
                <w:lang w:val="en-GB" w:eastAsia="en-GB"/>
              </w:rPr>
            </w:pPr>
            <w:r w:rsidRPr="008340BB">
              <w:rPr>
                <w:sz w:val="20"/>
                <w:lang w:val="en-GB" w:eastAsia="en-GB"/>
              </w:rPr>
              <w:t>N/A</w:t>
            </w:r>
          </w:p>
        </w:tc>
        <w:tc>
          <w:tcPr>
            <w:tcW w:w="501" w:type="pct"/>
          </w:tcPr>
          <w:p w14:paraId="392D0D9A" w14:textId="77777777" w:rsidR="00F1341F" w:rsidRPr="008340BB" w:rsidRDefault="00F1341F" w:rsidP="00AE4FA3">
            <w:pPr>
              <w:pStyle w:val="Text1"/>
              <w:ind w:left="0"/>
              <w:jc w:val="left"/>
              <w:rPr>
                <w:sz w:val="20"/>
                <w:lang w:val="en-GB" w:eastAsia="en-GB"/>
              </w:rPr>
            </w:pPr>
            <w:r w:rsidRPr="008340BB">
              <w:rPr>
                <w:sz w:val="20"/>
                <w:lang w:val="en-GB" w:eastAsia="en-GB"/>
              </w:rPr>
              <w:t>0</w:t>
            </w:r>
          </w:p>
        </w:tc>
        <w:tc>
          <w:tcPr>
            <w:tcW w:w="521" w:type="pct"/>
          </w:tcPr>
          <w:p w14:paraId="32533A62" w14:textId="6458A1A4" w:rsidR="000B3888" w:rsidRPr="00DD7B5D" w:rsidRDefault="00025B34" w:rsidP="000B3888">
            <w:pPr>
              <w:pStyle w:val="Text1"/>
              <w:ind w:left="0"/>
              <w:jc w:val="left"/>
              <w:rPr>
                <w:sz w:val="18"/>
                <w:szCs w:val="18"/>
              </w:rPr>
            </w:pPr>
            <w:r w:rsidRPr="00DD7B5D">
              <w:rPr>
                <w:sz w:val="18"/>
                <w:szCs w:val="18"/>
                <w:lang w:val="en-GB"/>
              </w:rPr>
              <w:t xml:space="preserve">65,90 </w:t>
            </w:r>
          </w:p>
          <w:p w14:paraId="106FABBC" w14:textId="7ED43657" w:rsidR="00F1341F" w:rsidRPr="00DD7B5D" w:rsidRDefault="000F4A6D" w:rsidP="00AE4FA3">
            <w:pPr>
              <w:pStyle w:val="Text1"/>
              <w:ind w:left="0"/>
              <w:jc w:val="left"/>
              <w:rPr>
                <w:sz w:val="20"/>
                <w:lang w:val="en-GB" w:eastAsia="en-GB"/>
              </w:rPr>
            </w:pPr>
            <w:r w:rsidRPr="00DD7B5D">
              <w:rPr>
                <w:b/>
                <w:sz w:val="18"/>
                <w:szCs w:val="18"/>
                <w:lang w:val="en-GB" w:eastAsia="en-GB"/>
              </w:rPr>
              <w:t xml:space="preserve"> </w:t>
            </w:r>
          </w:p>
        </w:tc>
        <w:tc>
          <w:tcPr>
            <w:tcW w:w="535" w:type="pct"/>
          </w:tcPr>
          <w:p w14:paraId="271BF628" w14:textId="77777777" w:rsidR="00F1341F" w:rsidRPr="002023D8" w:rsidRDefault="00F1341F" w:rsidP="00864E05">
            <w:pPr>
              <w:pStyle w:val="Text1"/>
              <w:ind w:left="0"/>
              <w:rPr>
                <w:iCs/>
                <w:sz w:val="20"/>
                <w:lang w:val="en-US" w:eastAsia="bg-BG"/>
              </w:rPr>
            </w:pPr>
          </w:p>
          <w:p w14:paraId="76BF3279" w14:textId="77777777" w:rsidR="00B77A8F" w:rsidRPr="00276ED1" w:rsidRDefault="00B77A8F" w:rsidP="00864E05">
            <w:pPr>
              <w:pStyle w:val="Text1"/>
              <w:ind w:left="0"/>
              <w:rPr>
                <w:sz w:val="20"/>
                <w:lang w:val="en-US" w:eastAsia="en-GB"/>
              </w:rPr>
            </w:pPr>
            <w:r>
              <w:rPr>
                <w:iCs/>
                <w:sz w:val="20"/>
                <w:lang w:val="en-US" w:eastAsia="bg-BG"/>
              </w:rPr>
              <w:t>RIA</w:t>
            </w:r>
          </w:p>
        </w:tc>
        <w:tc>
          <w:tcPr>
            <w:tcW w:w="633" w:type="pct"/>
          </w:tcPr>
          <w:p w14:paraId="200032E9" w14:textId="77777777" w:rsidR="00F1341F" w:rsidRPr="008340BB" w:rsidRDefault="00F1341F" w:rsidP="00AE4FA3">
            <w:pPr>
              <w:pStyle w:val="Text1"/>
              <w:ind w:left="0"/>
              <w:jc w:val="left"/>
              <w:rPr>
                <w:sz w:val="20"/>
                <w:lang w:val="en-GB" w:eastAsia="en-GB"/>
              </w:rPr>
            </w:pPr>
            <w:r w:rsidRPr="008340BB">
              <w:rPr>
                <w:sz w:val="20"/>
                <w:lang w:val="en-GB"/>
              </w:rPr>
              <w:t>Length of newly built roads represents the whole budget.</w:t>
            </w:r>
          </w:p>
        </w:tc>
      </w:tr>
      <w:tr w:rsidR="00F1341F" w:rsidRPr="008340BB" w14:paraId="0BB4E290" w14:textId="77777777" w:rsidTr="00FB7356">
        <w:trPr>
          <w:trHeight w:val="397"/>
        </w:trPr>
        <w:tc>
          <w:tcPr>
            <w:tcW w:w="470" w:type="pct"/>
          </w:tcPr>
          <w:p w14:paraId="2335F8A8" w14:textId="77777777" w:rsidR="00F1341F" w:rsidRPr="008340BB" w:rsidRDefault="00F1341F" w:rsidP="009F6F66">
            <w:pPr>
              <w:pStyle w:val="Text1"/>
              <w:ind w:left="0"/>
              <w:jc w:val="left"/>
              <w:rPr>
                <w:sz w:val="18"/>
                <w:szCs w:val="18"/>
                <w:lang w:val="en-GB" w:eastAsia="en-GB"/>
              </w:rPr>
            </w:pPr>
            <w:r w:rsidRPr="008340BB">
              <w:rPr>
                <w:i/>
                <w:sz w:val="18"/>
                <w:szCs w:val="18"/>
                <w:lang w:val="en-GB" w:eastAsia="en-GB"/>
              </w:rPr>
              <w:t>1</w:t>
            </w:r>
          </w:p>
        </w:tc>
        <w:tc>
          <w:tcPr>
            <w:tcW w:w="540" w:type="pct"/>
          </w:tcPr>
          <w:p w14:paraId="6890FFD9" w14:textId="77777777" w:rsidR="00F1341F" w:rsidRPr="008340BB" w:rsidRDefault="00F1341F" w:rsidP="00067686">
            <w:pPr>
              <w:pStyle w:val="Text1"/>
              <w:ind w:left="0"/>
              <w:rPr>
                <w:sz w:val="20"/>
                <w:lang w:val="en-GB" w:eastAsia="en-GB"/>
              </w:rPr>
            </w:pPr>
            <w:r w:rsidRPr="008340BB">
              <w:rPr>
                <w:sz w:val="18"/>
                <w:szCs w:val="18"/>
                <w:lang w:val="en-GB" w:eastAsia="en-GB"/>
              </w:rPr>
              <w:t>financial indicator</w:t>
            </w:r>
          </w:p>
        </w:tc>
        <w:tc>
          <w:tcPr>
            <w:tcW w:w="536" w:type="pct"/>
          </w:tcPr>
          <w:p w14:paraId="1DB4183A" w14:textId="77777777" w:rsidR="00F1341F" w:rsidRPr="008340BB" w:rsidRDefault="00F1341F">
            <w:pPr>
              <w:pStyle w:val="Text1"/>
              <w:ind w:left="0"/>
              <w:jc w:val="left"/>
              <w:rPr>
                <w:sz w:val="20"/>
                <w:lang w:val="en-GB" w:eastAsia="en-GB"/>
              </w:rPr>
            </w:pPr>
            <w:r w:rsidRPr="008340BB">
              <w:rPr>
                <w:sz w:val="20"/>
                <w:lang w:val="en-GB" w:eastAsia="en-GB"/>
              </w:rPr>
              <w:t xml:space="preserve">Certified expenditure </w:t>
            </w:r>
          </w:p>
        </w:tc>
        <w:tc>
          <w:tcPr>
            <w:tcW w:w="486" w:type="pct"/>
          </w:tcPr>
          <w:p w14:paraId="21122E3B" w14:textId="77777777" w:rsidR="00F1341F" w:rsidRPr="008340BB" w:rsidRDefault="00F1341F" w:rsidP="00067686">
            <w:pPr>
              <w:pStyle w:val="Text1"/>
              <w:ind w:left="0"/>
              <w:rPr>
                <w:sz w:val="20"/>
                <w:lang w:val="en-GB" w:eastAsia="en-GB"/>
              </w:rPr>
            </w:pPr>
            <w:r w:rsidRPr="008340BB">
              <w:rPr>
                <w:sz w:val="20"/>
                <w:lang w:val="en-GB" w:eastAsia="en-GB"/>
              </w:rPr>
              <w:t xml:space="preserve">euro </w:t>
            </w:r>
          </w:p>
        </w:tc>
        <w:tc>
          <w:tcPr>
            <w:tcW w:w="292" w:type="pct"/>
          </w:tcPr>
          <w:p w14:paraId="51845A02" w14:textId="77777777" w:rsidR="00F1341F" w:rsidRPr="008340BB" w:rsidRDefault="00F1341F" w:rsidP="00067686">
            <w:pPr>
              <w:pStyle w:val="Text1"/>
              <w:ind w:left="0"/>
              <w:rPr>
                <w:sz w:val="20"/>
                <w:lang w:val="en-GB" w:eastAsia="en-GB"/>
              </w:rPr>
            </w:pPr>
            <w:r w:rsidRPr="008340BB">
              <w:rPr>
                <w:sz w:val="20"/>
                <w:lang w:val="en-GB" w:eastAsia="en-GB"/>
              </w:rPr>
              <w:t>CF</w:t>
            </w:r>
          </w:p>
        </w:tc>
        <w:tc>
          <w:tcPr>
            <w:tcW w:w="486" w:type="pct"/>
          </w:tcPr>
          <w:p w14:paraId="5D7DF0FE" w14:textId="77777777" w:rsidR="00F1341F" w:rsidRPr="008340BB" w:rsidRDefault="00F1341F" w:rsidP="00067686">
            <w:pPr>
              <w:pStyle w:val="Text1"/>
              <w:ind w:left="0"/>
              <w:rPr>
                <w:sz w:val="20"/>
                <w:lang w:val="en-GB" w:eastAsia="en-GB"/>
              </w:rPr>
            </w:pPr>
            <w:r w:rsidRPr="008340BB">
              <w:rPr>
                <w:sz w:val="20"/>
                <w:lang w:val="en-GB" w:eastAsia="en-GB"/>
              </w:rPr>
              <w:t>N/A</w:t>
            </w:r>
          </w:p>
        </w:tc>
        <w:tc>
          <w:tcPr>
            <w:tcW w:w="501" w:type="pct"/>
          </w:tcPr>
          <w:p w14:paraId="43931A30" w14:textId="561E938E" w:rsidR="00F1341F" w:rsidRPr="008340BB" w:rsidRDefault="004E06ED" w:rsidP="00AE4FA3">
            <w:pPr>
              <w:pStyle w:val="Text1"/>
              <w:ind w:left="0"/>
              <w:jc w:val="left"/>
              <w:rPr>
                <w:sz w:val="20"/>
                <w:lang w:val="en-GB" w:eastAsia="en-GB"/>
              </w:rPr>
            </w:pPr>
            <w:r w:rsidRPr="008340BB">
              <w:rPr>
                <w:sz w:val="18"/>
                <w:szCs w:val="18"/>
                <w:lang w:eastAsia="bg-BG"/>
              </w:rPr>
              <w:t>63 000</w:t>
            </w:r>
            <w:r w:rsidR="000B4431">
              <w:rPr>
                <w:sz w:val="18"/>
                <w:szCs w:val="18"/>
                <w:lang w:eastAsia="bg-BG"/>
              </w:rPr>
              <w:t> </w:t>
            </w:r>
            <w:r w:rsidRPr="008340BB">
              <w:rPr>
                <w:sz w:val="18"/>
                <w:szCs w:val="18"/>
                <w:lang w:eastAsia="bg-BG"/>
              </w:rPr>
              <w:t>000</w:t>
            </w:r>
          </w:p>
        </w:tc>
        <w:tc>
          <w:tcPr>
            <w:tcW w:w="521" w:type="pct"/>
          </w:tcPr>
          <w:p w14:paraId="404F4D7B" w14:textId="2E35B214" w:rsidR="00E50570" w:rsidRPr="00DD7B5D" w:rsidRDefault="00E50570" w:rsidP="00E50570">
            <w:pPr>
              <w:pStyle w:val="Text1"/>
              <w:ind w:left="303" w:hanging="284"/>
              <w:rPr>
                <w:sz w:val="18"/>
                <w:szCs w:val="18"/>
                <w:lang w:val="en-US" w:eastAsia="bg-BG"/>
              </w:rPr>
            </w:pPr>
            <w:r w:rsidRPr="00DD7B5D">
              <w:rPr>
                <w:sz w:val="18"/>
                <w:szCs w:val="18"/>
                <w:lang w:val="en-US" w:eastAsia="bg-BG"/>
              </w:rPr>
              <w:t>54</w:t>
            </w:r>
            <w:r w:rsidR="00805F04" w:rsidRPr="00DD7B5D">
              <w:rPr>
                <w:sz w:val="18"/>
                <w:szCs w:val="18"/>
                <w:lang w:eastAsia="bg-BG"/>
              </w:rPr>
              <w:t>0</w:t>
            </w:r>
            <w:r w:rsidRPr="00DD7B5D">
              <w:rPr>
                <w:sz w:val="18"/>
                <w:szCs w:val="18"/>
                <w:lang w:val="en-US" w:eastAsia="bg-BG"/>
              </w:rPr>
              <w:t> 000 000</w:t>
            </w:r>
          </w:p>
          <w:p w14:paraId="0F34F0EA" w14:textId="5CFD673B" w:rsidR="007C4A32" w:rsidRPr="00DD7B5D" w:rsidRDefault="007C4A32" w:rsidP="00AE4FA3">
            <w:pPr>
              <w:pStyle w:val="Text1"/>
              <w:ind w:left="0"/>
              <w:jc w:val="left"/>
              <w:rPr>
                <w:sz w:val="18"/>
                <w:szCs w:val="18"/>
                <w:lang w:val="en-US" w:eastAsia="bg-BG"/>
              </w:rPr>
            </w:pPr>
          </w:p>
          <w:p w14:paraId="7D607C13" w14:textId="4EE6B4D5" w:rsidR="00F1341F" w:rsidRPr="00DD7B5D" w:rsidRDefault="00F1341F" w:rsidP="004F6412">
            <w:pPr>
              <w:pStyle w:val="Text1"/>
              <w:ind w:left="0"/>
              <w:jc w:val="left"/>
              <w:rPr>
                <w:sz w:val="20"/>
                <w:lang w:val="en-GB" w:eastAsia="en-GB"/>
              </w:rPr>
            </w:pPr>
          </w:p>
        </w:tc>
        <w:tc>
          <w:tcPr>
            <w:tcW w:w="535" w:type="pct"/>
          </w:tcPr>
          <w:p w14:paraId="7984E088" w14:textId="77777777" w:rsidR="00F1341F" w:rsidRPr="008340BB" w:rsidRDefault="00F1341F" w:rsidP="00067686">
            <w:pPr>
              <w:pStyle w:val="Text1"/>
              <w:ind w:left="0"/>
              <w:rPr>
                <w:sz w:val="20"/>
                <w:lang w:val="en-GB" w:eastAsia="en-GB"/>
              </w:rPr>
            </w:pPr>
            <w:r w:rsidRPr="008340BB">
              <w:rPr>
                <w:sz w:val="20"/>
                <w:lang w:val="en-GB" w:eastAsia="en-GB"/>
              </w:rPr>
              <w:t>Certifying Authority</w:t>
            </w:r>
          </w:p>
        </w:tc>
        <w:tc>
          <w:tcPr>
            <w:tcW w:w="633" w:type="pct"/>
          </w:tcPr>
          <w:p w14:paraId="79A6B684" w14:textId="77777777" w:rsidR="00F1341F" w:rsidRPr="008340BB" w:rsidRDefault="00F1341F" w:rsidP="00AE4FA3">
            <w:pPr>
              <w:pStyle w:val="Text1"/>
              <w:ind w:left="0"/>
              <w:jc w:val="left"/>
              <w:rPr>
                <w:sz w:val="20"/>
                <w:lang w:val="en-GB" w:eastAsia="en-GB"/>
              </w:rPr>
            </w:pPr>
            <w:r w:rsidRPr="008340BB">
              <w:rPr>
                <w:sz w:val="20"/>
                <w:lang w:val="en-GB" w:eastAsia="en-GB"/>
              </w:rPr>
              <w:t xml:space="preserve">This financial indicator is suggested to be used in the guide for determining </w:t>
            </w:r>
            <w:r w:rsidRPr="008340BB">
              <w:rPr>
                <w:sz w:val="20"/>
                <w:lang w:val="en-GB" w:eastAsia="en-GB"/>
              </w:rPr>
              <w:lastRenderedPageBreak/>
              <w:t>milestones and targets for the performance framework</w:t>
            </w:r>
          </w:p>
        </w:tc>
      </w:tr>
      <w:tr w:rsidR="00F1341F" w:rsidRPr="008340BB" w14:paraId="0817101E" w14:textId="77777777" w:rsidTr="00FB7356">
        <w:tc>
          <w:tcPr>
            <w:tcW w:w="470" w:type="pct"/>
          </w:tcPr>
          <w:p w14:paraId="3564647D" w14:textId="77777777" w:rsidR="00F1341F" w:rsidRPr="008340BB" w:rsidRDefault="00F1341F" w:rsidP="00E85FC8">
            <w:pPr>
              <w:pStyle w:val="Text1"/>
              <w:ind w:left="0"/>
              <w:jc w:val="left"/>
              <w:rPr>
                <w:sz w:val="20"/>
                <w:lang w:val="en-GB" w:eastAsia="en-GB"/>
              </w:rPr>
            </w:pPr>
            <w:r w:rsidRPr="008340BB">
              <w:rPr>
                <w:i/>
                <w:sz w:val="18"/>
                <w:szCs w:val="18"/>
                <w:lang w:val="en-GB" w:eastAsia="en-GB"/>
              </w:rPr>
              <w:lastRenderedPageBreak/>
              <w:t>4</w:t>
            </w:r>
          </w:p>
        </w:tc>
        <w:tc>
          <w:tcPr>
            <w:tcW w:w="540" w:type="pct"/>
          </w:tcPr>
          <w:p w14:paraId="676FCF66" w14:textId="77777777" w:rsidR="00F1341F" w:rsidRPr="008340BB" w:rsidRDefault="00F1341F" w:rsidP="00067686">
            <w:pPr>
              <w:pStyle w:val="Text1"/>
              <w:ind w:left="0"/>
              <w:rPr>
                <w:sz w:val="18"/>
                <w:szCs w:val="18"/>
                <w:lang w:val="en-GB" w:eastAsia="en-GB"/>
              </w:rPr>
            </w:pPr>
            <w:r w:rsidRPr="008340BB">
              <w:rPr>
                <w:sz w:val="18"/>
                <w:szCs w:val="18"/>
                <w:lang w:val="en-GB" w:eastAsia="en-GB"/>
              </w:rPr>
              <w:t>key implementation step</w:t>
            </w:r>
          </w:p>
        </w:tc>
        <w:tc>
          <w:tcPr>
            <w:tcW w:w="536" w:type="pct"/>
          </w:tcPr>
          <w:p w14:paraId="47745A8A" w14:textId="77777777" w:rsidR="00F1341F" w:rsidRPr="008340BB" w:rsidRDefault="00F1341F" w:rsidP="007D28F5">
            <w:pPr>
              <w:pStyle w:val="Text1"/>
              <w:ind w:left="0"/>
              <w:jc w:val="left"/>
              <w:rPr>
                <w:sz w:val="20"/>
                <w:lang w:val="en-GB" w:eastAsia="en-GB"/>
              </w:rPr>
            </w:pPr>
            <w:r w:rsidRPr="008340BB">
              <w:rPr>
                <w:sz w:val="20"/>
                <w:lang w:val="en-GB" w:eastAsia="en-GB"/>
              </w:rPr>
              <w:t>Number of major projects with started construction</w:t>
            </w:r>
          </w:p>
        </w:tc>
        <w:tc>
          <w:tcPr>
            <w:tcW w:w="486" w:type="pct"/>
          </w:tcPr>
          <w:p w14:paraId="55C23BD8" w14:textId="77777777" w:rsidR="00F1341F" w:rsidRPr="008340BB" w:rsidRDefault="00F1341F" w:rsidP="00067686">
            <w:pPr>
              <w:pStyle w:val="Text1"/>
              <w:ind w:left="0"/>
              <w:rPr>
                <w:sz w:val="20"/>
                <w:lang w:val="en-GB" w:eastAsia="en-GB"/>
              </w:rPr>
            </w:pPr>
            <w:r w:rsidRPr="008340BB">
              <w:rPr>
                <w:sz w:val="20"/>
                <w:lang w:val="en-GB" w:eastAsia="en-GB"/>
              </w:rPr>
              <w:t xml:space="preserve">number </w:t>
            </w:r>
          </w:p>
        </w:tc>
        <w:tc>
          <w:tcPr>
            <w:tcW w:w="292" w:type="pct"/>
          </w:tcPr>
          <w:p w14:paraId="177EB3E6" w14:textId="77777777" w:rsidR="00F1341F" w:rsidRPr="008340BB" w:rsidRDefault="00F1341F" w:rsidP="00067686">
            <w:pPr>
              <w:pStyle w:val="Text1"/>
              <w:ind w:left="0"/>
              <w:rPr>
                <w:sz w:val="20"/>
                <w:lang w:val="en-GB" w:eastAsia="en-GB"/>
              </w:rPr>
            </w:pPr>
            <w:r w:rsidRPr="008340BB">
              <w:rPr>
                <w:sz w:val="20"/>
                <w:lang w:val="en-GB" w:eastAsia="en-GB"/>
              </w:rPr>
              <w:t>CF</w:t>
            </w:r>
          </w:p>
        </w:tc>
        <w:tc>
          <w:tcPr>
            <w:tcW w:w="486" w:type="pct"/>
          </w:tcPr>
          <w:p w14:paraId="72C83DA4" w14:textId="77777777" w:rsidR="00F1341F" w:rsidRPr="008340BB" w:rsidRDefault="00F1341F" w:rsidP="00067686">
            <w:pPr>
              <w:pStyle w:val="Text1"/>
              <w:ind w:left="0"/>
              <w:rPr>
                <w:sz w:val="20"/>
                <w:lang w:val="en-GB" w:eastAsia="en-GB"/>
              </w:rPr>
            </w:pPr>
            <w:r w:rsidRPr="008340BB">
              <w:rPr>
                <w:sz w:val="20"/>
                <w:lang w:val="en-GB" w:eastAsia="en-GB"/>
              </w:rPr>
              <w:t>N/A</w:t>
            </w:r>
          </w:p>
        </w:tc>
        <w:tc>
          <w:tcPr>
            <w:tcW w:w="501" w:type="pct"/>
          </w:tcPr>
          <w:p w14:paraId="06F1BA89" w14:textId="77777777" w:rsidR="00F1341F" w:rsidRPr="008340BB" w:rsidRDefault="00F1341F" w:rsidP="00067686">
            <w:pPr>
              <w:autoSpaceDE w:val="0"/>
              <w:autoSpaceDN w:val="0"/>
              <w:adjustRightInd w:val="0"/>
              <w:rPr>
                <w:sz w:val="20"/>
              </w:rPr>
            </w:pPr>
            <w:r w:rsidRPr="008340BB">
              <w:rPr>
                <w:sz w:val="18"/>
                <w:szCs w:val="18"/>
              </w:rPr>
              <w:t>1</w:t>
            </w:r>
          </w:p>
        </w:tc>
        <w:tc>
          <w:tcPr>
            <w:tcW w:w="521" w:type="pct"/>
          </w:tcPr>
          <w:p w14:paraId="028DDA49" w14:textId="6783D1A7" w:rsidR="00F1341F" w:rsidRPr="008340BB" w:rsidRDefault="00B54961" w:rsidP="00067686">
            <w:pPr>
              <w:autoSpaceDE w:val="0"/>
              <w:autoSpaceDN w:val="0"/>
              <w:adjustRightInd w:val="0"/>
              <w:rPr>
                <w:sz w:val="20"/>
              </w:rPr>
            </w:pPr>
            <w:r>
              <w:rPr>
                <w:sz w:val="18"/>
                <w:szCs w:val="18"/>
              </w:rPr>
              <w:t>3</w:t>
            </w:r>
          </w:p>
        </w:tc>
        <w:tc>
          <w:tcPr>
            <w:tcW w:w="535" w:type="pct"/>
          </w:tcPr>
          <w:p w14:paraId="16FBE50F" w14:textId="77777777" w:rsidR="00F1341F" w:rsidRPr="008340BB" w:rsidRDefault="00F1341F" w:rsidP="00067686">
            <w:pPr>
              <w:pStyle w:val="Text1"/>
              <w:ind w:left="0"/>
              <w:rPr>
                <w:sz w:val="20"/>
                <w:lang w:val="en-GB" w:eastAsia="en-GB"/>
              </w:rPr>
            </w:pPr>
            <w:r w:rsidRPr="008340BB">
              <w:rPr>
                <w:sz w:val="20"/>
                <w:lang w:val="en-GB" w:eastAsia="en-GB"/>
              </w:rPr>
              <w:t>Managing Authority</w:t>
            </w:r>
          </w:p>
        </w:tc>
        <w:tc>
          <w:tcPr>
            <w:tcW w:w="633" w:type="pct"/>
          </w:tcPr>
          <w:p w14:paraId="588F2F51" w14:textId="77777777" w:rsidR="00F1341F" w:rsidRPr="008340BB" w:rsidRDefault="00F1341F" w:rsidP="00F41EE9">
            <w:pPr>
              <w:pStyle w:val="Text1"/>
              <w:ind w:left="0"/>
              <w:jc w:val="left"/>
              <w:rPr>
                <w:sz w:val="20"/>
                <w:lang w:val="en-GB" w:eastAsia="en-GB"/>
              </w:rPr>
            </w:pPr>
            <w:r w:rsidRPr="008340BB">
              <w:rPr>
                <w:sz w:val="20"/>
                <w:lang w:val="en-GB" w:eastAsia="en-GB"/>
              </w:rPr>
              <w:t>We suggest using this implementation step because no measurable output is expected, as an output of fully implemented projects in 2018.</w:t>
            </w:r>
          </w:p>
        </w:tc>
      </w:tr>
    </w:tbl>
    <w:p w14:paraId="77D212A1" w14:textId="77777777" w:rsidR="00F1341F" w:rsidRPr="008340BB" w:rsidRDefault="00F1341F" w:rsidP="00387053">
      <w:pPr>
        <w:suppressAutoHyphens/>
        <w:rPr>
          <w:i/>
        </w:rPr>
      </w:pPr>
      <w:r w:rsidRPr="008340BB">
        <w:rPr>
          <w:rStyle w:val="hps"/>
        </w:rPr>
        <w:t>The milestone of the</w:t>
      </w:r>
      <w:r w:rsidRPr="008340BB">
        <w:t xml:space="preserve"> </w:t>
      </w:r>
      <w:r w:rsidRPr="008340BB">
        <w:rPr>
          <w:rStyle w:val="hps"/>
        </w:rPr>
        <w:t>financial</w:t>
      </w:r>
      <w:r w:rsidRPr="008340BB">
        <w:t xml:space="preserve"> </w:t>
      </w:r>
      <w:r w:rsidRPr="008340BB">
        <w:rPr>
          <w:rStyle w:val="hps"/>
        </w:rPr>
        <w:t>indicator is</w:t>
      </w:r>
      <w:r w:rsidRPr="008340BB">
        <w:t xml:space="preserve"> </w:t>
      </w:r>
      <w:r w:rsidRPr="008340BB">
        <w:rPr>
          <w:rStyle w:val="hps"/>
        </w:rPr>
        <w:t>based on the</w:t>
      </w:r>
      <w:r w:rsidRPr="008340BB">
        <w:t xml:space="preserve"> </w:t>
      </w:r>
      <w:r w:rsidRPr="008340BB">
        <w:rPr>
          <w:rStyle w:val="hps"/>
        </w:rPr>
        <w:t>total amount of</w:t>
      </w:r>
      <w:r w:rsidRPr="008340BB">
        <w:t xml:space="preserve"> </w:t>
      </w:r>
      <w:r w:rsidRPr="008340BB">
        <w:rPr>
          <w:rStyle w:val="hps"/>
        </w:rPr>
        <w:t>grant funding</w:t>
      </w:r>
      <w:r w:rsidRPr="008340BB">
        <w:t xml:space="preserve"> </w:t>
      </w:r>
      <w:r w:rsidRPr="008340BB">
        <w:rPr>
          <w:rStyle w:val="hps"/>
        </w:rPr>
        <w:t>(w/o</w:t>
      </w:r>
      <w:r w:rsidRPr="008340BB">
        <w:t xml:space="preserve"> </w:t>
      </w:r>
      <w:r w:rsidRPr="008340BB">
        <w:rPr>
          <w:rStyle w:val="hps"/>
        </w:rPr>
        <w:t>performance reserve</w:t>
      </w:r>
      <w:r w:rsidRPr="008340BB">
        <w:t xml:space="preserve">) </w:t>
      </w:r>
      <w:r w:rsidRPr="008340BB">
        <w:rPr>
          <w:rStyle w:val="hps"/>
        </w:rPr>
        <w:t>and the past experience</w:t>
      </w:r>
      <w:r w:rsidRPr="008340BB">
        <w:t xml:space="preserve"> </w:t>
      </w:r>
      <w:r w:rsidRPr="008340BB">
        <w:rPr>
          <w:rStyle w:val="hps"/>
        </w:rPr>
        <w:t>of the implementation</w:t>
      </w:r>
      <w:r w:rsidRPr="008340BB">
        <w:t xml:space="preserve"> </w:t>
      </w:r>
      <w:r w:rsidRPr="008340BB">
        <w:rPr>
          <w:rStyle w:val="hps"/>
        </w:rPr>
        <w:t>of the OPT</w:t>
      </w:r>
      <w:r w:rsidRPr="008340BB">
        <w:t xml:space="preserve">, i.e. by </w:t>
      </w:r>
      <w:r w:rsidRPr="008340BB">
        <w:rPr>
          <w:rStyle w:val="hps"/>
        </w:rPr>
        <w:t>2018</w:t>
      </w:r>
      <w:r w:rsidRPr="008340BB">
        <w:t xml:space="preserve"> </w:t>
      </w:r>
      <w:r w:rsidRPr="008340BB">
        <w:rPr>
          <w:rStyle w:val="hps"/>
        </w:rPr>
        <w:t>to</w:t>
      </w:r>
      <w:r w:rsidRPr="008340BB">
        <w:t xml:space="preserve"> </w:t>
      </w:r>
      <w:r w:rsidRPr="008340BB">
        <w:rPr>
          <w:rStyle w:val="hps"/>
        </w:rPr>
        <w:t>be concluded</w:t>
      </w:r>
      <w:r w:rsidRPr="008340BB">
        <w:t xml:space="preserve"> </w:t>
      </w:r>
      <w:r w:rsidRPr="008340BB">
        <w:rPr>
          <w:rStyle w:val="hps"/>
        </w:rPr>
        <w:t>50% of</w:t>
      </w:r>
      <w:r w:rsidRPr="008340BB">
        <w:t xml:space="preserve"> </w:t>
      </w:r>
      <w:r w:rsidRPr="008340BB">
        <w:rPr>
          <w:rStyle w:val="hps"/>
        </w:rPr>
        <w:t>contracts</w:t>
      </w:r>
      <w:r w:rsidRPr="008340BB">
        <w:t xml:space="preserve"> </w:t>
      </w:r>
      <w:r w:rsidRPr="008340BB">
        <w:rPr>
          <w:rStyle w:val="hps"/>
        </w:rPr>
        <w:t>for programme</w:t>
      </w:r>
      <w:r w:rsidRPr="008340BB">
        <w:t xml:space="preserve"> </w:t>
      </w:r>
      <w:r w:rsidRPr="008340BB">
        <w:rPr>
          <w:rStyle w:val="hps"/>
        </w:rPr>
        <w:t>implementation.</w:t>
      </w:r>
    </w:p>
    <w:p w14:paraId="5121B27B" w14:textId="77777777" w:rsidR="00F1341F" w:rsidRPr="008340BB" w:rsidRDefault="00F1341F" w:rsidP="008B4180">
      <w:pPr>
        <w:suppressAutoHyphens/>
      </w:pPr>
      <w:r w:rsidRPr="008340BB">
        <w:t xml:space="preserve">Additional qualitative information on the establishment of the performance framework </w:t>
      </w:r>
    </w:p>
    <w:p w14:paraId="14C90C9A" w14:textId="77777777" w:rsidR="00F1341F" w:rsidRPr="008340BB" w:rsidRDefault="00F1341F" w:rsidP="008B4180">
      <w:pPr>
        <w:suppressAutoHyphens/>
        <w:rPr>
          <w:b/>
        </w:rPr>
      </w:pPr>
      <w:r w:rsidRPr="008340BB">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7"/>
      </w:tblGrid>
      <w:tr w:rsidR="00F1341F" w:rsidRPr="008340BB" w14:paraId="7A59D808" w14:textId="77777777" w:rsidTr="00067686">
        <w:trPr>
          <w:trHeight w:val="678"/>
        </w:trPr>
        <w:tc>
          <w:tcPr>
            <w:tcW w:w="14567" w:type="dxa"/>
          </w:tcPr>
          <w:p w14:paraId="7FF52358" w14:textId="77777777" w:rsidR="00F1341F" w:rsidRPr="008340BB" w:rsidRDefault="00F1341F" w:rsidP="00067686">
            <w:pPr>
              <w:pStyle w:val="Text1"/>
              <w:ind w:left="0"/>
              <w:rPr>
                <w:i/>
                <w:color w:val="8DB3E2"/>
                <w:sz w:val="18"/>
                <w:szCs w:val="18"/>
                <w:lang w:val="en-GB" w:eastAsia="en-GB"/>
              </w:rPr>
            </w:pPr>
            <w:r w:rsidRPr="008340BB">
              <w:rPr>
                <w:sz w:val="24"/>
                <w:szCs w:val="24"/>
                <w:lang w:val="en-GB" w:eastAsia="en-GB"/>
              </w:rPr>
              <w:t>Investment priorities will be implemented through the provision of grants.</w:t>
            </w:r>
          </w:p>
        </w:tc>
      </w:tr>
    </w:tbl>
    <w:p w14:paraId="63C1AEDA" w14:textId="77777777" w:rsidR="00F1341F" w:rsidRPr="008340BB" w:rsidRDefault="00F1341F" w:rsidP="008B4180">
      <w:pPr>
        <w:suppressAutoHyphens/>
        <w:rPr>
          <w:b/>
        </w:rPr>
      </w:pPr>
    </w:p>
    <w:p w14:paraId="185DDC75" w14:textId="77777777" w:rsidR="00F1341F" w:rsidRPr="008340BB" w:rsidRDefault="00F1341F" w:rsidP="008B4180">
      <w:pPr>
        <w:suppressAutoHyphens/>
        <w:rPr>
          <w:b/>
        </w:rPr>
        <w:sectPr w:rsidR="00F1341F" w:rsidRPr="008340BB" w:rsidSect="001E1D6F">
          <w:headerReference w:type="default" r:id="rId41"/>
          <w:footerReference w:type="default" r:id="rId42"/>
          <w:headerReference w:type="first" r:id="rId43"/>
          <w:footerReference w:type="first" r:id="rId44"/>
          <w:pgSz w:w="16838" w:h="11906" w:orient="landscape"/>
          <w:pgMar w:top="1418" w:right="1021" w:bottom="1418" w:left="1021" w:header="601" w:footer="1077" w:gutter="0"/>
          <w:cols w:space="708"/>
          <w:docGrid w:linePitch="326"/>
        </w:sectPr>
      </w:pPr>
    </w:p>
    <w:p w14:paraId="63DF2043" w14:textId="77777777" w:rsidR="00F1341F" w:rsidRPr="008340BB" w:rsidRDefault="00F1341F" w:rsidP="008B4180">
      <w:pPr>
        <w:suppressAutoHyphens/>
        <w:ind w:left="1418" w:hanging="1418"/>
        <w:rPr>
          <w:b/>
        </w:rPr>
      </w:pPr>
      <w:r w:rsidRPr="008340BB">
        <w:rPr>
          <w:b/>
        </w:rPr>
        <w:lastRenderedPageBreak/>
        <w:t xml:space="preserve">2.A.2.8 </w:t>
      </w:r>
      <w:r w:rsidRPr="008340BB">
        <w:rPr>
          <w:b/>
        </w:rPr>
        <w:tab/>
        <w:t xml:space="preserve">Categories of intervention </w:t>
      </w:r>
    </w:p>
    <w:p w14:paraId="01E5872E" w14:textId="77777777" w:rsidR="00F1341F" w:rsidRPr="008340BB" w:rsidRDefault="00F1341F" w:rsidP="008B4180">
      <w:pPr>
        <w:suppressAutoHyphens/>
        <w:ind w:left="1418" w:hanging="1418"/>
      </w:pPr>
      <w:r w:rsidRPr="008340BB">
        <w:t>(Reference: point (b)(vi) of Article 96(2) of Regulation (EU) No 1303/2013)</w:t>
      </w:r>
    </w:p>
    <w:p w14:paraId="5D7FA535" w14:textId="77777777" w:rsidR="00F1341F" w:rsidRPr="008340BB" w:rsidRDefault="00F1341F" w:rsidP="008B4180">
      <w:pPr>
        <w:suppressAutoHyphens/>
        <w:rPr>
          <w:szCs w:val="24"/>
        </w:rPr>
      </w:pPr>
      <w:r w:rsidRPr="008340BB">
        <w:t xml:space="preserve">Categories of intervention corresponding to the content of the priority axis based on a nomenclature adopted by the Commission, and indicative breakdown of </w:t>
      </w:r>
      <w:r w:rsidRPr="008340BB">
        <w:rPr>
          <w:szCs w:val="24"/>
        </w:rPr>
        <w:t>Union support.</w:t>
      </w:r>
    </w:p>
    <w:p w14:paraId="04F1D6A0" w14:textId="77777777" w:rsidR="00F1341F" w:rsidRPr="008340BB" w:rsidRDefault="00F1341F" w:rsidP="008B4180">
      <w:pPr>
        <w:suppressAutoHyphens/>
        <w:ind w:left="1418" w:hanging="1418"/>
        <w:rPr>
          <w:b/>
          <w:szCs w:val="24"/>
        </w:rPr>
      </w:pPr>
      <w:r w:rsidRPr="008340BB">
        <w:rPr>
          <w:b/>
          <w:szCs w:val="24"/>
        </w:rPr>
        <w:t xml:space="preserve">Tables 7-11: </w:t>
      </w:r>
      <w:r w:rsidRPr="008340BB">
        <w:rPr>
          <w:b/>
          <w:szCs w:val="24"/>
        </w:rPr>
        <w:tab/>
        <w:t>Categories of intervention</w:t>
      </w:r>
      <w:r w:rsidRPr="008340BB">
        <w:rPr>
          <w:rStyle w:val="FootnoteReference"/>
          <w:b/>
          <w:szCs w:val="24"/>
        </w:rPr>
        <w:footnoteReference w:id="37"/>
      </w:r>
      <w:r w:rsidRPr="008340BB">
        <w:rPr>
          <w:b/>
          <w:szCs w:val="24"/>
        </w:rPr>
        <w:t xml:space="preserve"> </w:t>
      </w:r>
    </w:p>
    <w:p w14:paraId="4CC35F9D" w14:textId="77777777" w:rsidR="00F1341F" w:rsidRPr="0067246B" w:rsidRDefault="00F1341F" w:rsidP="008B4180">
      <w:pPr>
        <w:suppressAutoHyphens/>
        <w:ind w:left="1418" w:hanging="1418"/>
        <w:rPr>
          <w:szCs w:val="24"/>
        </w:rPr>
      </w:pPr>
      <w:r w:rsidRPr="0067246B">
        <w:rPr>
          <w:szCs w:val="24"/>
        </w:rPr>
        <w:t xml:space="preserve">(by Fund and category of region, if the priority axis covers more than 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3F988C48" w14:textId="77777777" w:rsidTr="00067686">
        <w:trPr>
          <w:trHeight w:val="364"/>
        </w:trPr>
        <w:tc>
          <w:tcPr>
            <w:tcW w:w="8472" w:type="dxa"/>
            <w:gridSpan w:val="4"/>
          </w:tcPr>
          <w:p w14:paraId="7E37D94E" w14:textId="77777777" w:rsidR="00F1341F" w:rsidRPr="00020ADD" w:rsidRDefault="00F1341F" w:rsidP="00067686">
            <w:pPr>
              <w:autoSpaceDE w:val="0"/>
              <w:autoSpaceDN w:val="0"/>
              <w:adjustRightInd w:val="0"/>
              <w:spacing w:after="0"/>
              <w:jc w:val="left"/>
              <w:rPr>
                <w:rFonts w:ascii="TimesNewRoman" w:cs="TimesNewRoman"/>
                <w:b/>
                <w:color w:val="000000"/>
                <w:sz w:val="20"/>
              </w:rPr>
            </w:pPr>
            <w:r w:rsidRPr="00020ADD">
              <w:rPr>
                <w:rFonts w:ascii="TimesNewRoman,Bold" w:hAnsi="TimesNewRoman,Bold" w:cs="TimesNewRoman,Bold"/>
                <w:b/>
                <w:bCs/>
                <w:color w:val="000000"/>
                <w:sz w:val="20"/>
              </w:rPr>
              <w:t>Table 7: Dimension 1 – Intervention field</w:t>
            </w:r>
          </w:p>
        </w:tc>
      </w:tr>
      <w:tr w:rsidR="00F1341F" w:rsidRPr="008340BB" w14:paraId="5C54436F" w14:textId="77777777" w:rsidTr="00067686">
        <w:trPr>
          <w:trHeight w:val="364"/>
        </w:trPr>
        <w:tc>
          <w:tcPr>
            <w:tcW w:w="2802" w:type="dxa"/>
            <w:gridSpan w:val="2"/>
          </w:tcPr>
          <w:p w14:paraId="5A4A853D" w14:textId="77777777" w:rsidR="00F1341F" w:rsidRPr="008340BB" w:rsidRDefault="00F1341F" w:rsidP="00067686">
            <w:pPr>
              <w:autoSpaceDE w:val="0"/>
              <w:autoSpaceDN w:val="0"/>
              <w:adjustRightInd w:val="0"/>
              <w:spacing w:after="0"/>
              <w:jc w:val="left"/>
              <w:rPr>
                <w:bCs/>
                <w:sz w:val="20"/>
              </w:rPr>
            </w:pPr>
            <w:r w:rsidRPr="008340BB">
              <w:rPr>
                <w:b/>
                <w:sz w:val="18"/>
                <w:szCs w:val="18"/>
              </w:rPr>
              <w:t>Priority axis</w:t>
            </w:r>
            <w:r w:rsidRPr="008340BB" w:rsidDel="00196680">
              <w:rPr>
                <w:bCs/>
                <w:sz w:val="20"/>
              </w:rPr>
              <w:t xml:space="preserve"> </w:t>
            </w:r>
          </w:p>
        </w:tc>
        <w:tc>
          <w:tcPr>
            <w:tcW w:w="5670" w:type="dxa"/>
            <w:gridSpan w:val="2"/>
          </w:tcPr>
          <w:p w14:paraId="77E66241" w14:textId="77777777" w:rsidR="00F1341F" w:rsidRPr="008340BB" w:rsidRDefault="00F1341F" w:rsidP="00512931">
            <w:pPr>
              <w:autoSpaceDE w:val="0"/>
              <w:autoSpaceDN w:val="0"/>
              <w:adjustRightInd w:val="0"/>
              <w:spacing w:after="0"/>
              <w:jc w:val="left"/>
              <w:rPr>
                <w:bCs/>
                <w:sz w:val="20"/>
              </w:rPr>
            </w:pPr>
            <w:r w:rsidRPr="008340BB">
              <w:rPr>
                <w:sz w:val="18"/>
                <w:szCs w:val="18"/>
              </w:rPr>
              <w:t>“Development of road infrastructure along the „core” and “comprehensive” Trans-European transport network”</w:t>
            </w:r>
          </w:p>
        </w:tc>
      </w:tr>
      <w:tr w:rsidR="00F1341F" w:rsidRPr="008340BB" w14:paraId="22F67E50" w14:textId="77777777" w:rsidTr="00D30B7A">
        <w:trPr>
          <w:trHeight w:val="267"/>
        </w:trPr>
        <w:tc>
          <w:tcPr>
            <w:tcW w:w="1401" w:type="dxa"/>
          </w:tcPr>
          <w:p w14:paraId="27ABE1DA" w14:textId="77777777" w:rsidR="00F1341F" w:rsidRPr="008340BB" w:rsidRDefault="00F1341F" w:rsidP="00067686">
            <w:pPr>
              <w:jc w:val="center"/>
              <w:rPr>
                <w:b/>
                <w:sz w:val="18"/>
                <w:szCs w:val="18"/>
              </w:rPr>
            </w:pPr>
            <w:r w:rsidRPr="008340BB">
              <w:rPr>
                <w:b/>
                <w:bCs/>
                <w:sz w:val="20"/>
              </w:rPr>
              <w:t>Fund</w:t>
            </w:r>
            <w:r w:rsidRPr="008340BB" w:rsidDel="00196680">
              <w:rPr>
                <w:b/>
                <w:sz w:val="18"/>
                <w:szCs w:val="18"/>
              </w:rPr>
              <w:t xml:space="preserve"> </w:t>
            </w:r>
          </w:p>
        </w:tc>
        <w:tc>
          <w:tcPr>
            <w:tcW w:w="1401" w:type="dxa"/>
          </w:tcPr>
          <w:p w14:paraId="08042A96" w14:textId="77777777" w:rsidR="00F1341F" w:rsidRPr="008340BB" w:rsidRDefault="00F1341F" w:rsidP="00067686">
            <w:pPr>
              <w:jc w:val="center"/>
              <w:rPr>
                <w:b/>
                <w:sz w:val="18"/>
                <w:szCs w:val="18"/>
              </w:rPr>
            </w:pPr>
            <w:r w:rsidRPr="008340BB">
              <w:rPr>
                <w:b/>
                <w:bCs/>
                <w:sz w:val="20"/>
              </w:rPr>
              <w:t>Category of region</w:t>
            </w:r>
          </w:p>
        </w:tc>
        <w:tc>
          <w:tcPr>
            <w:tcW w:w="2693" w:type="dxa"/>
          </w:tcPr>
          <w:p w14:paraId="22E26D6C" w14:textId="77777777" w:rsidR="00F1341F" w:rsidRPr="008340BB" w:rsidRDefault="00F1341F" w:rsidP="00067686">
            <w:pPr>
              <w:jc w:val="center"/>
              <w:rPr>
                <w:sz w:val="20"/>
              </w:rPr>
            </w:pPr>
            <w:r w:rsidRPr="008340BB">
              <w:rPr>
                <w:b/>
                <w:sz w:val="18"/>
                <w:szCs w:val="18"/>
              </w:rPr>
              <w:t>Code</w:t>
            </w:r>
          </w:p>
        </w:tc>
        <w:tc>
          <w:tcPr>
            <w:tcW w:w="2977" w:type="dxa"/>
          </w:tcPr>
          <w:p w14:paraId="638C9329" w14:textId="77777777" w:rsidR="00F1341F" w:rsidRPr="008340BB" w:rsidRDefault="00F1341F" w:rsidP="00067686">
            <w:pPr>
              <w:jc w:val="center"/>
              <w:rPr>
                <w:sz w:val="20"/>
              </w:rPr>
            </w:pPr>
            <w:r w:rsidRPr="008340BB">
              <w:rPr>
                <w:b/>
                <w:sz w:val="18"/>
                <w:szCs w:val="18"/>
              </w:rPr>
              <w:t>Amount (EUR)</w:t>
            </w:r>
          </w:p>
        </w:tc>
      </w:tr>
      <w:tr w:rsidR="00F1341F" w:rsidRPr="008340BB" w14:paraId="25CDEA45" w14:textId="77777777" w:rsidTr="00D30B7A">
        <w:tc>
          <w:tcPr>
            <w:tcW w:w="1401" w:type="dxa"/>
          </w:tcPr>
          <w:p w14:paraId="6558848C" w14:textId="77777777" w:rsidR="00F1341F" w:rsidRPr="008340BB" w:rsidRDefault="00F1341F" w:rsidP="00067686">
            <w:pPr>
              <w:pStyle w:val="Text1"/>
              <w:ind w:left="0"/>
              <w:jc w:val="left"/>
              <w:rPr>
                <w:sz w:val="18"/>
                <w:szCs w:val="18"/>
                <w:lang w:val="en-GB" w:eastAsia="en-GB"/>
              </w:rPr>
            </w:pPr>
            <w:r w:rsidRPr="008340BB">
              <w:rPr>
                <w:sz w:val="18"/>
                <w:szCs w:val="18"/>
                <w:lang w:val="en-GB" w:eastAsia="en-GB"/>
              </w:rPr>
              <w:t>CF</w:t>
            </w:r>
          </w:p>
        </w:tc>
        <w:tc>
          <w:tcPr>
            <w:tcW w:w="1401" w:type="dxa"/>
          </w:tcPr>
          <w:p w14:paraId="0FE1E5A0" w14:textId="77777777" w:rsidR="00F1341F" w:rsidRPr="008340BB" w:rsidRDefault="00F1341F" w:rsidP="00067686">
            <w:pPr>
              <w:pStyle w:val="Text1"/>
              <w:ind w:left="0"/>
              <w:jc w:val="left"/>
              <w:rPr>
                <w:sz w:val="18"/>
                <w:szCs w:val="18"/>
                <w:lang w:val="en-GB" w:eastAsia="en-GB"/>
              </w:rPr>
            </w:pPr>
            <w:r w:rsidRPr="008340BB">
              <w:rPr>
                <w:sz w:val="18"/>
                <w:szCs w:val="18"/>
                <w:lang w:val="en-GB" w:eastAsia="en-GB"/>
              </w:rPr>
              <w:t>N/A</w:t>
            </w:r>
          </w:p>
        </w:tc>
        <w:tc>
          <w:tcPr>
            <w:tcW w:w="2693" w:type="dxa"/>
          </w:tcPr>
          <w:p w14:paraId="6832DAC7" w14:textId="77777777" w:rsidR="00F1341F" w:rsidRPr="008340BB" w:rsidRDefault="00F1341F" w:rsidP="00FF5A20">
            <w:pPr>
              <w:pStyle w:val="Text1"/>
              <w:ind w:left="0"/>
              <w:jc w:val="left"/>
              <w:rPr>
                <w:sz w:val="18"/>
                <w:szCs w:val="18"/>
                <w:lang w:val="en-GB" w:eastAsia="en-GB"/>
              </w:rPr>
            </w:pPr>
            <w:r w:rsidRPr="008340BB">
              <w:rPr>
                <w:sz w:val="18"/>
                <w:szCs w:val="18"/>
                <w:lang w:val="en-GB" w:eastAsia="en-GB"/>
              </w:rPr>
              <w:t>028 TEN-T motorways and roads – core network (new construction)</w:t>
            </w:r>
          </w:p>
        </w:tc>
        <w:tc>
          <w:tcPr>
            <w:tcW w:w="2977" w:type="dxa"/>
          </w:tcPr>
          <w:p w14:paraId="0743FF5F" w14:textId="77777777" w:rsidR="00E27AFB" w:rsidRPr="00586661" w:rsidRDefault="00E27AFB" w:rsidP="00E27AFB">
            <w:pPr>
              <w:pStyle w:val="Text1"/>
              <w:ind w:left="67" w:hanging="67"/>
              <w:rPr>
                <w:sz w:val="18"/>
                <w:szCs w:val="18"/>
                <w:lang w:val="x-none"/>
              </w:rPr>
            </w:pPr>
            <w:r w:rsidRPr="00586661">
              <w:rPr>
                <w:sz w:val="18"/>
                <w:szCs w:val="18"/>
                <w:lang w:val="x-none"/>
              </w:rPr>
              <w:t>422 989 354,00</w:t>
            </w:r>
          </w:p>
          <w:p w14:paraId="3567F296" w14:textId="77777777" w:rsidR="00E27AFB" w:rsidRPr="00586661" w:rsidRDefault="00E27AFB" w:rsidP="0062274A">
            <w:pPr>
              <w:pStyle w:val="Text1"/>
              <w:ind w:left="67" w:hanging="67"/>
              <w:rPr>
                <w:sz w:val="18"/>
                <w:szCs w:val="18"/>
              </w:rPr>
            </w:pPr>
          </w:p>
          <w:p w14:paraId="180E66D9" w14:textId="3DEA57B3" w:rsidR="0062274A" w:rsidRPr="00586661" w:rsidRDefault="0062274A" w:rsidP="0062274A">
            <w:pPr>
              <w:pStyle w:val="Text1"/>
              <w:ind w:left="67" w:hanging="67"/>
              <w:rPr>
                <w:sz w:val="18"/>
                <w:szCs w:val="18"/>
              </w:rPr>
            </w:pPr>
          </w:p>
          <w:p w14:paraId="46F0BF11" w14:textId="62334AF9" w:rsidR="006B318C" w:rsidRPr="00586661" w:rsidRDefault="006B318C" w:rsidP="006B318C">
            <w:pPr>
              <w:pStyle w:val="Text1"/>
              <w:ind w:left="0"/>
              <w:rPr>
                <w:sz w:val="18"/>
                <w:szCs w:val="18"/>
                <w:lang w:val="x-none"/>
              </w:rPr>
            </w:pPr>
          </w:p>
          <w:p w14:paraId="52FBED5D" w14:textId="64D02BFD" w:rsidR="00F1341F" w:rsidRPr="00586661" w:rsidRDefault="00F1341F" w:rsidP="007F23F5">
            <w:pPr>
              <w:pStyle w:val="Text1"/>
              <w:ind w:left="0"/>
              <w:rPr>
                <w:sz w:val="18"/>
                <w:szCs w:val="18"/>
                <w:lang w:val="en-GB" w:eastAsia="en-GB"/>
              </w:rPr>
            </w:pPr>
          </w:p>
        </w:tc>
      </w:tr>
      <w:tr w:rsidR="006B318C" w:rsidRPr="008340BB" w14:paraId="355BDD84" w14:textId="77777777" w:rsidTr="00D30B7A">
        <w:tc>
          <w:tcPr>
            <w:tcW w:w="1401" w:type="dxa"/>
          </w:tcPr>
          <w:p w14:paraId="05F781A9" w14:textId="21F31F87" w:rsidR="006B318C" w:rsidRPr="008340BB" w:rsidRDefault="006B318C" w:rsidP="006B318C">
            <w:pPr>
              <w:pStyle w:val="Text1"/>
              <w:ind w:left="0"/>
              <w:jc w:val="left"/>
              <w:rPr>
                <w:sz w:val="18"/>
                <w:szCs w:val="18"/>
                <w:lang w:val="en-GB" w:eastAsia="en-GB"/>
              </w:rPr>
            </w:pPr>
            <w:r w:rsidRPr="008340BB">
              <w:rPr>
                <w:sz w:val="18"/>
                <w:szCs w:val="18"/>
                <w:lang w:val="en-GB" w:eastAsia="en-GB"/>
              </w:rPr>
              <w:t>CF</w:t>
            </w:r>
          </w:p>
        </w:tc>
        <w:tc>
          <w:tcPr>
            <w:tcW w:w="1401" w:type="dxa"/>
          </w:tcPr>
          <w:p w14:paraId="0335D7E3" w14:textId="070D33B2" w:rsidR="006B318C" w:rsidRPr="008340BB" w:rsidRDefault="006B318C" w:rsidP="006B318C">
            <w:pPr>
              <w:pStyle w:val="Text1"/>
              <w:ind w:left="0"/>
              <w:jc w:val="left"/>
              <w:rPr>
                <w:sz w:val="18"/>
                <w:szCs w:val="18"/>
                <w:lang w:val="en-GB" w:eastAsia="en-GB"/>
              </w:rPr>
            </w:pPr>
            <w:r w:rsidRPr="008340BB">
              <w:rPr>
                <w:sz w:val="18"/>
                <w:szCs w:val="18"/>
                <w:lang w:val="en-GB" w:eastAsia="en-GB"/>
              </w:rPr>
              <w:t>N/A</w:t>
            </w:r>
          </w:p>
        </w:tc>
        <w:tc>
          <w:tcPr>
            <w:tcW w:w="2693" w:type="dxa"/>
          </w:tcPr>
          <w:p w14:paraId="43A7C860" w14:textId="2A03CBA7" w:rsidR="006B318C" w:rsidRPr="008340BB" w:rsidRDefault="00743E91" w:rsidP="006B318C">
            <w:pPr>
              <w:pStyle w:val="Text1"/>
              <w:ind w:left="0"/>
              <w:jc w:val="left"/>
              <w:rPr>
                <w:sz w:val="18"/>
                <w:szCs w:val="18"/>
                <w:lang w:val="en-GB" w:eastAsia="en-GB"/>
              </w:rPr>
            </w:pPr>
            <w:r w:rsidRPr="00743E91">
              <w:rPr>
                <w:sz w:val="18"/>
                <w:szCs w:val="18"/>
                <w:lang w:val="en-GB" w:eastAsia="en-GB"/>
              </w:rPr>
              <w:t>030</w:t>
            </w:r>
            <w:r>
              <w:rPr>
                <w:sz w:val="18"/>
                <w:szCs w:val="18"/>
                <w:lang w:val="en-GB" w:eastAsia="en-GB"/>
              </w:rPr>
              <w:t xml:space="preserve"> </w:t>
            </w:r>
            <w:r w:rsidRPr="00743E91">
              <w:rPr>
                <w:sz w:val="18"/>
                <w:szCs w:val="18"/>
                <w:lang w:val="en-GB" w:eastAsia="en-GB"/>
              </w:rPr>
              <w:t>Secondary road links to TEN-T road network and nodes (new build)</w:t>
            </w:r>
          </w:p>
        </w:tc>
        <w:tc>
          <w:tcPr>
            <w:tcW w:w="2977" w:type="dxa"/>
          </w:tcPr>
          <w:p w14:paraId="11835191" w14:textId="488D10C7" w:rsidR="000771A4" w:rsidRPr="00586661" w:rsidRDefault="000771A4" w:rsidP="000771A4">
            <w:pPr>
              <w:pStyle w:val="Text1"/>
              <w:ind w:left="0"/>
              <w:rPr>
                <w:sz w:val="18"/>
                <w:szCs w:val="18"/>
                <w:lang w:val="en-US"/>
              </w:rPr>
            </w:pPr>
            <w:r w:rsidRPr="00586661">
              <w:rPr>
                <w:sz w:val="18"/>
                <w:szCs w:val="18"/>
                <w:lang w:val="en-US"/>
              </w:rPr>
              <w:t>38 299 957,00</w:t>
            </w:r>
          </w:p>
          <w:p w14:paraId="66C98559" w14:textId="77777777" w:rsidR="000771A4" w:rsidRPr="00586661" w:rsidRDefault="000771A4" w:rsidP="000771A4">
            <w:pPr>
              <w:pStyle w:val="Text1"/>
              <w:ind w:left="0"/>
              <w:rPr>
                <w:sz w:val="18"/>
                <w:szCs w:val="18"/>
                <w:lang w:val="en-US"/>
              </w:rPr>
            </w:pPr>
          </w:p>
          <w:p w14:paraId="16BEEB76" w14:textId="21347A94" w:rsidR="006B318C" w:rsidRPr="00586661" w:rsidRDefault="006B318C" w:rsidP="006B318C">
            <w:pPr>
              <w:pStyle w:val="Text1"/>
              <w:ind w:left="0"/>
              <w:rPr>
                <w:sz w:val="18"/>
                <w:szCs w:val="18"/>
                <w:lang w:val="x-none"/>
              </w:rPr>
            </w:pPr>
          </w:p>
        </w:tc>
      </w:tr>
    </w:tbl>
    <w:p w14:paraId="67A12F9B" w14:textId="77777777" w:rsidR="00F1341F" w:rsidRPr="008340BB" w:rsidRDefault="00F1341F" w:rsidP="008B4180">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44F899D7" w14:textId="77777777" w:rsidTr="00067686">
        <w:trPr>
          <w:trHeight w:val="364"/>
        </w:trPr>
        <w:tc>
          <w:tcPr>
            <w:tcW w:w="8472" w:type="dxa"/>
            <w:gridSpan w:val="4"/>
          </w:tcPr>
          <w:p w14:paraId="2DAC45A5" w14:textId="77777777" w:rsidR="00F1341F" w:rsidRPr="008340BB" w:rsidRDefault="00F1341F" w:rsidP="00067686">
            <w:pPr>
              <w:autoSpaceDE w:val="0"/>
              <w:autoSpaceDN w:val="0"/>
              <w:adjustRightInd w:val="0"/>
              <w:spacing w:after="0"/>
              <w:jc w:val="left"/>
              <w:rPr>
                <w:rFonts w:ascii="TimesNewRoman" w:cs="TimesNewRoman"/>
                <w:b/>
                <w:color w:val="000000"/>
                <w:sz w:val="20"/>
              </w:rPr>
            </w:pPr>
            <w:r w:rsidRPr="008340BB">
              <w:rPr>
                <w:rFonts w:ascii="TimesNewRoman,Bold" w:hAnsi="TimesNewRoman,Bold" w:cs="TimesNewRoman,Bold"/>
                <w:b/>
                <w:bCs/>
                <w:color w:val="000000"/>
                <w:sz w:val="20"/>
              </w:rPr>
              <w:t>Table 8: Dimension 2 – Form of finance</w:t>
            </w:r>
          </w:p>
        </w:tc>
      </w:tr>
      <w:tr w:rsidR="00F1341F" w:rsidRPr="008340BB" w14:paraId="3F16F5E7" w14:textId="77777777" w:rsidTr="00067686">
        <w:trPr>
          <w:trHeight w:val="364"/>
        </w:trPr>
        <w:tc>
          <w:tcPr>
            <w:tcW w:w="2802" w:type="dxa"/>
            <w:gridSpan w:val="2"/>
          </w:tcPr>
          <w:p w14:paraId="1032B137" w14:textId="77777777" w:rsidR="00F1341F" w:rsidRPr="008340BB" w:rsidRDefault="00F1341F" w:rsidP="00067686">
            <w:pPr>
              <w:autoSpaceDE w:val="0"/>
              <w:autoSpaceDN w:val="0"/>
              <w:adjustRightInd w:val="0"/>
              <w:spacing w:after="0"/>
              <w:jc w:val="left"/>
              <w:rPr>
                <w:bCs/>
                <w:sz w:val="20"/>
              </w:rPr>
            </w:pPr>
            <w:r w:rsidRPr="008340BB">
              <w:rPr>
                <w:b/>
                <w:sz w:val="18"/>
                <w:szCs w:val="18"/>
              </w:rPr>
              <w:t>Priority axis</w:t>
            </w:r>
            <w:r w:rsidRPr="008340BB" w:rsidDel="003339E0">
              <w:rPr>
                <w:bCs/>
                <w:sz w:val="20"/>
              </w:rPr>
              <w:t xml:space="preserve"> </w:t>
            </w:r>
          </w:p>
        </w:tc>
        <w:tc>
          <w:tcPr>
            <w:tcW w:w="5670" w:type="dxa"/>
            <w:gridSpan w:val="2"/>
          </w:tcPr>
          <w:p w14:paraId="03C531DF" w14:textId="77777777" w:rsidR="00F1341F" w:rsidRPr="008340BB" w:rsidRDefault="00F1341F" w:rsidP="00067686">
            <w:pPr>
              <w:autoSpaceDE w:val="0"/>
              <w:autoSpaceDN w:val="0"/>
              <w:adjustRightInd w:val="0"/>
              <w:spacing w:after="0"/>
              <w:jc w:val="left"/>
              <w:rPr>
                <w:i/>
                <w:color w:val="8DB3E2"/>
                <w:sz w:val="18"/>
                <w:szCs w:val="18"/>
              </w:rPr>
            </w:pPr>
            <w:r w:rsidRPr="008340BB">
              <w:rPr>
                <w:sz w:val="18"/>
                <w:szCs w:val="18"/>
              </w:rPr>
              <w:t>“Development of road infrastructure along the „core” and “comprehensive” Trans-European transport network”</w:t>
            </w:r>
          </w:p>
        </w:tc>
      </w:tr>
      <w:tr w:rsidR="00F1341F" w:rsidRPr="008340BB" w14:paraId="360017B9" w14:textId="77777777" w:rsidTr="00D30B7A">
        <w:trPr>
          <w:trHeight w:val="267"/>
        </w:trPr>
        <w:tc>
          <w:tcPr>
            <w:tcW w:w="1401" w:type="dxa"/>
          </w:tcPr>
          <w:p w14:paraId="6EE47A1A" w14:textId="77777777" w:rsidR="00F1341F" w:rsidRPr="008340BB" w:rsidRDefault="00F1341F" w:rsidP="00CC0B48">
            <w:pPr>
              <w:suppressAutoHyphens/>
              <w:jc w:val="center"/>
              <w:rPr>
                <w:i/>
                <w:color w:val="8DB3E2"/>
                <w:sz w:val="18"/>
                <w:szCs w:val="18"/>
              </w:rPr>
            </w:pPr>
            <w:r w:rsidRPr="008340BB">
              <w:rPr>
                <w:b/>
                <w:bCs/>
                <w:sz w:val="20"/>
              </w:rPr>
              <w:t>Fund</w:t>
            </w:r>
            <w:r w:rsidRPr="008340BB" w:rsidDel="00196680">
              <w:rPr>
                <w:b/>
                <w:sz w:val="18"/>
                <w:szCs w:val="18"/>
              </w:rPr>
              <w:t xml:space="preserve"> </w:t>
            </w:r>
          </w:p>
        </w:tc>
        <w:tc>
          <w:tcPr>
            <w:tcW w:w="1401" w:type="dxa"/>
          </w:tcPr>
          <w:p w14:paraId="4E2D39D2" w14:textId="77777777" w:rsidR="00F1341F" w:rsidRPr="008340BB" w:rsidRDefault="00F1341F" w:rsidP="00CC0B48">
            <w:pPr>
              <w:pStyle w:val="Text1"/>
              <w:ind w:left="0"/>
              <w:jc w:val="center"/>
              <w:rPr>
                <w:b/>
                <w:sz w:val="18"/>
                <w:szCs w:val="18"/>
                <w:lang w:val="en-GB" w:eastAsia="en-GB"/>
              </w:rPr>
            </w:pPr>
            <w:r w:rsidRPr="008340BB">
              <w:rPr>
                <w:b/>
                <w:bCs/>
                <w:sz w:val="20"/>
                <w:lang w:val="en-GB" w:eastAsia="en-GB"/>
              </w:rPr>
              <w:t>Category of region</w:t>
            </w:r>
          </w:p>
        </w:tc>
        <w:tc>
          <w:tcPr>
            <w:tcW w:w="2693" w:type="dxa"/>
          </w:tcPr>
          <w:p w14:paraId="3810093A" w14:textId="77777777" w:rsidR="00F1341F" w:rsidRPr="008340BB" w:rsidRDefault="00F1341F" w:rsidP="00067686">
            <w:pPr>
              <w:jc w:val="center"/>
              <w:rPr>
                <w:sz w:val="20"/>
              </w:rPr>
            </w:pPr>
            <w:r w:rsidRPr="008340BB">
              <w:rPr>
                <w:b/>
                <w:sz w:val="18"/>
                <w:szCs w:val="18"/>
              </w:rPr>
              <w:t>Code</w:t>
            </w:r>
          </w:p>
        </w:tc>
        <w:tc>
          <w:tcPr>
            <w:tcW w:w="2977" w:type="dxa"/>
          </w:tcPr>
          <w:p w14:paraId="5A3ECB0A" w14:textId="77777777" w:rsidR="00F1341F" w:rsidRPr="008340BB" w:rsidRDefault="00F1341F" w:rsidP="00067686">
            <w:pPr>
              <w:jc w:val="center"/>
              <w:rPr>
                <w:sz w:val="20"/>
              </w:rPr>
            </w:pPr>
            <w:r w:rsidRPr="008340BB">
              <w:rPr>
                <w:b/>
                <w:sz w:val="18"/>
                <w:szCs w:val="18"/>
              </w:rPr>
              <w:t>Amount (EUR)</w:t>
            </w:r>
          </w:p>
        </w:tc>
      </w:tr>
      <w:tr w:rsidR="00F1341F" w:rsidRPr="008340BB" w14:paraId="59C53A84" w14:textId="77777777" w:rsidTr="00D30B7A">
        <w:tc>
          <w:tcPr>
            <w:tcW w:w="1401" w:type="dxa"/>
          </w:tcPr>
          <w:p w14:paraId="3C9AECEC" w14:textId="77777777" w:rsidR="00F1341F" w:rsidRPr="008340BB" w:rsidRDefault="00F1341F" w:rsidP="00067686">
            <w:pPr>
              <w:pStyle w:val="Text1"/>
              <w:ind w:left="0"/>
              <w:jc w:val="left"/>
              <w:rPr>
                <w:sz w:val="18"/>
                <w:szCs w:val="18"/>
                <w:lang w:val="en-GB" w:eastAsia="en-GB"/>
              </w:rPr>
            </w:pPr>
            <w:r w:rsidRPr="008340BB">
              <w:rPr>
                <w:sz w:val="18"/>
                <w:szCs w:val="18"/>
                <w:lang w:val="en-GB" w:eastAsia="en-GB"/>
              </w:rPr>
              <w:t>CF</w:t>
            </w:r>
          </w:p>
        </w:tc>
        <w:tc>
          <w:tcPr>
            <w:tcW w:w="1401" w:type="dxa"/>
          </w:tcPr>
          <w:p w14:paraId="1E7FF5F9" w14:textId="77777777" w:rsidR="00F1341F" w:rsidRPr="008340BB" w:rsidRDefault="00F1341F" w:rsidP="00067686">
            <w:pPr>
              <w:pStyle w:val="Text1"/>
              <w:ind w:left="0"/>
              <w:jc w:val="left"/>
              <w:rPr>
                <w:sz w:val="18"/>
                <w:szCs w:val="18"/>
                <w:lang w:val="en-GB" w:eastAsia="en-GB"/>
              </w:rPr>
            </w:pPr>
            <w:r w:rsidRPr="008340BB">
              <w:rPr>
                <w:sz w:val="18"/>
                <w:szCs w:val="18"/>
                <w:lang w:val="en-GB" w:eastAsia="en-GB"/>
              </w:rPr>
              <w:t>N/A</w:t>
            </w:r>
          </w:p>
        </w:tc>
        <w:tc>
          <w:tcPr>
            <w:tcW w:w="2693" w:type="dxa"/>
          </w:tcPr>
          <w:p w14:paraId="2E0C1BF0" w14:textId="77777777" w:rsidR="00F1341F" w:rsidRPr="008340BB" w:rsidRDefault="00F1341F" w:rsidP="00067686">
            <w:pPr>
              <w:pStyle w:val="Text1"/>
              <w:ind w:left="0"/>
              <w:jc w:val="left"/>
              <w:rPr>
                <w:sz w:val="18"/>
                <w:szCs w:val="18"/>
                <w:lang w:val="en-GB" w:eastAsia="en-GB"/>
              </w:rPr>
            </w:pPr>
            <w:r w:rsidRPr="008340BB">
              <w:rPr>
                <w:sz w:val="18"/>
                <w:szCs w:val="18"/>
                <w:lang w:val="en-GB" w:eastAsia="en-GB"/>
              </w:rPr>
              <w:t xml:space="preserve">01 Non-repayable grant </w:t>
            </w:r>
          </w:p>
        </w:tc>
        <w:tc>
          <w:tcPr>
            <w:tcW w:w="2977" w:type="dxa"/>
          </w:tcPr>
          <w:p w14:paraId="274ADA78" w14:textId="6D06AB73" w:rsidR="00847E37" w:rsidRPr="00586661" w:rsidRDefault="00847E37" w:rsidP="00847E37">
            <w:pPr>
              <w:jc w:val="left"/>
              <w:rPr>
                <w:bCs/>
                <w:sz w:val="18"/>
                <w:szCs w:val="18"/>
                <w:lang w:val="bg-BG"/>
              </w:rPr>
            </w:pPr>
            <w:r w:rsidRPr="00586661">
              <w:rPr>
                <w:bCs/>
                <w:sz w:val="18"/>
                <w:szCs w:val="18"/>
                <w:lang w:val="bg-BG"/>
              </w:rPr>
              <w:t>461 289 311,00</w:t>
            </w:r>
          </w:p>
          <w:p w14:paraId="33EC57FC" w14:textId="77777777" w:rsidR="00847E37" w:rsidRPr="00847E37" w:rsidRDefault="00847E37" w:rsidP="00847E37">
            <w:pPr>
              <w:jc w:val="left"/>
              <w:rPr>
                <w:bCs/>
                <w:sz w:val="18"/>
                <w:szCs w:val="18"/>
                <w:highlight w:val="cyan"/>
                <w:lang w:val="bg-BG"/>
              </w:rPr>
            </w:pPr>
          </w:p>
          <w:p w14:paraId="77C6C0D7" w14:textId="754F484B" w:rsidR="00322E80" w:rsidRPr="00322E80" w:rsidRDefault="00322E80" w:rsidP="00322E80">
            <w:pPr>
              <w:jc w:val="left"/>
              <w:rPr>
                <w:bCs/>
                <w:sz w:val="18"/>
                <w:szCs w:val="18"/>
                <w:lang w:val="en-US"/>
              </w:rPr>
            </w:pPr>
          </w:p>
          <w:p w14:paraId="78C9C0F7" w14:textId="7D955EDA" w:rsidR="00D976B2" w:rsidRPr="00D976B2" w:rsidRDefault="00D976B2" w:rsidP="00D976B2">
            <w:pPr>
              <w:jc w:val="left"/>
              <w:rPr>
                <w:bCs/>
                <w:sz w:val="18"/>
                <w:szCs w:val="18"/>
                <w:lang w:val="bg-BG"/>
              </w:rPr>
            </w:pPr>
          </w:p>
          <w:p w14:paraId="53645079" w14:textId="6664C9E7" w:rsidR="00D97152" w:rsidRPr="00D97152" w:rsidRDefault="00D97152" w:rsidP="00D97152">
            <w:pPr>
              <w:jc w:val="left"/>
              <w:rPr>
                <w:sz w:val="18"/>
                <w:szCs w:val="18"/>
                <w:lang w:val="en-US"/>
              </w:rPr>
            </w:pPr>
          </w:p>
          <w:p w14:paraId="08985BBE" w14:textId="19D7EF0E" w:rsidR="0029666D" w:rsidRPr="004F259C" w:rsidRDefault="0029666D" w:rsidP="0029666D">
            <w:pPr>
              <w:jc w:val="left"/>
              <w:rPr>
                <w:sz w:val="18"/>
                <w:szCs w:val="18"/>
                <w:lang w:val="bg-BG"/>
              </w:rPr>
            </w:pPr>
          </w:p>
          <w:p w14:paraId="74AADBF5" w14:textId="67F24903" w:rsidR="00F1341F" w:rsidRPr="008340BB" w:rsidRDefault="002D41CE">
            <w:pPr>
              <w:pStyle w:val="Text1"/>
              <w:ind w:left="0"/>
              <w:jc w:val="left"/>
              <w:rPr>
                <w:sz w:val="18"/>
                <w:szCs w:val="18"/>
                <w:lang w:val="en-GB" w:eastAsia="en-GB"/>
              </w:rPr>
            </w:pPr>
            <w:r>
              <w:rPr>
                <w:sz w:val="18"/>
                <w:szCs w:val="18"/>
                <w:lang w:val="en-GB" w:eastAsia="en-GB"/>
              </w:rPr>
              <w:t xml:space="preserve"> </w:t>
            </w:r>
          </w:p>
        </w:tc>
      </w:tr>
    </w:tbl>
    <w:p w14:paraId="7E62C52C" w14:textId="77777777" w:rsidR="00F1341F" w:rsidRPr="008340BB" w:rsidRDefault="00F1341F" w:rsidP="008B4180">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7B558D0A" w14:textId="77777777" w:rsidTr="00067686">
        <w:trPr>
          <w:trHeight w:val="364"/>
        </w:trPr>
        <w:tc>
          <w:tcPr>
            <w:tcW w:w="8472" w:type="dxa"/>
            <w:gridSpan w:val="4"/>
          </w:tcPr>
          <w:p w14:paraId="2E33266A" w14:textId="77777777" w:rsidR="00F1341F" w:rsidRPr="008340BB" w:rsidRDefault="00F1341F" w:rsidP="00067686">
            <w:pPr>
              <w:autoSpaceDE w:val="0"/>
              <w:autoSpaceDN w:val="0"/>
              <w:adjustRightInd w:val="0"/>
              <w:spacing w:after="0"/>
              <w:jc w:val="left"/>
              <w:rPr>
                <w:rFonts w:ascii="TimesNewRoman" w:cs="TimesNewRoman"/>
                <w:b/>
                <w:color w:val="000000"/>
                <w:sz w:val="20"/>
              </w:rPr>
            </w:pPr>
            <w:r w:rsidRPr="008340BB">
              <w:rPr>
                <w:rFonts w:ascii="TimesNewRoman,Bold" w:hAnsi="TimesNewRoman,Bold" w:cs="TimesNewRoman,Bold"/>
                <w:b/>
                <w:bCs/>
                <w:color w:val="000000"/>
                <w:sz w:val="20"/>
              </w:rPr>
              <w:t>Table 9: Dimension 3 – Territory type</w:t>
            </w:r>
          </w:p>
        </w:tc>
      </w:tr>
      <w:tr w:rsidR="00F1341F" w:rsidRPr="008340BB" w14:paraId="3D0A7E61" w14:textId="77777777" w:rsidTr="00067686">
        <w:trPr>
          <w:trHeight w:val="364"/>
        </w:trPr>
        <w:tc>
          <w:tcPr>
            <w:tcW w:w="2802" w:type="dxa"/>
            <w:gridSpan w:val="2"/>
          </w:tcPr>
          <w:p w14:paraId="1C10C55A" w14:textId="77777777" w:rsidR="00F1341F" w:rsidRPr="008340BB" w:rsidRDefault="00F1341F" w:rsidP="00067686">
            <w:pPr>
              <w:autoSpaceDE w:val="0"/>
              <w:autoSpaceDN w:val="0"/>
              <w:adjustRightInd w:val="0"/>
              <w:spacing w:after="0"/>
              <w:jc w:val="left"/>
              <w:rPr>
                <w:bCs/>
                <w:sz w:val="20"/>
              </w:rPr>
            </w:pPr>
            <w:r w:rsidRPr="008340BB">
              <w:rPr>
                <w:b/>
                <w:sz w:val="18"/>
                <w:szCs w:val="18"/>
              </w:rPr>
              <w:t>Priority axis</w:t>
            </w:r>
            <w:r w:rsidRPr="008340BB" w:rsidDel="003339E0">
              <w:rPr>
                <w:bCs/>
                <w:sz w:val="20"/>
              </w:rPr>
              <w:t xml:space="preserve"> </w:t>
            </w:r>
          </w:p>
        </w:tc>
        <w:tc>
          <w:tcPr>
            <w:tcW w:w="5670" w:type="dxa"/>
            <w:gridSpan w:val="2"/>
          </w:tcPr>
          <w:p w14:paraId="4A6FC5F7" w14:textId="77777777" w:rsidR="00F1341F" w:rsidRPr="008340BB" w:rsidRDefault="00F1341F" w:rsidP="00067686">
            <w:pPr>
              <w:autoSpaceDE w:val="0"/>
              <w:autoSpaceDN w:val="0"/>
              <w:adjustRightInd w:val="0"/>
              <w:spacing w:after="0"/>
              <w:jc w:val="left"/>
              <w:rPr>
                <w:bCs/>
                <w:sz w:val="20"/>
              </w:rPr>
            </w:pPr>
            <w:r w:rsidRPr="008340BB">
              <w:rPr>
                <w:sz w:val="18"/>
                <w:szCs w:val="18"/>
              </w:rPr>
              <w:t>“Development of road infrastructure along the „core” and “comprehensive” Trans-European transport network”</w:t>
            </w:r>
          </w:p>
        </w:tc>
      </w:tr>
      <w:tr w:rsidR="00F1341F" w:rsidRPr="008340BB" w14:paraId="6EBCAF6D" w14:textId="77777777" w:rsidTr="006A72F7">
        <w:trPr>
          <w:trHeight w:val="430"/>
        </w:trPr>
        <w:tc>
          <w:tcPr>
            <w:tcW w:w="1401" w:type="dxa"/>
          </w:tcPr>
          <w:p w14:paraId="569F2D6C" w14:textId="77777777" w:rsidR="00F1341F" w:rsidRPr="008340BB" w:rsidRDefault="00F1341F" w:rsidP="00067686">
            <w:pPr>
              <w:suppressAutoHyphens/>
              <w:rPr>
                <w:i/>
                <w:color w:val="8DB3E2"/>
                <w:sz w:val="18"/>
                <w:szCs w:val="18"/>
              </w:rPr>
            </w:pPr>
            <w:r w:rsidRPr="008340BB">
              <w:rPr>
                <w:b/>
                <w:bCs/>
                <w:sz w:val="20"/>
              </w:rPr>
              <w:lastRenderedPageBreak/>
              <w:t>Fund</w:t>
            </w:r>
            <w:r w:rsidRPr="008340BB" w:rsidDel="00196680">
              <w:rPr>
                <w:b/>
                <w:sz w:val="18"/>
                <w:szCs w:val="18"/>
              </w:rPr>
              <w:t xml:space="preserve"> </w:t>
            </w:r>
          </w:p>
        </w:tc>
        <w:tc>
          <w:tcPr>
            <w:tcW w:w="1401" w:type="dxa"/>
          </w:tcPr>
          <w:p w14:paraId="339E6E70" w14:textId="77777777" w:rsidR="00F1341F" w:rsidRPr="008340BB" w:rsidRDefault="00F1341F" w:rsidP="00067686">
            <w:pPr>
              <w:pStyle w:val="Text1"/>
              <w:ind w:left="0"/>
              <w:jc w:val="left"/>
              <w:rPr>
                <w:b/>
                <w:sz w:val="18"/>
                <w:szCs w:val="18"/>
                <w:lang w:val="en-GB" w:eastAsia="en-GB"/>
              </w:rPr>
            </w:pPr>
            <w:r w:rsidRPr="008340BB">
              <w:rPr>
                <w:b/>
                <w:bCs/>
                <w:sz w:val="20"/>
                <w:lang w:val="en-GB" w:eastAsia="en-GB"/>
              </w:rPr>
              <w:t>Category of region</w:t>
            </w:r>
          </w:p>
        </w:tc>
        <w:tc>
          <w:tcPr>
            <w:tcW w:w="2693" w:type="dxa"/>
          </w:tcPr>
          <w:p w14:paraId="5FFF8F3C" w14:textId="77777777" w:rsidR="00F1341F" w:rsidRPr="008340BB" w:rsidRDefault="00F1341F" w:rsidP="00067686">
            <w:pPr>
              <w:jc w:val="center"/>
              <w:rPr>
                <w:sz w:val="20"/>
              </w:rPr>
            </w:pPr>
            <w:r w:rsidRPr="008340BB">
              <w:rPr>
                <w:b/>
                <w:sz w:val="18"/>
                <w:szCs w:val="18"/>
              </w:rPr>
              <w:t>Code</w:t>
            </w:r>
          </w:p>
        </w:tc>
        <w:tc>
          <w:tcPr>
            <w:tcW w:w="2977" w:type="dxa"/>
          </w:tcPr>
          <w:p w14:paraId="6A26D4C0" w14:textId="77777777" w:rsidR="00F1341F" w:rsidRPr="008340BB" w:rsidRDefault="00F1341F" w:rsidP="00067686">
            <w:pPr>
              <w:jc w:val="center"/>
              <w:rPr>
                <w:sz w:val="20"/>
              </w:rPr>
            </w:pPr>
            <w:r w:rsidRPr="008340BB">
              <w:rPr>
                <w:b/>
                <w:sz w:val="18"/>
                <w:szCs w:val="18"/>
              </w:rPr>
              <w:t>Amount (EUR)</w:t>
            </w:r>
          </w:p>
        </w:tc>
      </w:tr>
      <w:tr w:rsidR="00F1341F" w:rsidRPr="008340BB" w14:paraId="20E19704" w14:textId="77777777" w:rsidTr="00D30B7A">
        <w:tc>
          <w:tcPr>
            <w:tcW w:w="1401" w:type="dxa"/>
          </w:tcPr>
          <w:p w14:paraId="57A2D518" w14:textId="77777777" w:rsidR="00F1341F" w:rsidRPr="008340BB" w:rsidRDefault="00F1341F" w:rsidP="00067686">
            <w:pPr>
              <w:pStyle w:val="Text1"/>
              <w:ind w:left="0"/>
              <w:jc w:val="left"/>
              <w:rPr>
                <w:sz w:val="18"/>
                <w:szCs w:val="18"/>
                <w:lang w:val="en-GB" w:eastAsia="en-GB"/>
              </w:rPr>
            </w:pPr>
            <w:r w:rsidRPr="008340BB">
              <w:rPr>
                <w:sz w:val="18"/>
                <w:szCs w:val="18"/>
                <w:lang w:val="en-GB" w:eastAsia="en-GB"/>
              </w:rPr>
              <w:t>CF</w:t>
            </w:r>
          </w:p>
        </w:tc>
        <w:tc>
          <w:tcPr>
            <w:tcW w:w="1401" w:type="dxa"/>
          </w:tcPr>
          <w:p w14:paraId="1CD5D429" w14:textId="77777777" w:rsidR="00F1341F" w:rsidRPr="008340BB" w:rsidRDefault="00F1341F" w:rsidP="00067686">
            <w:pPr>
              <w:pStyle w:val="Text1"/>
              <w:ind w:left="0"/>
              <w:jc w:val="left"/>
              <w:rPr>
                <w:sz w:val="18"/>
                <w:szCs w:val="18"/>
                <w:lang w:val="en-GB" w:eastAsia="en-GB"/>
              </w:rPr>
            </w:pPr>
            <w:r w:rsidRPr="008340BB">
              <w:rPr>
                <w:sz w:val="18"/>
                <w:szCs w:val="18"/>
                <w:lang w:val="en-GB" w:eastAsia="en-GB"/>
              </w:rPr>
              <w:t>N/A</w:t>
            </w:r>
          </w:p>
        </w:tc>
        <w:tc>
          <w:tcPr>
            <w:tcW w:w="2693" w:type="dxa"/>
          </w:tcPr>
          <w:p w14:paraId="5238E596" w14:textId="77777777" w:rsidR="00F1341F" w:rsidRPr="008340BB" w:rsidRDefault="00F1341F" w:rsidP="00067686">
            <w:pPr>
              <w:pStyle w:val="Text1"/>
              <w:ind w:left="0"/>
              <w:jc w:val="left"/>
              <w:rPr>
                <w:sz w:val="18"/>
                <w:szCs w:val="18"/>
                <w:lang w:val="en-GB" w:eastAsia="en-GB"/>
              </w:rPr>
            </w:pPr>
            <w:r w:rsidRPr="008340BB">
              <w:rPr>
                <w:sz w:val="18"/>
                <w:szCs w:val="18"/>
                <w:lang w:val="en-GB" w:eastAsia="en-GB"/>
              </w:rPr>
              <w:t xml:space="preserve">07 Not applicable </w:t>
            </w:r>
          </w:p>
        </w:tc>
        <w:tc>
          <w:tcPr>
            <w:tcW w:w="2977" w:type="dxa"/>
          </w:tcPr>
          <w:p w14:paraId="440CCE3C" w14:textId="77777777" w:rsidR="00774CC5" w:rsidRPr="00586661" w:rsidRDefault="00774CC5" w:rsidP="00774CC5">
            <w:pPr>
              <w:jc w:val="left"/>
              <w:rPr>
                <w:bCs/>
                <w:sz w:val="18"/>
                <w:szCs w:val="18"/>
                <w:lang w:val="bg-BG"/>
              </w:rPr>
            </w:pPr>
            <w:r w:rsidRPr="00586661">
              <w:rPr>
                <w:bCs/>
                <w:sz w:val="18"/>
                <w:szCs w:val="18"/>
                <w:lang w:val="bg-BG"/>
              </w:rPr>
              <w:t>461 289 311,00</w:t>
            </w:r>
          </w:p>
          <w:p w14:paraId="357D0434" w14:textId="77777777" w:rsidR="00774CC5" w:rsidRDefault="00774CC5" w:rsidP="00C16A65">
            <w:pPr>
              <w:jc w:val="left"/>
              <w:rPr>
                <w:sz w:val="18"/>
                <w:szCs w:val="18"/>
                <w:highlight w:val="yellow"/>
                <w:lang w:val="en-US"/>
              </w:rPr>
            </w:pPr>
          </w:p>
          <w:p w14:paraId="386C46A9" w14:textId="43A294BC" w:rsidR="00C16A65" w:rsidRDefault="002D41CE" w:rsidP="00D976B2">
            <w:pPr>
              <w:jc w:val="left"/>
              <w:rPr>
                <w:sz w:val="18"/>
                <w:szCs w:val="18"/>
              </w:rPr>
            </w:pPr>
            <w:r>
              <w:rPr>
                <w:sz w:val="18"/>
                <w:szCs w:val="18"/>
              </w:rPr>
              <w:t xml:space="preserve">  </w:t>
            </w:r>
          </w:p>
          <w:p w14:paraId="3AF3A9BA" w14:textId="4F30C6C3" w:rsidR="00D976B2" w:rsidRPr="00D976B2" w:rsidRDefault="00D976B2" w:rsidP="00D976B2">
            <w:pPr>
              <w:jc w:val="left"/>
              <w:rPr>
                <w:bCs/>
                <w:sz w:val="18"/>
                <w:szCs w:val="18"/>
                <w:lang w:val="bg-BG"/>
              </w:rPr>
            </w:pPr>
          </w:p>
          <w:p w14:paraId="767878C8" w14:textId="1D461835" w:rsidR="00ED5305" w:rsidRPr="00ED5305" w:rsidRDefault="00ED5305" w:rsidP="00ED5305">
            <w:pPr>
              <w:jc w:val="left"/>
              <w:rPr>
                <w:sz w:val="18"/>
                <w:szCs w:val="18"/>
                <w:lang w:val="en-US"/>
              </w:rPr>
            </w:pPr>
          </w:p>
          <w:p w14:paraId="12C747C9" w14:textId="23560588" w:rsidR="008228E5" w:rsidRPr="004F259C" w:rsidRDefault="008228E5" w:rsidP="008228E5">
            <w:pPr>
              <w:jc w:val="left"/>
              <w:rPr>
                <w:sz w:val="18"/>
                <w:szCs w:val="18"/>
                <w:lang w:val="bg-BG"/>
              </w:rPr>
            </w:pPr>
          </w:p>
          <w:p w14:paraId="6BCC8A46" w14:textId="3520A163" w:rsidR="00F1341F" w:rsidRPr="008340BB" w:rsidRDefault="002D41CE" w:rsidP="00B92ECE">
            <w:pPr>
              <w:pStyle w:val="Text1"/>
              <w:ind w:left="0"/>
              <w:jc w:val="left"/>
              <w:rPr>
                <w:sz w:val="18"/>
                <w:szCs w:val="18"/>
                <w:lang w:val="en-GB" w:eastAsia="en-GB"/>
              </w:rPr>
            </w:pPr>
            <w:r>
              <w:rPr>
                <w:sz w:val="18"/>
                <w:szCs w:val="18"/>
                <w:lang w:val="en-GB" w:eastAsia="en-GB"/>
              </w:rPr>
              <w:t xml:space="preserve"> </w:t>
            </w:r>
          </w:p>
        </w:tc>
      </w:tr>
    </w:tbl>
    <w:p w14:paraId="096B4A66" w14:textId="77777777" w:rsidR="00F1341F" w:rsidRPr="008340BB" w:rsidRDefault="00F1341F" w:rsidP="008B4180">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6E89E272" w14:textId="77777777" w:rsidTr="00067686">
        <w:trPr>
          <w:trHeight w:val="364"/>
        </w:trPr>
        <w:tc>
          <w:tcPr>
            <w:tcW w:w="8472" w:type="dxa"/>
            <w:gridSpan w:val="4"/>
          </w:tcPr>
          <w:p w14:paraId="7411EBA4" w14:textId="77777777" w:rsidR="00F1341F" w:rsidRPr="008340BB" w:rsidRDefault="00F1341F" w:rsidP="00067686">
            <w:pPr>
              <w:autoSpaceDE w:val="0"/>
              <w:autoSpaceDN w:val="0"/>
              <w:adjustRightInd w:val="0"/>
              <w:spacing w:after="0"/>
              <w:jc w:val="left"/>
              <w:rPr>
                <w:rFonts w:ascii="TimesNewRoman" w:cs="TimesNewRoman"/>
                <w:b/>
                <w:color w:val="000000"/>
                <w:sz w:val="20"/>
              </w:rPr>
            </w:pPr>
            <w:r w:rsidRPr="008340BB">
              <w:rPr>
                <w:rFonts w:ascii="TimesNewRoman,Bold" w:hAnsi="TimesNewRoman,Bold" w:cs="TimesNewRoman,Bold"/>
                <w:b/>
                <w:bCs/>
                <w:color w:val="000000"/>
                <w:sz w:val="20"/>
              </w:rPr>
              <w:t>Table 10: Dimension 4 – Territorial delivery mechanisms</w:t>
            </w:r>
          </w:p>
        </w:tc>
      </w:tr>
      <w:tr w:rsidR="00F1341F" w:rsidRPr="008340BB" w14:paraId="5EB03710" w14:textId="77777777" w:rsidTr="00067686">
        <w:trPr>
          <w:trHeight w:val="364"/>
        </w:trPr>
        <w:tc>
          <w:tcPr>
            <w:tcW w:w="2802" w:type="dxa"/>
            <w:gridSpan w:val="2"/>
          </w:tcPr>
          <w:p w14:paraId="3AC11099" w14:textId="77777777" w:rsidR="00F1341F" w:rsidRPr="008340BB" w:rsidRDefault="00F1341F" w:rsidP="00067686">
            <w:pPr>
              <w:autoSpaceDE w:val="0"/>
              <w:autoSpaceDN w:val="0"/>
              <w:adjustRightInd w:val="0"/>
              <w:spacing w:after="0"/>
              <w:jc w:val="left"/>
              <w:rPr>
                <w:bCs/>
                <w:sz w:val="20"/>
              </w:rPr>
            </w:pPr>
            <w:r w:rsidRPr="008340BB">
              <w:rPr>
                <w:b/>
                <w:sz w:val="18"/>
                <w:szCs w:val="18"/>
              </w:rPr>
              <w:t>Priority axis</w:t>
            </w:r>
            <w:r w:rsidRPr="008340BB" w:rsidDel="003339E0">
              <w:rPr>
                <w:bCs/>
                <w:sz w:val="20"/>
              </w:rPr>
              <w:t xml:space="preserve"> </w:t>
            </w:r>
          </w:p>
        </w:tc>
        <w:tc>
          <w:tcPr>
            <w:tcW w:w="5670" w:type="dxa"/>
            <w:gridSpan w:val="2"/>
          </w:tcPr>
          <w:p w14:paraId="1BA687B0" w14:textId="77777777" w:rsidR="00F1341F" w:rsidRPr="008340BB" w:rsidRDefault="00F1341F" w:rsidP="00067686">
            <w:pPr>
              <w:autoSpaceDE w:val="0"/>
              <w:autoSpaceDN w:val="0"/>
              <w:adjustRightInd w:val="0"/>
              <w:spacing w:after="0"/>
              <w:jc w:val="left"/>
              <w:rPr>
                <w:bCs/>
                <w:sz w:val="20"/>
              </w:rPr>
            </w:pPr>
            <w:r w:rsidRPr="008340BB">
              <w:rPr>
                <w:sz w:val="18"/>
                <w:szCs w:val="18"/>
              </w:rPr>
              <w:t>“Development of road infrastructure along the „core” and “comprehensive” Trans-European transport network”</w:t>
            </w:r>
          </w:p>
        </w:tc>
      </w:tr>
      <w:tr w:rsidR="00F1341F" w:rsidRPr="008340BB" w14:paraId="7E35F15A" w14:textId="77777777" w:rsidTr="00D30B7A">
        <w:trPr>
          <w:trHeight w:val="267"/>
        </w:trPr>
        <w:tc>
          <w:tcPr>
            <w:tcW w:w="1401" w:type="dxa"/>
          </w:tcPr>
          <w:p w14:paraId="293D4FA2" w14:textId="77777777" w:rsidR="00F1341F" w:rsidRPr="008340BB" w:rsidRDefault="00F1341F" w:rsidP="00067686">
            <w:pPr>
              <w:jc w:val="center"/>
              <w:rPr>
                <w:b/>
                <w:sz w:val="18"/>
                <w:szCs w:val="18"/>
              </w:rPr>
            </w:pPr>
            <w:r w:rsidRPr="008340BB">
              <w:rPr>
                <w:b/>
                <w:bCs/>
                <w:sz w:val="20"/>
              </w:rPr>
              <w:t>Fund</w:t>
            </w:r>
            <w:r w:rsidRPr="008340BB" w:rsidDel="00196680">
              <w:rPr>
                <w:b/>
                <w:sz w:val="18"/>
                <w:szCs w:val="18"/>
              </w:rPr>
              <w:t xml:space="preserve"> </w:t>
            </w:r>
          </w:p>
        </w:tc>
        <w:tc>
          <w:tcPr>
            <w:tcW w:w="1401" w:type="dxa"/>
          </w:tcPr>
          <w:p w14:paraId="3024C621" w14:textId="77777777" w:rsidR="00F1341F" w:rsidRPr="008340BB" w:rsidRDefault="00F1341F" w:rsidP="00067686">
            <w:pPr>
              <w:suppressAutoHyphens/>
              <w:rPr>
                <w:b/>
                <w:sz w:val="18"/>
                <w:szCs w:val="18"/>
              </w:rPr>
            </w:pPr>
            <w:r w:rsidRPr="008340BB">
              <w:rPr>
                <w:b/>
                <w:bCs/>
                <w:sz w:val="20"/>
              </w:rPr>
              <w:t>Category of region</w:t>
            </w:r>
          </w:p>
        </w:tc>
        <w:tc>
          <w:tcPr>
            <w:tcW w:w="2693" w:type="dxa"/>
          </w:tcPr>
          <w:p w14:paraId="0DD1B662" w14:textId="77777777" w:rsidR="00F1341F" w:rsidRPr="008340BB" w:rsidRDefault="00F1341F" w:rsidP="00067686">
            <w:pPr>
              <w:jc w:val="center"/>
              <w:rPr>
                <w:sz w:val="20"/>
              </w:rPr>
            </w:pPr>
            <w:r w:rsidRPr="008340BB">
              <w:rPr>
                <w:b/>
                <w:sz w:val="18"/>
                <w:szCs w:val="18"/>
              </w:rPr>
              <w:t>Code</w:t>
            </w:r>
          </w:p>
        </w:tc>
        <w:tc>
          <w:tcPr>
            <w:tcW w:w="2977" w:type="dxa"/>
          </w:tcPr>
          <w:p w14:paraId="414E91A3" w14:textId="77777777" w:rsidR="00F1341F" w:rsidRPr="008340BB" w:rsidRDefault="00F1341F" w:rsidP="00067686">
            <w:pPr>
              <w:jc w:val="center"/>
              <w:rPr>
                <w:sz w:val="20"/>
              </w:rPr>
            </w:pPr>
            <w:r w:rsidRPr="008340BB">
              <w:rPr>
                <w:b/>
                <w:sz w:val="18"/>
                <w:szCs w:val="18"/>
              </w:rPr>
              <w:t>Amount (EUR)</w:t>
            </w:r>
          </w:p>
        </w:tc>
      </w:tr>
      <w:tr w:rsidR="00F1341F" w:rsidRPr="008340BB" w14:paraId="0A8ACFA2" w14:textId="77777777" w:rsidTr="00D30B7A">
        <w:tc>
          <w:tcPr>
            <w:tcW w:w="1401" w:type="dxa"/>
          </w:tcPr>
          <w:p w14:paraId="76791369" w14:textId="77777777" w:rsidR="00F1341F" w:rsidRPr="008340BB" w:rsidRDefault="00F1341F" w:rsidP="00067686">
            <w:pPr>
              <w:pStyle w:val="Text1"/>
              <w:ind w:left="0"/>
              <w:jc w:val="left"/>
              <w:rPr>
                <w:sz w:val="18"/>
                <w:szCs w:val="18"/>
                <w:lang w:val="en-GB" w:eastAsia="en-GB"/>
              </w:rPr>
            </w:pPr>
            <w:r w:rsidRPr="008340BB">
              <w:rPr>
                <w:sz w:val="18"/>
                <w:szCs w:val="18"/>
                <w:lang w:val="en-GB" w:eastAsia="en-GB"/>
              </w:rPr>
              <w:t>CF</w:t>
            </w:r>
          </w:p>
        </w:tc>
        <w:tc>
          <w:tcPr>
            <w:tcW w:w="1401" w:type="dxa"/>
          </w:tcPr>
          <w:p w14:paraId="1DEA9DF4" w14:textId="77777777" w:rsidR="00F1341F" w:rsidRPr="008340BB" w:rsidRDefault="00F1341F" w:rsidP="00067686">
            <w:pPr>
              <w:pStyle w:val="Text1"/>
              <w:ind w:left="0"/>
              <w:jc w:val="left"/>
              <w:rPr>
                <w:sz w:val="18"/>
                <w:szCs w:val="18"/>
                <w:lang w:val="en-GB" w:eastAsia="en-GB"/>
              </w:rPr>
            </w:pPr>
            <w:r w:rsidRPr="008340BB">
              <w:rPr>
                <w:sz w:val="18"/>
                <w:szCs w:val="18"/>
                <w:lang w:val="en-GB" w:eastAsia="en-GB"/>
              </w:rPr>
              <w:t>N/A</w:t>
            </w:r>
          </w:p>
        </w:tc>
        <w:tc>
          <w:tcPr>
            <w:tcW w:w="2693" w:type="dxa"/>
          </w:tcPr>
          <w:p w14:paraId="4CBA6864" w14:textId="77777777" w:rsidR="00F1341F" w:rsidRPr="008340BB" w:rsidRDefault="00F1341F" w:rsidP="00067686">
            <w:pPr>
              <w:pStyle w:val="Text1"/>
              <w:ind w:left="0"/>
              <w:jc w:val="left"/>
              <w:rPr>
                <w:sz w:val="18"/>
                <w:szCs w:val="18"/>
                <w:lang w:val="en-GB" w:eastAsia="en-GB"/>
              </w:rPr>
            </w:pPr>
            <w:r w:rsidRPr="008340BB">
              <w:rPr>
                <w:sz w:val="18"/>
                <w:szCs w:val="18"/>
                <w:lang w:val="en-GB" w:eastAsia="en-GB"/>
              </w:rPr>
              <w:t xml:space="preserve">07 Not applicable </w:t>
            </w:r>
          </w:p>
        </w:tc>
        <w:tc>
          <w:tcPr>
            <w:tcW w:w="2977" w:type="dxa"/>
          </w:tcPr>
          <w:p w14:paraId="26439A7F" w14:textId="77777777" w:rsidR="00F1341F" w:rsidRPr="008340BB" w:rsidRDefault="00F1341F" w:rsidP="00067686">
            <w:pPr>
              <w:pStyle w:val="Text1"/>
              <w:ind w:left="0"/>
              <w:jc w:val="left"/>
              <w:rPr>
                <w:sz w:val="18"/>
                <w:szCs w:val="18"/>
                <w:lang w:val="en-GB" w:eastAsia="en-GB"/>
              </w:rPr>
            </w:pPr>
            <w:r w:rsidRPr="008340BB">
              <w:rPr>
                <w:sz w:val="18"/>
                <w:szCs w:val="18"/>
                <w:lang w:val="en-GB" w:eastAsia="en-GB"/>
              </w:rPr>
              <w:t>07 Not applicable</w:t>
            </w:r>
          </w:p>
        </w:tc>
      </w:tr>
    </w:tbl>
    <w:p w14:paraId="0A4C36FF" w14:textId="77777777" w:rsidR="00F1341F" w:rsidRPr="008340BB" w:rsidRDefault="00F1341F" w:rsidP="008B4180">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304283B9" w14:textId="77777777" w:rsidTr="00067686">
        <w:trPr>
          <w:trHeight w:val="364"/>
        </w:trPr>
        <w:tc>
          <w:tcPr>
            <w:tcW w:w="8472" w:type="dxa"/>
            <w:gridSpan w:val="4"/>
          </w:tcPr>
          <w:p w14:paraId="28E69082" w14:textId="77777777" w:rsidR="00F1341F" w:rsidRPr="0067246B" w:rsidRDefault="00F1341F" w:rsidP="00067686">
            <w:pPr>
              <w:autoSpaceDE w:val="0"/>
              <w:autoSpaceDN w:val="0"/>
              <w:adjustRightInd w:val="0"/>
              <w:spacing w:after="0"/>
              <w:jc w:val="left"/>
              <w:rPr>
                <w:rFonts w:ascii="TimesNewRoman" w:cs="TimesNewRoman"/>
                <w:b/>
                <w:color w:val="000000"/>
                <w:sz w:val="20"/>
              </w:rPr>
            </w:pPr>
            <w:r w:rsidRPr="00020ADD">
              <w:rPr>
                <w:rFonts w:ascii="TimesNewRoman,Bold" w:hAnsi="TimesNewRoman,Bold" w:cs="TimesNewRoman,Bold"/>
                <w:b/>
                <w:bCs/>
                <w:color w:val="000000"/>
                <w:sz w:val="20"/>
              </w:rPr>
              <w:t>Table 11: Dimension 6 – ESF secondary theme</w:t>
            </w:r>
            <w:r w:rsidRPr="008340BB">
              <w:rPr>
                <w:rStyle w:val="FootnoteReference"/>
                <w:rFonts w:ascii="TimesNewRoman,Bold" w:hAnsi="TimesNewRoman,Bold"/>
                <w:b/>
                <w:bCs/>
                <w:color w:val="000000"/>
                <w:sz w:val="20"/>
              </w:rPr>
              <w:footnoteReference w:id="38"/>
            </w:r>
            <w:r w:rsidRPr="008340BB">
              <w:rPr>
                <w:rFonts w:ascii="TimesNewRoman" w:eastAsia="Times New Roman" w:cs="TimesNewRoman"/>
                <w:b/>
                <w:color w:val="000000"/>
                <w:sz w:val="20"/>
              </w:rPr>
              <w:t xml:space="preserve"> </w:t>
            </w:r>
            <w:r w:rsidRPr="0067246B">
              <w:rPr>
                <w:rFonts w:ascii="TimesNewRoman,Bold" w:hAnsi="TimesNewRoman,Bold" w:cs="TimesNewRoman,Bold"/>
                <w:b/>
                <w:bCs/>
                <w:color w:val="000000"/>
                <w:sz w:val="20"/>
              </w:rPr>
              <w:t>(ESF only)</w:t>
            </w:r>
          </w:p>
        </w:tc>
      </w:tr>
      <w:tr w:rsidR="00F1341F" w:rsidRPr="008340BB" w14:paraId="75CB52B3" w14:textId="77777777" w:rsidTr="00067686">
        <w:trPr>
          <w:trHeight w:val="364"/>
        </w:trPr>
        <w:tc>
          <w:tcPr>
            <w:tcW w:w="2802" w:type="dxa"/>
            <w:gridSpan w:val="2"/>
          </w:tcPr>
          <w:p w14:paraId="02C42867" w14:textId="77777777" w:rsidR="00F1341F" w:rsidRPr="008340BB" w:rsidRDefault="00F1341F" w:rsidP="00067686">
            <w:pPr>
              <w:autoSpaceDE w:val="0"/>
              <w:autoSpaceDN w:val="0"/>
              <w:adjustRightInd w:val="0"/>
              <w:spacing w:after="0"/>
              <w:jc w:val="left"/>
              <w:rPr>
                <w:bCs/>
                <w:sz w:val="20"/>
              </w:rPr>
            </w:pPr>
            <w:r w:rsidRPr="008340BB">
              <w:rPr>
                <w:b/>
                <w:sz w:val="18"/>
                <w:szCs w:val="18"/>
              </w:rPr>
              <w:t>Priority axis</w:t>
            </w:r>
            <w:r w:rsidRPr="008340BB" w:rsidDel="00677F9B">
              <w:rPr>
                <w:bCs/>
                <w:sz w:val="20"/>
              </w:rPr>
              <w:t xml:space="preserve"> </w:t>
            </w:r>
          </w:p>
        </w:tc>
        <w:tc>
          <w:tcPr>
            <w:tcW w:w="5670" w:type="dxa"/>
            <w:gridSpan w:val="2"/>
          </w:tcPr>
          <w:p w14:paraId="3A4EA2E1" w14:textId="77777777" w:rsidR="00F1341F" w:rsidRPr="008340BB" w:rsidRDefault="00F1341F" w:rsidP="00067686">
            <w:pPr>
              <w:autoSpaceDE w:val="0"/>
              <w:autoSpaceDN w:val="0"/>
              <w:adjustRightInd w:val="0"/>
              <w:spacing w:after="0"/>
              <w:jc w:val="left"/>
              <w:rPr>
                <w:bCs/>
                <w:sz w:val="20"/>
              </w:rPr>
            </w:pPr>
            <w:r w:rsidRPr="008340BB">
              <w:rPr>
                <w:sz w:val="18"/>
                <w:szCs w:val="18"/>
              </w:rPr>
              <w:t>N/A</w:t>
            </w:r>
            <w:r w:rsidRPr="008340BB" w:rsidDel="00677F9B">
              <w:rPr>
                <w:i/>
                <w:color w:val="8DB3E2"/>
                <w:sz w:val="18"/>
                <w:szCs w:val="18"/>
              </w:rPr>
              <w:t xml:space="preserve"> </w:t>
            </w:r>
          </w:p>
        </w:tc>
      </w:tr>
      <w:tr w:rsidR="00F1341F" w:rsidRPr="008340BB" w14:paraId="11D70E92" w14:textId="77777777" w:rsidTr="00D30B7A">
        <w:trPr>
          <w:trHeight w:val="267"/>
        </w:trPr>
        <w:tc>
          <w:tcPr>
            <w:tcW w:w="1401" w:type="dxa"/>
          </w:tcPr>
          <w:p w14:paraId="1430A061" w14:textId="77777777" w:rsidR="00F1341F" w:rsidRPr="008340BB" w:rsidRDefault="00F1341F" w:rsidP="00067686">
            <w:pPr>
              <w:suppressAutoHyphens/>
              <w:rPr>
                <w:i/>
                <w:color w:val="8DB3E2"/>
                <w:sz w:val="18"/>
                <w:szCs w:val="18"/>
              </w:rPr>
            </w:pPr>
            <w:r w:rsidRPr="008340BB">
              <w:rPr>
                <w:b/>
                <w:bCs/>
                <w:sz w:val="20"/>
              </w:rPr>
              <w:t>Fund</w:t>
            </w:r>
            <w:r w:rsidRPr="008340BB" w:rsidDel="00196680">
              <w:rPr>
                <w:b/>
                <w:sz w:val="18"/>
                <w:szCs w:val="18"/>
              </w:rPr>
              <w:t xml:space="preserve"> </w:t>
            </w:r>
          </w:p>
        </w:tc>
        <w:tc>
          <w:tcPr>
            <w:tcW w:w="1401" w:type="dxa"/>
          </w:tcPr>
          <w:p w14:paraId="28856CC0" w14:textId="77777777" w:rsidR="00F1341F" w:rsidRPr="008340BB" w:rsidRDefault="00F1341F" w:rsidP="00067686">
            <w:pPr>
              <w:pStyle w:val="Text1"/>
              <w:ind w:left="0"/>
              <w:jc w:val="left"/>
              <w:rPr>
                <w:b/>
                <w:sz w:val="18"/>
                <w:szCs w:val="18"/>
                <w:lang w:val="en-GB" w:eastAsia="en-GB"/>
              </w:rPr>
            </w:pPr>
            <w:r w:rsidRPr="008340BB">
              <w:rPr>
                <w:b/>
                <w:bCs/>
                <w:sz w:val="20"/>
                <w:lang w:val="en-GB" w:eastAsia="en-GB"/>
              </w:rPr>
              <w:t>Category of region</w:t>
            </w:r>
          </w:p>
        </w:tc>
        <w:tc>
          <w:tcPr>
            <w:tcW w:w="2693" w:type="dxa"/>
          </w:tcPr>
          <w:p w14:paraId="21A9CE7B" w14:textId="77777777" w:rsidR="00F1341F" w:rsidRPr="008340BB" w:rsidRDefault="00F1341F" w:rsidP="00067686">
            <w:pPr>
              <w:jc w:val="center"/>
              <w:rPr>
                <w:sz w:val="20"/>
              </w:rPr>
            </w:pPr>
            <w:r w:rsidRPr="008340BB">
              <w:rPr>
                <w:b/>
                <w:sz w:val="18"/>
                <w:szCs w:val="18"/>
              </w:rPr>
              <w:t>Code</w:t>
            </w:r>
          </w:p>
        </w:tc>
        <w:tc>
          <w:tcPr>
            <w:tcW w:w="2977" w:type="dxa"/>
          </w:tcPr>
          <w:p w14:paraId="0A62F82A" w14:textId="77777777" w:rsidR="00F1341F" w:rsidRPr="008340BB" w:rsidRDefault="00F1341F" w:rsidP="00067686">
            <w:pPr>
              <w:jc w:val="center"/>
              <w:rPr>
                <w:sz w:val="20"/>
              </w:rPr>
            </w:pPr>
            <w:r w:rsidRPr="008340BB">
              <w:rPr>
                <w:b/>
                <w:sz w:val="18"/>
                <w:szCs w:val="18"/>
              </w:rPr>
              <w:t>Amount (EUR)</w:t>
            </w:r>
          </w:p>
        </w:tc>
      </w:tr>
      <w:tr w:rsidR="00F1341F" w:rsidRPr="008340BB" w14:paraId="35DE0C8C" w14:textId="77777777" w:rsidTr="00D30B7A">
        <w:tc>
          <w:tcPr>
            <w:tcW w:w="1401" w:type="dxa"/>
          </w:tcPr>
          <w:p w14:paraId="0256AA12" w14:textId="77777777" w:rsidR="00F1341F" w:rsidRPr="008340BB" w:rsidRDefault="00F1341F" w:rsidP="00067686">
            <w:pPr>
              <w:pStyle w:val="Text1"/>
              <w:ind w:left="0"/>
              <w:jc w:val="left"/>
              <w:rPr>
                <w:sz w:val="18"/>
                <w:szCs w:val="18"/>
                <w:lang w:val="en-GB" w:eastAsia="en-GB"/>
              </w:rPr>
            </w:pPr>
            <w:r w:rsidRPr="008340BB">
              <w:rPr>
                <w:sz w:val="18"/>
                <w:szCs w:val="18"/>
                <w:lang w:val="en-GB" w:eastAsia="en-GB"/>
              </w:rPr>
              <w:t>N/A</w:t>
            </w:r>
          </w:p>
        </w:tc>
        <w:tc>
          <w:tcPr>
            <w:tcW w:w="1401" w:type="dxa"/>
          </w:tcPr>
          <w:p w14:paraId="51C71C66" w14:textId="77777777" w:rsidR="00F1341F" w:rsidRPr="008340BB" w:rsidRDefault="00F1341F" w:rsidP="00067686">
            <w:pPr>
              <w:pStyle w:val="Text1"/>
              <w:ind w:left="0"/>
              <w:jc w:val="left"/>
              <w:rPr>
                <w:sz w:val="18"/>
                <w:szCs w:val="18"/>
                <w:lang w:val="en-GB" w:eastAsia="en-GB"/>
              </w:rPr>
            </w:pPr>
            <w:r w:rsidRPr="008340BB">
              <w:rPr>
                <w:sz w:val="18"/>
                <w:szCs w:val="18"/>
                <w:lang w:val="en-GB" w:eastAsia="en-GB"/>
              </w:rPr>
              <w:t>N/A</w:t>
            </w:r>
          </w:p>
        </w:tc>
        <w:tc>
          <w:tcPr>
            <w:tcW w:w="2693" w:type="dxa"/>
          </w:tcPr>
          <w:p w14:paraId="5E99672C" w14:textId="77777777" w:rsidR="00F1341F" w:rsidRPr="008340BB" w:rsidRDefault="00F1341F" w:rsidP="00067686">
            <w:pPr>
              <w:pStyle w:val="Text1"/>
              <w:ind w:left="0"/>
              <w:jc w:val="left"/>
              <w:rPr>
                <w:sz w:val="18"/>
                <w:szCs w:val="18"/>
                <w:lang w:val="en-GB" w:eastAsia="en-GB"/>
              </w:rPr>
            </w:pPr>
            <w:r w:rsidRPr="008340BB">
              <w:rPr>
                <w:sz w:val="18"/>
                <w:szCs w:val="18"/>
                <w:lang w:val="en-GB" w:eastAsia="en-GB"/>
              </w:rPr>
              <w:t>N/A</w:t>
            </w:r>
          </w:p>
        </w:tc>
        <w:tc>
          <w:tcPr>
            <w:tcW w:w="2977" w:type="dxa"/>
          </w:tcPr>
          <w:p w14:paraId="3E17E5F7" w14:textId="77777777" w:rsidR="00F1341F" w:rsidRPr="008340BB" w:rsidRDefault="00F1341F" w:rsidP="00916E43">
            <w:pPr>
              <w:pStyle w:val="Text1"/>
              <w:ind w:left="0"/>
              <w:jc w:val="left"/>
              <w:rPr>
                <w:sz w:val="18"/>
                <w:szCs w:val="18"/>
                <w:lang w:val="en-GB" w:eastAsia="en-GB"/>
              </w:rPr>
            </w:pPr>
            <w:r w:rsidRPr="008340BB">
              <w:rPr>
                <w:sz w:val="18"/>
                <w:szCs w:val="18"/>
                <w:lang w:val="en-GB" w:eastAsia="en-GB"/>
              </w:rPr>
              <w:t>N/A</w:t>
            </w:r>
          </w:p>
        </w:tc>
      </w:tr>
    </w:tbl>
    <w:p w14:paraId="22942C34" w14:textId="77777777" w:rsidR="00F1341F" w:rsidRPr="008340BB" w:rsidRDefault="00F1341F" w:rsidP="008B4180"/>
    <w:p w14:paraId="29709C76" w14:textId="77777777" w:rsidR="00F1341F" w:rsidRPr="008340BB" w:rsidRDefault="00F1341F" w:rsidP="008B4180">
      <w:r w:rsidRPr="008340BB">
        <w:rPr>
          <w:b/>
        </w:rPr>
        <w:t xml:space="preserve">2.A.2.9 </w:t>
      </w:r>
      <w:r w:rsidRPr="008340BB">
        <w:rPr>
          <w:b/>
        </w:rPr>
        <w:tab/>
        <w:t xml:space="preserve">Summary of the planned use of technical assistance  including, where necessary, actions to reinforce the administrative capacity of authorities involved in the management and control of the programmes and beneficiaries </w:t>
      </w:r>
      <w:r w:rsidRPr="008340BB" w:rsidDel="00A44429">
        <w:t xml:space="preserve"> </w:t>
      </w:r>
      <w:r w:rsidRPr="008340BB">
        <w:t>(where appropriate)</w:t>
      </w:r>
    </w:p>
    <w:p w14:paraId="602F1EFA" w14:textId="77777777" w:rsidR="00F1341F" w:rsidRPr="008340BB" w:rsidRDefault="00F1341F" w:rsidP="008B4180">
      <w:r w:rsidRPr="008340BB">
        <w:t>(by priority axis)</w:t>
      </w:r>
    </w:p>
    <w:p w14:paraId="0AC43AEF" w14:textId="77777777" w:rsidR="00F1341F" w:rsidRPr="008340BB" w:rsidRDefault="00F1341F" w:rsidP="008B4180">
      <w:r w:rsidRPr="008340BB">
        <w:t>(Reference: point (b)(vii) of Article 96(2) of Regulation (EU) No 1303/2013)</w:t>
      </w:r>
    </w:p>
    <w:p w14:paraId="25159BB2" w14:textId="77777777" w:rsidR="00F1341F" w:rsidRPr="008340BB" w:rsidRDefault="00F1341F" w:rsidP="008B4180">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57F2E1B4" w14:textId="77777777" w:rsidTr="00067686">
        <w:trPr>
          <w:trHeight w:val="518"/>
        </w:trPr>
        <w:tc>
          <w:tcPr>
            <w:tcW w:w="2235" w:type="dxa"/>
          </w:tcPr>
          <w:p w14:paraId="4902D055" w14:textId="77777777" w:rsidR="00F1341F" w:rsidRPr="008340BB" w:rsidRDefault="00F1341F" w:rsidP="00067686">
            <w:pPr>
              <w:rPr>
                <w:i/>
                <w:color w:val="8DB3E2"/>
                <w:sz w:val="18"/>
                <w:szCs w:val="18"/>
              </w:rPr>
            </w:pPr>
            <w:r w:rsidRPr="008340BB">
              <w:rPr>
                <w:i/>
              </w:rPr>
              <w:t>Priority axis</w:t>
            </w:r>
          </w:p>
        </w:tc>
        <w:tc>
          <w:tcPr>
            <w:tcW w:w="6443" w:type="dxa"/>
          </w:tcPr>
          <w:p w14:paraId="0BFF3076" w14:textId="77777777" w:rsidR="00F1341F" w:rsidRPr="008340BB" w:rsidRDefault="00F1341F">
            <w:pPr>
              <w:rPr>
                <w:i/>
                <w:color w:val="8DB3E2"/>
                <w:sz w:val="18"/>
                <w:szCs w:val="18"/>
              </w:rPr>
            </w:pPr>
            <w:r w:rsidRPr="008340BB">
              <w:rPr>
                <w:i/>
                <w:szCs w:val="24"/>
              </w:rPr>
              <w:t xml:space="preserve">Development of road infrastructure along the „core” and “comprehensive” </w:t>
            </w:r>
            <w:r w:rsidR="00D31C20">
              <w:rPr>
                <w:i/>
                <w:szCs w:val="24"/>
              </w:rPr>
              <w:t>TEN-T</w:t>
            </w:r>
          </w:p>
        </w:tc>
      </w:tr>
      <w:tr w:rsidR="00F1341F" w:rsidRPr="008340BB" w14:paraId="64E450E2" w14:textId="77777777" w:rsidTr="00067686">
        <w:trPr>
          <w:trHeight w:val="1662"/>
        </w:trPr>
        <w:tc>
          <w:tcPr>
            <w:tcW w:w="8678" w:type="dxa"/>
            <w:gridSpan w:val="2"/>
          </w:tcPr>
          <w:p w14:paraId="1BC99122" w14:textId="77777777" w:rsidR="00F1341F" w:rsidRPr="008340BB" w:rsidRDefault="00F1341F" w:rsidP="00E053D5">
            <w:pPr>
              <w:pStyle w:val="ListParagraph"/>
              <w:overflowPunct w:val="0"/>
              <w:autoSpaceDE w:val="0"/>
              <w:autoSpaceDN w:val="0"/>
              <w:adjustRightInd w:val="0"/>
              <w:spacing w:before="120" w:after="120"/>
              <w:ind w:left="0"/>
              <w:textAlignment w:val="baseline"/>
              <w:rPr>
                <w:szCs w:val="24"/>
              </w:rPr>
            </w:pPr>
            <w:r w:rsidRPr="008340BB">
              <w:rPr>
                <w:lang w:eastAsia="bg-BG"/>
              </w:rPr>
              <w:lastRenderedPageBreak/>
              <w:t xml:space="preserve">Technical assistance is planned for preparation/completion of preparation of investment projects for development of road infrastructure of the country along the Trans-European transport network, including studies, „cost-benefit” analysis, environmental impact assessment, design, impact assessment of the programme, etc. Additionally it is envisaged the </w:t>
            </w:r>
            <w:r w:rsidRPr="008340BB">
              <w:rPr>
                <w:szCs w:val="24"/>
              </w:rPr>
              <w:t xml:space="preserve">preparation of project “Cherno More Motorway” and “Ruse-Veliko Tarnovo” including extension of Ruse-Giurgiu bridge </w:t>
            </w:r>
            <w:r w:rsidRPr="008340BB">
              <w:rPr>
                <w:lang w:eastAsia="bg-BG"/>
              </w:rPr>
              <w:t>to be financed under that Priority axis.</w:t>
            </w:r>
          </w:p>
          <w:p w14:paraId="1ED1778E" w14:textId="77777777" w:rsidR="00F1341F" w:rsidRPr="005E66A5" w:rsidRDefault="00F1341F" w:rsidP="0076034D">
            <w:pPr>
              <w:autoSpaceDE w:val="0"/>
              <w:autoSpaceDN w:val="0"/>
              <w:adjustRightInd w:val="0"/>
              <w:rPr>
                <w:lang w:eastAsia="bg-BG"/>
              </w:rPr>
            </w:pPr>
            <w:r w:rsidRPr="008340BB">
              <w:rPr>
                <w:lang w:eastAsia="bg-BG"/>
              </w:rPr>
              <w:t xml:space="preserve">Any activities related to ensuring the administrative capacity </w:t>
            </w:r>
            <w:r w:rsidRPr="005E66A5">
              <w:rPr>
                <w:lang w:eastAsia="bg-BG"/>
              </w:rPr>
              <w:t>will be funded under the Priority axis 5</w:t>
            </w:r>
            <w:r w:rsidR="005E66A5">
              <w:rPr>
                <w:lang w:eastAsia="bg-BG"/>
              </w:rPr>
              <w:t xml:space="preserve"> “Technical assistance”</w:t>
            </w:r>
            <w:r w:rsidRPr="005E66A5">
              <w:rPr>
                <w:lang w:eastAsia="bg-BG"/>
              </w:rPr>
              <w:t>.</w:t>
            </w:r>
          </w:p>
        </w:tc>
      </w:tr>
    </w:tbl>
    <w:p w14:paraId="25FFE730" w14:textId="77777777" w:rsidR="00F1341F" w:rsidRPr="008340BB" w:rsidRDefault="00F1341F" w:rsidP="008B4180"/>
    <w:p w14:paraId="6554E44B" w14:textId="77777777" w:rsidR="00F1341F" w:rsidRPr="008340BB" w:rsidRDefault="00F1341F" w:rsidP="00F936EB">
      <w:pPr>
        <w:tabs>
          <w:tab w:val="left" w:pos="1080"/>
        </w:tabs>
        <w:rPr>
          <w:b/>
        </w:rPr>
      </w:pPr>
    </w:p>
    <w:p w14:paraId="04C6F282" w14:textId="77777777" w:rsidR="00F1341F" w:rsidRPr="008340BB" w:rsidRDefault="00F1341F" w:rsidP="00F936EB">
      <w:pPr>
        <w:tabs>
          <w:tab w:val="left" w:pos="1080"/>
        </w:tabs>
        <w:rPr>
          <w:b/>
        </w:rPr>
      </w:pPr>
      <w:r w:rsidRPr="008340BB">
        <w:rPr>
          <w:b/>
        </w:rPr>
        <w:br w:type="page"/>
      </w:r>
    </w:p>
    <w:p w14:paraId="5F520FDC" w14:textId="77777777" w:rsidR="00F1341F" w:rsidRPr="008340BB" w:rsidRDefault="00F1341F" w:rsidP="00F936EB">
      <w:pPr>
        <w:tabs>
          <w:tab w:val="left" w:pos="1080"/>
        </w:tabs>
        <w:rPr>
          <w:b/>
        </w:rPr>
      </w:pPr>
      <w:r w:rsidRPr="008340BB">
        <w:rPr>
          <w:b/>
        </w:rPr>
        <w:lastRenderedPageBreak/>
        <w:t>2.A.3  Priority axis “Improvement of intermodal transport services for passengers and freights and development of sustainable urban transport”</w:t>
      </w:r>
    </w:p>
    <w:p w14:paraId="6A375252" w14:textId="77777777" w:rsidR="00F1341F" w:rsidRPr="008340BB" w:rsidRDefault="00F1341F" w:rsidP="00F936EB">
      <w:pPr>
        <w:tabs>
          <w:tab w:val="left" w:pos="1080"/>
        </w:tabs>
        <w:rPr>
          <w:b/>
        </w:rPr>
      </w:pPr>
    </w:p>
    <w:p w14:paraId="675E071A" w14:textId="77777777" w:rsidR="00F1341F" w:rsidRPr="008340BB" w:rsidRDefault="00F1341F" w:rsidP="00D14C5F">
      <w:pPr>
        <w:ind w:left="1418" w:hanging="1418"/>
      </w:pPr>
      <w:r w:rsidRPr="008340BB">
        <w:rPr>
          <w:b/>
        </w:rPr>
        <w:t>2.A.3.1</w:t>
      </w:r>
      <w:r w:rsidRPr="008340BB">
        <w:rPr>
          <w:b/>
        </w:rPr>
        <w:tab/>
        <w:t xml:space="preserve">Justification for the establishment of a priority axis covering more than one category of region, thematic objective or Fund </w:t>
      </w:r>
      <w:r w:rsidRPr="008340BB">
        <w:t xml:space="preserve"> (where applicable)</w:t>
      </w:r>
    </w:p>
    <w:p w14:paraId="1D435F31" w14:textId="77777777" w:rsidR="00F1341F" w:rsidRPr="008340BB" w:rsidRDefault="00F1341F" w:rsidP="00D14C5F">
      <w:pPr>
        <w:ind w:left="1418" w:hanging="1418"/>
      </w:pPr>
      <w:r w:rsidRPr="008340BB">
        <w:t>(Reference: Article 96(1) of Regulation (EU) No 1303/2013)</w:t>
      </w:r>
    </w:p>
    <w:p w14:paraId="3CA7A01C" w14:textId="77777777" w:rsidR="00F1341F" w:rsidRPr="008340BB" w:rsidRDefault="00F1341F" w:rsidP="00D14C5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F1341F" w:rsidRPr="008340BB" w14:paraId="53A985EE" w14:textId="77777777" w:rsidTr="001B395D">
        <w:tc>
          <w:tcPr>
            <w:tcW w:w="9286" w:type="dxa"/>
          </w:tcPr>
          <w:p w14:paraId="05B62CB0" w14:textId="77777777" w:rsidR="00833EDC" w:rsidRDefault="009B1DD8" w:rsidP="007307AE">
            <w:pPr>
              <w:pStyle w:val="Text1"/>
              <w:ind w:left="0"/>
              <w:rPr>
                <w:sz w:val="24"/>
                <w:lang w:val="en-GB" w:eastAsia="en-GB"/>
              </w:rPr>
            </w:pPr>
            <w:r w:rsidRPr="00435AC3">
              <w:rPr>
                <w:sz w:val="24"/>
                <w:szCs w:val="24"/>
                <w:lang w:val="en-GB" w:eastAsia="en-GB"/>
              </w:rPr>
              <w:t xml:space="preserve">This </w:t>
            </w:r>
            <w:r w:rsidR="00957015" w:rsidRPr="003A346C">
              <w:rPr>
                <w:sz w:val="24"/>
                <w:szCs w:val="24"/>
                <w:lang w:val="en-GB" w:eastAsia="en-GB"/>
              </w:rPr>
              <w:t>p</w:t>
            </w:r>
            <w:r w:rsidR="00F1341F" w:rsidRPr="008340BB">
              <w:rPr>
                <w:sz w:val="24"/>
                <w:szCs w:val="24"/>
                <w:lang w:val="en-GB" w:eastAsia="en-GB"/>
              </w:rPr>
              <w:t xml:space="preserve">riority axis </w:t>
            </w:r>
            <w:r w:rsidR="009C763A">
              <w:rPr>
                <w:sz w:val="24"/>
                <w:szCs w:val="24"/>
                <w:lang w:val="en-GB" w:eastAsia="en-GB"/>
              </w:rPr>
              <w:t xml:space="preserve">covers </w:t>
            </w:r>
            <w:r w:rsidR="00B038CB">
              <w:rPr>
                <w:sz w:val="24"/>
                <w:szCs w:val="24"/>
                <w:lang w:val="en-GB" w:eastAsia="en-GB"/>
              </w:rPr>
              <w:t>TO</w:t>
            </w:r>
            <w:r w:rsidR="00F1341F" w:rsidRPr="008340BB">
              <w:rPr>
                <w:sz w:val="24"/>
                <w:lang w:val="en-GB" w:eastAsia="en-GB"/>
              </w:rPr>
              <w:t xml:space="preserve"> 7 </w:t>
            </w:r>
            <w:r w:rsidR="00BE08AB">
              <w:rPr>
                <w:sz w:val="24"/>
                <w:lang w:val="en-GB" w:eastAsia="en-GB"/>
              </w:rPr>
              <w:t>(</w:t>
            </w:r>
            <w:r w:rsidR="00C95A8B">
              <w:rPr>
                <w:sz w:val="24"/>
                <w:lang w:val="en-GB" w:eastAsia="en-GB"/>
              </w:rPr>
              <w:t>p</w:t>
            </w:r>
            <w:r w:rsidR="00F1341F" w:rsidRPr="008340BB">
              <w:rPr>
                <w:sz w:val="24"/>
                <w:lang w:val="en-GB" w:eastAsia="en-GB"/>
              </w:rPr>
              <w:t>romoting sustainable transport and removing bottlenecks in key network infrastructures</w:t>
            </w:r>
            <w:r w:rsidR="00BE08AB">
              <w:rPr>
                <w:sz w:val="24"/>
                <w:lang w:val="en-GB" w:eastAsia="en-GB"/>
              </w:rPr>
              <w:t>)</w:t>
            </w:r>
            <w:r w:rsidR="00F1341F" w:rsidRPr="008340BB">
              <w:rPr>
                <w:sz w:val="24"/>
                <w:lang w:val="en-GB" w:eastAsia="en-GB"/>
              </w:rPr>
              <w:t xml:space="preserve"> and </w:t>
            </w:r>
            <w:r w:rsidR="00B038CB">
              <w:rPr>
                <w:sz w:val="24"/>
                <w:szCs w:val="24"/>
                <w:lang w:val="en-GB" w:eastAsia="en-GB"/>
              </w:rPr>
              <w:t>TO</w:t>
            </w:r>
            <w:r w:rsidR="00F1341F" w:rsidRPr="008340BB">
              <w:rPr>
                <w:sz w:val="24"/>
                <w:lang w:val="en-GB" w:eastAsia="en-GB"/>
              </w:rPr>
              <w:t xml:space="preserve"> 4 </w:t>
            </w:r>
            <w:r w:rsidR="00215EC0">
              <w:rPr>
                <w:sz w:val="24"/>
                <w:lang w:val="en-GB" w:eastAsia="en-GB"/>
              </w:rPr>
              <w:t>(</w:t>
            </w:r>
            <w:r w:rsidR="00C95A8B">
              <w:rPr>
                <w:sz w:val="24"/>
                <w:lang w:val="en-GB" w:eastAsia="en-GB"/>
              </w:rPr>
              <w:t>s</w:t>
            </w:r>
            <w:r w:rsidR="00F1341F" w:rsidRPr="008340BB">
              <w:rPr>
                <w:sz w:val="24"/>
                <w:lang w:val="en-GB" w:eastAsia="en-GB"/>
              </w:rPr>
              <w:t>upporting the shifts towards a low-carbon economy in all sectors</w:t>
            </w:r>
            <w:r w:rsidR="00215EC0">
              <w:rPr>
                <w:sz w:val="24"/>
                <w:lang w:val="en-GB" w:eastAsia="en-GB"/>
              </w:rPr>
              <w:t>)</w:t>
            </w:r>
            <w:r w:rsidR="007307AE">
              <w:rPr>
                <w:sz w:val="24"/>
                <w:lang w:val="en-GB" w:eastAsia="en-GB"/>
              </w:rPr>
              <w:t>.</w:t>
            </w:r>
            <w:r w:rsidR="00F1341F" w:rsidRPr="008340BB">
              <w:rPr>
                <w:sz w:val="24"/>
                <w:lang w:val="en-GB" w:eastAsia="en-GB"/>
              </w:rPr>
              <w:t xml:space="preserve"> </w:t>
            </w:r>
          </w:p>
          <w:p w14:paraId="38DD1F99" w14:textId="77777777" w:rsidR="00E87023" w:rsidRDefault="00833EDC" w:rsidP="00435AC3">
            <w:pPr>
              <w:pStyle w:val="Text1"/>
              <w:ind w:left="0"/>
              <w:rPr>
                <w:sz w:val="24"/>
                <w:lang w:val="en-GB" w:eastAsia="en-GB"/>
              </w:rPr>
            </w:pPr>
            <w:r w:rsidRPr="00833EDC">
              <w:rPr>
                <w:sz w:val="24"/>
                <w:lang w:val="en-GB" w:eastAsia="en-GB"/>
              </w:rPr>
              <w:t>The selected investment priority under TO 7 is "supporting a multimodal Single European Transport Area by investing in the TEN-T" (Art. 5 (7)(a) of ERDF regulation).</w:t>
            </w:r>
          </w:p>
          <w:p w14:paraId="16120B40" w14:textId="77777777" w:rsidR="005F126E" w:rsidRDefault="00833EDC" w:rsidP="00833EDC">
            <w:pPr>
              <w:pStyle w:val="Text1"/>
              <w:ind w:left="0"/>
              <w:rPr>
                <w:sz w:val="24"/>
                <w:lang w:val="en-GB" w:eastAsia="en-GB"/>
              </w:rPr>
            </w:pPr>
            <w:r w:rsidRPr="00833EDC">
              <w:rPr>
                <w:sz w:val="24"/>
                <w:lang w:val="en-GB" w:eastAsia="en-GB"/>
              </w:rPr>
              <w:t>The selected investment priority under TO 4 is "promoting low-carbon strategies for all types of territories, in particular for urban areas, including the promotion of sustainable multimodal urban mobility and mitigation-relevant adaptation measures" (Art. 5 (4)(e) of ERDF regulation).</w:t>
            </w:r>
          </w:p>
          <w:p w14:paraId="1B4B0478" w14:textId="2A0B6CCA" w:rsidR="000E212F" w:rsidRDefault="001E63E7">
            <w:pPr>
              <w:pStyle w:val="Text1"/>
              <w:ind w:left="0"/>
              <w:rPr>
                <w:sz w:val="24"/>
                <w:lang w:val="en-GB" w:eastAsia="en-GB"/>
              </w:rPr>
            </w:pPr>
            <w:r>
              <w:rPr>
                <w:sz w:val="24"/>
                <w:lang w:val="en-GB" w:eastAsia="en-GB"/>
              </w:rPr>
              <w:t xml:space="preserve">This priority axis combines two thematic objectives in order to increase the impact of investments in </w:t>
            </w:r>
            <w:r w:rsidR="00C075C2" w:rsidRPr="00C075C2">
              <w:rPr>
                <w:sz w:val="24"/>
                <w:lang w:val="en-GB" w:eastAsia="en-GB"/>
              </w:rPr>
              <w:t xml:space="preserve">sustainable </w:t>
            </w:r>
            <w:r>
              <w:rPr>
                <w:sz w:val="24"/>
                <w:lang w:val="en-GB" w:eastAsia="en-GB"/>
              </w:rPr>
              <w:t>multimodal</w:t>
            </w:r>
            <w:r w:rsidR="0055326B">
              <w:rPr>
                <w:sz w:val="24"/>
                <w:lang w:val="en-GB" w:eastAsia="en-GB"/>
              </w:rPr>
              <w:t xml:space="preserve"> mobil</w:t>
            </w:r>
            <w:r>
              <w:rPr>
                <w:sz w:val="24"/>
                <w:lang w:val="en-GB" w:eastAsia="en-GB"/>
              </w:rPr>
              <w:t xml:space="preserve">ity under the </w:t>
            </w:r>
            <w:r w:rsidR="00C95A8B">
              <w:rPr>
                <w:sz w:val="24"/>
                <w:lang w:val="en-GB" w:eastAsia="en-GB"/>
              </w:rPr>
              <w:t>selected</w:t>
            </w:r>
            <w:r>
              <w:rPr>
                <w:sz w:val="24"/>
                <w:lang w:val="en-GB" w:eastAsia="en-GB"/>
              </w:rPr>
              <w:t xml:space="preserve"> investment priorities. </w:t>
            </w:r>
            <w:r w:rsidR="00931BFF">
              <w:rPr>
                <w:sz w:val="24"/>
                <w:lang w:val="en-GB" w:eastAsia="en-GB"/>
              </w:rPr>
              <w:t>T</w:t>
            </w:r>
            <w:r w:rsidR="00931BFF" w:rsidRPr="00931BFF">
              <w:rPr>
                <w:sz w:val="24"/>
                <w:lang w:val="en-GB" w:eastAsia="en-GB"/>
              </w:rPr>
              <w:t>he reconstruction of key railway station</w:t>
            </w:r>
            <w:r w:rsidR="000E212F">
              <w:rPr>
                <w:sz w:val="24"/>
                <w:lang w:val="en-GB" w:eastAsia="en-GB"/>
              </w:rPr>
              <w:t>s</w:t>
            </w:r>
            <w:r w:rsidR="00931BFF" w:rsidRPr="00931BFF">
              <w:rPr>
                <w:sz w:val="24"/>
                <w:lang w:val="en-GB" w:eastAsia="en-GB"/>
              </w:rPr>
              <w:t xml:space="preserve"> creat</w:t>
            </w:r>
            <w:r w:rsidR="00931BFF">
              <w:rPr>
                <w:sz w:val="24"/>
                <w:lang w:val="en-GB" w:eastAsia="en-GB"/>
              </w:rPr>
              <w:t>es</w:t>
            </w:r>
            <w:r w:rsidR="00931BFF" w:rsidRPr="00931BFF">
              <w:rPr>
                <w:sz w:val="24"/>
                <w:lang w:val="en-GB" w:eastAsia="en-GB"/>
              </w:rPr>
              <w:t xml:space="preserve"> conditions for the provision of high quality service</w:t>
            </w:r>
            <w:r w:rsidR="00931BFF">
              <w:rPr>
                <w:sz w:val="24"/>
                <w:lang w:val="en-GB" w:eastAsia="en-GB"/>
              </w:rPr>
              <w:t>s</w:t>
            </w:r>
            <w:r w:rsidR="00931BFF" w:rsidRPr="00931BFF">
              <w:rPr>
                <w:sz w:val="24"/>
                <w:lang w:val="en-GB" w:eastAsia="en-GB"/>
              </w:rPr>
              <w:t xml:space="preserve"> </w:t>
            </w:r>
            <w:r w:rsidR="00931BFF">
              <w:rPr>
                <w:sz w:val="24"/>
                <w:lang w:val="en-GB" w:eastAsia="en-GB"/>
              </w:rPr>
              <w:t xml:space="preserve">to </w:t>
            </w:r>
            <w:r w:rsidR="00931BFF" w:rsidRPr="00931BFF">
              <w:rPr>
                <w:sz w:val="24"/>
                <w:lang w:val="en-GB" w:eastAsia="en-GB"/>
              </w:rPr>
              <w:t>customer</w:t>
            </w:r>
            <w:r w:rsidR="00931BFF">
              <w:rPr>
                <w:sz w:val="24"/>
                <w:lang w:val="en-GB" w:eastAsia="en-GB"/>
              </w:rPr>
              <w:t>s</w:t>
            </w:r>
            <w:r w:rsidR="00931BFF" w:rsidRPr="00931BFF">
              <w:rPr>
                <w:sz w:val="24"/>
                <w:lang w:val="en-GB" w:eastAsia="en-GB"/>
              </w:rPr>
              <w:t xml:space="preserve"> </w:t>
            </w:r>
            <w:r w:rsidR="000E212F">
              <w:rPr>
                <w:sz w:val="24"/>
                <w:lang w:val="en-GB" w:eastAsia="en-GB"/>
              </w:rPr>
              <w:t xml:space="preserve">(i.e. </w:t>
            </w:r>
            <w:r w:rsidR="00931BFF" w:rsidRPr="00931BFF">
              <w:rPr>
                <w:sz w:val="24"/>
                <w:lang w:val="en-GB" w:eastAsia="en-GB"/>
              </w:rPr>
              <w:t xml:space="preserve">railway </w:t>
            </w:r>
            <w:r w:rsidR="00C95A8B">
              <w:rPr>
                <w:sz w:val="24"/>
                <w:lang w:val="en-GB" w:eastAsia="en-GB"/>
              </w:rPr>
              <w:t>operators</w:t>
            </w:r>
            <w:r w:rsidR="00931BFF" w:rsidRPr="00931BFF">
              <w:rPr>
                <w:sz w:val="24"/>
                <w:lang w:val="en-GB" w:eastAsia="en-GB"/>
              </w:rPr>
              <w:t xml:space="preserve"> and passengers</w:t>
            </w:r>
            <w:r w:rsidR="000E212F">
              <w:rPr>
                <w:sz w:val="24"/>
                <w:lang w:val="en-GB" w:eastAsia="en-GB"/>
              </w:rPr>
              <w:t>)</w:t>
            </w:r>
            <w:r w:rsidR="00931BFF">
              <w:rPr>
                <w:sz w:val="24"/>
                <w:lang w:val="en-GB" w:eastAsia="en-GB"/>
              </w:rPr>
              <w:t xml:space="preserve"> as a part of the multimodal transport system</w:t>
            </w:r>
            <w:r w:rsidR="00931BFF" w:rsidRPr="00931BFF">
              <w:rPr>
                <w:sz w:val="24"/>
                <w:lang w:val="en-GB" w:eastAsia="en-GB"/>
              </w:rPr>
              <w:t xml:space="preserve">. </w:t>
            </w:r>
          </w:p>
          <w:p w14:paraId="27F741F1" w14:textId="77777777" w:rsidR="00F1341F" w:rsidRPr="00435AC3" w:rsidRDefault="00ED315B">
            <w:pPr>
              <w:pStyle w:val="Text1"/>
              <w:ind w:left="0"/>
              <w:rPr>
                <w:color w:val="4F81BD"/>
                <w:sz w:val="20"/>
                <w:lang w:val="en-GB" w:eastAsia="en-GB"/>
              </w:rPr>
            </w:pPr>
            <w:r>
              <w:rPr>
                <w:sz w:val="24"/>
                <w:lang w:val="en-GB" w:eastAsia="en-GB"/>
              </w:rPr>
              <w:t xml:space="preserve">The Sofia metro provides </w:t>
            </w:r>
            <w:r w:rsidRPr="00ED315B">
              <w:rPr>
                <w:sz w:val="24"/>
                <w:lang w:val="en-GB" w:eastAsia="en-GB"/>
              </w:rPr>
              <w:t>an intermodal link between the national railway network (metro-station Central Railway Station and metro-station Iskarsko Chaussee), the aviation passenger system (Sofia Airport station), as well as connections with the tramway and bus network</w:t>
            </w:r>
            <w:r>
              <w:rPr>
                <w:sz w:val="24"/>
                <w:lang w:val="en-GB" w:eastAsia="en-GB"/>
              </w:rPr>
              <w:t xml:space="preserve">. </w:t>
            </w:r>
          </w:p>
        </w:tc>
      </w:tr>
    </w:tbl>
    <w:p w14:paraId="2983CAF6" w14:textId="77777777" w:rsidR="00F1341F" w:rsidRPr="008340BB" w:rsidRDefault="00F1341F" w:rsidP="00D14C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4962"/>
      </w:tblGrid>
      <w:tr w:rsidR="00F1341F" w:rsidRPr="008340BB" w14:paraId="47B8521F" w14:textId="77777777" w:rsidTr="001B395D">
        <w:trPr>
          <w:trHeight w:val="491"/>
        </w:trPr>
        <w:tc>
          <w:tcPr>
            <w:tcW w:w="3510" w:type="dxa"/>
          </w:tcPr>
          <w:p w14:paraId="400E0E7E" w14:textId="77777777" w:rsidR="00F1341F" w:rsidRPr="008340BB" w:rsidRDefault="00F1341F" w:rsidP="001B395D">
            <w:pPr>
              <w:rPr>
                <w:i/>
              </w:rPr>
            </w:pPr>
            <w:r w:rsidRPr="008340BB">
              <w:t>ID of the priority axis</w:t>
            </w:r>
          </w:p>
        </w:tc>
        <w:tc>
          <w:tcPr>
            <w:tcW w:w="4962" w:type="dxa"/>
          </w:tcPr>
          <w:p w14:paraId="764ECA6B" w14:textId="77777777" w:rsidR="00F1341F" w:rsidRPr="008340BB" w:rsidRDefault="00F1341F" w:rsidP="001B395D">
            <w:pPr>
              <w:pStyle w:val="Text1"/>
              <w:ind w:left="0"/>
              <w:jc w:val="left"/>
              <w:rPr>
                <w:i/>
                <w:color w:val="8DB3E2"/>
                <w:sz w:val="18"/>
                <w:szCs w:val="18"/>
                <w:lang w:val="en-GB" w:eastAsia="en-GB"/>
              </w:rPr>
            </w:pPr>
            <w:r w:rsidRPr="008340BB">
              <w:rPr>
                <w:sz w:val="24"/>
                <w:szCs w:val="24"/>
                <w:lang w:val="en-GB" w:eastAsia="en-GB"/>
              </w:rPr>
              <w:t>3</w:t>
            </w:r>
          </w:p>
        </w:tc>
      </w:tr>
      <w:tr w:rsidR="00F1341F" w:rsidRPr="008340BB" w14:paraId="075FAB3C" w14:textId="77777777" w:rsidTr="001B395D">
        <w:trPr>
          <w:trHeight w:val="422"/>
        </w:trPr>
        <w:tc>
          <w:tcPr>
            <w:tcW w:w="3510" w:type="dxa"/>
          </w:tcPr>
          <w:p w14:paraId="053354CB" w14:textId="77777777" w:rsidR="00F1341F" w:rsidRPr="008340BB" w:rsidRDefault="00F1341F" w:rsidP="001B395D">
            <w:pPr>
              <w:rPr>
                <w:i/>
              </w:rPr>
            </w:pPr>
            <w:r w:rsidRPr="008340BB">
              <w:t>Title of the priority axis</w:t>
            </w:r>
          </w:p>
        </w:tc>
        <w:tc>
          <w:tcPr>
            <w:tcW w:w="4962" w:type="dxa"/>
          </w:tcPr>
          <w:p w14:paraId="1D48A7F2" w14:textId="77777777" w:rsidR="00F1341F" w:rsidRPr="008340BB" w:rsidRDefault="00F1341F">
            <w:pPr>
              <w:pStyle w:val="Text1"/>
              <w:ind w:left="0"/>
              <w:jc w:val="left"/>
              <w:rPr>
                <w:i/>
                <w:color w:val="8DB3E2"/>
                <w:sz w:val="18"/>
                <w:szCs w:val="18"/>
                <w:lang w:val="en-GB" w:eastAsia="en-GB"/>
              </w:rPr>
            </w:pPr>
            <w:r w:rsidRPr="008340BB">
              <w:rPr>
                <w:sz w:val="24"/>
                <w:lang w:val="en-GB" w:eastAsia="en-GB"/>
              </w:rPr>
              <w:t>Improvement of intermodal transport services for passengers and freights and development of sustainable urban transport</w:t>
            </w:r>
          </w:p>
        </w:tc>
      </w:tr>
    </w:tbl>
    <w:p w14:paraId="7C38D8BC" w14:textId="77777777" w:rsidR="00F1341F" w:rsidRPr="008340BB" w:rsidRDefault="00F1341F" w:rsidP="00D14C5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6"/>
        <w:gridCol w:w="2352"/>
      </w:tblGrid>
      <w:tr w:rsidR="00F1341F" w:rsidRPr="008340BB" w14:paraId="7D87FC6E" w14:textId="77777777" w:rsidTr="001B395D">
        <w:tc>
          <w:tcPr>
            <w:tcW w:w="4986" w:type="dxa"/>
          </w:tcPr>
          <w:p w14:paraId="2BDFB07D" w14:textId="77777777" w:rsidR="00F1341F" w:rsidRPr="008340BB" w:rsidRDefault="009B1DD8" w:rsidP="001B395D">
            <w:pPr>
              <w:pStyle w:val="Text3"/>
              <w:ind w:left="0"/>
            </w:pPr>
            <w:r w:rsidRPr="00435AC3">
              <w:fldChar w:fldCharType="begin">
                <w:ffData>
                  <w:name w:val="Check1"/>
                  <w:enabled/>
                  <w:calcOnExit w:val="0"/>
                  <w:checkBox>
                    <w:sizeAuto/>
                    <w:default w:val="0"/>
                  </w:checkBox>
                </w:ffData>
              </w:fldChar>
            </w:r>
            <w:r w:rsidR="00F1341F" w:rsidRPr="008340BB">
              <w:instrText xml:space="preserve"> FORMCHECKBOX </w:instrText>
            </w:r>
            <w:r w:rsidR="004956FB">
              <w:fldChar w:fldCharType="separate"/>
            </w:r>
            <w:r w:rsidRPr="00435AC3">
              <w:fldChar w:fldCharType="end"/>
            </w:r>
            <w:r w:rsidR="00F1341F" w:rsidRPr="008340BB">
              <w:t xml:space="preserve">  The entire priority axis will be implemented solely through financial instruments </w:t>
            </w:r>
          </w:p>
          <w:p w14:paraId="3F827F8E" w14:textId="77777777" w:rsidR="00F1341F" w:rsidRPr="008340BB" w:rsidRDefault="00F1341F" w:rsidP="001B395D">
            <w:pPr>
              <w:pStyle w:val="Text3"/>
              <w:ind w:left="0"/>
            </w:pPr>
          </w:p>
        </w:tc>
        <w:tc>
          <w:tcPr>
            <w:tcW w:w="2352" w:type="dxa"/>
          </w:tcPr>
          <w:p w14:paraId="0C6443C1" w14:textId="77777777" w:rsidR="00F1341F" w:rsidRPr="008340BB" w:rsidRDefault="00F1341F" w:rsidP="001B395D">
            <w:pPr>
              <w:pStyle w:val="Text3"/>
              <w:ind w:left="0"/>
            </w:pPr>
            <w:r w:rsidRPr="008340BB">
              <w:rPr>
                <w:i/>
                <w:sz w:val="18"/>
                <w:szCs w:val="18"/>
              </w:rPr>
              <w:t>N/A</w:t>
            </w:r>
          </w:p>
        </w:tc>
      </w:tr>
      <w:tr w:rsidR="00F1341F" w:rsidRPr="008340BB" w14:paraId="1BECFFC2" w14:textId="77777777" w:rsidTr="001B395D">
        <w:tc>
          <w:tcPr>
            <w:tcW w:w="4986" w:type="dxa"/>
          </w:tcPr>
          <w:p w14:paraId="64EC0670" w14:textId="77777777" w:rsidR="00F1341F" w:rsidRPr="008340BB" w:rsidRDefault="009B1DD8" w:rsidP="001B395D">
            <w:pPr>
              <w:pStyle w:val="Text3"/>
              <w:ind w:left="0"/>
            </w:pPr>
            <w:r w:rsidRPr="00435AC3">
              <w:fldChar w:fldCharType="begin">
                <w:ffData>
                  <w:name w:val="Check2"/>
                  <w:enabled/>
                  <w:calcOnExit w:val="0"/>
                  <w:checkBox>
                    <w:sizeAuto/>
                    <w:default w:val="0"/>
                  </w:checkBox>
                </w:ffData>
              </w:fldChar>
            </w:r>
            <w:r w:rsidR="00F1341F" w:rsidRPr="008340BB">
              <w:instrText xml:space="preserve"> FORMCHECKBOX </w:instrText>
            </w:r>
            <w:r w:rsidR="004956FB">
              <w:fldChar w:fldCharType="separate"/>
            </w:r>
            <w:r w:rsidRPr="00435AC3">
              <w:fldChar w:fldCharType="end"/>
            </w:r>
            <w:r w:rsidR="00F1341F" w:rsidRPr="008340BB">
              <w:t xml:space="preserve">  The entire priority axis will be implemented solely though financial instruments set up at Union level </w:t>
            </w:r>
          </w:p>
          <w:p w14:paraId="4DBFE7E7" w14:textId="77777777" w:rsidR="00F1341F" w:rsidRPr="008340BB" w:rsidRDefault="00F1341F" w:rsidP="001B395D">
            <w:pPr>
              <w:pStyle w:val="Text3"/>
              <w:ind w:left="0"/>
            </w:pPr>
          </w:p>
        </w:tc>
        <w:tc>
          <w:tcPr>
            <w:tcW w:w="2352" w:type="dxa"/>
          </w:tcPr>
          <w:p w14:paraId="5630745D" w14:textId="77777777" w:rsidR="00F1341F" w:rsidRPr="008340BB" w:rsidRDefault="00F1341F" w:rsidP="001B395D">
            <w:pPr>
              <w:pStyle w:val="Text3"/>
              <w:ind w:left="0"/>
            </w:pPr>
            <w:r w:rsidRPr="008340BB">
              <w:rPr>
                <w:i/>
                <w:sz w:val="18"/>
                <w:szCs w:val="18"/>
              </w:rPr>
              <w:t>N/A</w:t>
            </w:r>
          </w:p>
        </w:tc>
      </w:tr>
      <w:tr w:rsidR="00F1341F" w:rsidRPr="008340BB" w14:paraId="086C257F" w14:textId="77777777" w:rsidTr="001B395D">
        <w:tc>
          <w:tcPr>
            <w:tcW w:w="4986" w:type="dxa"/>
          </w:tcPr>
          <w:p w14:paraId="6E1C857F" w14:textId="77777777" w:rsidR="00F1341F" w:rsidRPr="008340BB" w:rsidRDefault="009B1DD8" w:rsidP="001B395D">
            <w:pPr>
              <w:pStyle w:val="Text3"/>
              <w:ind w:left="0"/>
            </w:pPr>
            <w:r w:rsidRPr="00435AC3">
              <w:lastRenderedPageBreak/>
              <w:fldChar w:fldCharType="begin">
                <w:ffData>
                  <w:name w:val="Check3"/>
                  <w:enabled/>
                  <w:calcOnExit w:val="0"/>
                  <w:checkBox>
                    <w:sizeAuto/>
                    <w:default w:val="0"/>
                  </w:checkBox>
                </w:ffData>
              </w:fldChar>
            </w:r>
            <w:r w:rsidR="00F1341F" w:rsidRPr="008340BB">
              <w:instrText xml:space="preserve"> FORMCHECKBOX </w:instrText>
            </w:r>
            <w:r w:rsidR="004956FB">
              <w:fldChar w:fldCharType="separate"/>
            </w:r>
            <w:r w:rsidRPr="00435AC3">
              <w:fldChar w:fldCharType="end"/>
            </w:r>
            <w:r w:rsidR="00F1341F" w:rsidRPr="008340BB">
              <w:t xml:space="preserve"> The entire priority axis will be implemented through community-led local development</w:t>
            </w:r>
          </w:p>
          <w:p w14:paraId="573A590A" w14:textId="77777777" w:rsidR="00F1341F" w:rsidRPr="008340BB" w:rsidRDefault="00F1341F" w:rsidP="001B395D">
            <w:pPr>
              <w:pStyle w:val="Text3"/>
              <w:ind w:left="0"/>
            </w:pPr>
          </w:p>
        </w:tc>
        <w:tc>
          <w:tcPr>
            <w:tcW w:w="2352" w:type="dxa"/>
          </w:tcPr>
          <w:p w14:paraId="7476B0DE" w14:textId="77777777" w:rsidR="00F1341F" w:rsidRPr="008340BB" w:rsidRDefault="00F1341F" w:rsidP="001B395D">
            <w:pPr>
              <w:pStyle w:val="Text3"/>
              <w:ind w:left="0"/>
            </w:pPr>
            <w:r w:rsidRPr="008340BB">
              <w:rPr>
                <w:i/>
                <w:sz w:val="18"/>
                <w:szCs w:val="18"/>
              </w:rPr>
              <w:t>N/A</w:t>
            </w:r>
          </w:p>
        </w:tc>
      </w:tr>
      <w:tr w:rsidR="00F1341F" w:rsidRPr="008340BB" w14:paraId="09B32E13" w14:textId="77777777" w:rsidTr="001B395D">
        <w:tc>
          <w:tcPr>
            <w:tcW w:w="4986" w:type="dxa"/>
          </w:tcPr>
          <w:p w14:paraId="37E71B88" w14:textId="77777777" w:rsidR="00F1341F" w:rsidRPr="008340BB" w:rsidRDefault="009B1DD8" w:rsidP="001B395D">
            <w:pPr>
              <w:pStyle w:val="Text3"/>
              <w:ind w:left="0"/>
            </w:pPr>
            <w:r w:rsidRPr="00435AC3">
              <w:fldChar w:fldCharType="begin">
                <w:ffData>
                  <w:name w:val="Check3"/>
                  <w:enabled/>
                  <w:calcOnExit w:val="0"/>
                  <w:checkBox>
                    <w:sizeAuto/>
                    <w:default w:val="0"/>
                  </w:checkBox>
                </w:ffData>
              </w:fldChar>
            </w:r>
            <w:r w:rsidR="00F1341F" w:rsidRPr="008340BB">
              <w:instrText xml:space="preserve"> FORMCHECKBOX </w:instrText>
            </w:r>
            <w:r w:rsidR="004956FB">
              <w:fldChar w:fldCharType="separate"/>
            </w:r>
            <w:r w:rsidRPr="00435AC3">
              <w:fldChar w:fldCharType="end"/>
            </w:r>
            <w:r w:rsidR="00F1341F" w:rsidRPr="008340BB">
              <w:t xml:space="preserve"> For the ESF: The entire priority axis is dedicated to social innovation or to transnational cooperation, or both</w:t>
            </w:r>
            <w:r w:rsidR="00F1341F" w:rsidRPr="008340BB">
              <w:rPr>
                <w:i/>
              </w:rPr>
              <w:t xml:space="preserve"> </w:t>
            </w:r>
          </w:p>
        </w:tc>
        <w:tc>
          <w:tcPr>
            <w:tcW w:w="2352" w:type="dxa"/>
          </w:tcPr>
          <w:p w14:paraId="3817F232" w14:textId="77777777" w:rsidR="00F1341F" w:rsidRPr="008340BB" w:rsidRDefault="00F1341F" w:rsidP="001B395D">
            <w:pPr>
              <w:pStyle w:val="Text3"/>
              <w:ind w:left="0"/>
            </w:pPr>
            <w:r w:rsidRPr="008340BB">
              <w:rPr>
                <w:i/>
                <w:sz w:val="18"/>
                <w:szCs w:val="18"/>
              </w:rPr>
              <w:t>N/A</w:t>
            </w:r>
          </w:p>
        </w:tc>
      </w:tr>
    </w:tbl>
    <w:p w14:paraId="39FB5470" w14:textId="77777777" w:rsidR="00F1341F" w:rsidRPr="008340BB" w:rsidRDefault="00F1341F" w:rsidP="00D14C5F">
      <w:pPr>
        <w:rPr>
          <w:b/>
        </w:rPr>
      </w:pPr>
      <w:r w:rsidRPr="008340BB">
        <w:rPr>
          <w:b/>
        </w:rPr>
        <w:t>2.A.3.2 Fund,  category of region and calculation basis for Union support</w:t>
      </w:r>
    </w:p>
    <w:p w14:paraId="79E315BD" w14:textId="77777777" w:rsidR="00F1341F" w:rsidRPr="008340BB" w:rsidRDefault="00F1341F" w:rsidP="00D14C5F">
      <w:pPr>
        <w:rPr>
          <w:b/>
        </w:rPr>
      </w:pPr>
      <w:r w:rsidRPr="008340BB">
        <w:t>(Repeated for each combination under a priority axis)</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4962"/>
      </w:tblGrid>
      <w:tr w:rsidR="00F1341F" w:rsidRPr="008340BB" w14:paraId="603B068F" w14:textId="77777777" w:rsidTr="001B395D">
        <w:tc>
          <w:tcPr>
            <w:tcW w:w="3544" w:type="dxa"/>
          </w:tcPr>
          <w:p w14:paraId="17C5F7B0" w14:textId="77777777" w:rsidR="00F1341F" w:rsidRPr="008340BB" w:rsidRDefault="00F1341F" w:rsidP="001B395D">
            <w:pPr>
              <w:rPr>
                <w:i/>
              </w:rPr>
            </w:pPr>
            <w:r w:rsidRPr="008340BB">
              <w:rPr>
                <w:i/>
              </w:rPr>
              <w:t>Fund</w:t>
            </w:r>
          </w:p>
        </w:tc>
        <w:tc>
          <w:tcPr>
            <w:tcW w:w="4962" w:type="dxa"/>
          </w:tcPr>
          <w:p w14:paraId="20BBD083" w14:textId="77777777" w:rsidR="00F1341F" w:rsidRPr="008340BB" w:rsidRDefault="00F1341F" w:rsidP="001B395D">
            <w:pPr>
              <w:jc w:val="left"/>
              <w:rPr>
                <w:i/>
                <w:color w:val="8DB3E2"/>
                <w:sz w:val="18"/>
                <w:szCs w:val="18"/>
              </w:rPr>
            </w:pPr>
            <w:r w:rsidRPr="008340BB">
              <w:rPr>
                <w:i/>
                <w:szCs w:val="24"/>
              </w:rPr>
              <w:t>European Regional Development Fund</w:t>
            </w:r>
          </w:p>
        </w:tc>
      </w:tr>
      <w:tr w:rsidR="00F1341F" w:rsidRPr="008340BB" w14:paraId="158C0792" w14:textId="77777777" w:rsidTr="001B395D">
        <w:tc>
          <w:tcPr>
            <w:tcW w:w="3544" w:type="dxa"/>
          </w:tcPr>
          <w:p w14:paraId="5377750A" w14:textId="77777777" w:rsidR="00F1341F" w:rsidRPr="008340BB" w:rsidRDefault="00F1341F" w:rsidP="001B395D">
            <w:pPr>
              <w:rPr>
                <w:i/>
              </w:rPr>
            </w:pPr>
            <w:r w:rsidRPr="008340BB">
              <w:rPr>
                <w:i/>
              </w:rPr>
              <w:t>Category of region</w:t>
            </w:r>
          </w:p>
        </w:tc>
        <w:tc>
          <w:tcPr>
            <w:tcW w:w="4962" w:type="dxa"/>
          </w:tcPr>
          <w:p w14:paraId="28D1D95A" w14:textId="77777777" w:rsidR="00F1341F" w:rsidRPr="008340BB" w:rsidRDefault="00F1341F" w:rsidP="001B395D">
            <w:pPr>
              <w:jc w:val="left"/>
              <w:rPr>
                <w:i/>
                <w:color w:val="8DB3E2"/>
                <w:sz w:val="18"/>
                <w:szCs w:val="18"/>
              </w:rPr>
            </w:pPr>
            <w:r w:rsidRPr="008340BB">
              <w:rPr>
                <w:i/>
                <w:szCs w:val="24"/>
              </w:rPr>
              <w:t>Less developed</w:t>
            </w:r>
            <w:r w:rsidRPr="008340BB">
              <w:rPr>
                <w:i/>
                <w:color w:val="8DB3E2"/>
                <w:sz w:val="18"/>
                <w:szCs w:val="18"/>
              </w:rPr>
              <w:t xml:space="preserve"> </w:t>
            </w:r>
          </w:p>
        </w:tc>
      </w:tr>
      <w:tr w:rsidR="00F1341F" w:rsidRPr="008340BB" w14:paraId="62C1BBF2" w14:textId="77777777" w:rsidTr="001B395D">
        <w:tc>
          <w:tcPr>
            <w:tcW w:w="3544" w:type="dxa"/>
          </w:tcPr>
          <w:p w14:paraId="380B3685" w14:textId="77777777" w:rsidR="00F1341F" w:rsidRPr="008340BB" w:rsidRDefault="00F1341F" w:rsidP="001B395D">
            <w:pPr>
              <w:rPr>
                <w:i/>
              </w:rPr>
            </w:pPr>
            <w:r w:rsidRPr="008340BB">
              <w:rPr>
                <w:i/>
              </w:rPr>
              <w:t>Calculation basis (public or total)</w:t>
            </w:r>
          </w:p>
        </w:tc>
        <w:tc>
          <w:tcPr>
            <w:tcW w:w="4962" w:type="dxa"/>
          </w:tcPr>
          <w:p w14:paraId="213754ED" w14:textId="77777777" w:rsidR="00F1341F" w:rsidRPr="008340BB" w:rsidRDefault="00F1341F" w:rsidP="001B395D">
            <w:pPr>
              <w:jc w:val="left"/>
              <w:rPr>
                <w:i/>
                <w:color w:val="8DB3E2"/>
                <w:sz w:val="18"/>
                <w:szCs w:val="18"/>
              </w:rPr>
            </w:pPr>
            <w:r w:rsidRPr="008340BB">
              <w:rPr>
                <w:i/>
                <w:color w:val="8DB3E2"/>
                <w:sz w:val="18"/>
                <w:szCs w:val="18"/>
              </w:rPr>
              <w:t xml:space="preserve"> </w:t>
            </w:r>
            <w:r w:rsidRPr="008340BB">
              <w:rPr>
                <w:i/>
                <w:szCs w:val="24"/>
              </w:rPr>
              <w:t xml:space="preserve">public </w:t>
            </w:r>
          </w:p>
        </w:tc>
      </w:tr>
      <w:tr w:rsidR="00F1341F" w:rsidRPr="008340BB" w14:paraId="2D274E7D" w14:textId="77777777" w:rsidTr="001B395D">
        <w:tc>
          <w:tcPr>
            <w:tcW w:w="3544" w:type="dxa"/>
          </w:tcPr>
          <w:p w14:paraId="3D54276E" w14:textId="77777777" w:rsidR="00F1341F" w:rsidRPr="008340BB" w:rsidRDefault="00F1341F" w:rsidP="001B395D">
            <w:pPr>
              <w:rPr>
                <w:i/>
              </w:rPr>
            </w:pPr>
            <w:r w:rsidRPr="008340BB">
              <w:rPr>
                <w:i/>
              </w:rPr>
              <w:t>Category of region for outermost regions and northern sparsely populated</w:t>
            </w:r>
            <w:r w:rsidRPr="008340BB" w:rsidDel="00337CA8">
              <w:rPr>
                <w:i/>
              </w:rPr>
              <w:t xml:space="preserve"> </w:t>
            </w:r>
            <w:r w:rsidRPr="008340BB">
              <w:rPr>
                <w:i/>
              </w:rPr>
              <w:t xml:space="preserve"> regions (where applicable)</w:t>
            </w:r>
          </w:p>
        </w:tc>
        <w:tc>
          <w:tcPr>
            <w:tcW w:w="4962" w:type="dxa"/>
          </w:tcPr>
          <w:p w14:paraId="60796BBE" w14:textId="77777777" w:rsidR="00F1341F" w:rsidRPr="008340BB" w:rsidRDefault="00F1341F" w:rsidP="001B395D">
            <w:pPr>
              <w:jc w:val="left"/>
              <w:rPr>
                <w:i/>
                <w:color w:val="8DB3E2"/>
                <w:sz w:val="18"/>
                <w:szCs w:val="18"/>
              </w:rPr>
            </w:pPr>
            <w:r w:rsidRPr="008340BB">
              <w:rPr>
                <w:i/>
                <w:color w:val="8DB3E2"/>
                <w:sz w:val="18"/>
                <w:szCs w:val="18"/>
              </w:rPr>
              <w:t xml:space="preserve"> </w:t>
            </w:r>
            <w:r w:rsidRPr="008340BB">
              <w:rPr>
                <w:i/>
                <w:szCs w:val="24"/>
              </w:rPr>
              <w:t>N/A</w:t>
            </w:r>
          </w:p>
        </w:tc>
      </w:tr>
    </w:tbl>
    <w:p w14:paraId="57FACB8E" w14:textId="77777777" w:rsidR="00F1341F" w:rsidRPr="008340BB" w:rsidRDefault="00F1341F" w:rsidP="00D14C5F">
      <w:pPr>
        <w:rPr>
          <w:i/>
          <w:sz w:val="16"/>
          <w:szCs w:val="16"/>
        </w:rPr>
      </w:pPr>
    </w:p>
    <w:p w14:paraId="4B5FDEA0" w14:textId="77777777" w:rsidR="00F1341F" w:rsidRPr="008340BB" w:rsidRDefault="00F1341F" w:rsidP="00D14C5F">
      <w:r w:rsidRPr="008340BB">
        <w:rPr>
          <w:b/>
        </w:rPr>
        <w:t>2.A.3.3 Investment priority</w:t>
      </w:r>
      <w:r w:rsidRPr="008340BB">
        <w:t xml:space="preserve"> </w:t>
      </w:r>
    </w:p>
    <w:p w14:paraId="37EC8A60" w14:textId="77777777" w:rsidR="00F1341F" w:rsidRPr="008340BB" w:rsidRDefault="00F1341F" w:rsidP="00D14C5F">
      <w:r w:rsidRPr="008340BB">
        <w:t xml:space="preserve"> (Repeated for each investment priority under the priority axis)</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4962"/>
      </w:tblGrid>
      <w:tr w:rsidR="00F1341F" w:rsidRPr="008340BB" w14:paraId="19F231D5" w14:textId="77777777" w:rsidTr="001B395D">
        <w:tc>
          <w:tcPr>
            <w:tcW w:w="3544" w:type="dxa"/>
          </w:tcPr>
          <w:p w14:paraId="08854E15" w14:textId="77777777" w:rsidR="00F1341F" w:rsidRPr="008340BB" w:rsidRDefault="00F1341F" w:rsidP="001B395D">
            <w:pPr>
              <w:rPr>
                <w:i/>
                <w:szCs w:val="24"/>
              </w:rPr>
            </w:pPr>
            <w:r w:rsidRPr="008340BB">
              <w:rPr>
                <w:bCs/>
                <w:i/>
                <w:szCs w:val="24"/>
                <w:lang w:eastAsia="bg-BG"/>
              </w:rPr>
              <w:t>ID of the investment priority</w:t>
            </w:r>
          </w:p>
        </w:tc>
        <w:tc>
          <w:tcPr>
            <w:tcW w:w="4962" w:type="dxa"/>
          </w:tcPr>
          <w:p w14:paraId="7D1140DC" w14:textId="77777777" w:rsidR="00F1341F" w:rsidRPr="008340BB" w:rsidRDefault="00F1341F" w:rsidP="0011765B">
            <w:pPr>
              <w:pStyle w:val="Text1"/>
              <w:ind w:left="0"/>
              <w:rPr>
                <w:i/>
                <w:color w:val="8DB3E2"/>
                <w:sz w:val="24"/>
                <w:szCs w:val="24"/>
                <w:lang w:val="en-GB" w:eastAsia="en-GB"/>
              </w:rPr>
            </w:pPr>
            <w:r w:rsidRPr="008340BB">
              <w:rPr>
                <w:i/>
                <w:sz w:val="24"/>
                <w:szCs w:val="24"/>
                <w:lang w:val="en-GB" w:eastAsia="bg-BG"/>
              </w:rPr>
              <w:t xml:space="preserve">4e </w:t>
            </w:r>
          </w:p>
        </w:tc>
      </w:tr>
      <w:tr w:rsidR="00F1341F" w:rsidRPr="008340BB" w14:paraId="2F5D6D3C" w14:textId="77777777" w:rsidTr="001B395D">
        <w:tc>
          <w:tcPr>
            <w:tcW w:w="3544" w:type="dxa"/>
          </w:tcPr>
          <w:p w14:paraId="7B6E803B" w14:textId="77777777" w:rsidR="00F1341F" w:rsidRPr="008340BB" w:rsidRDefault="00F1341F" w:rsidP="001B395D">
            <w:pPr>
              <w:rPr>
                <w:i/>
              </w:rPr>
            </w:pPr>
            <w:r w:rsidRPr="008340BB">
              <w:rPr>
                <w:i/>
              </w:rPr>
              <w:t>Investment priority</w:t>
            </w:r>
          </w:p>
        </w:tc>
        <w:tc>
          <w:tcPr>
            <w:tcW w:w="4962" w:type="dxa"/>
          </w:tcPr>
          <w:p w14:paraId="593A5F0D" w14:textId="77777777" w:rsidR="00F1341F" w:rsidRPr="008340BB" w:rsidRDefault="00F1341F" w:rsidP="00555872">
            <w:pPr>
              <w:pStyle w:val="Text1"/>
              <w:ind w:left="0"/>
              <w:rPr>
                <w:i/>
                <w:color w:val="8DB3E2"/>
                <w:sz w:val="18"/>
                <w:szCs w:val="18"/>
                <w:lang w:val="en-GB" w:eastAsia="en-GB"/>
              </w:rPr>
            </w:pPr>
            <w:r w:rsidRPr="008340BB">
              <w:rPr>
                <w:i/>
                <w:sz w:val="24"/>
                <w:szCs w:val="24"/>
                <w:lang w:val="en-GB" w:eastAsia="bg-BG"/>
              </w:rPr>
              <w:t>Promoting low-carbon strategies for all types of territories, in particular for urban areas, including the promotion of sustainable multimodal urban mobility and mitigation-relevant adaptation measures</w:t>
            </w:r>
          </w:p>
        </w:tc>
      </w:tr>
    </w:tbl>
    <w:p w14:paraId="2E3465C6" w14:textId="77777777" w:rsidR="00F1341F" w:rsidRPr="008340BB" w:rsidRDefault="00F1341F" w:rsidP="00D14C5F">
      <w:pPr>
        <w:rPr>
          <w:i/>
          <w:sz w:val="16"/>
          <w:szCs w:val="16"/>
        </w:rPr>
      </w:pPr>
    </w:p>
    <w:p w14:paraId="2B3121A4" w14:textId="77777777" w:rsidR="00F1341F" w:rsidRPr="008340BB" w:rsidRDefault="00F1341F" w:rsidP="00D14C5F">
      <w:pPr>
        <w:rPr>
          <w:b/>
        </w:rPr>
      </w:pPr>
      <w:r w:rsidRPr="008340BB">
        <w:rPr>
          <w:b/>
        </w:rPr>
        <w:t xml:space="preserve">2.A.3.3.1 </w:t>
      </w:r>
      <w:r w:rsidRPr="008340BB">
        <w:rPr>
          <w:b/>
        </w:rPr>
        <w:tab/>
        <w:t xml:space="preserve">Specific objectives corresponding to the investment priority and expected results </w:t>
      </w:r>
    </w:p>
    <w:p w14:paraId="16E459B6" w14:textId="77777777" w:rsidR="00F1341F" w:rsidRPr="008340BB" w:rsidRDefault="00F1341F" w:rsidP="00D14C5F">
      <w:r w:rsidRPr="008340BB">
        <w:t>(Repeated for each specific objective under the investment priority)</w:t>
      </w:r>
    </w:p>
    <w:p w14:paraId="51525962" w14:textId="77777777" w:rsidR="00F1341F" w:rsidRPr="008340BB" w:rsidRDefault="00F1341F" w:rsidP="00D14C5F">
      <w:r w:rsidRPr="008340BB">
        <w:t>(Reference: points (b)(i) and (ii) of the first subparagraph of Article 96(2) of Regulation (EU) No 1303/2013)</w:t>
      </w:r>
    </w:p>
    <w:p w14:paraId="5F3BDC44" w14:textId="77777777" w:rsidR="00F1341F" w:rsidRPr="008340BB" w:rsidRDefault="00F1341F" w:rsidP="00D14C5F">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5103"/>
      </w:tblGrid>
      <w:tr w:rsidR="00F1341F" w:rsidRPr="008340BB" w14:paraId="3B9EC5ED" w14:textId="77777777" w:rsidTr="001B395D">
        <w:trPr>
          <w:trHeight w:val="491"/>
        </w:trPr>
        <w:tc>
          <w:tcPr>
            <w:tcW w:w="3510" w:type="dxa"/>
          </w:tcPr>
          <w:p w14:paraId="167E0A7A" w14:textId="77777777" w:rsidR="00F1341F" w:rsidRPr="008340BB" w:rsidRDefault="00F1341F" w:rsidP="001B395D">
            <w:pPr>
              <w:rPr>
                <w:i/>
              </w:rPr>
            </w:pPr>
            <w:r w:rsidRPr="008340BB">
              <w:rPr>
                <w:i/>
              </w:rPr>
              <w:t>ID</w:t>
            </w:r>
          </w:p>
        </w:tc>
        <w:tc>
          <w:tcPr>
            <w:tcW w:w="5103" w:type="dxa"/>
          </w:tcPr>
          <w:p w14:paraId="7C64A1C4" w14:textId="77777777" w:rsidR="00F1341F" w:rsidRPr="008340BB" w:rsidRDefault="00F1341F" w:rsidP="001B395D">
            <w:pPr>
              <w:pStyle w:val="Text1"/>
              <w:ind w:left="0"/>
              <w:jc w:val="left"/>
              <w:rPr>
                <w:i/>
                <w:color w:val="8DB3E2"/>
                <w:sz w:val="18"/>
                <w:szCs w:val="18"/>
                <w:lang w:val="en-GB" w:eastAsia="en-GB"/>
              </w:rPr>
            </w:pPr>
            <w:r w:rsidRPr="008340BB">
              <w:rPr>
                <w:i/>
                <w:sz w:val="24"/>
                <w:szCs w:val="24"/>
                <w:lang w:val="en-GB" w:eastAsia="en-GB"/>
              </w:rPr>
              <w:t>1</w:t>
            </w:r>
          </w:p>
        </w:tc>
      </w:tr>
      <w:tr w:rsidR="00F1341F" w:rsidRPr="008340BB" w14:paraId="370936B1" w14:textId="77777777" w:rsidTr="001B395D">
        <w:trPr>
          <w:trHeight w:val="360"/>
        </w:trPr>
        <w:tc>
          <w:tcPr>
            <w:tcW w:w="3510" w:type="dxa"/>
          </w:tcPr>
          <w:p w14:paraId="551BFA53" w14:textId="77777777" w:rsidR="00F1341F" w:rsidRPr="008340BB" w:rsidRDefault="00F1341F" w:rsidP="001B395D">
            <w:pPr>
              <w:rPr>
                <w:i/>
              </w:rPr>
            </w:pPr>
            <w:r w:rsidRPr="008340BB">
              <w:rPr>
                <w:i/>
              </w:rPr>
              <w:t xml:space="preserve">Specific objective </w:t>
            </w:r>
          </w:p>
        </w:tc>
        <w:tc>
          <w:tcPr>
            <w:tcW w:w="5103" w:type="dxa"/>
          </w:tcPr>
          <w:p w14:paraId="2D5F2B34" w14:textId="77777777" w:rsidR="00F1341F" w:rsidRPr="008340BB" w:rsidRDefault="00F269F1" w:rsidP="00CF0FD5">
            <w:pPr>
              <w:pStyle w:val="Text1"/>
              <w:ind w:left="0"/>
              <w:rPr>
                <w:i/>
                <w:color w:val="8DB3E2"/>
                <w:sz w:val="18"/>
                <w:szCs w:val="18"/>
                <w:lang w:val="en-GB" w:eastAsia="en-GB"/>
              </w:rPr>
            </w:pPr>
            <w:r w:rsidRPr="00F269F1">
              <w:rPr>
                <w:i/>
                <w:sz w:val="24"/>
                <w:szCs w:val="24"/>
                <w:lang w:val="en-GB" w:eastAsia="en-GB"/>
              </w:rPr>
              <w:t>Increased use of metro</w:t>
            </w:r>
          </w:p>
        </w:tc>
      </w:tr>
      <w:tr w:rsidR="00F1341F" w:rsidRPr="008340BB" w14:paraId="24B55509" w14:textId="77777777" w:rsidTr="001B395D">
        <w:trPr>
          <w:trHeight w:val="360"/>
        </w:trPr>
        <w:tc>
          <w:tcPr>
            <w:tcW w:w="3510" w:type="dxa"/>
          </w:tcPr>
          <w:p w14:paraId="7784051B" w14:textId="77777777" w:rsidR="00F1341F" w:rsidRPr="008340BB" w:rsidRDefault="00F1341F" w:rsidP="001B395D">
            <w:pPr>
              <w:rPr>
                <w:i/>
              </w:rPr>
            </w:pPr>
            <w:r w:rsidRPr="008340BB">
              <w:rPr>
                <w:i/>
              </w:rPr>
              <w:lastRenderedPageBreak/>
              <w:t>The results that the Member State seeks to achieve with EU support</w:t>
            </w:r>
          </w:p>
        </w:tc>
        <w:tc>
          <w:tcPr>
            <w:tcW w:w="5103" w:type="dxa"/>
          </w:tcPr>
          <w:p w14:paraId="1EC4D0BA" w14:textId="77777777" w:rsidR="00F1341F" w:rsidRPr="008340BB" w:rsidRDefault="00F1341F" w:rsidP="009747E6">
            <w:pPr>
              <w:numPr>
                <w:ilvl w:val="0"/>
                <w:numId w:val="52"/>
              </w:numPr>
              <w:autoSpaceDE w:val="0"/>
              <w:autoSpaceDN w:val="0"/>
              <w:adjustRightInd w:val="0"/>
              <w:spacing w:before="0" w:after="0"/>
              <w:rPr>
                <w:rFonts w:cs="Arial"/>
                <w:i/>
                <w:color w:val="000000"/>
                <w:lang w:eastAsia="bg-BG"/>
              </w:rPr>
            </w:pPr>
            <w:r w:rsidRPr="008340BB">
              <w:rPr>
                <w:rFonts w:cs="Arial"/>
                <w:i/>
                <w:color w:val="000000"/>
                <w:lang w:eastAsia="bg-BG"/>
              </w:rPr>
              <w:t>Increased number of passengers transported by metro;</w:t>
            </w:r>
          </w:p>
          <w:p w14:paraId="7F88230B" w14:textId="77777777" w:rsidR="00F1341F" w:rsidRPr="008340BB" w:rsidRDefault="00F1341F">
            <w:pPr>
              <w:numPr>
                <w:ilvl w:val="0"/>
                <w:numId w:val="52"/>
              </w:numPr>
              <w:autoSpaceDE w:val="0"/>
              <w:autoSpaceDN w:val="0"/>
              <w:adjustRightInd w:val="0"/>
              <w:spacing w:before="0" w:after="0"/>
            </w:pPr>
            <w:r w:rsidRPr="008340BB">
              <w:rPr>
                <w:rFonts w:cs="Arial"/>
                <w:i/>
                <w:color w:val="000000"/>
                <w:lang w:eastAsia="bg-BG"/>
              </w:rPr>
              <w:t>Increased</w:t>
            </w:r>
            <w:r w:rsidRPr="008340BB">
              <w:rPr>
                <w:rFonts w:cs="Arial"/>
                <w:color w:val="000000"/>
                <w:lang w:eastAsia="bg-BG"/>
              </w:rPr>
              <w:t xml:space="preserve"> </w:t>
            </w:r>
            <w:r w:rsidRPr="008340BB">
              <w:rPr>
                <w:rFonts w:cs="Arial"/>
                <w:i/>
                <w:color w:val="000000"/>
                <w:lang w:eastAsia="bg-BG"/>
              </w:rPr>
              <w:t xml:space="preserve">share of metro </w:t>
            </w:r>
            <w:r w:rsidR="000B7769">
              <w:rPr>
                <w:rFonts w:cs="Arial"/>
                <w:i/>
                <w:color w:val="000000"/>
                <w:lang w:eastAsia="bg-BG"/>
              </w:rPr>
              <w:t xml:space="preserve">in </w:t>
            </w:r>
            <w:r w:rsidRPr="008340BB">
              <w:rPr>
                <w:rFonts w:cs="Arial"/>
                <w:i/>
                <w:color w:val="000000"/>
                <w:lang w:eastAsia="bg-BG"/>
              </w:rPr>
              <w:t>public transportations</w:t>
            </w:r>
            <w:r w:rsidRPr="008340BB">
              <w:rPr>
                <w:rFonts w:cs="Arial"/>
                <w:color w:val="000000"/>
                <w:lang w:eastAsia="bg-BG"/>
              </w:rPr>
              <w:t>.</w:t>
            </w:r>
          </w:p>
        </w:tc>
      </w:tr>
    </w:tbl>
    <w:p w14:paraId="5B8BED72" w14:textId="77777777" w:rsidR="00F1341F" w:rsidRPr="008340BB" w:rsidRDefault="00F1341F" w:rsidP="00D14C5F"/>
    <w:p w14:paraId="22210A94" w14:textId="77777777" w:rsidR="00F1341F" w:rsidRPr="008340BB" w:rsidRDefault="00F1341F" w:rsidP="00D14C5F">
      <w:pPr>
        <w:sectPr w:rsidR="00F1341F" w:rsidRPr="008340BB" w:rsidSect="001E1D6F">
          <w:headerReference w:type="default" r:id="rId45"/>
          <w:footerReference w:type="default" r:id="rId46"/>
          <w:headerReference w:type="first" r:id="rId47"/>
          <w:footerReference w:type="first" r:id="rId48"/>
          <w:pgSz w:w="11906" w:h="16838"/>
          <w:pgMar w:top="1021" w:right="1418" w:bottom="1021" w:left="1418" w:header="601" w:footer="1077" w:gutter="0"/>
          <w:cols w:space="708"/>
          <w:docGrid w:linePitch="326"/>
        </w:sectPr>
      </w:pPr>
    </w:p>
    <w:p w14:paraId="689F9346" w14:textId="77777777" w:rsidR="00F1341F" w:rsidRPr="008340BB" w:rsidRDefault="00F1341F" w:rsidP="00D14C5F">
      <w:r w:rsidRPr="008340BB">
        <w:rPr>
          <w:b/>
        </w:rPr>
        <w:lastRenderedPageBreak/>
        <w:t xml:space="preserve">Table 3: </w:t>
      </w:r>
      <w:r w:rsidRPr="008340BB">
        <w:rPr>
          <w:b/>
        </w:rPr>
        <w:tab/>
        <w:t xml:space="preserve">Programme-specific result indicators, by specific objective </w:t>
      </w:r>
      <w:r w:rsidRPr="008340BB">
        <w:t>(for the ERDF and the Cohesion Fund)</w:t>
      </w:r>
    </w:p>
    <w:p w14:paraId="4CE1D785" w14:textId="77777777" w:rsidR="00F1341F" w:rsidRPr="008340BB" w:rsidRDefault="00F1341F" w:rsidP="00D14C5F">
      <w:pPr>
        <w:rPr>
          <w:b/>
        </w:rPr>
      </w:pPr>
    </w:p>
    <w:p w14:paraId="0F15E329" w14:textId="77777777" w:rsidR="00F1341F" w:rsidRPr="008340BB" w:rsidRDefault="00F1341F" w:rsidP="00D14C5F">
      <w:pPr>
        <w:rPr>
          <w:szCs w:val="24"/>
        </w:rPr>
      </w:pPr>
      <w:r w:rsidRPr="008340BB">
        <w:rPr>
          <w:szCs w:val="24"/>
        </w:rPr>
        <w:t>(Reference: point (b)(ii) of the first subparagraph of Article 96(2) of Regulation (EU) No 1303/2013</w:t>
      </w:r>
    </w:p>
    <w:p w14:paraId="55B84734" w14:textId="77777777" w:rsidR="00F1341F" w:rsidRPr="008340BB" w:rsidRDefault="00F1341F" w:rsidP="00D14C5F"/>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12"/>
        <w:gridCol w:w="2251"/>
        <w:gridCol w:w="1881"/>
        <w:gridCol w:w="1556"/>
        <w:gridCol w:w="1649"/>
        <w:gridCol w:w="1375"/>
        <w:gridCol w:w="2091"/>
        <w:gridCol w:w="1673"/>
        <w:gridCol w:w="1258"/>
      </w:tblGrid>
      <w:tr w:rsidR="00F1341F" w:rsidRPr="008340BB" w14:paraId="7897DA5A" w14:textId="77777777" w:rsidTr="00A46D1B">
        <w:trPr>
          <w:trHeight w:val="531"/>
        </w:trPr>
        <w:tc>
          <w:tcPr>
            <w:tcW w:w="1184" w:type="pct"/>
            <w:gridSpan w:val="2"/>
          </w:tcPr>
          <w:p w14:paraId="19906F48" w14:textId="77777777" w:rsidR="00F1341F" w:rsidRPr="008340BB" w:rsidRDefault="00F1341F" w:rsidP="001B395D">
            <w:pPr>
              <w:pStyle w:val="ListBullet"/>
              <w:tabs>
                <w:tab w:val="clear" w:pos="360"/>
                <w:tab w:val="left" w:pos="720"/>
              </w:tabs>
              <w:ind w:left="0" w:firstLine="0"/>
              <w:rPr>
                <w:b/>
                <w:i/>
                <w:sz w:val="18"/>
                <w:szCs w:val="18"/>
              </w:rPr>
            </w:pPr>
            <w:r w:rsidRPr="008340BB">
              <w:rPr>
                <w:b/>
                <w:i/>
                <w:sz w:val="18"/>
                <w:szCs w:val="18"/>
              </w:rPr>
              <w:t xml:space="preserve">Specific objective </w:t>
            </w:r>
          </w:p>
        </w:tc>
        <w:tc>
          <w:tcPr>
            <w:tcW w:w="3816" w:type="pct"/>
            <w:gridSpan w:val="7"/>
          </w:tcPr>
          <w:p w14:paraId="5509EB61" w14:textId="77777777" w:rsidR="00F1341F" w:rsidRPr="008340BB" w:rsidRDefault="00F269F1" w:rsidP="001B395D">
            <w:pPr>
              <w:pStyle w:val="ListBullet"/>
              <w:tabs>
                <w:tab w:val="clear" w:pos="360"/>
                <w:tab w:val="left" w:pos="720"/>
              </w:tabs>
              <w:ind w:left="0" w:firstLine="0"/>
              <w:rPr>
                <w:b/>
                <w:i/>
                <w:sz w:val="20"/>
              </w:rPr>
            </w:pPr>
            <w:r w:rsidRPr="00F269F1">
              <w:rPr>
                <w:i/>
                <w:szCs w:val="24"/>
              </w:rPr>
              <w:t>Increased use of metro</w:t>
            </w:r>
          </w:p>
        </w:tc>
      </w:tr>
      <w:tr w:rsidR="00F1341F" w:rsidRPr="008340BB" w14:paraId="00C0FF8D" w14:textId="77777777" w:rsidTr="001B395D">
        <w:trPr>
          <w:trHeight w:val="531"/>
        </w:trPr>
        <w:tc>
          <w:tcPr>
            <w:tcW w:w="436" w:type="pct"/>
          </w:tcPr>
          <w:p w14:paraId="74A0A108" w14:textId="77777777" w:rsidR="00F1341F" w:rsidRPr="008340BB" w:rsidRDefault="00F1341F" w:rsidP="001B395D">
            <w:pPr>
              <w:pStyle w:val="ListBullet"/>
              <w:tabs>
                <w:tab w:val="clear" w:pos="360"/>
                <w:tab w:val="left" w:pos="720"/>
              </w:tabs>
              <w:ind w:left="0" w:firstLine="0"/>
              <w:rPr>
                <w:b/>
                <w:i/>
                <w:sz w:val="18"/>
                <w:szCs w:val="18"/>
              </w:rPr>
            </w:pPr>
            <w:r w:rsidRPr="008340BB">
              <w:rPr>
                <w:b/>
                <w:i/>
                <w:sz w:val="18"/>
                <w:szCs w:val="18"/>
              </w:rPr>
              <w:t>ID</w:t>
            </w:r>
          </w:p>
        </w:tc>
        <w:tc>
          <w:tcPr>
            <w:tcW w:w="748" w:type="pct"/>
          </w:tcPr>
          <w:p w14:paraId="514EB74D" w14:textId="77777777" w:rsidR="00F1341F" w:rsidRPr="008340BB" w:rsidRDefault="00F1341F" w:rsidP="001B395D">
            <w:pPr>
              <w:pStyle w:val="ListBullet"/>
              <w:tabs>
                <w:tab w:val="clear" w:pos="360"/>
                <w:tab w:val="left" w:pos="720"/>
              </w:tabs>
              <w:ind w:left="0" w:firstLine="0"/>
              <w:rPr>
                <w:b/>
                <w:i/>
                <w:sz w:val="18"/>
                <w:szCs w:val="18"/>
              </w:rPr>
            </w:pPr>
            <w:r w:rsidRPr="008340BB">
              <w:rPr>
                <w:b/>
                <w:i/>
                <w:sz w:val="18"/>
                <w:szCs w:val="18"/>
              </w:rPr>
              <w:t xml:space="preserve">Indicator </w:t>
            </w:r>
          </w:p>
        </w:tc>
        <w:tc>
          <w:tcPr>
            <w:tcW w:w="625" w:type="pct"/>
          </w:tcPr>
          <w:p w14:paraId="53DAE781" w14:textId="77777777" w:rsidR="00F1341F" w:rsidRPr="008340BB" w:rsidRDefault="00F1341F" w:rsidP="001B395D">
            <w:pPr>
              <w:snapToGrid w:val="0"/>
              <w:rPr>
                <w:b/>
                <w:i/>
                <w:sz w:val="18"/>
                <w:szCs w:val="18"/>
              </w:rPr>
            </w:pPr>
            <w:r w:rsidRPr="008340BB">
              <w:rPr>
                <w:b/>
                <w:i/>
                <w:sz w:val="18"/>
                <w:szCs w:val="18"/>
              </w:rPr>
              <w:t>Measurement unit</w:t>
            </w:r>
          </w:p>
        </w:tc>
        <w:tc>
          <w:tcPr>
            <w:tcW w:w="517" w:type="pct"/>
          </w:tcPr>
          <w:p w14:paraId="0FF0143C" w14:textId="77777777" w:rsidR="00F1341F" w:rsidRPr="008340BB" w:rsidRDefault="00F1341F" w:rsidP="001B395D">
            <w:pPr>
              <w:pStyle w:val="ListBullet"/>
              <w:tabs>
                <w:tab w:val="clear" w:pos="360"/>
                <w:tab w:val="left" w:pos="720"/>
              </w:tabs>
              <w:ind w:left="0" w:firstLine="0"/>
              <w:rPr>
                <w:b/>
                <w:i/>
                <w:sz w:val="18"/>
                <w:szCs w:val="18"/>
              </w:rPr>
            </w:pPr>
            <w:r w:rsidRPr="008340BB">
              <w:rPr>
                <w:b/>
                <w:i/>
                <w:sz w:val="18"/>
                <w:szCs w:val="18"/>
              </w:rPr>
              <w:t>Category of region (where relevant)</w:t>
            </w:r>
          </w:p>
        </w:tc>
        <w:tc>
          <w:tcPr>
            <w:tcW w:w="548" w:type="pct"/>
          </w:tcPr>
          <w:p w14:paraId="08450982" w14:textId="77777777" w:rsidR="00F1341F" w:rsidRPr="008340BB" w:rsidRDefault="00F1341F" w:rsidP="001B395D">
            <w:pPr>
              <w:pStyle w:val="ListBullet"/>
              <w:tabs>
                <w:tab w:val="clear" w:pos="360"/>
                <w:tab w:val="left" w:pos="720"/>
              </w:tabs>
              <w:ind w:left="0" w:firstLine="0"/>
              <w:rPr>
                <w:b/>
                <w:i/>
                <w:sz w:val="18"/>
                <w:szCs w:val="18"/>
              </w:rPr>
            </w:pPr>
            <w:r w:rsidRPr="008340BB">
              <w:rPr>
                <w:b/>
                <w:i/>
                <w:sz w:val="18"/>
                <w:szCs w:val="18"/>
              </w:rPr>
              <w:t xml:space="preserve">Baseline value </w:t>
            </w:r>
          </w:p>
        </w:tc>
        <w:tc>
          <w:tcPr>
            <w:tcW w:w="457" w:type="pct"/>
          </w:tcPr>
          <w:p w14:paraId="5B8A6D2F" w14:textId="77777777" w:rsidR="00F1341F" w:rsidRPr="008340BB" w:rsidRDefault="00F1341F" w:rsidP="001B395D">
            <w:pPr>
              <w:snapToGrid w:val="0"/>
              <w:rPr>
                <w:b/>
                <w:i/>
                <w:sz w:val="18"/>
                <w:szCs w:val="18"/>
              </w:rPr>
            </w:pPr>
            <w:r w:rsidRPr="008340BB">
              <w:rPr>
                <w:b/>
                <w:i/>
                <w:sz w:val="18"/>
                <w:szCs w:val="18"/>
              </w:rPr>
              <w:t>Baseline year</w:t>
            </w:r>
          </w:p>
        </w:tc>
        <w:tc>
          <w:tcPr>
            <w:tcW w:w="695" w:type="pct"/>
          </w:tcPr>
          <w:p w14:paraId="688B7D50" w14:textId="77777777" w:rsidR="00F1341F" w:rsidRPr="008340BB" w:rsidRDefault="00F1341F" w:rsidP="001B395D">
            <w:pPr>
              <w:pStyle w:val="ListBullet"/>
              <w:tabs>
                <w:tab w:val="clear" w:pos="360"/>
                <w:tab w:val="left" w:pos="720"/>
              </w:tabs>
              <w:ind w:left="0" w:firstLine="0"/>
              <w:rPr>
                <w:b/>
                <w:i/>
                <w:sz w:val="18"/>
                <w:szCs w:val="18"/>
              </w:rPr>
            </w:pPr>
            <w:r w:rsidRPr="008340BB">
              <w:rPr>
                <w:b/>
                <w:i/>
                <w:sz w:val="18"/>
                <w:szCs w:val="18"/>
              </w:rPr>
              <w:t>Target value</w:t>
            </w:r>
            <w:r w:rsidRPr="008340BB">
              <w:rPr>
                <w:rStyle w:val="FootnoteReference"/>
                <w:b/>
                <w:i/>
                <w:sz w:val="18"/>
                <w:szCs w:val="18"/>
              </w:rPr>
              <w:footnoteReference w:id="39"/>
            </w:r>
            <w:r w:rsidRPr="008340BB">
              <w:rPr>
                <w:b/>
                <w:i/>
                <w:sz w:val="18"/>
                <w:szCs w:val="18"/>
              </w:rPr>
              <w:t xml:space="preserve"> (2023) </w:t>
            </w:r>
          </w:p>
        </w:tc>
        <w:tc>
          <w:tcPr>
            <w:tcW w:w="556" w:type="pct"/>
          </w:tcPr>
          <w:p w14:paraId="4A534CB7" w14:textId="77777777" w:rsidR="00F1341F" w:rsidRPr="008340BB" w:rsidRDefault="00F1341F" w:rsidP="001B395D">
            <w:pPr>
              <w:pStyle w:val="ListBullet"/>
              <w:tabs>
                <w:tab w:val="clear" w:pos="360"/>
                <w:tab w:val="left" w:pos="720"/>
              </w:tabs>
              <w:ind w:left="0" w:firstLine="0"/>
              <w:rPr>
                <w:b/>
                <w:i/>
                <w:sz w:val="18"/>
                <w:szCs w:val="18"/>
              </w:rPr>
            </w:pPr>
            <w:r w:rsidRPr="008340BB">
              <w:rPr>
                <w:b/>
                <w:i/>
                <w:sz w:val="18"/>
                <w:szCs w:val="18"/>
              </w:rPr>
              <w:t>Source of data</w:t>
            </w:r>
          </w:p>
        </w:tc>
        <w:tc>
          <w:tcPr>
            <w:tcW w:w="418" w:type="pct"/>
          </w:tcPr>
          <w:p w14:paraId="78B2DC79" w14:textId="77777777" w:rsidR="00F1341F" w:rsidRPr="008340BB" w:rsidRDefault="00F1341F" w:rsidP="001B395D">
            <w:pPr>
              <w:pStyle w:val="ListBullet"/>
              <w:tabs>
                <w:tab w:val="clear" w:pos="360"/>
                <w:tab w:val="left" w:pos="720"/>
              </w:tabs>
              <w:ind w:left="0" w:firstLine="0"/>
              <w:rPr>
                <w:b/>
                <w:i/>
                <w:sz w:val="18"/>
                <w:szCs w:val="18"/>
              </w:rPr>
            </w:pPr>
            <w:r w:rsidRPr="008340BB">
              <w:rPr>
                <w:b/>
                <w:i/>
                <w:sz w:val="18"/>
                <w:szCs w:val="18"/>
              </w:rPr>
              <w:t>Frequency of reporting</w:t>
            </w:r>
          </w:p>
        </w:tc>
      </w:tr>
      <w:tr w:rsidR="00F1341F" w:rsidRPr="008340BB" w14:paraId="46EEC83B" w14:textId="77777777" w:rsidTr="001B395D">
        <w:trPr>
          <w:trHeight w:val="1729"/>
        </w:trPr>
        <w:tc>
          <w:tcPr>
            <w:tcW w:w="436" w:type="pct"/>
          </w:tcPr>
          <w:p w14:paraId="071885CA" w14:textId="77777777" w:rsidR="00F1341F" w:rsidRPr="008340BB" w:rsidRDefault="00F1341F" w:rsidP="001B395D">
            <w:pPr>
              <w:pStyle w:val="Text1"/>
              <w:ind w:left="0"/>
              <w:jc w:val="left"/>
              <w:rPr>
                <w:i/>
                <w:sz w:val="20"/>
                <w:lang w:val="en-GB" w:eastAsia="en-GB"/>
              </w:rPr>
            </w:pPr>
            <w:r w:rsidRPr="008340BB">
              <w:rPr>
                <w:i/>
                <w:sz w:val="20"/>
                <w:lang w:val="en-GB" w:eastAsia="en-GB"/>
              </w:rPr>
              <w:t>8</w:t>
            </w:r>
          </w:p>
        </w:tc>
        <w:tc>
          <w:tcPr>
            <w:tcW w:w="748" w:type="pct"/>
          </w:tcPr>
          <w:p w14:paraId="52D14763" w14:textId="77777777" w:rsidR="00F1341F" w:rsidRPr="008340BB" w:rsidRDefault="00D32E79" w:rsidP="00F5477A">
            <w:pPr>
              <w:pStyle w:val="Text1"/>
              <w:spacing w:after="0"/>
              <w:ind w:left="0"/>
              <w:jc w:val="left"/>
              <w:rPr>
                <w:i/>
                <w:sz w:val="20"/>
                <w:lang w:val="en-GB" w:eastAsia="en-GB"/>
              </w:rPr>
            </w:pPr>
            <w:r>
              <w:rPr>
                <w:rStyle w:val="hps"/>
                <w:sz w:val="20"/>
                <w:lang w:val="en-GB" w:eastAsia="en-GB"/>
              </w:rPr>
              <w:t>T</w:t>
            </w:r>
            <w:r w:rsidR="00F1341F" w:rsidRPr="008340BB">
              <w:rPr>
                <w:rStyle w:val="hps"/>
                <w:sz w:val="20"/>
                <w:lang w:val="en-GB" w:eastAsia="en-GB"/>
              </w:rPr>
              <w:t xml:space="preserve">rips by metro </w:t>
            </w:r>
          </w:p>
        </w:tc>
        <w:tc>
          <w:tcPr>
            <w:tcW w:w="625" w:type="pct"/>
          </w:tcPr>
          <w:p w14:paraId="41AC7E5D" w14:textId="77777777" w:rsidR="00F1341F" w:rsidRPr="008340BB" w:rsidRDefault="00F1341F" w:rsidP="001B395D">
            <w:pPr>
              <w:snapToGrid w:val="0"/>
              <w:rPr>
                <w:i/>
                <w:sz w:val="18"/>
                <w:szCs w:val="18"/>
              </w:rPr>
            </w:pPr>
            <w:r w:rsidRPr="008340BB">
              <w:rPr>
                <w:iCs/>
                <w:sz w:val="20"/>
                <w:lang w:eastAsia="bg-BG"/>
              </w:rPr>
              <w:t xml:space="preserve">Number </w:t>
            </w:r>
            <w:r w:rsidR="00D32E79">
              <w:rPr>
                <w:iCs/>
                <w:sz w:val="20"/>
                <w:lang w:eastAsia="bg-BG"/>
              </w:rPr>
              <w:t>per year</w:t>
            </w:r>
          </w:p>
        </w:tc>
        <w:tc>
          <w:tcPr>
            <w:tcW w:w="517" w:type="pct"/>
          </w:tcPr>
          <w:p w14:paraId="11788C68" w14:textId="77777777" w:rsidR="00F1341F" w:rsidRPr="008340BB" w:rsidRDefault="00F1341F" w:rsidP="001B395D">
            <w:pPr>
              <w:pStyle w:val="ListBullet"/>
              <w:tabs>
                <w:tab w:val="clear" w:pos="360"/>
                <w:tab w:val="left" w:pos="720"/>
              </w:tabs>
              <w:ind w:left="0" w:firstLine="0"/>
              <w:jc w:val="left"/>
              <w:rPr>
                <w:i/>
                <w:sz w:val="18"/>
                <w:szCs w:val="18"/>
              </w:rPr>
            </w:pPr>
            <w:r w:rsidRPr="008340BB">
              <w:rPr>
                <w:iCs/>
                <w:sz w:val="20"/>
                <w:lang w:eastAsia="bg-BG"/>
              </w:rPr>
              <w:t>Less developed regions</w:t>
            </w:r>
          </w:p>
        </w:tc>
        <w:tc>
          <w:tcPr>
            <w:tcW w:w="548" w:type="pct"/>
          </w:tcPr>
          <w:p w14:paraId="58AF245B" w14:textId="77777777" w:rsidR="00F1341F" w:rsidRPr="008340BB" w:rsidRDefault="00F1341F" w:rsidP="00D21C4A">
            <w:pPr>
              <w:pStyle w:val="ListBullet"/>
              <w:tabs>
                <w:tab w:val="clear" w:pos="360"/>
                <w:tab w:val="left" w:pos="720"/>
              </w:tabs>
              <w:ind w:left="0" w:firstLine="0"/>
              <w:jc w:val="left"/>
              <w:rPr>
                <w:i/>
                <w:sz w:val="20"/>
              </w:rPr>
            </w:pPr>
            <w:r w:rsidRPr="008340BB">
              <w:rPr>
                <w:sz w:val="20"/>
                <w:lang w:eastAsia="bg-BG"/>
              </w:rPr>
              <w:t>80 000</w:t>
            </w:r>
            <w:r w:rsidR="008E7266">
              <w:rPr>
                <w:sz w:val="20"/>
                <w:lang w:eastAsia="bg-BG"/>
              </w:rPr>
              <w:t> </w:t>
            </w:r>
            <w:r w:rsidRPr="008340BB">
              <w:rPr>
                <w:sz w:val="20"/>
                <w:lang w:eastAsia="bg-BG"/>
              </w:rPr>
              <w:t>000</w:t>
            </w:r>
            <w:r w:rsidR="008E7266">
              <w:rPr>
                <w:sz w:val="20"/>
                <w:lang w:eastAsia="bg-BG"/>
              </w:rPr>
              <w:t>*</w:t>
            </w:r>
            <w:r w:rsidRPr="008340BB" w:rsidDel="00442DE6">
              <w:rPr>
                <w:iCs/>
                <w:sz w:val="20"/>
                <w:lang w:eastAsia="bg-BG"/>
              </w:rPr>
              <w:t xml:space="preserve"> </w:t>
            </w:r>
          </w:p>
        </w:tc>
        <w:tc>
          <w:tcPr>
            <w:tcW w:w="457" w:type="pct"/>
          </w:tcPr>
          <w:p w14:paraId="5212A833" w14:textId="77777777" w:rsidR="00F1341F" w:rsidRPr="008340BB" w:rsidRDefault="00354A13" w:rsidP="00F86458">
            <w:pPr>
              <w:snapToGrid w:val="0"/>
              <w:rPr>
                <w:i/>
                <w:sz w:val="18"/>
                <w:szCs w:val="18"/>
              </w:rPr>
            </w:pPr>
            <w:r w:rsidRPr="008340BB">
              <w:rPr>
                <w:iCs/>
                <w:sz w:val="20"/>
                <w:lang w:eastAsia="bg-BG"/>
              </w:rPr>
              <w:t>2013</w:t>
            </w:r>
          </w:p>
        </w:tc>
        <w:tc>
          <w:tcPr>
            <w:tcW w:w="695" w:type="pct"/>
          </w:tcPr>
          <w:p w14:paraId="30CB9102" w14:textId="5C178EAA" w:rsidR="00F1341F" w:rsidRPr="008340BB" w:rsidRDefault="009D264E" w:rsidP="00D21C4A">
            <w:pPr>
              <w:pStyle w:val="ListBullet"/>
              <w:tabs>
                <w:tab w:val="clear" w:pos="360"/>
                <w:tab w:val="left" w:pos="720"/>
              </w:tabs>
              <w:ind w:left="0" w:firstLine="0"/>
              <w:rPr>
                <w:i/>
                <w:sz w:val="20"/>
              </w:rPr>
            </w:pPr>
            <w:r w:rsidRPr="009D264E">
              <w:rPr>
                <w:iCs/>
                <w:sz w:val="20"/>
                <w:lang w:val="bg-BG" w:eastAsia="bg-BG"/>
              </w:rPr>
              <w:t>104 000</w:t>
            </w:r>
            <w:r>
              <w:rPr>
                <w:iCs/>
                <w:sz w:val="20"/>
                <w:lang w:val="bg-BG" w:eastAsia="bg-BG"/>
              </w:rPr>
              <w:t> </w:t>
            </w:r>
            <w:r w:rsidRPr="009D264E">
              <w:rPr>
                <w:iCs/>
                <w:sz w:val="20"/>
                <w:lang w:val="bg-BG" w:eastAsia="bg-BG"/>
              </w:rPr>
              <w:t>000</w:t>
            </w:r>
            <w:r>
              <w:rPr>
                <w:iCs/>
                <w:sz w:val="20"/>
                <w:lang w:val="en-US" w:eastAsia="bg-BG"/>
              </w:rPr>
              <w:t xml:space="preserve"> </w:t>
            </w:r>
          </w:p>
        </w:tc>
        <w:tc>
          <w:tcPr>
            <w:tcW w:w="556" w:type="pct"/>
          </w:tcPr>
          <w:p w14:paraId="0C86C376" w14:textId="77777777" w:rsidR="00F1341F" w:rsidRPr="008340BB" w:rsidRDefault="00F1341F" w:rsidP="00F37134">
            <w:pPr>
              <w:pStyle w:val="ListBullet"/>
              <w:tabs>
                <w:tab w:val="clear" w:pos="360"/>
                <w:tab w:val="left" w:pos="720"/>
              </w:tabs>
              <w:ind w:left="0" w:firstLine="0"/>
              <w:jc w:val="left"/>
              <w:rPr>
                <w:i/>
                <w:sz w:val="18"/>
                <w:szCs w:val="18"/>
              </w:rPr>
            </w:pPr>
            <w:r w:rsidRPr="008340BB">
              <w:rPr>
                <w:iCs/>
                <w:sz w:val="20"/>
                <w:lang w:eastAsia="bg-BG"/>
              </w:rPr>
              <w:t>Metropolitan EAD</w:t>
            </w:r>
          </w:p>
        </w:tc>
        <w:tc>
          <w:tcPr>
            <w:tcW w:w="418" w:type="pct"/>
          </w:tcPr>
          <w:p w14:paraId="29052F28" w14:textId="77777777" w:rsidR="00F1341F" w:rsidRPr="008340BB" w:rsidRDefault="004F2F5A" w:rsidP="001B395D">
            <w:pPr>
              <w:pStyle w:val="ListBullet"/>
              <w:tabs>
                <w:tab w:val="clear" w:pos="360"/>
                <w:tab w:val="left" w:pos="720"/>
              </w:tabs>
              <w:ind w:left="0" w:firstLine="0"/>
              <w:jc w:val="left"/>
              <w:rPr>
                <w:i/>
                <w:sz w:val="18"/>
                <w:szCs w:val="18"/>
              </w:rPr>
            </w:pPr>
            <w:r w:rsidRPr="004F2F5A">
              <w:rPr>
                <w:iCs/>
                <w:sz w:val="20"/>
                <w:lang w:eastAsia="bg-BG"/>
              </w:rPr>
              <w:t>annually</w:t>
            </w:r>
          </w:p>
        </w:tc>
      </w:tr>
    </w:tbl>
    <w:p w14:paraId="518449D6" w14:textId="77777777" w:rsidR="00F1341F" w:rsidRPr="008340BB" w:rsidRDefault="00F1341F" w:rsidP="00D14C5F">
      <w:pPr>
        <w:suppressAutoHyphens/>
        <w:rPr>
          <w:b/>
        </w:rPr>
      </w:pPr>
    </w:p>
    <w:p w14:paraId="5B117EBE" w14:textId="5C0E22DD" w:rsidR="002E36EA" w:rsidRDefault="008E7266" w:rsidP="00B13FA5">
      <w:pPr>
        <w:suppressAutoHyphens/>
        <w:jc w:val="left"/>
        <w:rPr>
          <w:lang w:val="en-US"/>
        </w:rPr>
      </w:pPr>
      <w:r>
        <w:t>*</w:t>
      </w:r>
      <w:r w:rsidR="00D32E79" w:rsidRPr="00D32E79">
        <w:t xml:space="preserve"> </w:t>
      </w:r>
      <w:r w:rsidR="00D32E79" w:rsidRPr="00D32E79">
        <w:rPr>
          <w:lang w:val="en-US"/>
        </w:rPr>
        <w:t>Passengers reported for 2013 from the system of counting passengers in the metro</w:t>
      </w:r>
      <w:r>
        <w:rPr>
          <w:lang w:val="en-US"/>
        </w:rPr>
        <w:t xml:space="preserve">  </w:t>
      </w:r>
    </w:p>
    <w:p w14:paraId="255C4E15" w14:textId="6E6ACF8A" w:rsidR="002E6CE6" w:rsidRDefault="002E6CE6" w:rsidP="00B13FA5">
      <w:pPr>
        <w:suppressAutoHyphens/>
        <w:jc w:val="left"/>
        <w:rPr>
          <w:lang w:val="en-US"/>
        </w:rPr>
      </w:pPr>
    </w:p>
    <w:p w14:paraId="12A8E60F" w14:textId="292FB8F5" w:rsidR="002E6CE6" w:rsidRPr="00B13FA5" w:rsidRDefault="00AC22F3" w:rsidP="00B13FA5">
      <w:pPr>
        <w:suppressAutoHyphens/>
        <w:jc w:val="left"/>
        <w:rPr>
          <w:lang w:val="en-US"/>
        </w:rPr>
        <w:sectPr w:rsidR="002E6CE6" w:rsidRPr="00B13FA5" w:rsidSect="001E1D6F">
          <w:headerReference w:type="default" r:id="rId49"/>
          <w:footerReference w:type="default" r:id="rId50"/>
          <w:headerReference w:type="first" r:id="rId51"/>
          <w:footerReference w:type="first" r:id="rId52"/>
          <w:pgSz w:w="16838" w:h="11906" w:orient="landscape"/>
          <w:pgMar w:top="1418" w:right="1021" w:bottom="1418" w:left="1021" w:header="601" w:footer="1077" w:gutter="0"/>
          <w:cols w:space="708"/>
          <w:docGrid w:linePitch="326"/>
        </w:sectPr>
      </w:pPr>
      <w:r>
        <w:rPr>
          <w:lang w:val="en-US"/>
        </w:rPr>
        <w:t xml:space="preserve">The target value of the </w:t>
      </w:r>
      <w:r w:rsidR="002E6CE6" w:rsidRPr="002E6CE6">
        <w:rPr>
          <w:lang w:val="en-US"/>
        </w:rPr>
        <w:t xml:space="preserve">Trips </w:t>
      </w:r>
      <w:r>
        <w:rPr>
          <w:lang w:val="en-US"/>
        </w:rPr>
        <w:t xml:space="preserve">by metro </w:t>
      </w:r>
      <w:r w:rsidR="002E6CE6" w:rsidRPr="002E6CE6">
        <w:rPr>
          <w:lang w:val="en-US"/>
        </w:rPr>
        <w:t>indicator has been changed from 115,000,000 trips to 104,000,000 trips, due to the decrease in the number of passengers on the Metro, as a result of the COVID 19 pandemic.</w:t>
      </w:r>
    </w:p>
    <w:p w14:paraId="49381D5C" w14:textId="77777777" w:rsidR="00F1341F" w:rsidRPr="008340BB" w:rsidRDefault="00F1341F" w:rsidP="00D14C5F">
      <w:pPr>
        <w:ind w:left="1418" w:hanging="1418"/>
      </w:pPr>
      <w:r w:rsidRPr="008340BB">
        <w:rPr>
          <w:b/>
        </w:rPr>
        <w:lastRenderedPageBreak/>
        <w:t xml:space="preserve">Table 4: </w:t>
      </w:r>
      <w:r w:rsidRPr="008340BB">
        <w:rPr>
          <w:b/>
        </w:rPr>
        <w:tab/>
        <w:t xml:space="preserve">Common result indicators for which a target value has been set and programme specific result indicators corresponding to the specific objective (by investment priority and category of region) </w:t>
      </w:r>
      <w:r w:rsidRPr="008340BB">
        <w:t>(for the ESF)</w:t>
      </w:r>
    </w:p>
    <w:p w14:paraId="08CB2033" w14:textId="77777777" w:rsidR="00F1341F" w:rsidRPr="008340BB" w:rsidRDefault="00F1341F" w:rsidP="00D14C5F">
      <w:pPr>
        <w:rPr>
          <w:b/>
        </w:rPr>
      </w:pPr>
    </w:p>
    <w:p w14:paraId="739F0CD5" w14:textId="77777777" w:rsidR="00F1341F" w:rsidRPr="008340BB" w:rsidRDefault="00F1341F" w:rsidP="00D14C5F">
      <w:r w:rsidRPr="008340BB">
        <w:t>(Reference: point (b)(ii) of the first subparagraph of Article 96(2) of Regulation (EU) No 1303/2013)</w:t>
      </w:r>
    </w:p>
    <w:p w14:paraId="37BC2C15" w14:textId="77777777" w:rsidR="00F1341F" w:rsidRPr="008340BB" w:rsidRDefault="00F1341F" w:rsidP="00D14C5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6"/>
        <w:gridCol w:w="2149"/>
        <w:gridCol w:w="1395"/>
        <w:gridCol w:w="1398"/>
        <w:gridCol w:w="1535"/>
        <w:gridCol w:w="326"/>
        <w:gridCol w:w="326"/>
        <w:gridCol w:w="326"/>
        <w:gridCol w:w="1255"/>
        <w:gridCol w:w="900"/>
        <w:gridCol w:w="533"/>
        <w:gridCol w:w="9"/>
        <w:gridCol w:w="466"/>
        <w:gridCol w:w="466"/>
        <w:gridCol w:w="976"/>
        <w:gridCol w:w="1194"/>
      </w:tblGrid>
      <w:tr w:rsidR="00F1341F" w:rsidRPr="008340BB" w14:paraId="58516DD0" w14:textId="77777777" w:rsidTr="00D530CC">
        <w:trPr>
          <w:trHeight w:val="620"/>
        </w:trPr>
        <w:tc>
          <w:tcPr>
            <w:tcW w:w="449" w:type="pct"/>
            <w:vMerge w:val="restart"/>
          </w:tcPr>
          <w:p w14:paraId="48F40043"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b/>
                <w:i/>
                <w:sz w:val="16"/>
                <w:szCs w:val="16"/>
              </w:rPr>
              <w:t>ID</w:t>
            </w:r>
          </w:p>
        </w:tc>
        <w:tc>
          <w:tcPr>
            <w:tcW w:w="738" w:type="pct"/>
            <w:vMerge w:val="restart"/>
          </w:tcPr>
          <w:p w14:paraId="53BAF3FD"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b/>
                <w:i/>
                <w:sz w:val="16"/>
                <w:szCs w:val="16"/>
              </w:rPr>
              <w:t xml:space="preserve">Indicator </w:t>
            </w:r>
          </w:p>
        </w:tc>
        <w:tc>
          <w:tcPr>
            <w:tcW w:w="479" w:type="pct"/>
            <w:vMerge w:val="restart"/>
          </w:tcPr>
          <w:p w14:paraId="462F0F18"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b/>
                <w:i/>
                <w:sz w:val="16"/>
                <w:szCs w:val="16"/>
              </w:rPr>
              <w:t xml:space="preserve">Category of region </w:t>
            </w:r>
          </w:p>
        </w:tc>
        <w:tc>
          <w:tcPr>
            <w:tcW w:w="480" w:type="pct"/>
            <w:vMerge w:val="restart"/>
          </w:tcPr>
          <w:p w14:paraId="1662F1EC"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b/>
                <w:i/>
                <w:sz w:val="16"/>
                <w:szCs w:val="16"/>
              </w:rPr>
              <w:t>Measurement unit for indicator</w:t>
            </w:r>
          </w:p>
        </w:tc>
        <w:tc>
          <w:tcPr>
            <w:tcW w:w="527" w:type="pct"/>
            <w:vMerge w:val="restart"/>
          </w:tcPr>
          <w:p w14:paraId="6CE7BB48" w14:textId="77777777" w:rsidR="00F1341F" w:rsidRPr="008340BB" w:rsidRDefault="00F1341F" w:rsidP="001B395D">
            <w:pPr>
              <w:snapToGrid w:val="0"/>
              <w:spacing w:before="60" w:after="60"/>
              <w:rPr>
                <w:b/>
                <w:i/>
                <w:sz w:val="16"/>
                <w:szCs w:val="16"/>
              </w:rPr>
            </w:pPr>
            <w:r w:rsidRPr="008340BB">
              <w:rPr>
                <w:b/>
                <w:i/>
                <w:sz w:val="16"/>
                <w:szCs w:val="16"/>
              </w:rPr>
              <w:t>Common output indicator used as basis for target setting</w:t>
            </w:r>
          </w:p>
        </w:tc>
        <w:tc>
          <w:tcPr>
            <w:tcW w:w="336" w:type="pct"/>
            <w:gridSpan w:val="3"/>
          </w:tcPr>
          <w:p w14:paraId="11089D1D"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b/>
                <w:i/>
                <w:sz w:val="16"/>
                <w:szCs w:val="16"/>
              </w:rPr>
              <w:t xml:space="preserve">Baseline value </w:t>
            </w:r>
          </w:p>
        </w:tc>
        <w:tc>
          <w:tcPr>
            <w:tcW w:w="431" w:type="pct"/>
            <w:vMerge w:val="restart"/>
          </w:tcPr>
          <w:p w14:paraId="12802101"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b/>
                <w:i/>
                <w:sz w:val="16"/>
                <w:szCs w:val="16"/>
              </w:rPr>
              <w:t>Measurement unit for baseline and target</w:t>
            </w:r>
          </w:p>
        </w:tc>
        <w:tc>
          <w:tcPr>
            <w:tcW w:w="309" w:type="pct"/>
            <w:vMerge w:val="restart"/>
          </w:tcPr>
          <w:p w14:paraId="587ED112"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b/>
                <w:i/>
                <w:sz w:val="16"/>
                <w:szCs w:val="16"/>
              </w:rPr>
              <w:t>Baseline year</w:t>
            </w:r>
          </w:p>
        </w:tc>
        <w:tc>
          <w:tcPr>
            <w:tcW w:w="506" w:type="pct"/>
            <w:gridSpan w:val="4"/>
          </w:tcPr>
          <w:p w14:paraId="142771BD" w14:textId="77777777" w:rsidR="00F1341F" w:rsidRPr="008340BB" w:rsidRDefault="00F1341F" w:rsidP="001B395D">
            <w:pPr>
              <w:snapToGrid w:val="0"/>
              <w:spacing w:before="60" w:after="60"/>
              <w:rPr>
                <w:b/>
                <w:i/>
                <w:sz w:val="16"/>
                <w:szCs w:val="16"/>
              </w:rPr>
            </w:pPr>
            <w:r w:rsidRPr="008340BB">
              <w:rPr>
                <w:b/>
                <w:i/>
                <w:sz w:val="16"/>
                <w:szCs w:val="16"/>
              </w:rPr>
              <w:t>Target value</w:t>
            </w:r>
            <w:r w:rsidRPr="008340BB">
              <w:rPr>
                <w:rStyle w:val="FootnoteReference"/>
                <w:b/>
                <w:i/>
                <w:sz w:val="16"/>
                <w:szCs w:val="16"/>
              </w:rPr>
              <w:footnoteReference w:id="40"/>
            </w:r>
            <w:r w:rsidRPr="008340BB">
              <w:rPr>
                <w:b/>
                <w:i/>
                <w:sz w:val="16"/>
                <w:szCs w:val="16"/>
              </w:rPr>
              <w:t xml:space="preserve"> (2023)</w:t>
            </w:r>
          </w:p>
        </w:tc>
        <w:tc>
          <w:tcPr>
            <w:tcW w:w="335" w:type="pct"/>
            <w:vMerge w:val="restart"/>
          </w:tcPr>
          <w:p w14:paraId="48431D1A" w14:textId="77777777" w:rsidR="00F1341F" w:rsidRPr="0067246B" w:rsidRDefault="00F1341F" w:rsidP="001B395D">
            <w:pPr>
              <w:pStyle w:val="ListBullet"/>
              <w:tabs>
                <w:tab w:val="clear" w:pos="360"/>
                <w:tab w:val="left" w:pos="720"/>
              </w:tabs>
              <w:spacing w:before="60" w:after="60"/>
              <w:ind w:left="0" w:firstLine="0"/>
              <w:rPr>
                <w:b/>
                <w:i/>
                <w:sz w:val="16"/>
                <w:szCs w:val="16"/>
              </w:rPr>
            </w:pPr>
            <w:r w:rsidRPr="0067246B">
              <w:rPr>
                <w:b/>
                <w:i/>
                <w:sz w:val="16"/>
                <w:szCs w:val="16"/>
              </w:rPr>
              <w:t>Source of data</w:t>
            </w:r>
          </w:p>
        </w:tc>
        <w:tc>
          <w:tcPr>
            <w:tcW w:w="410" w:type="pct"/>
            <w:vMerge w:val="restart"/>
          </w:tcPr>
          <w:p w14:paraId="51C04630" w14:textId="77777777" w:rsidR="00F1341F" w:rsidRPr="00020ADD" w:rsidRDefault="00F1341F" w:rsidP="001B395D">
            <w:pPr>
              <w:pStyle w:val="ListBullet"/>
              <w:tabs>
                <w:tab w:val="clear" w:pos="360"/>
                <w:tab w:val="left" w:pos="720"/>
              </w:tabs>
              <w:spacing w:before="60" w:after="60"/>
              <w:ind w:left="0" w:firstLine="0"/>
              <w:rPr>
                <w:b/>
                <w:i/>
                <w:sz w:val="16"/>
                <w:szCs w:val="16"/>
              </w:rPr>
            </w:pPr>
            <w:r w:rsidRPr="00020ADD">
              <w:rPr>
                <w:b/>
                <w:i/>
                <w:sz w:val="16"/>
                <w:szCs w:val="16"/>
              </w:rPr>
              <w:t>Frequency of reporting</w:t>
            </w:r>
          </w:p>
        </w:tc>
      </w:tr>
      <w:tr w:rsidR="00F1341F" w:rsidRPr="008340BB" w14:paraId="0EDC888F" w14:textId="77777777" w:rsidTr="00D530CC">
        <w:trPr>
          <w:trHeight w:val="619"/>
        </w:trPr>
        <w:tc>
          <w:tcPr>
            <w:tcW w:w="449" w:type="pct"/>
            <w:vMerge/>
          </w:tcPr>
          <w:p w14:paraId="46EE9E40" w14:textId="77777777" w:rsidR="00F1341F" w:rsidRPr="008340BB" w:rsidRDefault="00F1341F" w:rsidP="001B395D">
            <w:pPr>
              <w:pStyle w:val="ListBullet"/>
              <w:tabs>
                <w:tab w:val="clear" w:pos="360"/>
                <w:tab w:val="left" w:pos="720"/>
              </w:tabs>
              <w:spacing w:before="60" w:after="60"/>
              <w:ind w:left="0" w:firstLine="0"/>
              <w:rPr>
                <w:b/>
                <w:i/>
                <w:sz w:val="16"/>
                <w:szCs w:val="16"/>
              </w:rPr>
            </w:pPr>
          </w:p>
        </w:tc>
        <w:tc>
          <w:tcPr>
            <w:tcW w:w="738" w:type="pct"/>
            <w:vMerge/>
          </w:tcPr>
          <w:p w14:paraId="4B39E759" w14:textId="77777777" w:rsidR="00F1341F" w:rsidRPr="008340BB" w:rsidRDefault="00F1341F" w:rsidP="001B395D">
            <w:pPr>
              <w:pStyle w:val="ListBullet"/>
              <w:tabs>
                <w:tab w:val="clear" w:pos="360"/>
                <w:tab w:val="left" w:pos="720"/>
              </w:tabs>
              <w:spacing w:before="60" w:after="60"/>
              <w:ind w:left="0" w:firstLine="0"/>
              <w:rPr>
                <w:b/>
                <w:i/>
                <w:sz w:val="16"/>
                <w:szCs w:val="16"/>
              </w:rPr>
            </w:pPr>
          </w:p>
        </w:tc>
        <w:tc>
          <w:tcPr>
            <w:tcW w:w="479" w:type="pct"/>
            <w:vMerge/>
          </w:tcPr>
          <w:p w14:paraId="076D22F8" w14:textId="77777777" w:rsidR="00F1341F" w:rsidRPr="008340BB" w:rsidRDefault="00F1341F" w:rsidP="001B395D">
            <w:pPr>
              <w:pStyle w:val="ListBullet"/>
              <w:tabs>
                <w:tab w:val="clear" w:pos="360"/>
                <w:tab w:val="left" w:pos="720"/>
              </w:tabs>
              <w:spacing w:before="60" w:after="60"/>
              <w:ind w:left="0" w:firstLine="0"/>
              <w:rPr>
                <w:b/>
                <w:i/>
                <w:sz w:val="16"/>
                <w:szCs w:val="16"/>
              </w:rPr>
            </w:pPr>
          </w:p>
        </w:tc>
        <w:tc>
          <w:tcPr>
            <w:tcW w:w="480" w:type="pct"/>
            <w:vMerge/>
          </w:tcPr>
          <w:p w14:paraId="00E32B36" w14:textId="77777777" w:rsidR="00F1341F" w:rsidRPr="008340BB" w:rsidRDefault="00F1341F" w:rsidP="001B395D">
            <w:pPr>
              <w:pStyle w:val="ListBullet"/>
              <w:tabs>
                <w:tab w:val="clear" w:pos="360"/>
                <w:tab w:val="left" w:pos="720"/>
              </w:tabs>
              <w:spacing w:before="60" w:after="60"/>
              <w:ind w:left="0" w:firstLine="0"/>
              <w:rPr>
                <w:b/>
                <w:i/>
                <w:sz w:val="16"/>
                <w:szCs w:val="16"/>
              </w:rPr>
            </w:pPr>
          </w:p>
        </w:tc>
        <w:tc>
          <w:tcPr>
            <w:tcW w:w="527" w:type="pct"/>
            <w:vMerge/>
          </w:tcPr>
          <w:p w14:paraId="25FD630D" w14:textId="77777777" w:rsidR="00F1341F" w:rsidRPr="008340BB" w:rsidRDefault="00F1341F" w:rsidP="001B395D">
            <w:pPr>
              <w:snapToGrid w:val="0"/>
              <w:spacing w:before="60" w:after="60"/>
              <w:rPr>
                <w:b/>
                <w:i/>
                <w:sz w:val="16"/>
                <w:szCs w:val="16"/>
              </w:rPr>
            </w:pPr>
          </w:p>
        </w:tc>
        <w:tc>
          <w:tcPr>
            <w:tcW w:w="112" w:type="pct"/>
          </w:tcPr>
          <w:p w14:paraId="04CDB88D"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sz w:val="16"/>
                <w:szCs w:val="16"/>
              </w:rPr>
              <w:t>M</w:t>
            </w:r>
          </w:p>
        </w:tc>
        <w:tc>
          <w:tcPr>
            <w:tcW w:w="112" w:type="pct"/>
          </w:tcPr>
          <w:p w14:paraId="632DBB7F"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sz w:val="16"/>
                <w:szCs w:val="16"/>
              </w:rPr>
              <w:t>W</w:t>
            </w:r>
          </w:p>
        </w:tc>
        <w:tc>
          <w:tcPr>
            <w:tcW w:w="112" w:type="pct"/>
          </w:tcPr>
          <w:p w14:paraId="6C7ED728"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sz w:val="16"/>
                <w:szCs w:val="16"/>
              </w:rPr>
              <w:t>T</w:t>
            </w:r>
          </w:p>
        </w:tc>
        <w:tc>
          <w:tcPr>
            <w:tcW w:w="431" w:type="pct"/>
            <w:vMerge/>
          </w:tcPr>
          <w:p w14:paraId="5910FDC9" w14:textId="77777777" w:rsidR="00F1341F" w:rsidRPr="008340BB" w:rsidRDefault="00F1341F" w:rsidP="001B395D">
            <w:pPr>
              <w:pStyle w:val="ListBullet"/>
              <w:tabs>
                <w:tab w:val="clear" w:pos="360"/>
                <w:tab w:val="left" w:pos="720"/>
              </w:tabs>
              <w:spacing w:before="60" w:after="60"/>
              <w:ind w:left="0" w:firstLine="0"/>
              <w:rPr>
                <w:b/>
                <w:i/>
                <w:sz w:val="16"/>
                <w:szCs w:val="16"/>
              </w:rPr>
            </w:pPr>
          </w:p>
        </w:tc>
        <w:tc>
          <w:tcPr>
            <w:tcW w:w="309" w:type="pct"/>
            <w:vMerge/>
          </w:tcPr>
          <w:p w14:paraId="7BE4E35B" w14:textId="77777777" w:rsidR="00F1341F" w:rsidRPr="008340BB" w:rsidRDefault="00F1341F" w:rsidP="001B395D">
            <w:pPr>
              <w:pStyle w:val="ListBullet"/>
              <w:tabs>
                <w:tab w:val="clear" w:pos="360"/>
                <w:tab w:val="left" w:pos="720"/>
              </w:tabs>
              <w:spacing w:before="60" w:after="60"/>
              <w:ind w:left="0" w:firstLine="0"/>
              <w:rPr>
                <w:b/>
                <w:i/>
                <w:sz w:val="16"/>
                <w:szCs w:val="16"/>
              </w:rPr>
            </w:pPr>
          </w:p>
        </w:tc>
        <w:tc>
          <w:tcPr>
            <w:tcW w:w="186" w:type="pct"/>
            <w:gridSpan w:val="2"/>
          </w:tcPr>
          <w:p w14:paraId="16F30403" w14:textId="77777777" w:rsidR="00F1341F" w:rsidRPr="008340BB" w:rsidRDefault="00F1341F" w:rsidP="001B395D">
            <w:pPr>
              <w:snapToGrid w:val="0"/>
              <w:spacing w:before="60" w:after="60"/>
              <w:rPr>
                <w:b/>
                <w:i/>
                <w:sz w:val="16"/>
                <w:szCs w:val="16"/>
              </w:rPr>
            </w:pPr>
            <w:r w:rsidRPr="008340BB">
              <w:rPr>
                <w:sz w:val="16"/>
                <w:szCs w:val="16"/>
              </w:rPr>
              <w:t>M</w:t>
            </w:r>
          </w:p>
        </w:tc>
        <w:tc>
          <w:tcPr>
            <w:tcW w:w="160" w:type="pct"/>
          </w:tcPr>
          <w:p w14:paraId="03ED9493" w14:textId="77777777" w:rsidR="00F1341F" w:rsidRPr="008340BB" w:rsidRDefault="00F1341F" w:rsidP="001B395D">
            <w:pPr>
              <w:snapToGrid w:val="0"/>
              <w:spacing w:before="60" w:after="60"/>
              <w:rPr>
                <w:b/>
                <w:i/>
                <w:sz w:val="16"/>
                <w:szCs w:val="16"/>
              </w:rPr>
            </w:pPr>
            <w:r w:rsidRPr="008340BB">
              <w:rPr>
                <w:sz w:val="16"/>
                <w:szCs w:val="16"/>
              </w:rPr>
              <w:t>W</w:t>
            </w:r>
          </w:p>
        </w:tc>
        <w:tc>
          <w:tcPr>
            <w:tcW w:w="160" w:type="pct"/>
          </w:tcPr>
          <w:p w14:paraId="4C6988B1" w14:textId="77777777" w:rsidR="00F1341F" w:rsidRPr="008340BB" w:rsidRDefault="00F1341F" w:rsidP="001B395D">
            <w:pPr>
              <w:snapToGrid w:val="0"/>
              <w:spacing w:before="60" w:after="60"/>
              <w:rPr>
                <w:b/>
                <w:i/>
                <w:sz w:val="16"/>
                <w:szCs w:val="16"/>
              </w:rPr>
            </w:pPr>
            <w:r w:rsidRPr="008340BB">
              <w:rPr>
                <w:sz w:val="16"/>
                <w:szCs w:val="16"/>
              </w:rPr>
              <w:t>T</w:t>
            </w:r>
          </w:p>
        </w:tc>
        <w:tc>
          <w:tcPr>
            <w:tcW w:w="335" w:type="pct"/>
            <w:vMerge/>
          </w:tcPr>
          <w:p w14:paraId="07ADDE79" w14:textId="77777777" w:rsidR="00F1341F" w:rsidRPr="008340BB" w:rsidRDefault="00F1341F" w:rsidP="001B395D">
            <w:pPr>
              <w:pStyle w:val="ListBullet"/>
              <w:tabs>
                <w:tab w:val="clear" w:pos="360"/>
                <w:tab w:val="left" w:pos="720"/>
              </w:tabs>
              <w:spacing w:before="60" w:after="60"/>
              <w:ind w:left="0" w:firstLine="0"/>
              <w:rPr>
                <w:b/>
                <w:i/>
                <w:sz w:val="16"/>
                <w:szCs w:val="16"/>
              </w:rPr>
            </w:pPr>
          </w:p>
        </w:tc>
        <w:tc>
          <w:tcPr>
            <w:tcW w:w="410" w:type="pct"/>
            <w:vMerge/>
          </w:tcPr>
          <w:p w14:paraId="343C7836" w14:textId="77777777" w:rsidR="00F1341F" w:rsidRPr="008340BB" w:rsidRDefault="00F1341F" w:rsidP="001B395D">
            <w:pPr>
              <w:pStyle w:val="ListBullet"/>
              <w:tabs>
                <w:tab w:val="clear" w:pos="360"/>
                <w:tab w:val="left" w:pos="720"/>
              </w:tabs>
              <w:spacing w:before="60" w:after="60"/>
              <w:ind w:left="0" w:firstLine="0"/>
              <w:rPr>
                <w:b/>
                <w:sz w:val="16"/>
                <w:szCs w:val="16"/>
              </w:rPr>
            </w:pPr>
          </w:p>
        </w:tc>
      </w:tr>
      <w:tr w:rsidR="00F1341F" w:rsidRPr="008340BB" w14:paraId="08592F04" w14:textId="77777777" w:rsidTr="00D530CC">
        <w:trPr>
          <w:trHeight w:val="652"/>
        </w:trPr>
        <w:tc>
          <w:tcPr>
            <w:tcW w:w="449" w:type="pct"/>
          </w:tcPr>
          <w:p w14:paraId="3D6FA0BA" w14:textId="77777777" w:rsidR="00F1341F" w:rsidRPr="008340BB" w:rsidRDefault="00F1341F" w:rsidP="001B395D">
            <w:pPr>
              <w:pStyle w:val="Text1"/>
              <w:spacing w:before="60" w:after="60"/>
              <w:ind w:left="0"/>
              <w:jc w:val="left"/>
              <w:rPr>
                <w:i/>
                <w:sz w:val="16"/>
                <w:szCs w:val="16"/>
                <w:lang w:val="en-GB" w:eastAsia="en-GB"/>
              </w:rPr>
            </w:pPr>
            <w:r w:rsidRPr="008340BB">
              <w:rPr>
                <w:i/>
                <w:sz w:val="16"/>
                <w:szCs w:val="16"/>
                <w:lang w:val="en-GB" w:eastAsia="en-GB"/>
              </w:rPr>
              <w:t>N/A</w:t>
            </w:r>
          </w:p>
        </w:tc>
        <w:tc>
          <w:tcPr>
            <w:tcW w:w="738" w:type="pct"/>
          </w:tcPr>
          <w:p w14:paraId="7E75E40C" w14:textId="77777777" w:rsidR="00F1341F" w:rsidRPr="008340BB" w:rsidRDefault="00F1341F">
            <w:r w:rsidRPr="008340BB">
              <w:rPr>
                <w:i/>
                <w:sz w:val="16"/>
                <w:szCs w:val="16"/>
              </w:rPr>
              <w:t>N/A</w:t>
            </w:r>
          </w:p>
        </w:tc>
        <w:tc>
          <w:tcPr>
            <w:tcW w:w="479" w:type="pct"/>
          </w:tcPr>
          <w:p w14:paraId="0BBA9075" w14:textId="77777777" w:rsidR="00F1341F" w:rsidRPr="008340BB" w:rsidRDefault="00F1341F">
            <w:r w:rsidRPr="008340BB">
              <w:rPr>
                <w:i/>
                <w:sz w:val="16"/>
                <w:szCs w:val="16"/>
              </w:rPr>
              <w:t>N/A</w:t>
            </w:r>
          </w:p>
        </w:tc>
        <w:tc>
          <w:tcPr>
            <w:tcW w:w="480" w:type="pct"/>
          </w:tcPr>
          <w:p w14:paraId="0F4481CB" w14:textId="77777777" w:rsidR="00F1341F" w:rsidRPr="008340BB" w:rsidRDefault="00F1341F">
            <w:r w:rsidRPr="008340BB">
              <w:rPr>
                <w:i/>
                <w:sz w:val="16"/>
                <w:szCs w:val="16"/>
              </w:rPr>
              <w:t>N/A</w:t>
            </w:r>
          </w:p>
        </w:tc>
        <w:tc>
          <w:tcPr>
            <w:tcW w:w="527" w:type="pct"/>
          </w:tcPr>
          <w:p w14:paraId="5233FF71" w14:textId="77777777" w:rsidR="00F1341F" w:rsidRPr="008340BB" w:rsidRDefault="00F1341F">
            <w:r w:rsidRPr="008340BB">
              <w:rPr>
                <w:i/>
                <w:sz w:val="16"/>
                <w:szCs w:val="16"/>
              </w:rPr>
              <w:t>N/A</w:t>
            </w:r>
          </w:p>
        </w:tc>
        <w:tc>
          <w:tcPr>
            <w:tcW w:w="112" w:type="pct"/>
          </w:tcPr>
          <w:p w14:paraId="2FDB82D2" w14:textId="77777777" w:rsidR="00F1341F" w:rsidRPr="008340BB" w:rsidRDefault="00F1341F">
            <w:r w:rsidRPr="008340BB">
              <w:rPr>
                <w:i/>
                <w:sz w:val="16"/>
                <w:szCs w:val="16"/>
              </w:rPr>
              <w:t>N/A</w:t>
            </w:r>
          </w:p>
        </w:tc>
        <w:tc>
          <w:tcPr>
            <w:tcW w:w="112" w:type="pct"/>
          </w:tcPr>
          <w:p w14:paraId="133673EE" w14:textId="77777777" w:rsidR="00F1341F" w:rsidRPr="008340BB" w:rsidRDefault="00F1341F">
            <w:r w:rsidRPr="008340BB">
              <w:rPr>
                <w:i/>
                <w:sz w:val="16"/>
                <w:szCs w:val="16"/>
              </w:rPr>
              <w:t>N/A</w:t>
            </w:r>
          </w:p>
        </w:tc>
        <w:tc>
          <w:tcPr>
            <w:tcW w:w="112" w:type="pct"/>
          </w:tcPr>
          <w:p w14:paraId="2B0A296F" w14:textId="77777777" w:rsidR="00F1341F" w:rsidRPr="008340BB" w:rsidRDefault="00F1341F">
            <w:r w:rsidRPr="008340BB">
              <w:rPr>
                <w:i/>
                <w:sz w:val="16"/>
                <w:szCs w:val="16"/>
              </w:rPr>
              <w:t>N/A</w:t>
            </w:r>
          </w:p>
        </w:tc>
        <w:tc>
          <w:tcPr>
            <w:tcW w:w="431" w:type="pct"/>
          </w:tcPr>
          <w:p w14:paraId="3FE4551A" w14:textId="77777777" w:rsidR="00F1341F" w:rsidRPr="008340BB" w:rsidRDefault="00F1341F">
            <w:r w:rsidRPr="008340BB">
              <w:rPr>
                <w:i/>
                <w:sz w:val="16"/>
                <w:szCs w:val="16"/>
              </w:rPr>
              <w:t>N/A</w:t>
            </w:r>
          </w:p>
        </w:tc>
        <w:tc>
          <w:tcPr>
            <w:tcW w:w="309" w:type="pct"/>
          </w:tcPr>
          <w:p w14:paraId="35A18EC1" w14:textId="77777777" w:rsidR="00F1341F" w:rsidRPr="008340BB" w:rsidRDefault="00F1341F">
            <w:r w:rsidRPr="008340BB">
              <w:rPr>
                <w:i/>
                <w:sz w:val="16"/>
                <w:szCs w:val="16"/>
              </w:rPr>
              <w:t>N/A</w:t>
            </w:r>
          </w:p>
        </w:tc>
        <w:tc>
          <w:tcPr>
            <w:tcW w:w="183" w:type="pct"/>
          </w:tcPr>
          <w:p w14:paraId="11EE4075" w14:textId="77777777" w:rsidR="00F1341F" w:rsidRPr="008340BB" w:rsidRDefault="00F1341F">
            <w:r w:rsidRPr="008340BB">
              <w:rPr>
                <w:i/>
                <w:sz w:val="16"/>
                <w:szCs w:val="16"/>
              </w:rPr>
              <w:t>N/A</w:t>
            </w:r>
          </w:p>
        </w:tc>
        <w:tc>
          <w:tcPr>
            <w:tcW w:w="163" w:type="pct"/>
            <w:gridSpan w:val="2"/>
          </w:tcPr>
          <w:p w14:paraId="7C2B80C6" w14:textId="77777777" w:rsidR="00F1341F" w:rsidRPr="008340BB" w:rsidRDefault="00F1341F">
            <w:r w:rsidRPr="008340BB">
              <w:rPr>
                <w:i/>
                <w:sz w:val="16"/>
                <w:szCs w:val="16"/>
              </w:rPr>
              <w:t>N/A</w:t>
            </w:r>
          </w:p>
        </w:tc>
        <w:tc>
          <w:tcPr>
            <w:tcW w:w="160" w:type="pct"/>
          </w:tcPr>
          <w:p w14:paraId="2BF81595" w14:textId="77777777" w:rsidR="00F1341F" w:rsidRPr="008340BB" w:rsidRDefault="00F1341F">
            <w:r w:rsidRPr="008340BB">
              <w:rPr>
                <w:i/>
                <w:sz w:val="16"/>
                <w:szCs w:val="16"/>
              </w:rPr>
              <w:t>N/A</w:t>
            </w:r>
          </w:p>
        </w:tc>
        <w:tc>
          <w:tcPr>
            <w:tcW w:w="335" w:type="pct"/>
          </w:tcPr>
          <w:p w14:paraId="6760AD19" w14:textId="77777777" w:rsidR="00F1341F" w:rsidRPr="008340BB" w:rsidRDefault="00F1341F">
            <w:r w:rsidRPr="008340BB">
              <w:rPr>
                <w:i/>
                <w:sz w:val="16"/>
                <w:szCs w:val="16"/>
              </w:rPr>
              <w:t>N/A</w:t>
            </w:r>
          </w:p>
        </w:tc>
        <w:tc>
          <w:tcPr>
            <w:tcW w:w="410" w:type="pct"/>
          </w:tcPr>
          <w:p w14:paraId="02DD8C3A" w14:textId="77777777" w:rsidR="00F1341F" w:rsidRPr="008340BB" w:rsidRDefault="00F1341F">
            <w:r w:rsidRPr="008340BB">
              <w:rPr>
                <w:i/>
                <w:sz w:val="16"/>
                <w:szCs w:val="16"/>
              </w:rPr>
              <w:t>N/A</w:t>
            </w:r>
          </w:p>
        </w:tc>
      </w:tr>
      <w:tr w:rsidR="00F1341F" w:rsidRPr="008340BB" w14:paraId="743E60E5" w14:textId="77777777" w:rsidTr="00D530CC">
        <w:trPr>
          <w:trHeight w:val="665"/>
        </w:trPr>
        <w:tc>
          <w:tcPr>
            <w:tcW w:w="449" w:type="pct"/>
          </w:tcPr>
          <w:p w14:paraId="606D6ACB" w14:textId="77777777" w:rsidR="00F1341F" w:rsidRPr="008340BB" w:rsidRDefault="00F1341F">
            <w:r w:rsidRPr="008340BB">
              <w:rPr>
                <w:i/>
                <w:sz w:val="16"/>
                <w:szCs w:val="16"/>
              </w:rPr>
              <w:t>N/A</w:t>
            </w:r>
          </w:p>
        </w:tc>
        <w:tc>
          <w:tcPr>
            <w:tcW w:w="738" w:type="pct"/>
          </w:tcPr>
          <w:p w14:paraId="60A6E35F" w14:textId="77777777" w:rsidR="00F1341F" w:rsidRPr="008340BB" w:rsidRDefault="00F1341F">
            <w:r w:rsidRPr="008340BB">
              <w:rPr>
                <w:i/>
                <w:sz w:val="16"/>
                <w:szCs w:val="16"/>
              </w:rPr>
              <w:t>N/A</w:t>
            </w:r>
          </w:p>
        </w:tc>
        <w:tc>
          <w:tcPr>
            <w:tcW w:w="479" w:type="pct"/>
          </w:tcPr>
          <w:p w14:paraId="7D6DAB2B" w14:textId="77777777" w:rsidR="00F1341F" w:rsidRPr="008340BB" w:rsidRDefault="00F1341F">
            <w:r w:rsidRPr="008340BB">
              <w:rPr>
                <w:i/>
                <w:sz w:val="16"/>
                <w:szCs w:val="16"/>
              </w:rPr>
              <w:t>N/A</w:t>
            </w:r>
          </w:p>
        </w:tc>
        <w:tc>
          <w:tcPr>
            <w:tcW w:w="480" w:type="pct"/>
          </w:tcPr>
          <w:p w14:paraId="734C93E5" w14:textId="77777777" w:rsidR="00F1341F" w:rsidRPr="008340BB" w:rsidRDefault="00F1341F">
            <w:r w:rsidRPr="008340BB">
              <w:rPr>
                <w:i/>
                <w:sz w:val="16"/>
                <w:szCs w:val="16"/>
              </w:rPr>
              <w:t>N/A</w:t>
            </w:r>
          </w:p>
        </w:tc>
        <w:tc>
          <w:tcPr>
            <w:tcW w:w="527" w:type="pct"/>
          </w:tcPr>
          <w:p w14:paraId="5BD29B05" w14:textId="77777777" w:rsidR="00F1341F" w:rsidRPr="008340BB" w:rsidRDefault="00F1341F">
            <w:r w:rsidRPr="008340BB">
              <w:rPr>
                <w:i/>
                <w:sz w:val="16"/>
                <w:szCs w:val="16"/>
              </w:rPr>
              <w:t>N/A</w:t>
            </w:r>
          </w:p>
        </w:tc>
        <w:tc>
          <w:tcPr>
            <w:tcW w:w="112" w:type="pct"/>
          </w:tcPr>
          <w:p w14:paraId="3991FF22" w14:textId="77777777" w:rsidR="00F1341F" w:rsidRPr="008340BB" w:rsidRDefault="00F1341F">
            <w:r w:rsidRPr="008340BB">
              <w:rPr>
                <w:i/>
                <w:sz w:val="16"/>
                <w:szCs w:val="16"/>
              </w:rPr>
              <w:t>N/A</w:t>
            </w:r>
          </w:p>
        </w:tc>
        <w:tc>
          <w:tcPr>
            <w:tcW w:w="112" w:type="pct"/>
          </w:tcPr>
          <w:p w14:paraId="30F59FE8" w14:textId="77777777" w:rsidR="00F1341F" w:rsidRPr="008340BB" w:rsidRDefault="00F1341F">
            <w:r w:rsidRPr="008340BB">
              <w:rPr>
                <w:i/>
                <w:sz w:val="16"/>
                <w:szCs w:val="16"/>
              </w:rPr>
              <w:t>N/A</w:t>
            </w:r>
          </w:p>
        </w:tc>
        <w:tc>
          <w:tcPr>
            <w:tcW w:w="112" w:type="pct"/>
          </w:tcPr>
          <w:p w14:paraId="5A0457FA" w14:textId="77777777" w:rsidR="00F1341F" w:rsidRPr="008340BB" w:rsidRDefault="00F1341F">
            <w:r w:rsidRPr="008340BB">
              <w:rPr>
                <w:i/>
                <w:sz w:val="16"/>
                <w:szCs w:val="16"/>
              </w:rPr>
              <w:t>N/A</w:t>
            </w:r>
          </w:p>
        </w:tc>
        <w:tc>
          <w:tcPr>
            <w:tcW w:w="431" w:type="pct"/>
          </w:tcPr>
          <w:p w14:paraId="73B003B5" w14:textId="77777777" w:rsidR="00F1341F" w:rsidRPr="008340BB" w:rsidRDefault="00F1341F">
            <w:r w:rsidRPr="008340BB">
              <w:rPr>
                <w:i/>
                <w:sz w:val="16"/>
                <w:szCs w:val="16"/>
              </w:rPr>
              <w:t>N/A</w:t>
            </w:r>
          </w:p>
        </w:tc>
        <w:tc>
          <w:tcPr>
            <w:tcW w:w="309" w:type="pct"/>
          </w:tcPr>
          <w:p w14:paraId="428B3A8E" w14:textId="77777777" w:rsidR="00F1341F" w:rsidRPr="008340BB" w:rsidRDefault="00F1341F">
            <w:r w:rsidRPr="008340BB">
              <w:rPr>
                <w:i/>
                <w:sz w:val="16"/>
                <w:szCs w:val="16"/>
              </w:rPr>
              <w:t>N/A</w:t>
            </w:r>
          </w:p>
        </w:tc>
        <w:tc>
          <w:tcPr>
            <w:tcW w:w="183" w:type="pct"/>
          </w:tcPr>
          <w:p w14:paraId="7252208A" w14:textId="77777777" w:rsidR="00F1341F" w:rsidRPr="008340BB" w:rsidRDefault="00F1341F">
            <w:r w:rsidRPr="008340BB">
              <w:rPr>
                <w:i/>
                <w:sz w:val="16"/>
                <w:szCs w:val="16"/>
              </w:rPr>
              <w:t>N/A</w:t>
            </w:r>
          </w:p>
        </w:tc>
        <w:tc>
          <w:tcPr>
            <w:tcW w:w="163" w:type="pct"/>
            <w:gridSpan w:val="2"/>
          </w:tcPr>
          <w:p w14:paraId="53B74EDC" w14:textId="77777777" w:rsidR="00F1341F" w:rsidRPr="008340BB" w:rsidRDefault="00F1341F">
            <w:r w:rsidRPr="008340BB">
              <w:rPr>
                <w:i/>
                <w:sz w:val="16"/>
                <w:szCs w:val="16"/>
              </w:rPr>
              <w:t>N/A</w:t>
            </w:r>
          </w:p>
        </w:tc>
        <w:tc>
          <w:tcPr>
            <w:tcW w:w="160" w:type="pct"/>
          </w:tcPr>
          <w:p w14:paraId="3A592A29" w14:textId="77777777" w:rsidR="00F1341F" w:rsidRPr="008340BB" w:rsidRDefault="00F1341F">
            <w:r w:rsidRPr="008340BB">
              <w:rPr>
                <w:i/>
                <w:sz w:val="16"/>
                <w:szCs w:val="16"/>
              </w:rPr>
              <w:t>N/A</w:t>
            </w:r>
          </w:p>
        </w:tc>
        <w:tc>
          <w:tcPr>
            <w:tcW w:w="335" w:type="pct"/>
          </w:tcPr>
          <w:p w14:paraId="09B33160" w14:textId="77777777" w:rsidR="00F1341F" w:rsidRPr="008340BB" w:rsidRDefault="00F1341F">
            <w:r w:rsidRPr="008340BB">
              <w:rPr>
                <w:i/>
                <w:sz w:val="16"/>
                <w:szCs w:val="16"/>
              </w:rPr>
              <w:t>N/A</w:t>
            </w:r>
          </w:p>
        </w:tc>
        <w:tc>
          <w:tcPr>
            <w:tcW w:w="410" w:type="pct"/>
          </w:tcPr>
          <w:p w14:paraId="3A79F87B" w14:textId="77777777" w:rsidR="00F1341F" w:rsidRPr="008340BB" w:rsidRDefault="00F1341F">
            <w:r w:rsidRPr="008340BB">
              <w:rPr>
                <w:i/>
                <w:sz w:val="16"/>
                <w:szCs w:val="16"/>
              </w:rPr>
              <w:t>N/A</w:t>
            </w:r>
          </w:p>
        </w:tc>
      </w:tr>
    </w:tbl>
    <w:p w14:paraId="181825B5" w14:textId="77777777" w:rsidR="00F1341F" w:rsidRPr="008340BB" w:rsidRDefault="00F1341F" w:rsidP="00D14C5F">
      <w:pPr>
        <w:tabs>
          <w:tab w:val="left" w:pos="720"/>
        </w:tabs>
        <w:spacing w:before="0" w:after="240"/>
        <w:jc w:val="center"/>
        <w:rPr>
          <w:b/>
          <w:lang w:eastAsia="en-US"/>
        </w:rPr>
      </w:pPr>
    </w:p>
    <w:p w14:paraId="716B559C" w14:textId="77777777" w:rsidR="00F1341F" w:rsidRPr="008340BB" w:rsidRDefault="00F1341F" w:rsidP="00D14C5F">
      <w:pPr>
        <w:tabs>
          <w:tab w:val="left" w:pos="720"/>
        </w:tabs>
        <w:spacing w:before="0" w:after="240"/>
        <w:jc w:val="left"/>
        <w:rPr>
          <w:b/>
          <w:lang w:eastAsia="en-US"/>
        </w:rPr>
      </w:pPr>
      <w:r w:rsidRPr="008340BB">
        <w:rPr>
          <w:b/>
          <w:lang w:eastAsia="en-US"/>
        </w:rPr>
        <w:br w:type="page"/>
      </w:r>
      <w:r w:rsidRPr="008340BB">
        <w:rPr>
          <w:b/>
          <w:lang w:eastAsia="en-US"/>
        </w:rPr>
        <w:lastRenderedPageBreak/>
        <w:t xml:space="preserve">Table 4a: </w:t>
      </w:r>
      <w:r w:rsidRPr="008340BB">
        <w:rPr>
          <w:b/>
          <w:lang w:eastAsia="en-US"/>
        </w:rPr>
        <w:tab/>
        <w:t xml:space="preserve">YEI result indicators and programme-specific result indicators corresponding to the specific objective </w:t>
      </w:r>
    </w:p>
    <w:p w14:paraId="3DC03F1A" w14:textId="77777777" w:rsidR="00F1341F" w:rsidRPr="008340BB" w:rsidRDefault="00F1341F" w:rsidP="00D14C5F">
      <w:pPr>
        <w:tabs>
          <w:tab w:val="left" w:pos="720"/>
        </w:tabs>
        <w:spacing w:before="0" w:after="240"/>
        <w:jc w:val="left"/>
        <w:rPr>
          <w:lang w:eastAsia="en-US"/>
        </w:rPr>
      </w:pPr>
      <w:r w:rsidRPr="008340BB">
        <w:rPr>
          <w:lang w:eastAsia="en-US"/>
        </w:rPr>
        <w:t xml:space="preserve">(by priority axis or by part of a priority axis) </w:t>
      </w:r>
    </w:p>
    <w:p w14:paraId="1341A4FC" w14:textId="77777777" w:rsidR="00F1341F" w:rsidRPr="008340BB" w:rsidRDefault="00F1341F" w:rsidP="00D14C5F">
      <w:pPr>
        <w:tabs>
          <w:tab w:val="left" w:pos="720"/>
        </w:tabs>
        <w:spacing w:before="0" w:after="240"/>
        <w:jc w:val="left"/>
        <w:rPr>
          <w:lang w:eastAsia="en-US"/>
        </w:rPr>
      </w:pPr>
      <w:r w:rsidRPr="008340BB">
        <w:rPr>
          <w:lang w:eastAsia="en-US"/>
        </w:rPr>
        <w:t xml:space="preserve"> (</w:t>
      </w:r>
      <w:r w:rsidRPr="008340BB">
        <w:rPr>
          <w:szCs w:val="24"/>
          <w:lang w:eastAsia="en-US"/>
        </w:rPr>
        <w:t xml:space="preserve">Reference: Article 19(3) of Regulation (EU) No </w:t>
      </w:r>
      <w:r w:rsidRPr="008340BB">
        <w:rPr>
          <w:szCs w:val="24"/>
        </w:rPr>
        <w:t>1304/2013 of the European Parliament and of the Council</w:t>
      </w:r>
      <w:r w:rsidRPr="008340BB">
        <w:rPr>
          <w:rStyle w:val="FootnoteReference"/>
          <w:lang w:eastAsia="en-US"/>
        </w:rPr>
        <w:footnoteReference w:id="41"/>
      </w:r>
      <w:r w:rsidRPr="008340BB">
        <w:rPr>
          <w:lang w:eastAsia="en-US"/>
        </w:rPr>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10"/>
        <w:gridCol w:w="2149"/>
        <w:gridCol w:w="1398"/>
        <w:gridCol w:w="1535"/>
        <w:gridCol w:w="326"/>
        <w:gridCol w:w="326"/>
        <w:gridCol w:w="326"/>
        <w:gridCol w:w="1256"/>
        <w:gridCol w:w="874"/>
        <w:gridCol w:w="532"/>
        <w:gridCol w:w="37"/>
        <w:gridCol w:w="466"/>
        <w:gridCol w:w="466"/>
        <w:gridCol w:w="977"/>
        <w:gridCol w:w="1187"/>
      </w:tblGrid>
      <w:tr w:rsidR="00F1341F" w:rsidRPr="008340BB" w14:paraId="19951824" w14:textId="77777777" w:rsidTr="00276FF6">
        <w:trPr>
          <w:trHeight w:val="620"/>
        </w:trPr>
        <w:tc>
          <w:tcPr>
            <w:tcW w:w="497" w:type="pct"/>
            <w:vMerge w:val="restart"/>
          </w:tcPr>
          <w:p w14:paraId="58631789" w14:textId="77777777" w:rsidR="00F1341F" w:rsidRPr="0067246B" w:rsidRDefault="00F1341F" w:rsidP="001B395D">
            <w:pPr>
              <w:tabs>
                <w:tab w:val="left" w:pos="720"/>
              </w:tabs>
              <w:spacing w:before="60" w:after="60"/>
              <w:rPr>
                <w:b/>
                <w:i/>
                <w:sz w:val="16"/>
                <w:szCs w:val="16"/>
                <w:lang w:eastAsia="en-US"/>
              </w:rPr>
            </w:pPr>
            <w:r w:rsidRPr="0067246B" w:rsidDel="00496ED7">
              <w:rPr>
                <w:lang w:eastAsia="en-US"/>
              </w:rPr>
              <w:t xml:space="preserve"> </w:t>
            </w:r>
            <w:r w:rsidRPr="0067246B">
              <w:rPr>
                <w:b/>
                <w:i/>
                <w:sz w:val="16"/>
                <w:szCs w:val="16"/>
                <w:lang w:eastAsia="en-US"/>
              </w:rPr>
              <w:t>ID</w:t>
            </w:r>
          </w:p>
        </w:tc>
        <w:tc>
          <w:tcPr>
            <w:tcW w:w="816" w:type="pct"/>
            <w:vMerge w:val="restart"/>
          </w:tcPr>
          <w:p w14:paraId="6C8AC140" w14:textId="77777777" w:rsidR="00F1341F" w:rsidRPr="00020ADD" w:rsidRDefault="00F1341F" w:rsidP="001B395D">
            <w:pPr>
              <w:tabs>
                <w:tab w:val="left" w:pos="720"/>
              </w:tabs>
              <w:spacing w:before="60" w:after="60"/>
              <w:rPr>
                <w:b/>
                <w:i/>
                <w:sz w:val="16"/>
                <w:szCs w:val="16"/>
                <w:lang w:eastAsia="en-US"/>
              </w:rPr>
            </w:pPr>
            <w:r w:rsidRPr="00020ADD">
              <w:rPr>
                <w:b/>
                <w:i/>
                <w:sz w:val="16"/>
                <w:szCs w:val="16"/>
                <w:lang w:eastAsia="en-US"/>
              </w:rPr>
              <w:t xml:space="preserve">Indicator </w:t>
            </w:r>
          </w:p>
        </w:tc>
        <w:tc>
          <w:tcPr>
            <w:tcW w:w="531" w:type="pct"/>
            <w:vMerge w:val="restart"/>
          </w:tcPr>
          <w:p w14:paraId="2224B654" w14:textId="77777777" w:rsidR="00F1341F" w:rsidRPr="00020ADD" w:rsidRDefault="00F1341F" w:rsidP="001B395D">
            <w:pPr>
              <w:tabs>
                <w:tab w:val="left" w:pos="720"/>
              </w:tabs>
              <w:spacing w:before="60" w:after="60"/>
              <w:rPr>
                <w:b/>
                <w:i/>
                <w:sz w:val="16"/>
                <w:szCs w:val="16"/>
                <w:lang w:eastAsia="en-US"/>
              </w:rPr>
            </w:pPr>
            <w:r w:rsidRPr="00020ADD">
              <w:rPr>
                <w:b/>
                <w:i/>
                <w:sz w:val="16"/>
                <w:szCs w:val="16"/>
                <w:lang w:eastAsia="en-US"/>
              </w:rPr>
              <w:t>Measurement unit for indicator</w:t>
            </w:r>
          </w:p>
        </w:tc>
        <w:tc>
          <w:tcPr>
            <w:tcW w:w="583" w:type="pct"/>
            <w:vMerge w:val="restart"/>
          </w:tcPr>
          <w:p w14:paraId="75737494" w14:textId="77777777" w:rsidR="00F1341F" w:rsidRPr="00DC0475" w:rsidRDefault="00F1341F" w:rsidP="001B395D">
            <w:pPr>
              <w:snapToGrid w:val="0"/>
              <w:spacing w:before="60" w:after="60"/>
              <w:rPr>
                <w:b/>
                <w:i/>
                <w:sz w:val="16"/>
                <w:szCs w:val="16"/>
                <w:lang w:eastAsia="en-US"/>
              </w:rPr>
            </w:pPr>
            <w:r w:rsidRPr="00DC0475">
              <w:rPr>
                <w:b/>
                <w:i/>
                <w:sz w:val="16"/>
                <w:szCs w:val="16"/>
                <w:lang w:eastAsia="en-US"/>
              </w:rPr>
              <w:t>Common output indicator used as basis for target setting</w:t>
            </w:r>
          </w:p>
        </w:tc>
        <w:tc>
          <w:tcPr>
            <w:tcW w:w="372" w:type="pct"/>
            <w:gridSpan w:val="3"/>
          </w:tcPr>
          <w:p w14:paraId="694C3737" w14:textId="77777777" w:rsidR="00F1341F" w:rsidRPr="00A828C5" w:rsidRDefault="00F1341F" w:rsidP="001B395D">
            <w:pPr>
              <w:tabs>
                <w:tab w:val="left" w:pos="720"/>
              </w:tabs>
              <w:spacing w:before="60" w:after="60"/>
              <w:rPr>
                <w:b/>
                <w:i/>
                <w:sz w:val="16"/>
                <w:szCs w:val="16"/>
                <w:lang w:eastAsia="en-US"/>
              </w:rPr>
            </w:pPr>
            <w:r w:rsidRPr="00B5130A">
              <w:rPr>
                <w:b/>
                <w:i/>
                <w:sz w:val="16"/>
                <w:szCs w:val="16"/>
                <w:lang w:eastAsia="en-US"/>
              </w:rPr>
              <w:t xml:space="preserve">Baseline value </w:t>
            </w:r>
          </w:p>
        </w:tc>
        <w:tc>
          <w:tcPr>
            <w:tcW w:w="477" w:type="pct"/>
            <w:vMerge w:val="restart"/>
          </w:tcPr>
          <w:p w14:paraId="2BEF3716" w14:textId="77777777" w:rsidR="00F1341F" w:rsidRPr="008340BB" w:rsidRDefault="00F1341F" w:rsidP="001B395D">
            <w:pPr>
              <w:tabs>
                <w:tab w:val="left" w:pos="720"/>
              </w:tabs>
              <w:spacing w:before="60" w:after="60"/>
              <w:rPr>
                <w:b/>
                <w:i/>
                <w:sz w:val="16"/>
                <w:szCs w:val="16"/>
                <w:lang w:eastAsia="en-US"/>
              </w:rPr>
            </w:pPr>
            <w:r w:rsidRPr="008340BB">
              <w:rPr>
                <w:b/>
                <w:i/>
                <w:sz w:val="16"/>
                <w:szCs w:val="16"/>
                <w:lang w:eastAsia="en-US"/>
              </w:rPr>
              <w:t>Measurement unit for baseline and target</w:t>
            </w:r>
          </w:p>
        </w:tc>
        <w:tc>
          <w:tcPr>
            <w:tcW w:w="332" w:type="pct"/>
            <w:vMerge w:val="restart"/>
          </w:tcPr>
          <w:p w14:paraId="1321155F" w14:textId="77777777" w:rsidR="00F1341F" w:rsidRPr="008340BB" w:rsidRDefault="00F1341F" w:rsidP="001B395D">
            <w:pPr>
              <w:tabs>
                <w:tab w:val="left" w:pos="720"/>
              </w:tabs>
              <w:spacing w:before="60" w:after="60"/>
              <w:rPr>
                <w:b/>
                <w:i/>
                <w:sz w:val="16"/>
                <w:szCs w:val="16"/>
                <w:lang w:eastAsia="en-US"/>
              </w:rPr>
            </w:pPr>
            <w:r w:rsidRPr="008340BB">
              <w:rPr>
                <w:b/>
                <w:i/>
                <w:sz w:val="16"/>
                <w:szCs w:val="16"/>
                <w:lang w:eastAsia="en-US"/>
              </w:rPr>
              <w:t>Baseline year</w:t>
            </w:r>
          </w:p>
        </w:tc>
        <w:tc>
          <w:tcPr>
            <w:tcW w:w="570" w:type="pct"/>
            <w:gridSpan w:val="4"/>
          </w:tcPr>
          <w:p w14:paraId="773D90D6" w14:textId="77777777" w:rsidR="00F1341F" w:rsidRPr="008340BB" w:rsidRDefault="00F1341F" w:rsidP="001B395D">
            <w:pPr>
              <w:snapToGrid w:val="0"/>
              <w:spacing w:before="60" w:after="60"/>
              <w:rPr>
                <w:b/>
                <w:i/>
                <w:sz w:val="16"/>
                <w:szCs w:val="16"/>
                <w:lang w:eastAsia="en-US"/>
              </w:rPr>
            </w:pPr>
            <w:r w:rsidRPr="008340BB">
              <w:rPr>
                <w:b/>
                <w:i/>
                <w:sz w:val="16"/>
                <w:szCs w:val="16"/>
                <w:lang w:eastAsia="en-US"/>
              </w:rPr>
              <w:t>Target value</w:t>
            </w:r>
            <w:r w:rsidRPr="008340BB">
              <w:rPr>
                <w:rStyle w:val="FootnoteReference"/>
              </w:rPr>
              <w:footnoteReference w:id="42"/>
            </w:r>
            <w:r w:rsidRPr="008340BB">
              <w:rPr>
                <w:b/>
                <w:i/>
                <w:sz w:val="16"/>
                <w:szCs w:val="16"/>
                <w:lang w:eastAsia="en-US"/>
              </w:rPr>
              <w:t xml:space="preserve"> (2023)</w:t>
            </w:r>
          </w:p>
        </w:tc>
        <w:tc>
          <w:tcPr>
            <w:tcW w:w="371" w:type="pct"/>
            <w:vMerge w:val="restart"/>
          </w:tcPr>
          <w:p w14:paraId="0FEA4BD8" w14:textId="77777777" w:rsidR="00F1341F" w:rsidRPr="0067246B" w:rsidRDefault="00F1341F" w:rsidP="001B395D">
            <w:pPr>
              <w:tabs>
                <w:tab w:val="left" w:pos="720"/>
              </w:tabs>
              <w:spacing w:before="60" w:after="60"/>
              <w:rPr>
                <w:b/>
                <w:i/>
                <w:sz w:val="16"/>
                <w:szCs w:val="16"/>
                <w:lang w:eastAsia="en-US"/>
              </w:rPr>
            </w:pPr>
            <w:r w:rsidRPr="0067246B">
              <w:rPr>
                <w:b/>
                <w:i/>
                <w:sz w:val="16"/>
                <w:szCs w:val="16"/>
                <w:lang w:eastAsia="en-US"/>
              </w:rPr>
              <w:t>Source of data</w:t>
            </w:r>
          </w:p>
        </w:tc>
        <w:tc>
          <w:tcPr>
            <w:tcW w:w="451" w:type="pct"/>
            <w:vMerge w:val="restart"/>
          </w:tcPr>
          <w:p w14:paraId="2A6C58BD" w14:textId="77777777" w:rsidR="00F1341F" w:rsidRPr="00020ADD" w:rsidRDefault="00F1341F" w:rsidP="001B395D">
            <w:pPr>
              <w:tabs>
                <w:tab w:val="left" w:pos="720"/>
              </w:tabs>
              <w:spacing w:before="60" w:after="60"/>
              <w:rPr>
                <w:b/>
                <w:i/>
                <w:sz w:val="16"/>
                <w:szCs w:val="16"/>
                <w:lang w:eastAsia="en-US"/>
              </w:rPr>
            </w:pPr>
            <w:r w:rsidRPr="00020ADD">
              <w:rPr>
                <w:b/>
                <w:i/>
                <w:sz w:val="16"/>
                <w:szCs w:val="16"/>
                <w:lang w:eastAsia="en-US"/>
              </w:rPr>
              <w:t>Frequency of reporting</w:t>
            </w:r>
          </w:p>
        </w:tc>
      </w:tr>
      <w:tr w:rsidR="00F1341F" w:rsidRPr="008340BB" w14:paraId="2E94B939" w14:textId="77777777" w:rsidTr="00276FF6">
        <w:trPr>
          <w:trHeight w:val="619"/>
        </w:trPr>
        <w:tc>
          <w:tcPr>
            <w:tcW w:w="497" w:type="pct"/>
            <w:vMerge/>
          </w:tcPr>
          <w:p w14:paraId="07CBC984" w14:textId="77777777" w:rsidR="00F1341F" w:rsidRPr="008340BB" w:rsidRDefault="00F1341F" w:rsidP="001B395D">
            <w:pPr>
              <w:tabs>
                <w:tab w:val="left" w:pos="720"/>
              </w:tabs>
              <w:spacing w:before="60" w:after="60"/>
              <w:rPr>
                <w:b/>
                <w:i/>
                <w:sz w:val="16"/>
                <w:szCs w:val="16"/>
                <w:lang w:eastAsia="en-US"/>
              </w:rPr>
            </w:pPr>
          </w:p>
        </w:tc>
        <w:tc>
          <w:tcPr>
            <w:tcW w:w="816" w:type="pct"/>
            <w:vMerge/>
          </w:tcPr>
          <w:p w14:paraId="2FFE756A" w14:textId="77777777" w:rsidR="00F1341F" w:rsidRPr="008340BB" w:rsidRDefault="00F1341F" w:rsidP="001B395D">
            <w:pPr>
              <w:tabs>
                <w:tab w:val="left" w:pos="720"/>
              </w:tabs>
              <w:spacing w:before="60" w:after="60"/>
              <w:rPr>
                <w:b/>
                <w:i/>
                <w:sz w:val="16"/>
                <w:szCs w:val="16"/>
                <w:lang w:eastAsia="en-US"/>
              </w:rPr>
            </w:pPr>
          </w:p>
        </w:tc>
        <w:tc>
          <w:tcPr>
            <w:tcW w:w="531" w:type="pct"/>
            <w:vMerge/>
          </w:tcPr>
          <w:p w14:paraId="4FEB40A5" w14:textId="77777777" w:rsidR="00F1341F" w:rsidRPr="008340BB" w:rsidRDefault="00F1341F" w:rsidP="001B395D">
            <w:pPr>
              <w:tabs>
                <w:tab w:val="left" w:pos="720"/>
              </w:tabs>
              <w:spacing w:before="60" w:after="60"/>
              <w:rPr>
                <w:b/>
                <w:i/>
                <w:sz w:val="16"/>
                <w:szCs w:val="16"/>
                <w:lang w:eastAsia="en-US"/>
              </w:rPr>
            </w:pPr>
          </w:p>
        </w:tc>
        <w:tc>
          <w:tcPr>
            <w:tcW w:w="583" w:type="pct"/>
            <w:vMerge/>
          </w:tcPr>
          <w:p w14:paraId="0F1BCB51" w14:textId="77777777" w:rsidR="00F1341F" w:rsidRPr="008340BB" w:rsidRDefault="00F1341F" w:rsidP="001B395D">
            <w:pPr>
              <w:snapToGrid w:val="0"/>
              <w:spacing w:before="60" w:after="60"/>
              <w:rPr>
                <w:b/>
                <w:i/>
                <w:sz w:val="16"/>
                <w:szCs w:val="16"/>
                <w:lang w:eastAsia="en-US"/>
              </w:rPr>
            </w:pPr>
          </w:p>
        </w:tc>
        <w:tc>
          <w:tcPr>
            <w:tcW w:w="124" w:type="pct"/>
          </w:tcPr>
          <w:p w14:paraId="38539FF1" w14:textId="77777777" w:rsidR="00F1341F" w:rsidRPr="008340BB" w:rsidRDefault="00F1341F" w:rsidP="001B395D">
            <w:pPr>
              <w:tabs>
                <w:tab w:val="left" w:pos="720"/>
              </w:tabs>
              <w:spacing w:before="60" w:after="60"/>
              <w:rPr>
                <w:b/>
                <w:i/>
                <w:sz w:val="16"/>
                <w:szCs w:val="16"/>
                <w:lang w:eastAsia="en-US"/>
              </w:rPr>
            </w:pPr>
            <w:r w:rsidRPr="008340BB">
              <w:rPr>
                <w:sz w:val="16"/>
                <w:szCs w:val="16"/>
                <w:lang w:eastAsia="en-US"/>
              </w:rPr>
              <w:t>M</w:t>
            </w:r>
          </w:p>
        </w:tc>
        <w:tc>
          <w:tcPr>
            <w:tcW w:w="124" w:type="pct"/>
          </w:tcPr>
          <w:p w14:paraId="7B2BBF42" w14:textId="77777777" w:rsidR="00F1341F" w:rsidRPr="008340BB" w:rsidRDefault="00F1341F" w:rsidP="001B395D">
            <w:pPr>
              <w:tabs>
                <w:tab w:val="left" w:pos="720"/>
              </w:tabs>
              <w:spacing w:before="60" w:after="60"/>
              <w:rPr>
                <w:b/>
                <w:i/>
                <w:sz w:val="16"/>
                <w:szCs w:val="16"/>
                <w:lang w:eastAsia="en-US"/>
              </w:rPr>
            </w:pPr>
            <w:r w:rsidRPr="008340BB">
              <w:rPr>
                <w:sz w:val="16"/>
                <w:szCs w:val="16"/>
                <w:lang w:eastAsia="en-US"/>
              </w:rPr>
              <w:t>W</w:t>
            </w:r>
          </w:p>
        </w:tc>
        <w:tc>
          <w:tcPr>
            <w:tcW w:w="124" w:type="pct"/>
          </w:tcPr>
          <w:p w14:paraId="58553798" w14:textId="77777777" w:rsidR="00F1341F" w:rsidRPr="008340BB" w:rsidRDefault="00F1341F" w:rsidP="001B395D">
            <w:pPr>
              <w:tabs>
                <w:tab w:val="left" w:pos="720"/>
              </w:tabs>
              <w:spacing w:before="60" w:after="60"/>
              <w:rPr>
                <w:b/>
                <w:i/>
                <w:sz w:val="16"/>
                <w:szCs w:val="16"/>
                <w:lang w:eastAsia="en-US"/>
              </w:rPr>
            </w:pPr>
            <w:r w:rsidRPr="008340BB">
              <w:rPr>
                <w:sz w:val="16"/>
                <w:szCs w:val="16"/>
                <w:lang w:eastAsia="en-US"/>
              </w:rPr>
              <w:t>T</w:t>
            </w:r>
          </w:p>
        </w:tc>
        <w:tc>
          <w:tcPr>
            <w:tcW w:w="477" w:type="pct"/>
            <w:vMerge/>
          </w:tcPr>
          <w:p w14:paraId="58429C5B" w14:textId="77777777" w:rsidR="00F1341F" w:rsidRPr="008340BB" w:rsidRDefault="00F1341F" w:rsidP="001B395D">
            <w:pPr>
              <w:tabs>
                <w:tab w:val="left" w:pos="720"/>
              </w:tabs>
              <w:spacing w:before="60" w:after="60"/>
              <w:rPr>
                <w:b/>
                <w:i/>
                <w:sz w:val="16"/>
                <w:szCs w:val="16"/>
                <w:lang w:eastAsia="en-US"/>
              </w:rPr>
            </w:pPr>
          </w:p>
        </w:tc>
        <w:tc>
          <w:tcPr>
            <w:tcW w:w="332" w:type="pct"/>
            <w:vMerge/>
          </w:tcPr>
          <w:p w14:paraId="0E753C9B" w14:textId="77777777" w:rsidR="00F1341F" w:rsidRPr="008340BB" w:rsidRDefault="00F1341F" w:rsidP="001B395D">
            <w:pPr>
              <w:tabs>
                <w:tab w:val="left" w:pos="720"/>
              </w:tabs>
              <w:spacing w:before="60" w:after="60"/>
              <w:rPr>
                <w:b/>
                <w:i/>
                <w:sz w:val="16"/>
                <w:szCs w:val="16"/>
                <w:lang w:eastAsia="en-US"/>
              </w:rPr>
            </w:pPr>
          </w:p>
        </w:tc>
        <w:tc>
          <w:tcPr>
            <w:tcW w:w="216" w:type="pct"/>
            <w:gridSpan w:val="2"/>
          </w:tcPr>
          <w:p w14:paraId="42A2CF37" w14:textId="77777777" w:rsidR="00F1341F" w:rsidRPr="008340BB" w:rsidRDefault="00F1341F" w:rsidP="001B395D">
            <w:pPr>
              <w:snapToGrid w:val="0"/>
              <w:spacing w:before="60" w:after="60"/>
              <w:rPr>
                <w:b/>
                <w:i/>
                <w:sz w:val="16"/>
                <w:szCs w:val="16"/>
                <w:lang w:eastAsia="en-US"/>
              </w:rPr>
            </w:pPr>
            <w:r w:rsidRPr="008340BB">
              <w:rPr>
                <w:sz w:val="16"/>
                <w:szCs w:val="16"/>
                <w:lang w:eastAsia="en-US"/>
              </w:rPr>
              <w:t>M</w:t>
            </w:r>
          </w:p>
        </w:tc>
        <w:tc>
          <w:tcPr>
            <w:tcW w:w="177" w:type="pct"/>
          </w:tcPr>
          <w:p w14:paraId="7AF440B3" w14:textId="77777777" w:rsidR="00F1341F" w:rsidRPr="008340BB" w:rsidRDefault="00F1341F" w:rsidP="001B395D">
            <w:pPr>
              <w:snapToGrid w:val="0"/>
              <w:spacing w:before="60" w:after="60"/>
              <w:rPr>
                <w:b/>
                <w:i/>
                <w:sz w:val="16"/>
                <w:szCs w:val="16"/>
                <w:lang w:eastAsia="en-US"/>
              </w:rPr>
            </w:pPr>
            <w:r w:rsidRPr="008340BB">
              <w:rPr>
                <w:sz w:val="16"/>
                <w:szCs w:val="16"/>
                <w:lang w:eastAsia="en-US"/>
              </w:rPr>
              <w:t>W</w:t>
            </w:r>
          </w:p>
        </w:tc>
        <w:tc>
          <w:tcPr>
            <w:tcW w:w="177" w:type="pct"/>
          </w:tcPr>
          <w:p w14:paraId="07631D6C" w14:textId="77777777" w:rsidR="00F1341F" w:rsidRPr="008340BB" w:rsidRDefault="00F1341F" w:rsidP="001B395D">
            <w:pPr>
              <w:snapToGrid w:val="0"/>
              <w:spacing w:before="60" w:after="60"/>
              <w:rPr>
                <w:b/>
                <w:i/>
                <w:sz w:val="16"/>
                <w:szCs w:val="16"/>
                <w:lang w:eastAsia="en-US"/>
              </w:rPr>
            </w:pPr>
            <w:r w:rsidRPr="008340BB">
              <w:rPr>
                <w:sz w:val="16"/>
                <w:szCs w:val="16"/>
                <w:lang w:eastAsia="en-US"/>
              </w:rPr>
              <w:t>T</w:t>
            </w:r>
          </w:p>
        </w:tc>
        <w:tc>
          <w:tcPr>
            <w:tcW w:w="371" w:type="pct"/>
            <w:vMerge/>
          </w:tcPr>
          <w:p w14:paraId="006C7E99" w14:textId="77777777" w:rsidR="00F1341F" w:rsidRPr="008340BB" w:rsidRDefault="00F1341F" w:rsidP="001B395D">
            <w:pPr>
              <w:tabs>
                <w:tab w:val="left" w:pos="720"/>
              </w:tabs>
              <w:spacing w:before="60" w:after="60"/>
              <w:rPr>
                <w:b/>
                <w:i/>
                <w:sz w:val="16"/>
                <w:szCs w:val="16"/>
                <w:lang w:eastAsia="en-US"/>
              </w:rPr>
            </w:pPr>
          </w:p>
        </w:tc>
        <w:tc>
          <w:tcPr>
            <w:tcW w:w="451" w:type="pct"/>
            <w:vMerge/>
          </w:tcPr>
          <w:p w14:paraId="5D415633" w14:textId="77777777" w:rsidR="00F1341F" w:rsidRPr="008340BB" w:rsidRDefault="00F1341F" w:rsidP="001B395D">
            <w:pPr>
              <w:tabs>
                <w:tab w:val="left" w:pos="720"/>
              </w:tabs>
              <w:spacing w:before="60" w:after="60"/>
              <w:rPr>
                <w:b/>
                <w:sz w:val="16"/>
                <w:szCs w:val="16"/>
                <w:lang w:eastAsia="en-US"/>
              </w:rPr>
            </w:pPr>
          </w:p>
        </w:tc>
      </w:tr>
      <w:tr w:rsidR="00F1341F" w:rsidRPr="008340BB" w14:paraId="1821F235" w14:textId="77777777" w:rsidTr="00276FF6">
        <w:trPr>
          <w:trHeight w:val="652"/>
        </w:trPr>
        <w:tc>
          <w:tcPr>
            <w:tcW w:w="497" w:type="pct"/>
          </w:tcPr>
          <w:p w14:paraId="1A9284B8" w14:textId="77777777" w:rsidR="00F1341F" w:rsidRPr="008340BB" w:rsidRDefault="00F1341F" w:rsidP="001B395D">
            <w:pPr>
              <w:spacing w:before="60" w:after="60"/>
              <w:jc w:val="left"/>
              <w:rPr>
                <w:i/>
                <w:sz w:val="16"/>
                <w:szCs w:val="16"/>
                <w:lang w:eastAsia="en-US"/>
              </w:rPr>
            </w:pPr>
            <w:r w:rsidRPr="008340BB">
              <w:rPr>
                <w:i/>
                <w:sz w:val="16"/>
                <w:szCs w:val="16"/>
                <w:lang w:eastAsia="en-US"/>
              </w:rPr>
              <w:t>N/A</w:t>
            </w:r>
          </w:p>
        </w:tc>
        <w:tc>
          <w:tcPr>
            <w:tcW w:w="816" w:type="pct"/>
          </w:tcPr>
          <w:p w14:paraId="01FA457D" w14:textId="77777777" w:rsidR="00F1341F" w:rsidRPr="008340BB" w:rsidRDefault="00F1341F">
            <w:r w:rsidRPr="008340BB">
              <w:rPr>
                <w:i/>
                <w:sz w:val="16"/>
                <w:szCs w:val="16"/>
                <w:lang w:eastAsia="en-US"/>
              </w:rPr>
              <w:t>N/A</w:t>
            </w:r>
          </w:p>
        </w:tc>
        <w:tc>
          <w:tcPr>
            <w:tcW w:w="531" w:type="pct"/>
          </w:tcPr>
          <w:p w14:paraId="79487A30" w14:textId="77777777" w:rsidR="00F1341F" w:rsidRPr="008340BB" w:rsidRDefault="00F1341F">
            <w:r w:rsidRPr="008340BB">
              <w:rPr>
                <w:i/>
                <w:sz w:val="16"/>
                <w:szCs w:val="16"/>
                <w:lang w:eastAsia="en-US"/>
              </w:rPr>
              <w:t>N/A</w:t>
            </w:r>
          </w:p>
        </w:tc>
        <w:tc>
          <w:tcPr>
            <w:tcW w:w="583" w:type="pct"/>
          </w:tcPr>
          <w:p w14:paraId="6C8482F7" w14:textId="77777777" w:rsidR="00F1341F" w:rsidRPr="008340BB" w:rsidRDefault="00F1341F">
            <w:r w:rsidRPr="008340BB">
              <w:rPr>
                <w:i/>
                <w:sz w:val="16"/>
                <w:szCs w:val="16"/>
                <w:lang w:eastAsia="en-US"/>
              </w:rPr>
              <w:t>N/A</w:t>
            </w:r>
          </w:p>
        </w:tc>
        <w:tc>
          <w:tcPr>
            <w:tcW w:w="372" w:type="pct"/>
            <w:gridSpan w:val="3"/>
          </w:tcPr>
          <w:p w14:paraId="32A1347E" w14:textId="77777777" w:rsidR="00F1341F" w:rsidRPr="008340BB" w:rsidRDefault="00F1341F">
            <w:r w:rsidRPr="008340BB">
              <w:rPr>
                <w:i/>
                <w:sz w:val="16"/>
                <w:szCs w:val="16"/>
                <w:lang w:eastAsia="en-US"/>
              </w:rPr>
              <w:t>N/A</w:t>
            </w:r>
          </w:p>
        </w:tc>
        <w:tc>
          <w:tcPr>
            <w:tcW w:w="477" w:type="pct"/>
          </w:tcPr>
          <w:p w14:paraId="6D679BDD" w14:textId="77777777" w:rsidR="00F1341F" w:rsidRPr="008340BB" w:rsidRDefault="00F1341F">
            <w:r w:rsidRPr="008340BB">
              <w:rPr>
                <w:i/>
                <w:sz w:val="16"/>
                <w:szCs w:val="16"/>
                <w:lang w:eastAsia="en-US"/>
              </w:rPr>
              <w:t>N/A</w:t>
            </w:r>
          </w:p>
        </w:tc>
        <w:tc>
          <w:tcPr>
            <w:tcW w:w="332" w:type="pct"/>
          </w:tcPr>
          <w:p w14:paraId="3AD3622D" w14:textId="77777777" w:rsidR="00F1341F" w:rsidRPr="008340BB" w:rsidRDefault="00F1341F">
            <w:r w:rsidRPr="008340BB">
              <w:rPr>
                <w:i/>
                <w:sz w:val="16"/>
                <w:szCs w:val="16"/>
                <w:lang w:eastAsia="en-US"/>
              </w:rPr>
              <w:t>N/A</w:t>
            </w:r>
          </w:p>
        </w:tc>
        <w:tc>
          <w:tcPr>
            <w:tcW w:w="202" w:type="pct"/>
          </w:tcPr>
          <w:p w14:paraId="5A6A199C" w14:textId="77777777" w:rsidR="00F1341F" w:rsidRPr="008340BB" w:rsidRDefault="00F1341F">
            <w:r w:rsidRPr="008340BB">
              <w:rPr>
                <w:i/>
                <w:sz w:val="16"/>
                <w:szCs w:val="16"/>
                <w:lang w:eastAsia="en-US"/>
              </w:rPr>
              <w:t>N/A</w:t>
            </w:r>
          </w:p>
        </w:tc>
        <w:tc>
          <w:tcPr>
            <w:tcW w:w="191" w:type="pct"/>
            <w:gridSpan w:val="2"/>
          </w:tcPr>
          <w:p w14:paraId="33655788" w14:textId="77777777" w:rsidR="00F1341F" w:rsidRPr="008340BB" w:rsidRDefault="00F1341F">
            <w:r w:rsidRPr="008340BB">
              <w:rPr>
                <w:i/>
                <w:sz w:val="16"/>
                <w:szCs w:val="16"/>
                <w:lang w:eastAsia="en-US"/>
              </w:rPr>
              <w:t>N/A</w:t>
            </w:r>
          </w:p>
        </w:tc>
        <w:tc>
          <w:tcPr>
            <w:tcW w:w="177" w:type="pct"/>
          </w:tcPr>
          <w:p w14:paraId="51DBB86C" w14:textId="77777777" w:rsidR="00F1341F" w:rsidRPr="008340BB" w:rsidRDefault="00F1341F">
            <w:r w:rsidRPr="008340BB">
              <w:rPr>
                <w:i/>
                <w:sz w:val="16"/>
                <w:szCs w:val="16"/>
                <w:lang w:eastAsia="en-US"/>
              </w:rPr>
              <w:t>N/A</w:t>
            </w:r>
          </w:p>
        </w:tc>
        <w:tc>
          <w:tcPr>
            <w:tcW w:w="371" w:type="pct"/>
          </w:tcPr>
          <w:p w14:paraId="753EF407" w14:textId="77777777" w:rsidR="00F1341F" w:rsidRPr="008340BB" w:rsidRDefault="00F1341F">
            <w:r w:rsidRPr="008340BB">
              <w:rPr>
                <w:i/>
                <w:sz w:val="16"/>
                <w:szCs w:val="16"/>
                <w:lang w:eastAsia="en-US"/>
              </w:rPr>
              <w:t>N/A</w:t>
            </w:r>
          </w:p>
        </w:tc>
        <w:tc>
          <w:tcPr>
            <w:tcW w:w="451" w:type="pct"/>
          </w:tcPr>
          <w:p w14:paraId="0B24A6DC" w14:textId="77777777" w:rsidR="00F1341F" w:rsidRPr="008340BB" w:rsidRDefault="00F1341F">
            <w:r w:rsidRPr="008340BB">
              <w:rPr>
                <w:i/>
                <w:sz w:val="16"/>
                <w:szCs w:val="16"/>
                <w:lang w:eastAsia="en-US"/>
              </w:rPr>
              <w:t>N/A</w:t>
            </w:r>
          </w:p>
        </w:tc>
      </w:tr>
    </w:tbl>
    <w:p w14:paraId="69559C24" w14:textId="77777777" w:rsidR="00F1341F" w:rsidRPr="008340BB" w:rsidRDefault="00F1341F" w:rsidP="00D14C5F">
      <w:pPr>
        <w:suppressAutoHyphens/>
        <w:rPr>
          <w:b/>
        </w:rPr>
        <w:sectPr w:rsidR="00F1341F" w:rsidRPr="008340BB" w:rsidSect="001E1D6F">
          <w:pgSz w:w="16838" w:h="11906" w:orient="landscape"/>
          <w:pgMar w:top="1021" w:right="1134" w:bottom="1021" w:left="1134" w:header="601" w:footer="1077" w:gutter="0"/>
          <w:cols w:space="708"/>
          <w:docGrid w:linePitch="326"/>
        </w:sectPr>
      </w:pPr>
    </w:p>
    <w:p w14:paraId="1453F676" w14:textId="77777777" w:rsidR="00F1341F" w:rsidRPr="008340BB" w:rsidRDefault="00F1341F" w:rsidP="00D14C5F">
      <w:pPr>
        <w:suppressAutoHyphens/>
        <w:rPr>
          <w:b/>
        </w:rPr>
      </w:pPr>
      <w:r w:rsidRPr="008340BB">
        <w:rPr>
          <w:b/>
        </w:rPr>
        <w:lastRenderedPageBreak/>
        <w:t xml:space="preserve">2.A.3.3.2  </w:t>
      </w:r>
      <w:r w:rsidRPr="008340BB">
        <w:rPr>
          <w:b/>
        </w:rPr>
        <w:tab/>
        <w:t xml:space="preserve">Action to be supported under the investment priority </w:t>
      </w:r>
    </w:p>
    <w:p w14:paraId="7422B720" w14:textId="77777777" w:rsidR="00F1341F" w:rsidRPr="008340BB" w:rsidRDefault="00F1341F" w:rsidP="00D14C5F">
      <w:pPr>
        <w:suppressAutoHyphens/>
      </w:pPr>
      <w:r w:rsidRPr="008340BB">
        <w:t>(by investment priority)</w:t>
      </w:r>
    </w:p>
    <w:p w14:paraId="72D8318B" w14:textId="77777777" w:rsidR="00F1341F" w:rsidRPr="008340BB" w:rsidRDefault="00F1341F" w:rsidP="00D14C5F">
      <w:pPr>
        <w:suppressAutoHyphens/>
        <w:rPr>
          <w:b/>
        </w:rPr>
      </w:pPr>
    </w:p>
    <w:p w14:paraId="6AF1A97D" w14:textId="77777777" w:rsidR="00F1341F" w:rsidRPr="008340BB" w:rsidRDefault="00F1341F" w:rsidP="00D14C5F">
      <w:pPr>
        <w:pStyle w:val="ManualHeading3"/>
        <w:tabs>
          <w:tab w:val="clear" w:pos="850"/>
        </w:tabs>
        <w:ind w:left="1418" w:hanging="1418"/>
        <w:rPr>
          <w:b/>
        </w:rPr>
      </w:pPr>
      <w:r w:rsidRPr="008340BB">
        <w:rPr>
          <w:b/>
        </w:rPr>
        <w:t xml:space="preserve">2.A.3.3.2.1 </w:t>
      </w:r>
      <w:r w:rsidRPr="008340BB">
        <w:rPr>
          <w:b/>
        </w:rPr>
        <w:tab/>
        <w:t>Description of the type and examples of actions to be supported and their expected contribution to the specific objectives including, where appropriate,  the identification of main target groups, specific territories targeted and  types of beneficiaries</w:t>
      </w:r>
    </w:p>
    <w:p w14:paraId="54001453" w14:textId="77777777" w:rsidR="00F1341F" w:rsidRPr="008340BB" w:rsidRDefault="00F1341F" w:rsidP="00D14C5F">
      <w:pPr>
        <w:pStyle w:val="ManualHeading3"/>
        <w:tabs>
          <w:tab w:val="clear" w:pos="850"/>
        </w:tabs>
        <w:ind w:left="1418" w:hanging="1418"/>
        <w:rPr>
          <w:i w:val="0"/>
        </w:rPr>
      </w:pPr>
      <w:r w:rsidRPr="008340BB">
        <w:rPr>
          <w:i w:val="0"/>
        </w:rPr>
        <w:t>(Reference: point (b)(iii) of the first subparagraph of Article 96 (2) of Regulation (EU) No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22728F4E" w14:textId="77777777" w:rsidTr="001B395D">
        <w:trPr>
          <w:trHeight w:val="518"/>
        </w:trPr>
        <w:tc>
          <w:tcPr>
            <w:tcW w:w="2235" w:type="dxa"/>
          </w:tcPr>
          <w:p w14:paraId="22188DFE" w14:textId="77777777" w:rsidR="00F1341F" w:rsidRPr="008340BB" w:rsidRDefault="00F1341F" w:rsidP="001B395D">
            <w:pPr>
              <w:rPr>
                <w:i/>
                <w:color w:val="8DB3E2"/>
                <w:sz w:val="18"/>
                <w:szCs w:val="18"/>
              </w:rPr>
            </w:pPr>
            <w:r w:rsidRPr="008340BB">
              <w:rPr>
                <w:i/>
              </w:rPr>
              <w:t>Investment priority</w:t>
            </w:r>
          </w:p>
        </w:tc>
        <w:tc>
          <w:tcPr>
            <w:tcW w:w="6443" w:type="dxa"/>
          </w:tcPr>
          <w:p w14:paraId="230C1AF3" w14:textId="77777777" w:rsidR="00F1341F" w:rsidRPr="008340BB" w:rsidRDefault="00F1341F" w:rsidP="001B395D">
            <w:pPr>
              <w:rPr>
                <w:i/>
                <w:color w:val="8DB3E2"/>
                <w:szCs w:val="24"/>
              </w:rPr>
            </w:pPr>
            <w:r w:rsidRPr="008340BB">
              <w:rPr>
                <w:i/>
                <w:szCs w:val="24"/>
                <w:lang w:eastAsia="bg-BG"/>
              </w:rPr>
              <w:t>4</w:t>
            </w:r>
            <w:r w:rsidR="00590AC5">
              <w:rPr>
                <w:i/>
                <w:szCs w:val="24"/>
                <w:lang w:eastAsia="bg-BG"/>
              </w:rPr>
              <w:t>(</w:t>
            </w:r>
            <w:r w:rsidRPr="008340BB">
              <w:rPr>
                <w:i/>
                <w:szCs w:val="24"/>
                <w:lang w:eastAsia="bg-BG"/>
              </w:rPr>
              <w:t>e</w:t>
            </w:r>
            <w:r w:rsidR="00590AC5">
              <w:rPr>
                <w:i/>
                <w:szCs w:val="24"/>
                <w:lang w:eastAsia="bg-BG"/>
              </w:rPr>
              <w:t>)</w:t>
            </w:r>
            <w:r w:rsidRPr="008340BB">
              <w:rPr>
                <w:i/>
                <w:szCs w:val="24"/>
                <w:lang w:eastAsia="bg-BG"/>
              </w:rPr>
              <w:t xml:space="preserve"> -</w:t>
            </w:r>
            <w:r w:rsidRPr="008340BB">
              <w:rPr>
                <w:i/>
                <w:color w:val="8DB3E2"/>
                <w:szCs w:val="24"/>
              </w:rPr>
              <w:t xml:space="preserve"> </w:t>
            </w:r>
            <w:r w:rsidRPr="008340BB">
              <w:rPr>
                <w:i/>
                <w:szCs w:val="24"/>
              </w:rPr>
              <w:t>Promoting low-carbon strategies for all types of territories, in particular for urban areas, including the promotion of sustainable multimodal urban mobility and mitigation-relevant adaptation measures</w:t>
            </w:r>
            <w:r w:rsidRPr="008340BB" w:rsidDel="006814F0">
              <w:rPr>
                <w:i/>
                <w:szCs w:val="24"/>
                <w:lang w:eastAsia="bg-BG"/>
              </w:rPr>
              <w:t xml:space="preserve"> </w:t>
            </w:r>
          </w:p>
        </w:tc>
      </w:tr>
      <w:tr w:rsidR="00F1341F" w:rsidRPr="008340BB" w14:paraId="296BD1C0" w14:textId="77777777" w:rsidTr="00DE7D4E">
        <w:trPr>
          <w:trHeight w:val="819"/>
        </w:trPr>
        <w:tc>
          <w:tcPr>
            <w:tcW w:w="8678" w:type="dxa"/>
            <w:gridSpan w:val="2"/>
            <w:shd w:val="clear" w:color="auto" w:fill="FFFFFF" w:themeFill="background1"/>
          </w:tcPr>
          <w:p w14:paraId="1FF07190" w14:textId="77777777" w:rsidR="00F1341F" w:rsidRPr="008340BB" w:rsidRDefault="00F1341F" w:rsidP="004A09FA">
            <w:pPr>
              <w:autoSpaceDE w:val="0"/>
              <w:autoSpaceDN w:val="0"/>
              <w:adjustRightInd w:val="0"/>
              <w:rPr>
                <w:b/>
                <w:bCs/>
                <w:lang w:eastAsia="bg-BG"/>
              </w:rPr>
            </w:pPr>
            <w:r w:rsidRPr="008340BB">
              <w:rPr>
                <w:b/>
                <w:bCs/>
                <w:lang w:eastAsia="bg-BG"/>
              </w:rPr>
              <w:t>Examples of actions to be financed:</w:t>
            </w:r>
          </w:p>
          <w:p w14:paraId="66416D10" w14:textId="77777777" w:rsidR="00F1341F" w:rsidRPr="008340BB" w:rsidRDefault="00F1341F" w:rsidP="004A09FA">
            <w:pPr>
              <w:autoSpaceDE w:val="0"/>
              <w:autoSpaceDN w:val="0"/>
              <w:adjustRightInd w:val="0"/>
            </w:pPr>
            <w:r w:rsidRPr="008340BB">
              <w:t xml:space="preserve">Extension of Sofia Metro </w:t>
            </w:r>
            <w:r w:rsidR="0051584D">
              <w:rPr>
                <w:lang w:val="en-US"/>
              </w:rPr>
              <w:t>(including supply of rolling stock</w:t>
            </w:r>
            <w:r w:rsidR="007C3A36">
              <w:rPr>
                <w:lang w:val="en-US"/>
              </w:rPr>
              <w:t xml:space="preserve"> and construction of depot</w:t>
            </w:r>
            <w:r w:rsidR="0051584D">
              <w:rPr>
                <w:lang w:val="en-US"/>
              </w:rPr>
              <w:t xml:space="preserve">) </w:t>
            </w:r>
            <w:r w:rsidRPr="008340BB">
              <w:t>and establishment of new intermodal connections for passengers in the public transport system of Sofia.</w:t>
            </w:r>
          </w:p>
          <w:p w14:paraId="7701F126" w14:textId="77777777" w:rsidR="00BF216D" w:rsidRDefault="00F1341F" w:rsidP="00DE7D4E">
            <w:pPr>
              <w:pStyle w:val="BodyTextIndent"/>
              <w:spacing w:before="120" w:after="0"/>
              <w:ind w:left="0" w:right="2"/>
              <w:rPr>
                <w:lang w:val="en-US"/>
              </w:rPr>
            </w:pPr>
            <w:r w:rsidRPr="008340BB">
              <w:rPr>
                <w:b/>
                <w:lang w:val="en-GB" w:eastAsia="en-GB"/>
              </w:rPr>
              <w:t xml:space="preserve">Construction of </w:t>
            </w:r>
            <w:r w:rsidR="00803377" w:rsidRPr="008340BB">
              <w:rPr>
                <w:b/>
                <w:lang w:val="en-GB" w:eastAsia="en-GB"/>
              </w:rPr>
              <w:t>metro line</w:t>
            </w:r>
            <w:r w:rsidR="00803377">
              <w:rPr>
                <w:b/>
                <w:lang w:eastAsia="en-GB"/>
              </w:rPr>
              <w:t xml:space="preserve"> 3</w:t>
            </w:r>
            <w:r w:rsidRPr="008340BB">
              <w:rPr>
                <w:b/>
                <w:lang w:val="en-GB" w:eastAsia="en-GB"/>
              </w:rPr>
              <w:t xml:space="preserve"> of Sofia Metro “Botevgradsko Shose Blvd. - Vladimir Vazov Blvd.-Central Urban Area-Ovcha Kupel Residential Area” </w:t>
            </w:r>
            <w:r w:rsidRPr="008340BB">
              <w:rPr>
                <w:lang w:val="en-GB" w:eastAsia="en-GB"/>
              </w:rPr>
              <w:t>–</w:t>
            </w:r>
            <w:r w:rsidR="005E095A">
              <w:rPr>
                <w:lang w:val="en-GB" w:eastAsia="en-GB"/>
              </w:rPr>
              <w:t xml:space="preserve"> </w:t>
            </w:r>
            <w:r w:rsidR="005E095A">
              <w:rPr>
                <w:lang w:val="en-US" w:eastAsia="en-GB"/>
              </w:rPr>
              <w:t>L</w:t>
            </w:r>
            <w:r w:rsidR="00527D28" w:rsidRPr="008340BB">
              <w:rPr>
                <w:lang w:val="en-GB" w:eastAsia="en-GB"/>
              </w:rPr>
              <w:t>ine</w:t>
            </w:r>
            <w:r w:rsidRPr="008340BB">
              <w:rPr>
                <w:lang w:val="en-GB" w:eastAsia="en-GB"/>
              </w:rPr>
              <w:t xml:space="preserve"> </w:t>
            </w:r>
            <w:r w:rsidR="005E095A">
              <w:rPr>
                <w:lang w:val="en-GB" w:eastAsia="en-GB"/>
              </w:rPr>
              <w:t xml:space="preserve">3 </w:t>
            </w:r>
            <w:r w:rsidRPr="008340BB">
              <w:rPr>
                <w:lang w:val="en-GB" w:eastAsia="en-GB"/>
              </w:rPr>
              <w:t xml:space="preserve">is </w:t>
            </w:r>
            <w:r w:rsidR="005E095A">
              <w:rPr>
                <w:lang w:val="en-GB" w:eastAsia="en-GB"/>
              </w:rPr>
              <w:t>planned to have a</w:t>
            </w:r>
            <w:r w:rsidRPr="008340BB">
              <w:rPr>
                <w:lang w:val="en-GB" w:eastAsia="en-GB"/>
              </w:rPr>
              <w:t xml:space="preserve">n underground </w:t>
            </w:r>
            <w:r w:rsidR="005E095A">
              <w:rPr>
                <w:lang w:val="en-GB" w:eastAsia="en-GB"/>
              </w:rPr>
              <w:t xml:space="preserve">section </w:t>
            </w:r>
            <w:r w:rsidR="0096246E">
              <w:rPr>
                <w:lang w:val="en-GB" w:eastAsia="en-GB"/>
              </w:rPr>
              <w:t xml:space="preserve">crossing the </w:t>
            </w:r>
            <w:r w:rsidRPr="008340BB">
              <w:rPr>
                <w:lang w:val="en-GB" w:eastAsia="en-GB"/>
              </w:rPr>
              <w:t xml:space="preserve"> Central Urban Area and, where appropriate conditions exist –</w:t>
            </w:r>
            <w:r w:rsidR="00C80963">
              <w:rPr>
                <w:lang w:val="en-GB" w:eastAsia="en-GB"/>
              </w:rPr>
              <w:t xml:space="preserve">an </w:t>
            </w:r>
            <w:r w:rsidRPr="008340BB">
              <w:rPr>
                <w:lang w:val="en-GB" w:eastAsia="en-GB"/>
              </w:rPr>
              <w:t xml:space="preserve">open </w:t>
            </w:r>
            <w:r w:rsidR="00C80963">
              <w:rPr>
                <w:lang w:val="en-GB" w:eastAsia="en-GB"/>
              </w:rPr>
              <w:t xml:space="preserve">section </w:t>
            </w:r>
            <w:r w:rsidRPr="008340BB">
              <w:rPr>
                <w:lang w:val="en-GB" w:eastAsia="en-GB"/>
              </w:rPr>
              <w:t>(in the peripher</w:t>
            </w:r>
            <w:r w:rsidR="00764E83">
              <w:rPr>
                <w:lang w:val="en-GB" w:eastAsia="en-GB"/>
              </w:rPr>
              <w:t>y</w:t>
            </w:r>
            <w:r w:rsidRPr="008340BB">
              <w:rPr>
                <w:lang w:val="en-GB" w:eastAsia="en-GB"/>
              </w:rPr>
              <w:t xml:space="preserve"> of the city) – o</w:t>
            </w:r>
            <w:r w:rsidR="00673C31">
              <w:rPr>
                <w:lang w:val="en-GB" w:eastAsia="en-GB"/>
              </w:rPr>
              <w:t>n</w:t>
            </w:r>
            <w:r w:rsidRPr="008340BB">
              <w:rPr>
                <w:lang w:val="en-GB" w:eastAsia="en-GB"/>
              </w:rPr>
              <w:t xml:space="preserve"> routes separated </w:t>
            </w:r>
            <w:r w:rsidR="000B59AC">
              <w:rPr>
                <w:lang w:val="en-GB" w:eastAsia="en-GB"/>
              </w:rPr>
              <w:t>towards</w:t>
            </w:r>
            <w:r w:rsidRPr="008340BB">
              <w:rPr>
                <w:lang w:val="en-GB" w:eastAsia="en-GB"/>
              </w:rPr>
              <w:t xml:space="preserve"> the rest of the transport modes; capacity – comparable to the classic metro system; transport automation and current collection - similar to that of the Western </w:t>
            </w:r>
            <w:r w:rsidRPr="00DE7D4E">
              <w:rPr>
                <w:lang w:val="en-GB" w:eastAsia="en-GB"/>
              </w:rPr>
              <w:t>European metropolitans with predominant open sections (upper current collection, continuous automation, etc.</w:t>
            </w:r>
            <w:r w:rsidR="00D21C4A" w:rsidRPr="00DE7D4E">
              <w:rPr>
                <w:lang w:val="en-GB" w:eastAsia="en-GB"/>
              </w:rPr>
              <w:t>).</w:t>
            </w:r>
            <w:r w:rsidR="00DF2B01" w:rsidRPr="00DE7D4E">
              <w:t xml:space="preserve"> Total length of the third line is 16 km long </w:t>
            </w:r>
            <w:r w:rsidR="00F118E4" w:rsidRPr="00DE7D4E">
              <w:t>and the number of stations is 1</w:t>
            </w:r>
            <w:r w:rsidR="007C3A36">
              <w:rPr>
                <w:lang w:val="en-US"/>
              </w:rPr>
              <w:t>8</w:t>
            </w:r>
            <w:r w:rsidR="00DE7D4E">
              <w:rPr>
                <w:lang w:val="en-US"/>
              </w:rPr>
              <w:t xml:space="preserve">. </w:t>
            </w:r>
            <w:r w:rsidR="007C3A36">
              <w:rPr>
                <w:lang w:val="en-US"/>
              </w:rPr>
              <w:t xml:space="preserve">Two of the stations (MS 7 and MS 13) will be </w:t>
            </w:r>
            <w:r w:rsidR="00AD128E">
              <w:rPr>
                <w:lang w:val="en-US"/>
              </w:rPr>
              <w:t>accomplish</w:t>
            </w:r>
            <w:r w:rsidR="007C3A36">
              <w:rPr>
                <w:lang w:val="en-US"/>
              </w:rPr>
              <w:t xml:space="preserve">ed during the construction of </w:t>
            </w:r>
            <w:r w:rsidR="001035A9">
              <w:rPr>
                <w:lang w:val="en-US"/>
              </w:rPr>
              <w:t>branch</w:t>
            </w:r>
            <w:r w:rsidR="007C3A36">
              <w:rPr>
                <w:lang w:val="en-US"/>
              </w:rPr>
              <w:t xml:space="preserve"> line</w:t>
            </w:r>
            <w:r w:rsidR="001035A9">
              <w:rPr>
                <w:lang w:val="en-US"/>
              </w:rPr>
              <w:t>s</w:t>
            </w:r>
            <w:r w:rsidR="007C3A36">
              <w:rPr>
                <w:lang w:val="en-US"/>
              </w:rPr>
              <w:t xml:space="preserve"> in direction Slatina </w:t>
            </w:r>
            <w:r w:rsidR="001035A9">
              <w:rPr>
                <w:lang w:val="en-US"/>
              </w:rPr>
              <w:t>Residential Area</w:t>
            </w:r>
            <w:r w:rsidR="007C3A36">
              <w:rPr>
                <w:lang w:val="en-US"/>
              </w:rPr>
              <w:t xml:space="preserve"> (MS 7) </w:t>
            </w:r>
            <w:r w:rsidR="001035A9">
              <w:rPr>
                <w:lang w:val="en-US"/>
              </w:rPr>
              <w:t>and Borovo Residential</w:t>
            </w:r>
            <w:r w:rsidR="00442DAF">
              <w:rPr>
                <w:lang w:val="en-US"/>
              </w:rPr>
              <w:t xml:space="preserve"> </w:t>
            </w:r>
            <w:r w:rsidR="00925CB7">
              <w:rPr>
                <w:lang w:val="en-US"/>
              </w:rPr>
              <w:t xml:space="preserve">Area </w:t>
            </w:r>
            <w:r w:rsidR="00442DAF">
              <w:rPr>
                <w:lang w:val="en-US"/>
              </w:rPr>
              <w:t>(MS 13)</w:t>
            </w:r>
            <w:r w:rsidR="007C3A36">
              <w:rPr>
                <w:lang w:val="en-US"/>
              </w:rPr>
              <w:t xml:space="preserve">. </w:t>
            </w:r>
            <w:r w:rsidR="00D84F3B" w:rsidRPr="00D84F3B">
              <w:rPr>
                <w:lang w:val="en-US"/>
              </w:rPr>
              <w:t>Under the OPTTI the construction of the section of line 3</w:t>
            </w:r>
            <w:r w:rsidR="00D801C8">
              <w:rPr>
                <w:lang w:val="en-US"/>
              </w:rPr>
              <w:t xml:space="preserve"> </w:t>
            </w:r>
            <w:r w:rsidR="0017046A">
              <w:rPr>
                <w:lang w:val="en-US"/>
              </w:rPr>
              <w:t>(</w:t>
            </w:r>
            <w:r w:rsidR="00D801C8" w:rsidRPr="005E3901">
              <w:rPr>
                <w:lang w:val="en-US"/>
              </w:rPr>
              <w:t>starting</w:t>
            </w:r>
            <w:r w:rsidR="005E3901">
              <w:t xml:space="preserve"> </w:t>
            </w:r>
            <w:r w:rsidR="005E3901">
              <w:rPr>
                <w:lang w:val="en-US"/>
              </w:rPr>
              <w:t>at the beginning of MS 5 under</w:t>
            </w:r>
            <w:r w:rsidR="00D801C8">
              <w:rPr>
                <w:lang w:val="en-US"/>
              </w:rPr>
              <w:t xml:space="preserve"> </w:t>
            </w:r>
            <w:r w:rsidR="005E3901">
              <w:rPr>
                <w:lang w:val="en-US"/>
              </w:rPr>
              <w:t xml:space="preserve">Vladimir Vazov Blvd. </w:t>
            </w:r>
            <w:r w:rsidR="00035FD3">
              <w:rPr>
                <w:lang w:val="en-US"/>
              </w:rPr>
              <w:t>near to the crossing</w:t>
            </w:r>
            <w:r w:rsidR="00D84F3B" w:rsidRPr="00D84F3B">
              <w:rPr>
                <w:lang w:val="en-US"/>
              </w:rPr>
              <w:t xml:space="preserve"> </w:t>
            </w:r>
            <w:r w:rsidR="00035FD3">
              <w:rPr>
                <w:lang w:val="en-US"/>
              </w:rPr>
              <w:t>with Panayot Khaitov Str., passing Central Urban Area to the final station (MS</w:t>
            </w:r>
            <w:r w:rsidR="00593862">
              <w:rPr>
                <w:lang w:val="en-US"/>
              </w:rPr>
              <w:t xml:space="preserve"> 18</w:t>
            </w:r>
            <w:r w:rsidR="00035FD3">
              <w:rPr>
                <w:lang w:val="en-US"/>
              </w:rPr>
              <w:t xml:space="preserve">) </w:t>
            </w:r>
            <w:r w:rsidR="00593862">
              <w:rPr>
                <w:lang w:val="en-US"/>
              </w:rPr>
              <w:t xml:space="preserve">of the line in Ovcha Kupel </w:t>
            </w:r>
            <w:r w:rsidR="001035A9">
              <w:rPr>
                <w:lang w:val="en-US"/>
              </w:rPr>
              <w:t>Residential Area</w:t>
            </w:r>
            <w:r w:rsidR="0017046A">
              <w:rPr>
                <w:lang w:val="en-US"/>
              </w:rPr>
              <w:t>)</w:t>
            </w:r>
            <w:r w:rsidR="00593862">
              <w:rPr>
                <w:lang w:val="en-US"/>
              </w:rPr>
              <w:t>, supply of rolling stock</w:t>
            </w:r>
            <w:r w:rsidR="002C6D76">
              <w:rPr>
                <w:lang w:val="en-US"/>
              </w:rPr>
              <w:t xml:space="preserve"> and construction of depo</w:t>
            </w:r>
            <w:r w:rsidR="00593862">
              <w:rPr>
                <w:lang w:val="en-US"/>
              </w:rPr>
              <w:t xml:space="preserve">t will be financed. The section is </w:t>
            </w:r>
            <w:r w:rsidR="00D84F3B" w:rsidRPr="00D84F3B">
              <w:rPr>
                <w:lang w:val="en-US"/>
              </w:rPr>
              <w:t xml:space="preserve">with total length of </w:t>
            </w:r>
            <w:r w:rsidR="00FE30BB">
              <w:rPr>
                <w:lang w:val="en-US"/>
              </w:rPr>
              <w:t>12</w:t>
            </w:r>
            <w:r w:rsidR="00D84F3B" w:rsidRPr="00D84F3B">
              <w:rPr>
                <w:lang w:val="en-US"/>
              </w:rPr>
              <w:t xml:space="preserve"> km and </w:t>
            </w:r>
            <w:r w:rsidR="00FE30BB">
              <w:rPr>
                <w:lang w:val="en-US"/>
              </w:rPr>
              <w:t>12</w:t>
            </w:r>
            <w:r w:rsidR="00D84F3B" w:rsidRPr="00D84F3B">
              <w:rPr>
                <w:lang w:val="en-US"/>
              </w:rPr>
              <w:t xml:space="preserve"> metro stations </w:t>
            </w:r>
            <w:r w:rsidR="00593862">
              <w:rPr>
                <w:lang w:val="en-US"/>
              </w:rPr>
              <w:t xml:space="preserve">(11 underground stations and </w:t>
            </w:r>
            <w:r w:rsidR="00593862" w:rsidRPr="00276ED1">
              <w:rPr>
                <w:lang w:val="en-GB"/>
              </w:rPr>
              <w:t xml:space="preserve">1 </w:t>
            </w:r>
            <w:r w:rsidR="00593862" w:rsidRPr="00593862">
              <w:rPr>
                <w:lang w:val="en-GB"/>
              </w:rPr>
              <w:t>over ground</w:t>
            </w:r>
            <w:r w:rsidR="00593862">
              <w:rPr>
                <w:lang w:val="en-US"/>
              </w:rPr>
              <w:t xml:space="preserve"> station on trestle)</w:t>
            </w:r>
            <w:r w:rsidR="00D84F3B">
              <w:rPr>
                <w:lang w:val="en-US"/>
              </w:rPr>
              <w:t>.</w:t>
            </w:r>
            <w:r w:rsidR="00593862">
              <w:t xml:space="preserve"> </w:t>
            </w:r>
            <w:r w:rsidR="00593862">
              <w:rPr>
                <w:lang w:val="en-US"/>
              </w:rPr>
              <w:t xml:space="preserve">The route is </w:t>
            </w:r>
            <w:r w:rsidR="0017046A">
              <w:rPr>
                <w:lang w:val="en-US"/>
              </w:rPr>
              <w:t xml:space="preserve">mainly underground with the exception of the section starting at the end of MS 14 to the MS 15 </w:t>
            </w:r>
            <w:r w:rsidR="00980006">
              <w:rPr>
                <w:lang w:val="en-US"/>
              </w:rPr>
              <w:t xml:space="preserve">which is </w:t>
            </w:r>
            <w:r w:rsidR="0017046A">
              <w:rPr>
                <w:lang w:val="en-US"/>
              </w:rPr>
              <w:t>on trestle.</w:t>
            </w:r>
            <w:r w:rsidR="00D84F3B" w:rsidRPr="00D84F3B">
              <w:rPr>
                <w:lang w:val="en-US"/>
              </w:rPr>
              <w:t xml:space="preserve"> </w:t>
            </w:r>
            <w:r w:rsidR="00DE7D4E">
              <w:rPr>
                <w:lang w:val="en-US"/>
              </w:rPr>
              <w:t xml:space="preserve">The indicators in table 5 correspond to </w:t>
            </w:r>
            <w:r w:rsidR="00325018">
              <w:rPr>
                <w:lang w:val="en-US"/>
              </w:rPr>
              <w:t xml:space="preserve">the </w:t>
            </w:r>
            <w:r w:rsidR="00DE7D4E">
              <w:rPr>
                <w:lang w:val="en-US"/>
              </w:rPr>
              <w:t>scope of the major project co-financed under OPTTI</w:t>
            </w:r>
            <w:r w:rsidR="00DF2B01" w:rsidRPr="00DE7D4E">
              <w:t>.</w:t>
            </w:r>
            <w:r w:rsidR="00E13406">
              <w:rPr>
                <w:lang w:val="en-US"/>
              </w:rPr>
              <w:t xml:space="preserve"> </w:t>
            </w:r>
            <w:r w:rsidR="00BF216D">
              <w:rPr>
                <w:lang w:val="en-US"/>
              </w:rPr>
              <w:t>(</w:t>
            </w:r>
            <w:r w:rsidR="00BF216D" w:rsidRPr="00BF216D">
              <w:rPr>
                <w:lang w:val="en-US"/>
              </w:rPr>
              <w:t xml:space="preserve">Value </w:t>
            </w:r>
            <w:r w:rsidR="00BF216D" w:rsidRPr="00B13FA5">
              <w:rPr>
                <w:bCs/>
                <w:lang w:val="en-US" w:eastAsia="en-GB"/>
              </w:rPr>
              <w:t xml:space="preserve">of indicator </w:t>
            </w:r>
            <w:r w:rsidR="00BF216D" w:rsidRPr="00B13FA5">
              <w:rPr>
                <w:bCs/>
                <w:lang w:eastAsia="en-GB"/>
              </w:rPr>
              <w:t xml:space="preserve">8 </w:t>
            </w:r>
            <w:r w:rsidR="00BF216D">
              <w:rPr>
                <w:bCs/>
                <w:lang w:val="en-US" w:eastAsia="en-GB"/>
              </w:rPr>
              <w:t>in table 3 presents p</w:t>
            </w:r>
            <w:r w:rsidR="00BF216D" w:rsidRPr="00B13FA5">
              <w:rPr>
                <w:bCs/>
                <w:lang w:val="en-US" w:eastAsia="en-GB"/>
              </w:rPr>
              <w:t xml:space="preserve">assengers reported for 2013 from the system of </w:t>
            </w:r>
            <w:r w:rsidR="00BF216D" w:rsidRPr="00B13FA5">
              <w:rPr>
                <w:lang w:val="en-US"/>
              </w:rPr>
              <w:t>counting passengers in the metro</w:t>
            </w:r>
            <w:r w:rsidR="00BF216D">
              <w:rPr>
                <w:lang w:val="en-US"/>
              </w:rPr>
              <w:t>)</w:t>
            </w:r>
            <w:r w:rsidR="00325018">
              <w:rPr>
                <w:lang w:val="en-US"/>
              </w:rPr>
              <w:t>.</w:t>
            </w:r>
            <w:r w:rsidR="00925CB7">
              <w:rPr>
                <w:lang w:val="en-US"/>
              </w:rPr>
              <w:t xml:space="preserve"> The project will be implemented on the following </w:t>
            </w:r>
            <w:r w:rsidR="00980006">
              <w:rPr>
                <w:lang w:val="en-US"/>
              </w:rPr>
              <w:t>stages:</w:t>
            </w:r>
          </w:p>
          <w:p w14:paraId="208D460D" w14:textId="77777777" w:rsidR="008F568C" w:rsidRDefault="00925CB7" w:rsidP="00276ED1">
            <w:pPr>
              <w:pStyle w:val="BodyTextIndent"/>
              <w:numPr>
                <w:ilvl w:val="0"/>
                <w:numId w:val="52"/>
              </w:numPr>
              <w:spacing w:before="120" w:after="0"/>
              <w:ind w:right="2"/>
              <w:rPr>
                <w:lang w:val="en-US"/>
              </w:rPr>
            </w:pPr>
            <w:r>
              <w:rPr>
                <w:lang w:val="en-US"/>
              </w:rPr>
              <w:t xml:space="preserve">Stage 1 - </w:t>
            </w:r>
            <w:r w:rsidRPr="00925CB7">
              <w:rPr>
                <w:lang w:val="en-US"/>
              </w:rPr>
              <w:t>Vladimir Vazov Blvd.-Central Urban Area</w:t>
            </w:r>
            <w:r>
              <w:rPr>
                <w:lang w:val="en-US"/>
              </w:rPr>
              <w:t xml:space="preserve">-Zhitnitsa Str. </w:t>
            </w:r>
            <w:r w:rsidR="00AD128E">
              <w:rPr>
                <w:lang w:val="en-US"/>
              </w:rPr>
              <w:t xml:space="preserve">(MS 5 – MS 14) with total length of </w:t>
            </w:r>
            <w:r w:rsidR="00980006">
              <w:rPr>
                <w:lang w:val="en-US"/>
              </w:rPr>
              <w:t>8 km and 8 stations</w:t>
            </w:r>
            <w:r w:rsidR="008F6857">
              <w:rPr>
                <w:lang w:val="en-US"/>
              </w:rPr>
              <w:t>, including depot and 20 metro trains</w:t>
            </w:r>
            <w:r w:rsidR="008F568C">
              <w:rPr>
                <w:lang w:val="en-US"/>
              </w:rPr>
              <w:t xml:space="preserve"> with 4 traffic management and control systems;</w:t>
            </w:r>
          </w:p>
          <w:p w14:paraId="66C53551" w14:textId="77777777" w:rsidR="00925CB7" w:rsidRDefault="008F568C" w:rsidP="00276ED1">
            <w:pPr>
              <w:pStyle w:val="BodyTextIndent"/>
              <w:numPr>
                <w:ilvl w:val="0"/>
                <w:numId w:val="52"/>
              </w:numPr>
              <w:spacing w:before="120" w:after="0"/>
              <w:ind w:right="2"/>
              <w:rPr>
                <w:lang w:val="en-US"/>
              </w:rPr>
            </w:pPr>
            <w:r>
              <w:rPr>
                <w:lang w:val="en-US"/>
              </w:rPr>
              <w:t xml:space="preserve">Stage 2 - </w:t>
            </w:r>
            <w:r w:rsidRPr="008F568C">
              <w:rPr>
                <w:lang w:val="en-US"/>
              </w:rPr>
              <w:t xml:space="preserve">Zhitnitsa Str. </w:t>
            </w:r>
            <w:r>
              <w:rPr>
                <w:lang w:val="en-US"/>
              </w:rPr>
              <w:t xml:space="preserve">- </w:t>
            </w:r>
            <w:r w:rsidRPr="008F568C">
              <w:rPr>
                <w:lang w:val="en-US"/>
              </w:rPr>
              <w:t>Ovcha Kupel Residential Area</w:t>
            </w:r>
            <w:r>
              <w:rPr>
                <w:lang w:val="en-US"/>
              </w:rPr>
              <w:t xml:space="preserve"> – Sofia Ring Road (MS 14 – MS 18) with total length of 4 km and 4 stations. </w:t>
            </w:r>
            <w:r w:rsidR="00925CB7">
              <w:rPr>
                <w:lang w:val="en-US"/>
              </w:rPr>
              <w:t xml:space="preserve">  </w:t>
            </w:r>
          </w:p>
          <w:p w14:paraId="369B410A" w14:textId="77777777" w:rsidR="00D55D54" w:rsidRPr="00276ED1" w:rsidRDefault="00F1341F" w:rsidP="00D21C4A">
            <w:pPr>
              <w:pStyle w:val="BodyTextIndent"/>
              <w:spacing w:before="120" w:after="0"/>
              <w:ind w:left="0" w:right="2"/>
              <w:rPr>
                <w:bCs/>
                <w:lang w:val="en-GB"/>
              </w:rPr>
            </w:pPr>
            <w:r w:rsidRPr="008340BB">
              <w:rPr>
                <w:b/>
                <w:bCs/>
                <w:lang w:val="en-GB" w:eastAsia="en-GB"/>
              </w:rPr>
              <w:lastRenderedPageBreak/>
              <w:t xml:space="preserve">Extension of </w:t>
            </w:r>
            <w:r w:rsidR="00527D28" w:rsidRPr="008340BB">
              <w:rPr>
                <w:b/>
                <w:lang w:val="en-GB" w:eastAsia="en-GB"/>
              </w:rPr>
              <w:t>metro</w:t>
            </w:r>
            <w:r w:rsidR="00350EB0">
              <w:rPr>
                <w:b/>
                <w:lang w:val="en-GB" w:eastAsia="en-GB"/>
              </w:rPr>
              <w:t xml:space="preserve"> </w:t>
            </w:r>
            <w:r w:rsidR="00527D28" w:rsidRPr="008340BB">
              <w:rPr>
                <w:b/>
                <w:lang w:val="en-GB" w:eastAsia="en-GB"/>
              </w:rPr>
              <w:t>line</w:t>
            </w:r>
            <w:r w:rsidRPr="008340BB">
              <w:rPr>
                <w:b/>
                <w:bCs/>
                <w:lang w:val="en-GB" w:eastAsia="en-GB"/>
              </w:rPr>
              <w:t xml:space="preserve"> </w:t>
            </w:r>
            <w:r w:rsidR="00810C25">
              <w:rPr>
                <w:b/>
                <w:bCs/>
                <w:lang w:val="en-GB" w:eastAsia="en-GB"/>
              </w:rPr>
              <w:t>2 (</w:t>
            </w:r>
            <w:r w:rsidRPr="008340BB">
              <w:rPr>
                <w:b/>
                <w:bCs/>
                <w:lang w:val="en-GB" w:eastAsia="en-GB"/>
              </w:rPr>
              <w:t>from metro station “James Bouchier” to the junction of bul. Cherni vruh and bul. “Hanrik Ibsen” and “Sreburna”</w:t>
            </w:r>
            <w:r w:rsidRPr="008340BB">
              <w:rPr>
                <w:bCs/>
                <w:lang w:val="en-GB" w:eastAsia="en-GB"/>
              </w:rPr>
              <w:t xml:space="preserve"> str.</w:t>
            </w:r>
            <w:r w:rsidR="008926D8">
              <w:rPr>
                <w:bCs/>
                <w:lang w:eastAsia="en-GB"/>
              </w:rPr>
              <w:t xml:space="preserve"> – </w:t>
            </w:r>
            <w:r w:rsidR="008926D8">
              <w:rPr>
                <w:bCs/>
                <w:lang w:val="en-US" w:eastAsia="en-GB"/>
              </w:rPr>
              <w:t>metro station Vitosha</w:t>
            </w:r>
            <w:r w:rsidR="00810C25">
              <w:rPr>
                <w:bCs/>
                <w:lang w:val="en-GB" w:eastAsia="en-GB"/>
              </w:rPr>
              <w:t>)</w:t>
            </w:r>
            <w:r w:rsidRPr="008340BB">
              <w:rPr>
                <w:bCs/>
                <w:lang w:val="en-GB" w:eastAsia="en-GB"/>
              </w:rPr>
              <w:t xml:space="preserve"> – the </w:t>
            </w:r>
            <w:r w:rsidR="008775FA">
              <w:rPr>
                <w:bCs/>
              </w:rPr>
              <w:t xml:space="preserve">extension serves </w:t>
            </w:r>
            <w:r w:rsidRPr="008340BB">
              <w:rPr>
                <w:bCs/>
                <w:lang w:val="en-GB" w:eastAsia="en-GB"/>
              </w:rPr>
              <w:t>the densely populated southern part of “Lozenetz” quarter, as well as the need to establishe transport connection to the well-developed public transport to Cherni Vruh Blvd. from the quarters “Krustova voda”, “Dragalevtzi”, “Gotze Delchev”, „Hladilnika” etc.</w:t>
            </w:r>
            <w:r w:rsidR="00EF62FB">
              <w:rPr>
                <w:bCs/>
              </w:rPr>
              <w:t xml:space="preserve"> The planned extension is 1.3 km and includes one station</w:t>
            </w:r>
            <w:r w:rsidR="00F838F4">
              <w:rPr>
                <w:bCs/>
              </w:rPr>
              <w:t xml:space="preserve"> </w:t>
            </w:r>
            <w:r w:rsidR="00F838F4" w:rsidRPr="00276ED1">
              <w:rPr>
                <w:bCs/>
                <w:lang w:val="en-GB"/>
              </w:rPr>
              <w:t xml:space="preserve">and a facility for </w:t>
            </w:r>
            <w:r w:rsidR="00532101" w:rsidRPr="00276ED1">
              <w:rPr>
                <w:bCs/>
                <w:lang w:val="en-GB"/>
              </w:rPr>
              <w:t>re</w:t>
            </w:r>
            <w:r w:rsidR="00F838F4" w:rsidRPr="00276ED1">
              <w:rPr>
                <w:bCs/>
                <w:lang w:val="en-GB"/>
              </w:rPr>
              <w:t>direction</w:t>
            </w:r>
            <w:r w:rsidR="00EF62FB" w:rsidRPr="00276ED1">
              <w:rPr>
                <w:bCs/>
                <w:lang w:val="en-GB"/>
              </w:rPr>
              <w:t>.</w:t>
            </w:r>
            <w:r w:rsidR="00183A5C" w:rsidRPr="00276ED1">
              <w:rPr>
                <w:bCs/>
                <w:lang w:val="en-GB"/>
              </w:rPr>
              <w:t xml:space="preserve"> </w:t>
            </w:r>
            <w:r w:rsidR="00D55D54" w:rsidRPr="00276ED1">
              <w:rPr>
                <w:bCs/>
                <w:lang w:val="en-GB"/>
              </w:rPr>
              <w:t>The faster traffic recovery along bul. Cherni vruh requires to split the construction works in two phases as follows:</w:t>
            </w:r>
          </w:p>
          <w:p w14:paraId="7D1AE396" w14:textId="77777777" w:rsidR="00F1341F" w:rsidRPr="00276ED1" w:rsidRDefault="00F85037" w:rsidP="00276ED1">
            <w:pPr>
              <w:pStyle w:val="BodyTextIndent"/>
              <w:numPr>
                <w:ilvl w:val="0"/>
                <w:numId w:val="52"/>
              </w:numPr>
              <w:spacing w:before="120" w:after="0"/>
              <w:ind w:right="2"/>
              <w:rPr>
                <w:bCs/>
                <w:lang w:val="en-GB" w:eastAsia="en-GB"/>
              </w:rPr>
            </w:pPr>
            <w:r w:rsidRPr="00276ED1">
              <w:rPr>
                <w:bCs/>
                <w:lang w:val="en-GB"/>
              </w:rPr>
              <w:t>Phase 1 (</w:t>
            </w:r>
            <w:r w:rsidR="005F1CD8" w:rsidRPr="00276ED1">
              <w:rPr>
                <w:bCs/>
                <w:lang w:val="en-GB"/>
              </w:rPr>
              <w:t>planned for funding under OPT 2007-2013</w:t>
            </w:r>
            <w:r w:rsidRPr="00276ED1">
              <w:rPr>
                <w:bCs/>
                <w:lang w:val="en-GB"/>
              </w:rPr>
              <w:t>)</w:t>
            </w:r>
            <w:r w:rsidR="005F1CD8" w:rsidRPr="00276ED1">
              <w:rPr>
                <w:bCs/>
                <w:lang w:val="en-GB"/>
              </w:rPr>
              <w:t xml:space="preserve"> includes the preparatory activities and the organization of implementation, the reconstruction of </w:t>
            </w:r>
            <w:r w:rsidR="00E36683" w:rsidRPr="00276ED1">
              <w:rPr>
                <w:bCs/>
                <w:lang w:val="en-GB"/>
              </w:rPr>
              <w:t>uti</w:t>
            </w:r>
            <w:r w:rsidR="005F1CD8" w:rsidRPr="00276ED1">
              <w:rPr>
                <w:bCs/>
                <w:lang w:val="en-GB"/>
              </w:rPr>
              <w:t>lities, the construction of tunnels and</w:t>
            </w:r>
            <w:r w:rsidR="00E36683" w:rsidRPr="00276ED1">
              <w:rPr>
                <w:bCs/>
                <w:lang w:val="en-GB"/>
              </w:rPr>
              <w:t xml:space="preserve"> a</w:t>
            </w:r>
            <w:r w:rsidR="005F1CD8" w:rsidRPr="00276ED1">
              <w:rPr>
                <w:bCs/>
                <w:lang w:val="en-GB"/>
              </w:rPr>
              <w:t xml:space="preserve"> </w:t>
            </w:r>
            <w:r w:rsidR="00E36683" w:rsidRPr="00276ED1">
              <w:rPr>
                <w:bCs/>
                <w:lang w:val="en-GB"/>
              </w:rPr>
              <w:t>metrostation, the re</w:t>
            </w:r>
            <w:r w:rsidR="003A3A08" w:rsidRPr="00276ED1">
              <w:rPr>
                <w:bCs/>
                <w:lang w:val="en-GB"/>
              </w:rPr>
              <w:t>construction of the damaged road network.</w:t>
            </w:r>
          </w:p>
          <w:p w14:paraId="0B99F239" w14:textId="77777777" w:rsidR="003A3A08" w:rsidRPr="00276ED1" w:rsidRDefault="003A3A08" w:rsidP="00276ED1">
            <w:pPr>
              <w:pStyle w:val="BodyTextIndent"/>
              <w:numPr>
                <w:ilvl w:val="0"/>
                <w:numId w:val="52"/>
              </w:numPr>
              <w:spacing w:before="120" w:after="0"/>
              <w:ind w:right="2"/>
              <w:rPr>
                <w:bCs/>
                <w:lang w:val="en-US" w:eastAsia="en-GB"/>
              </w:rPr>
            </w:pPr>
            <w:r w:rsidRPr="00276ED1">
              <w:rPr>
                <w:bCs/>
                <w:lang w:val="en-GB"/>
              </w:rPr>
              <w:t xml:space="preserve">Phase 2 </w:t>
            </w:r>
            <w:r w:rsidR="00EE0CC6" w:rsidRPr="00276ED1">
              <w:rPr>
                <w:bCs/>
                <w:lang w:val="en-GB"/>
              </w:rPr>
              <w:t xml:space="preserve">(planned for funding under OPTTI 2014-2020) </w:t>
            </w:r>
            <w:r w:rsidR="00F3734F" w:rsidRPr="00276ED1">
              <w:rPr>
                <w:bCs/>
                <w:lang w:val="en-GB"/>
              </w:rPr>
              <w:t>includes all necessary activities for completion of the metro line in order to be putted into exploitation</w:t>
            </w:r>
            <w:r w:rsidR="00532101" w:rsidRPr="00276ED1">
              <w:rPr>
                <w:bCs/>
                <w:lang w:val="en-GB"/>
              </w:rPr>
              <w:t xml:space="preserve"> e.g. construction of the tunnel </w:t>
            </w:r>
            <w:r w:rsidR="00BD237C" w:rsidRPr="00276ED1">
              <w:rPr>
                <w:bCs/>
                <w:lang w:val="en-GB"/>
              </w:rPr>
              <w:t xml:space="preserve">for redirection; full architectural </w:t>
            </w:r>
            <w:r w:rsidR="00664207" w:rsidRPr="00276ED1">
              <w:rPr>
                <w:bCs/>
                <w:lang w:val="en-GB"/>
              </w:rPr>
              <w:t xml:space="preserve">modeling of </w:t>
            </w:r>
            <w:r w:rsidR="00592E7F" w:rsidRPr="00276ED1">
              <w:rPr>
                <w:bCs/>
                <w:lang w:val="en-GB"/>
              </w:rPr>
              <w:t>metro</w:t>
            </w:r>
            <w:r w:rsidR="00592E7F" w:rsidRPr="00592E7F">
              <w:rPr>
                <w:bCs/>
                <w:lang w:val="en-US"/>
              </w:rPr>
              <w:t xml:space="preserve"> </w:t>
            </w:r>
            <w:r w:rsidR="00592E7F" w:rsidRPr="00276ED1">
              <w:rPr>
                <w:bCs/>
                <w:lang w:val="en-GB"/>
              </w:rPr>
              <w:t>station Vitosha</w:t>
            </w:r>
            <w:r w:rsidR="008A52FC" w:rsidRPr="00276ED1">
              <w:rPr>
                <w:bCs/>
                <w:lang w:val="en-GB"/>
              </w:rPr>
              <w:t>; railway and a contact rail 1.3 km long</w:t>
            </w:r>
            <w:r w:rsidR="00E20B26" w:rsidRPr="00276ED1">
              <w:rPr>
                <w:bCs/>
                <w:lang w:val="en-GB"/>
              </w:rPr>
              <w:t xml:space="preserve">; management systems; radio communication system; electrosupllay system; systems for automatic of traffic and regulation of speed; complex audiovision systems and lowvoltage systems for functioning of the metro along the </w:t>
            </w:r>
            <w:r w:rsidR="00467A54" w:rsidRPr="00276ED1">
              <w:rPr>
                <w:bCs/>
                <w:lang w:val="en-GB"/>
              </w:rPr>
              <w:t>route</w:t>
            </w:r>
            <w:r w:rsidR="00E20B26" w:rsidRPr="00276ED1">
              <w:rPr>
                <w:bCs/>
                <w:lang w:val="en-GB"/>
              </w:rPr>
              <w:t xml:space="preserve"> </w:t>
            </w:r>
            <w:r w:rsidR="00467A54" w:rsidRPr="00276ED1">
              <w:rPr>
                <w:bCs/>
                <w:lang w:val="en-GB"/>
              </w:rPr>
              <w:t xml:space="preserve">of </w:t>
            </w:r>
            <w:r w:rsidR="00E20B26" w:rsidRPr="00276ED1">
              <w:rPr>
                <w:bCs/>
                <w:lang w:val="en-GB"/>
              </w:rPr>
              <w:t>1.3 km</w:t>
            </w:r>
            <w:r w:rsidR="00F3734F" w:rsidRPr="00276ED1">
              <w:rPr>
                <w:bCs/>
                <w:lang w:val="en-GB"/>
              </w:rPr>
              <w:t>.</w:t>
            </w:r>
            <w:r w:rsidR="00467A54">
              <w:rPr>
                <w:bCs/>
                <w:lang w:val="en-US"/>
              </w:rPr>
              <w:t xml:space="preserve"> </w:t>
            </w:r>
            <w:r w:rsidR="00C90779">
              <w:rPr>
                <w:bCs/>
                <w:lang w:val="en-US"/>
              </w:rPr>
              <w:t xml:space="preserve"> </w:t>
            </w:r>
            <w:r w:rsidR="00F3734F">
              <w:rPr>
                <w:bCs/>
                <w:lang w:val="en-US"/>
              </w:rPr>
              <w:t xml:space="preserve">  </w:t>
            </w:r>
          </w:p>
          <w:p w14:paraId="2BEE2A95" w14:textId="77777777" w:rsidR="00A32367" w:rsidRPr="008340BB" w:rsidRDefault="00A32367" w:rsidP="00D21C4A">
            <w:pPr>
              <w:pStyle w:val="BodyTextIndent"/>
              <w:spacing w:before="120" w:after="0"/>
              <w:ind w:left="0" w:right="2"/>
              <w:rPr>
                <w:bCs/>
                <w:lang w:val="en-GB" w:eastAsia="en-GB"/>
              </w:rPr>
            </w:pPr>
            <w:r w:rsidRPr="00A32367">
              <w:rPr>
                <w:bCs/>
                <w:lang w:val="en-GB" w:eastAsia="en-GB"/>
              </w:rPr>
              <w:t xml:space="preserve">The metro projects aim at offering fast, secure, comfortable and sustainable public transport services in the most populous city of Bulgaria. The new line </w:t>
            </w:r>
            <w:r w:rsidR="00350EB0">
              <w:rPr>
                <w:bCs/>
                <w:lang w:val="en-GB" w:eastAsia="en-GB"/>
              </w:rPr>
              <w:t xml:space="preserve">3 </w:t>
            </w:r>
            <w:r w:rsidRPr="00A32367">
              <w:rPr>
                <w:bCs/>
                <w:lang w:val="en-GB" w:eastAsia="en-GB"/>
              </w:rPr>
              <w:t>and the extension of line 2 will make public transportation more attractive which should reduce car traffic and consequently reduce greenhouse gas emissions and improve air quality.</w:t>
            </w:r>
          </w:p>
          <w:p w14:paraId="6AE4609B" w14:textId="77777777" w:rsidR="008F1214" w:rsidRDefault="008F1214" w:rsidP="00D21C4A">
            <w:pPr>
              <w:autoSpaceDE w:val="0"/>
              <w:autoSpaceDN w:val="0"/>
              <w:adjustRightInd w:val="0"/>
              <w:spacing w:after="0"/>
              <w:rPr>
                <w:b/>
              </w:rPr>
            </w:pPr>
          </w:p>
          <w:p w14:paraId="565B0947" w14:textId="77777777" w:rsidR="00F1341F" w:rsidRPr="008340BB" w:rsidRDefault="00F1341F" w:rsidP="00D21C4A">
            <w:pPr>
              <w:autoSpaceDE w:val="0"/>
              <w:autoSpaceDN w:val="0"/>
              <w:adjustRightInd w:val="0"/>
              <w:spacing w:after="0"/>
              <w:rPr>
                <w:b/>
              </w:rPr>
            </w:pPr>
            <w:r w:rsidRPr="008340BB">
              <w:rPr>
                <w:b/>
              </w:rPr>
              <w:t>Potential beneficiar</w:t>
            </w:r>
            <w:r w:rsidR="005D3E92">
              <w:rPr>
                <w:b/>
                <w:lang w:val="en-US"/>
              </w:rPr>
              <w:t>y</w:t>
            </w:r>
            <w:r w:rsidRPr="008340BB">
              <w:rPr>
                <w:b/>
              </w:rPr>
              <w:t>:</w:t>
            </w:r>
          </w:p>
          <w:p w14:paraId="7D7FC314" w14:textId="77777777" w:rsidR="00F1341F" w:rsidRPr="008340BB" w:rsidRDefault="00F1341F" w:rsidP="00D21C4A">
            <w:pPr>
              <w:pStyle w:val="BodyTextIndent"/>
              <w:numPr>
                <w:ilvl w:val="0"/>
                <w:numId w:val="50"/>
              </w:numPr>
              <w:suppressAutoHyphens/>
              <w:spacing w:before="120" w:after="0"/>
              <w:rPr>
                <w:i/>
                <w:sz w:val="18"/>
                <w:szCs w:val="18"/>
                <w:lang w:val="en-GB"/>
              </w:rPr>
            </w:pPr>
            <w:r w:rsidRPr="008340BB">
              <w:rPr>
                <w:lang w:val="en-GB" w:eastAsia="en-GB"/>
              </w:rPr>
              <w:t>Metropolitan EAD.</w:t>
            </w:r>
          </w:p>
        </w:tc>
      </w:tr>
    </w:tbl>
    <w:p w14:paraId="285A736A" w14:textId="77777777" w:rsidR="00F1341F" w:rsidRPr="008340BB" w:rsidRDefault="00F1341F" w:rsidP="00D14C5F"/>
    <w:p w14:paraId="310A79FB" w14:textId="77777777" w:rsidR="00F1341F" w:rsidRPr="008340BB" w:rsidRDefault="00F1341F" w:rsidP="00D14C5F">
      <w:pPr>
        <w:pStyle w:val="ManualHeading3"/>
        <w:tabs>
          <w:tab w:val="clear" w:pos="850"/>
        </w:tabs>
        <w:ind w:left="1418" w:hanging="1418"/>
        <w:rPr>
          <w:b/>
        </w:rPr>
      </w:pPr>
      <w:r w:rsidRPr="008340BB">
        <w:rPr>
          <w:b/>
        </w:rPr>
        <w:t xml:space="preserve">2.A.3.3.2.2 </w:t>
      </w:r>
      <w:r w:rsidRPr="008340BB">
        <w:rPr>
          <w:b/>
        </w:rPr>
        <w:tab/>
        <w:t>Guiding principles for selection of operations</w:t>
      </w:r>
    </w:p>
    <w:p w14:paraId="79F66F2B" w14:textId="77777777" w:rsidR="00F1341F" w:rsidRPr="008340BB" w:rsidRDefault="00F1341F" w:rsidP="00D14C5F">
      <w:pPr>
        <w:pStyle w:val="ManualHeading3"/>
        <w:tabs>
          <w:tab w:val="clear" w:pos="850"/>
        </w:tabs>
        <w:ind w:left="1418" w:hanging="1418"/>
        <w:rPr>
          <w:i w:val="0"/>
        </w:rPr>
      </w:pPr>
      <w:r w:rsidRPr="008340BB">
        <w:rPr>
          <w:i w:val="0"/>
        </w:rPr>
        <w:t xml:space="preserve"> (Reference: point (b)(iii) of the first subparagraph of Article 96(2) of Regulation (EU) No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17D93050" w14:textId="77777777" w:rsidTr="001B395D">
        <w:trPr>
          <w:trHeight w:val="518"/>
        </w:trPr>
        <w:tc>
          <w:tcPr>
            <w:tcW w:w="2235" w:type="dxa"/>
          </w:tcPr>
          <w:p w14:paraId="7E13AE6B" w14:textId="77777777" w:rsidR="00F1341F" w:rsidRPr="008340BB" w:rsidRDefault="00F1341F" w:rsidP="001B395D">
            <w:pPr>
              <w:rPr>
                <w:i/>
                <w:color w:val="8DB3E2"/>
                <w:sz w:val="18"/>
                <w:szCs w:val="18"/>
              </w:rPr>
            </w:pPr>
            <w:r w:rsidRPr="008340BB">
              <w:rPr>
                <w:i/>
              </w:rPr>
              <w:t>Investment Priority</w:t>
            </w:r>
          </w:p>
        </w:tc>
        <w:tc>
          <w:tcPr>
            <w:tcW w:w="6443" w:type="dxa"/>
          </w:tcPr>
          <w:p w14:paraId="54172AFE" w14:textId="77777777" w:rsidR="00F1341F" w:rsidRPr="008340BB" w:rsidRDefault="00F1341F" w:rsidP="001B395D">
            <w:pPr>
              <w:rPr>
                <w:i/>
                <w:color w:val="8DB3E2"/>
                <w:sz w:val="18"/>
                <w:szCs w:val="18"/>
              </w:rPr>
            </w:pPr>
            <w:r w:rsidRPr="008340BB">
              <w:rPr>
                <w:i/>
                <w:szCs w:val="24"/>
                <w:lang w:eastAsia="bg-BG"/>
              </w:rPr>
              <w:t>4e -</w:t>
            </w:r>
            <w:r w:rsidRPr="008340BB">
              <w:rPr>
                <w:i/>
                <w:color w:val="8DB3E2"/>
                <w:sz w:val="18"/>
                <w:szCs w:val="18"/>
              </w:rPr>
              <w:t xml:space="preserve"> </w:t>
            </w:r>
            <w:r w:rsidRPr="008340BB">
              <w:rPr>
                <w:i/>
                <w:szCs w:val="24"/>
              </w:rPr>
              <w:t>Promoting low-carbon strategies for all types of territories, in particular for urban areas, including the promotion of sustainable multimodal urban mobility and mitigation-relevant adaptation measures</w:t>
            </w:r>
            <w:r w:rsidRPr="008340BB" w:rsidDel="003273FF">
              <w:rPr>
                <w:i/>
                <w:lang w:eastAsia="bg-BG"/>
              </w:rPr>
              <w:t xml:space="preserve"> </w:t>
            </w:r>
          </w:p>
        </w:tc>
      </w:tr>
      <w:tr w:rsidR="00F1341F" w:rsidRPr="008340BB" w14:paraId="51C25CFE" w14:textId="77777777" w:rsidTr="001B395D">
        <w:trPr>
          <w:trHeight w:val="1088"/>
        </w:trPr>
        <w:tc>
          <w:tcPr>
            <w:tcW w:w="8678" w:type="dxa"/>
            <w:gridSpan w:val="2"/>
          </w:tcPr>
          <w:p w14:paraId="021F1EF8" w14:textId="77777777" w:rsidR="00F1341F" w:rsidRPr="008340BB" w:rsidRDefault="00F1341F" w:rsidP="004A495D">
            <w:r w:rsidRPr="008340BB">
              <w:t xml:space="preserve">The process of selection and evaluation of proposals for investment project funding covers the methodology and the approach, as outlined </w:t>
            </w:r>
            <w:r w:rsidR="006068C0" w:rsidRPr="006068C0">
              <w:t>in section 2.A.1.5.2</w:t>
            </w:r>
            <w:r w:rsidRPr="008340BB">
              <w:t>: (**)</w:t>
            </w:r>
          </w:p>
          <w:p w14:paraId="7EF3C284" w14:textId="77777777" w:rsidR="00F1341F" w:rsidRPr="008340BB" w:rsidRDefault="00F1341F" w:rsidP="004A495D">
            <w:r w:rsidRPr="008340BB">
              <w:t>More attention in the evaluation for selection of the operations under the investment priority, included in the Priority Axis 3, is drawn on reporting the achievement of the following sub-criteria:</w:t>
            </w:r>
          </w:p>
          <w:p w14:paraId="687A4B86" w14:textId="77777777" w:rsidR="00362740" w:rsidRPr="00435AC3" w:rsidRDefault="00F1341F" w:rsidP="00D21C4A">
            <w:pPr>
              <w:numPr>
                <w:ilvl w:val="0"/>
                <w:numId w:val="52"/>
              </w:numPr>
              <w:rPr>
                <w:i/>
                <w:sz w:val="18"/>
                <w:szCs w:val="18"/>
              </w:rPr>
            </w:pPr>
            <w:r w:rsidRPr="008340BB">
              <w:rPr>
                <w:szCs w:val="24"/>
                <w:lang w:eastAsia="bg-BG"/>
              </w:rPr>
              <w:t xml:space="preserve">degree of reduction of noise from road transport; </w:t>
            </w:r>
          </w:p>
          <w:p w14:paraId="36B0311E" w14:textId="77777777" w:rsidR="00D21C4A" w:rsidRPr="008340BB" w:rsidRDefault="00F1341F" w:rsidP="00D21C4A">
            <w:pPr>
              <w:numPr>
                <w:ilvl w:val="0"/>
                <w:numId w:val="52"/>
              </w:numPr>
              <w:rPr>
                <w:i/>
                <w:sz w:val="18"/>
                <w:szCs w:val="18"/>
              </w:rPr>
            </w:pPr>
            <w:r w:rsidRPr="008340BB">
              <w:rPr>
                <w:szCs w:val="24"/>
                <w:lang w:eastAsia="bg-BG"/>
              </w:rPr>
              <w:t xml:space="preserve">degree of reduction of congestion in urban areas; </w:t>
            </w:r>
          </w:p>
          <w:p w14:paraId="205912C8" w14:textId="77777777" w:rsidR="00D21C4A" w:rsidRPr="008340BB" w:rsidRDefault="00F1341F" w:rsidP="00D21C4A">
            <w:pPr>
              <w:numPr>
                <w:ilvl w:val="0"/>
                <w:numId w:val="52"/>
              </w:numPr>
              <w:rPr>
                <w:i/>
                <w:sz w:val="18"/>
                <w:szCs w:val="18"/>
              </w:rPr>
            </w:pPr>
            <w:r w:rsidRPr="008340BB">
              <w:rPr>
                <w:szCs w:val="24"/>
                <w:lang w:eastAsia="bg-BG"/>
              </w:rPr>
              <w:lastRenderedPageBreak/>
              <w:t xml:space="preserve">degree of attracted passengers from </w:t>
            </w:r>
            <w:r w:rsidR="00D21C4A" w:rsidRPr="008340BB">
              <w:rPr>
                <w:szCs w:val="24"/>
                <w:lang w:eastAsia="bg-BG"/>
              </w:rPr>
              <w:t>other modes of urban transport;</w:t>
            </w:r>
          </w:p>
          <w:p w14:paraId="1432560E" w14:textId="77777777" w:rsidR="00D21C4A" w:rsidRPr="008340BB" w:rsidRDefault="00F1341F" w:rsidP="00D21C4A">
            <w:pPr>
              <w:numPr>
                <w:ilvl w:val="0"/>
                <w:numId w:val="52"/>
              </w:numPr>
              <w:rPr>
                <w:i/>
                <w:sz w:val="18"/>
                <w:szCs w:val="18"/>
              </w:rPr>
            </w:pPr>
            <w:r w:rsidRPr="008340BB">
              <w:rPr>
                <w:szCs w:val="24"/>
                <w:lang w:eastAsia="bg-BG"/>
              </w:rPr>
              <w:t>evaluation of the</w:t>
            </w:r>
            <w:r w:rsidR="00D21C4A" w:rsidRPr="008340BB">
              <w:rPr>
                <w:szCs w:val="24"/>
                <w:lang w:eastAsia="bg-BG"/>
              </w:rPr>
              <w:t xml:space="preserve"> benefits from the environment;</w:t>
            </w:r>
          </w:p>
          <w:p w14:paraId="6A1C10EE" w14:textId="77777777" w:rsidR="00F1341F" w:rsidRPr="008340BB" w:rsidRDefault="00F1341F" w:rsidP="00D21C4A">
            <w:pPr>
              <w:numPr>
                <w:ilvl w:val="0"/>
                <w:numId w:val="52"/>
              </w:numPr>
              <w:rPr>
                <w:i/>
                <w:sz w:val="18"/>
                <w:szCs w:val="18"/>
              </w:rPr>
            </w:pPr>
            <w:r w:rsidRPr="008340BB">
              <w:rPr>
                <w:szCs w:val="24"/>
                <w:lang w:eastAsia="bg-BG"/>
              </w:rPr>
              <w:t>evaluation of the improvement of urban transport safety.</w:t>
            </w:r>
            <w:r w:rsidR="00D21C4A" w:rsidRPr="008340BB">
              <w:rPr>
                <w:i/>
                <w:sz w:val="18"/>
                <w:szCs w:val="18"/>
              </w:rPr>
              <w:t xml:space="preserve"> </w:t>
            </w:r>
          </w:p>
        </w:tc>
      </w:tr>
    </w:tbl>
    <w:p w14:paraId="287650A5" w14:textId="77777777" w:rsidR="00F1341F" w:rsidRPr="008340BB" w:rsidRDefault="00F1341F" w:rsidP="00D14C5F">
      <w:pPr>
        <w:pStyle w:val="Text3"/>
        <w:ind w:left="0"/>
        <w:rPr>
          <w:szCs w:val="24"/>
        </w:rPr>
      </w:pPr>
    </w:p>
    <w:p w14:paraId="5E0091A5" w14:textId="77777777" w:rsidR="00F1341F" w:rsidRPr="008340BB" w:rsidRDefault="00F1341F" w:rsidP="00D14C5F">
      <w:pPr>
        <w:pStyle w:val="Text1"/>
        <w:ind w:left="0"/>
        <w:rPr>
          <w:lang w:val="en-GB"/>
        </w:rPr>
      </w:pPr>
      <w:r w:rsidRPr="008340BB">
        <w:rPr>
          <w:b/>
          <w:i/>
          <w:lang w:val="en-GB"/>
        </w:rPr>
        <w:t>2.A.3.3.2.3</w:t>
      </w:r>
      <w:r w:rsidRPr="008340BB">
        <w:rPr>
          <w:b/>
          <w:i/>
          <w:lang w:val="en-GB"/>
        </w:rPr>
        <w:tab/>
        <w:t xml:space="preserve"> Planned use of financial instruments </w:t>
      </w:r>
      <w:r w:rsidRPr="008340BB">
        <w:rPr>
          <w:lang w:val="en-GB"/>
        </w:rPr>
        <w:t>(where appropriate)</w:t>
      </w:r>
    </w:p>
    <w:p w14:paraId="56E060A0" w14:textId="77777777" w:rsidR="00F1341F" w:rsidRPr="008340BB" w:rsidRDefault="00F1341F" w:rsidP="00D14C5F">
      <w:pPr>
        <w:pStyle w:val="ManualHeading3"/>
        <w:tabs>
          <w:tab w:val="clear" w:pos="850"/>
        </w:tabs>
        <w:ind w:left="0" w:firstLine="0"/>
        <w:rPr>
          <w:i w:val="0"/>
        </w:rPr>
      </w:pPr>
      <w:r w:rsidRPr="008340BB">
        <w:rPr>
          <w:i w:val="0"/>
        </w:rPr>
        <w:t>(Reference: point (b)(iii) of the first subparagraph of Article 96(2)</w:t>
      </w:r>
      <w:r w:rsidRPr="008340BB" w:rsidDel="00961976">
        <w:rPr>
          <w:i w:val="0"/>
        </w:rPr>
        <w:t xml:space="preserve"> </w:t>
      </w:r>
      <w:r w:rsidRPr="008340BB">
        <w:rPr>
          <w:i w:val="0"/>
        </w:rPr>
        <w:t xml:space="preserve">of Regulation (EU) No 1303/2013) </w:t>
      </w:r>
    </w:p>
    <w:p w14:paraId="78E7B35D" w14:textId="77777777" w:rsidR="00F1341F" w:rsidRPr="008340BB" w:rsidRDefault="00F1341F" w:rsidP="00D14C5F">
      <w:pPr>
        <w:pStyle w:val="Text1"/>
        <w:rPr>
          <w:lang w:val="en-GB"/>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9"/>
        <w:gridCol w:w="4339"/>
      </w:tblGrid>
      <w:tr w:rsidR="00F1341F" w:rsidRPr="008340BB" w14:paraId="0584F59F" w14:textId="77777777" w:rsidTr="001B395D">
        <w:trPr>
          <w:trHeight w:val="518"/>
        </w:trPr>
        <w:tc>
          <w:tcPr>
            <w:tcW w:w="4339" w:type="dxa"/>
          </w:tcPr>
          <w:p w14:paraId="6BD8DD6F" w14:textId="77777777" w:rsidR="00F1341F" w:rsidRPr="008340BB" w:rsidRDefault="00F1341F" w:rsidP="001B395D">
            <w:pPr>
              <w:rPr>
                <w:i/>
                <w:color w:val="8DB3E2"/>
                <w:sz w:val="18"/>
                <w:szCs w:val="18"/>
              </w:rPr>
            </w:pPr>
            <w:r w:rsidRPr="008340BB">
              <w:rPr>
                <w:i/>
              </w:rPr>
              <w:t>Investment Priority</w:t>
            </w:r>
          </w:p>
        </w:tc>
        <w:tc>
          <w:tcPr>
            <w:tcW w:w="4339" w:type="dxa"/>
          </w:tcPr>
          <w:p w14:paraId="79B3E5D4" w14:textId="77777777" w:rsidR="00F1341F" w:rsidRPr="008340BB" w:rsidRDefault="00F1341F" w:rsidP="001B395D">
            <w:pPr>
              <w:rPr>
                <w:i/>
                <w:color w:val="8DB3E2"/>
                <w:sz w:val="18"/>
                <w:szCs w:val="18"/>
              </w:rPr>
            </w:pPr>
            <w:r w:rsidRPr="008340BB">
              <w:rPr>
                <w:i/>
                <w:szCs w:val="24"/>
                <w:lang w:eastAsia="bg-BG"/>
              </w:rPr>
              <w:t>4e -</w:t>
            </w:r>
            <w:r w:rsidRPr="008340BB">
              <w:rPr>
                <w:i/>
                <w:color w:val="8DB3E2"/>
                <w:sz w:val="18"/>
                <w:szCs w:val="18"/>
              </w:rPr>
              <w:t xml:space="preserve"> </w:t>
            </w:r>
            <w:r w:rsidRPr="008340BB">
              <w:rPr>
                <w:i/>
                <w:szCs w:val="24"/>
              </w:rPr>
              <w:t>Promoting low-carbon strategies for all types of territories, in particular for urban areas, including the promotion of sustainable multimodal urban mobility and mitigation-relevant adaptation measures</w:t>
            </w:r>
            <w:r w:rsidRPr="008340BB" w:rsidDel="003273FF">
              <w:rPr>
                <w:i/>
                <w:lang w:eastAsia="bg-BG"/>
              </w:rPr>
              <w:t xml:space="preserve"> </w:t>
            </w:r>
          </w:p>
        </w:tc>
      </w:tr>
      <w:tr w:rsidR="00F1341F" w:rsidRPr="008340BB" w14:paraId="362DB2F7" w14:textId="77777777" w:rsidTr="001B395D">
        <w:trPr>
          <w:trHeight w:val="379"/>
        </w:trPr>
        <w:tc>
          <w:tcPr>
            <w:tcW w:w="4339" w:type="dxa"/>
          </w:tcPr>
          <w:p w14:paraId="58CF9520" w14:textId="77777777" w:rsidR="00F1341F" w:rsidRPr="008340BB" w:rsidRDefault="00F1341F" w:rsidP="001B395D">
            <w:pPr>
              <w:rPr>
                <w:i/>
                <w:color w:val="8DB3E2"/>
                <w:sz w:val="18"/>
                <w:szCs w:val="18"/>
              </w:rPr>
            </w:pPr>
            <w:r w:rsidRPr="008340BB">
              <w:rPr>
                <w:i/>
              </w:rPr>
              <w:t>Planned use of financial instruments</w:t>
            </w:r>
          </w:p>
        </w:tc>
        <w:tc>
          <w:tcPr>
            <w:tcW w:w="4339" w:type="dxa"/>
          </w:tcPr>
          <w:p w14:paraId="2E98C797" w14:textId="77777777" w:rsidR="00F1341F" w:rsidRPr="008340BB" w:rsidRDefault="00F1341F" w:rsidP="001B395D">
            <w:pPr>
              <w:rPr>
                <w:i/>
                <w:color w:val="8DB3E2"/>
                <w:sz w:val="18"/>
                <w:szCs w:val="18"/>
              </w:rPr>
            </w:pPr>
            <w:r w:rsidRPr="008340BB">
              <w:rPr>
                <w:i/>
                <w:szCs w:val="24"/>
              </w:rPr>
              <w:t>N/A</w:t>
            </w:r>
          </w:p>
        </w:tc>
      </w:tr>
      <w:tr w:rsidR="00F1341F" w:rsidRPr="008340BB" w14:paraId="73C3C6F7" w14:textId="77777777" w:rsidTr="0072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6"/>
        </w:trPr>
        <w:tc>
          <w:tcPr>
            <w:tcW w:w="8678" w:type="dxa"/>
            <w:gridSpan w:val="2"/>
          </w:tcPr>
          <w:p w14:paraId="12376FAC" w14:textId="77777777" w:rsidR="00F1341F" w:rsidRPr="008340BB" w:rsidRDefault="00F1341F" w:rsidP="001B395D">
            <w:pPr>
              <w:rPr>
                <w:i/>
                <w:szCs w:val="24"/>
              </w:rPr>
            </w:pPr>
            <w:r w:rsidRPr="008340BB">
              <w:rPr>
                <w:i/>
                <w:szCs w:val="24"/>
              </w:rPr>
              <w:t>N/A</w:t>
            </w:r>
          </w:p>
        </w:tc>
      </w:tr>
    </w:tbl>
    <w:p w14:paraId="38B4D563" w14:textId="77777777" w:rsidR="00F1341F" w:rsidRPr="008340BB" w:rsidRDefault="00F1341F" w:rsidP="00D14C5F"/>
    <w:p w14:paraId="0C6B00EC" w14:textId="77777777" w:rsidR="00F1341F" w:rsidRPr="008340BB" w:rsidRDefault="00F1341F" w:rsidP="00D14C5F">
      <w:pPr>
        <w:pStyle w:val="Text1"/>
        <w:ind w:left="0"/>
        <w:rPr>
          <w:lang w:val="en-GB"/>
        </w:rPr>
      </w:pPr>
      <w:r w:rsidRPr="008340BB">
        <w:rPr>
          <w:b/>
          <w:i/>
          <w:lang w:val="en-GB"/>
        </w:rPr>
        <w:t xml:space="preserve">2.A.3.3.2.4 </w:t>
      </w:r>
      <w:r w:rsidRPr="008340BB">
        <w:rPr>
          <w:b/>
          <w:i/>
          <w:lang w:val="en-GB"/>
        </w:rPr>
        <w:tab/>
        <w:t xml:space="preserve">Planned use of major projects </w:t>
      </w:r>
      <w:r w:rsidRPr="008340BB">
        <w:rPr>
          <w:lang w:val="en-GB"/>
        </w:rPr>
        <w:t>(where appropriate)</w:t>
      </w:r>
    </w:p>
    <w:p w14:paraId="000F1BEE" w14:textId="77777777" w:rsidR="00F1341F" w:rsidRPr="008340BB" w:rsidRDefault="00F1341F" w:rsidP="00D14C5F">
      <w:pPr>
        <w:pStyle w:val="ManualHeading3"/>
        <w:tabs>
          <w:tab w:val="clear" w:pos="850"/>
        </w:tabs>
        <w:ind w:left="1418" w:hanging="1418"/>
        <w:rPr>
          <w:i w:val="0"/>
        </w:rPr>
      </w:pPr>
      <w:r w:rsidRPr="008340BB">
        <w:rPr>
          <w:i w:val="0"/>
        </w:rPr>
        <w:t xml:space="preserve"> (Reference: point (b)(iii) of the first subparagraph of Article 96 (2) of Regulation (EU) No 1303/2013) </w:t>
      </w:r>
    </w:p>
    <w:p w14:paraId="5EAF23CB" w14:textId="77777777" w:rsidR="00F1341F" w:rsidRPr="008340BB" w:rsidRDefault="00F1341F" w:rsidP="00D14C5F">
      <w:pPr>
        <w:pStyle w:val="Text1"/>
        <w:ind w:left="0"/>
        <w:rPr>
          <w:lang w:val="en-GB"/>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9"/>
        <w:gridCol w:w="4416"/>
      </w:tblGrid>
      <w:tr w:rsidR="00F1341F" w:rsidRPr="008340BB" w14:paraId="44318C16" w14:textId="77777777" w:rsidTr="001B395D">
        <w:trPr>
          <w:trHeight w:val="518"/>
        </w:trPr>
        <w:tc>
          <w:tcPr>
            <w:tcW w:w="4339" w:type="dxa"/>
          </w:tcPr>
          <w:p w14:paraId="7FFD14A3" w14:textId="77777777" w:rsidR="00F1341F" w:rsidRPr="008340BB" w:rsidRDefault="00F1341F" w:rsidP="001B395D">
            <w:pPr>
              <w:rPr>
                <w:i/>
                <w:color w:val="8DB3E2"/>
                <w:sz w:val="18"/>
                <w:szCs w:val="18"/>
              </w:rPr>
            </w:pPr>
            <w:r w:rsidRPr="008340BB">
              <w:rPr>
                <w:i/>
              </w:rPr>
              <w:t>Investment Priority</w:t>
            </w:r>
          </w:p>
        </w:tc>
        <w:tc>
          <w:tcPr>
            <w:tcW w:w="4416" w:type="dxa"/>
          </w:tcPr>
          <w:p w14:paraId="2B0D9C4A" w14:textId="77777777" w:rsidR="00F1341F" w:rsidRPr="008340BB" w:rsidRDefault="00F1341F" w:rsidP="001B395D">
            <w:pPr>
              <w:rPr>
                <w:i/>
                <w:color w:val="8DB3E2"/>
                <w:sz w:val="18"/>
                <w:szCs w:val="18"/>
              </w:rPr>
            </w:pPr>
            <w:r w:rsidRPr="008340BB">
              <w:rPr>
                <w:i/>
                <w:szCs w:val="24"/>
                <w:lang w:eastAsia="bg-BG"/>
              </w:rPr>
              <w:t>4e -</w:t>
            </w:r>
            <w:r w:rsidRPr="008340BB">
              <w:rPr>
                <w:i/>
                <w:color w:val="8DB3E2"/>
                <w:sz w:val="18"/>
                <w:szCs w:val="18"/>
              </w:rPr>
              <w:t xml:space="preserve"> </w:t>
            </w:r>
            <w:r w:rsidRPr="008340BB">
              <w:rPr>
                <w:i/>
                <w:szCs w:val="24"/>
              </w:rPr>
              <w:t>Promoting low-carbon strategies for all types of territories, in particular for urban areas, including the promotion of sustainable multimodal urban mobility and mitigation-relevant adaptation measures</w:t>
            </w:r>
            <w:r w:rsidRPr="008340BB" w:rsidDel="003273FF">
              <w:rPr>
                <w:i/>
                <w:lang w:eastAsia="bg-BG"/>
              </w:rPr>
              <w:t xml:space="preserve"> </w:t>
            </w:r>
          </w:p>
        </w:tc>
      </w:tr>
      <w:tr w:rsidR="00F1341F" w:rsidRPr="008340BB" w14:paraId="2DDFCB0F" w14:textId="77777777" w:rsidTr="001B395D">
        <w:trPr>
          <w:trHeight w:val="980"/>
        </w:trPr>
        <w:tc>
          <w:tcPr>
            <w:tcW w:w="8755" w:type="dxa"/>
            <w:gridSpan w:val="2"/>
          </w:tcPr>
          <w:p w14:paraId="3BD81397" w14:textId="77777777" w:rsidR="00F1341F" w:rsidRPr="008340BB" w:rsidRDefault="00780A78" w:rsidP="00435AC3">
            <w:pPr>
              <w:widowControl w:val="0"/>
              <w:autoSpaceDE w:val="0"/>
              <w:autoSpaceDN w:val="0"/>
              <w:adjustRightInd w:val="0"/>
              <w:ind w:right="2"/>
            </w:pPr>
            <w:r>
              <w:t xml:space="preserve">Project </w:t>
            </w:r>
            <w:r w:rsidR="00F1341F" w:rsidRPr="008340BB">
              <w:t xml:space="preserve">Construction of </w:t>
            </w:r>
            <w:r w:rsidR="00527D28" w:rsidRPr="008340BB">
              <w:t>metroline</w:t>
            </w:r>
            <w:r w:rsidR="00F1341F" w:rsidRPr="008340BB">
              <w:t xml:space="preserve"> </w:t>
            </w:r>
            <w:r w:rsidR="00202061">
              <w:t xml:space="preserve">3 </w:t>
            </w:r>
            <w:r w:rsidR="00F1341F" w:rsidRPr="008340BB">
              <w:t>of Sofia Metro “Botevgradsko Shose Blvd. - Vladimir Vazov Blvd.- Central Urban Area - Ovcha Kupel Residential Area”</w:t>
            </w:r>
          </w:p>
          <w:p w14:paraId="6B745B66" w14:textId="77777777" w:rsidR="00F1341F" w:rsidRPr="008340BB" w:rsidRDefault="00F1341F" w:rsidP="00583874">
            <w:pPr>
              <w:autoSpaceDE w:val="0"/>
              <w:autoSpaceDN w:val="0"/>
              <w:adjustRightInd w:val="0"/>
              <w:rPr>
                <w:rStyle w:val="hps"/>
              </w:rPr>
            </w:pPr>
            <w:r w:rsidRPr="008340BB">
              <w:rPr>
                <w:rStyle w:val="hps"/>
              </w:rPr>
              <w:t>Preparation</w:t>
            </w:r>
            <w:r w:rsidR="00780A78">
              <w:rPr>
                <w:rStyle w:val="hps"/>
                <w:lang w:val="en-US"/>
              </w:rPr>
              <w:t>s</w:t>
            </w:r>
            <w:r w:rsidRPr="008340BB">
              <w:rPr>
                <w:rStyle w:val="hps"/>
              </w:rPr>
              <w:t xml:space="preserve"> </w:t>
            </w:r>
            <w:r w:rsidRPr="008340BB">
              <w:t xml:space="preserve"> </w:t>
            </w:r>
            <w:r w:rsidR="00780A78">
              <w:rPr>
                <w:rStyle w:val="hps"/>
              </w:rPr>
              <w:t>are</w:t>
            </w:r>
            <w:r w:rsidRPr="008340BB">
              <w:t xml:space="preserve"> at </w:t>
            </w:r>
            <w:r w:rsidRPr="008340BB">
              <w:rPr>
                <w:rStyle w:val="hps"/>
              </w:rPr>
              <w:t>the following implementation phase</w:t>
            </w:r>
            <w:r w:rsidR="00780A78">
              <w:rPr>
                <w:rStyle w:val="hps"/>
              </w:rPr>
              <w:t>:</w:t>
            </w:r>
          </w:p>
          <w:p w14:paraId="69E34632" w14:textId="77777777" w:rsidR="00F1341F" w:rsidRPr="008340BB" w:rsidRDefault="00F1341F" w:rsidP="00583874">
            <w:pPr>
              <w:pStyle w:val="ListParagraph"/>
              <w:numPr>
                <w:ilvl w:val="0"/>
                <w:numId w:val="52"/>
              </w:numPr>
              <w:autoSpaceDE w:val="0"/>
              <w:autoSpaceDN w:val="0"/>
              <w:adjustRightInd w:val="0"/>
              <w:rPr>
                <w:rStyle w:val="hps"/>
              </w:rPr>
            </w:pPr>
            <w:r w:rsidRPr="008340BB">
              <w:rPr>
                <w:rStyle w:val="hps"/>
              </w:rPr>
              <w:t>available conceptual</w:t>
            </w:r>
            <w:r w:rsidRPr="008340BB">
              <w:t xml:space="preserve"> </w:t>
            </w:r>
            <w:r w:rsidRPr="008340BB">
              <w:rPr>
                <w:rStyle w:val="hps"/>
              </w:rPr>
              <w:t xml:space="preserve">design; </w:t>
            </w:r>
          </w:p>
          <w:p w14:paraId="4F08ECF7" w14:textId="77777777" w:rsidR="00F1341F" w:rsidRPr="008340BB" w:rsidRDefault="00F1341F" w:rsidP="00583874">
            <w:pPr>
              <w:pStyle w:val="ListParagraph"/>
              <w:numPr>
                <w:ilvl w:val="0"/>
                <w:numId w:val="52"/>
              </w:numPr>
              <w:autoSpaceDE w:val="0"/>
              <w:autoSpaceDN w:val="0"/>
              <w:adjustRightInd w:val="0"/>
              <w:rPr>
                <w:rStyle w:val="hps"/>
              </w:rPr>
            </w:pPr>
            <w:r w:rsidRPr="008340BB">
              <w:rPr>
                <w:rStyle w:val="hps"/>
              </w:rPr>
              <w:t>available technical design by the mid-2016;</w:t>
            </w:r>
          </w:p>
          <w:p w14:paraId="2477A2CA" w14:textId="77777777" w:rsidR="00F1341F" w:rsidRPr="008340BB" w:rsidRDefault="00F1341F" w:rsidP="00583874">
            <w:pPr>
              <w:pStyle w:val="ListParagraph"/>
              <w:numPr>
                <w:ilvl w:val="0"/>
                <w:numId w:val="52"/>
              </w:numPr>
              <w:autoSpaceDE w:val="0"/>
              <w:autoSpaceDN w:val="0"/>
              <w:adjustRightInd w:val="0"/>
              <w:rPr>
                <w:rStyle w:val="hps"/>
              </w:rPr>
            </w:pPr>
            <w:r w:rsidRPr="008340BB">
              <w:rPr>
                <w:rStyle w:val="hps"/>
              </w:rPr>
              <w:t>available EIA report;</w:t>
            </w:r>
          </w:p>
          <w:p w14:paraId="1CACD7CE" w14:textId="77777777" w:rsidR="00F1341F" w:rsidRPr="008340BB" w:rsidRDefault="00F1341F" w:rsidP="00E053D5">
            <w:pPr>
              <w:pStyle w:val="ListParagraph"/>
              <w:numPr>
                <w:ilvl w:val="0"/>
                <w:numId w:val="52"/>
              </w:numPr>
              <w:autoSpaceDE w:val="0"/>
              <w:autoSpaceDN w:val="0"/>
              <w:adjustRightInd w:val="0"/>
            </w:pPr>
            <w:r w:rsidRPr="008340BB">
              <w:rPr>
                <w:rStyle w:val="hps"/>
              </w:rPr>
              <w:t xml:space="preserve">conducting land acquisitions – not applicable. </w:t>
            </w:r>
          </w:p>
        </w:tc>
      </w:tr>
    </w:tbl>
    <w:p w14:paraId="7D7DD463" w14:textId="77777777" w:rsidR="00F1341F" w:rsidRPr="008340BB" w:rsidRDefault="00F1341F" w:rsidP="00D14C5F">
      <w:pPr>
        <w:rPr>
          <w:b/>
          <w:i/>
        </w:rPr>
      </w:pPr>
    </w:p>
    <w:p w14:paraId="5F49E747" w14:textId="77777777" w:rsidR="00F1341F" w:rsidRPr="008340BB" w:rsidRDefault="00F1341F" w:rsidP="00D14C5F">
      <w:pPr>
        <w:rPr>
          <w:b/>
          <w:i/>
        </w:rPr>
      </w:pPr>
      <w:r w:rsidRPr="008340BB">
        <w:rPr>
          <w:b/>
          <w:i/>
        </w:rPr>
        <w:lastRenderedPageBreak/>
        <w:t>2.A.3.3.2.5</w:t>
      </w:r>
      <w:r w:rsidRPr="008340BB">
        <w:rPr>
          <w:b/>
          <w:i/>
        </w:rPr>
        <w:tab/>
        <w:t xml:space="preserve"> Output indicators by investment priority and, where appropriate by category of region</w:t>
      </w:r>
    </w:p>
    <w:p w14:paraId="313A7ED0" w14:textId="77777777" w:rsidR="00F1341F" w:rsidRPr="008340BB" w:rsidRDefault="00F1341F" w:rsidP="00D14C5F">
      <w:r w:rsidRPr="008340BB">
        <w:t>(Reference: point (b)(iv) of the first subparagraph of</w:t>
      </w:r>
      <w:r w:rsidRPr="008340BB">
        <w:rPr>
          <w:i/>
        </w:rPr>
        <w:t xml:space="preserve"> </w:t>
      </w:r>
      <w:r w:rsidRPr="008340BB">
        <w:t>Article 96(2) of Regulation (EU) No 1303/2013)</w:t>
      </w:r>
    </w:p>
    <w:p w14:paraId="2C1FBA3F" w14:textId="77777777" w:rsidR="00F1341F" w:rsidRPr="008340BB" w:rsidRDefault="00F1341F" w:rsidP="00D14C5F">
      <w:pPr>
        <w:rPr>
          <w:b/>
        </w:rPr>
      </w:pPr>
    </w:p>
    <w:p w14:paraId="5838BDB4" w14:textId="77777777" w:rsidR="00F1341F" w:rsidRPr="008340BB" w:rsidRDefault="00F1341F" w:rsidP="00D14C5F">
      <w:pPr>
        <w:rPr>
          <w:b/>
        </w:rPr>
      </w:pPr>
      <w:r w:rsidRPr="008340BB">
        <w:rPr>
          <w:b/>
        </w:rPr>
        <w:t xml:space="preserve">Table 5: </w:t>
      </w:r>
      <w:r w:rsidRPr="008340BB">
        <w:rPr>
          <w:b/>
        </w:rPr>
        <w:tab/>
        <w:t xml:space="preserve">Common and programme-specific output indicators </w:t>
      </w:r>
    </w:p>
    <w:p w14:paraId="13D292C9" w14:textId="77777777" w:rsidR="00F1341F" w:rsidRPr="008340BB" w:rsidRDefault="00F1341F" w:rsidP="00D14C5F">
      <w:r w:rsidRPr="008340BB">
        <w:t>(by investment priority, broken down by category of region for the ESF, and where relevant, for the ERDF)</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4"/>
        <w:gridCol w:w="1300"/>
        <w:gridCol w:w="1356"/>
        <w:gridCol w:w="1039"/>
        <w:gridCol w:w="1041"/>
        <w:gridCol w:w="1274"/>
        <w:gridCol w:w="1383"/>
        <w:gridCol w:w="1537"/>
      </w:tblGrid>
      <w:tr w:rsidR="00F1341F" w:rsidRPr="008340BB" w14:paraId="33B30DC9" w14:textId="77777777" w:rsidTr="00371520">
        <w:trPr>
          <w:trHeight w:val="466"/>
          <w:jc w:val="center"/>
        </w:trPr>
        <w:tc>
          <w:tcPr>
            <w:tcW w:w="1072" w:type="pct"/>
            <w:gridSpan w:val="2"/>
          </w:tcPr>
          <w:p w14:paraId="1055EE2E" w14:textId="77777777" w:rsidR="00F1341F" w:rsidRPr="008340BB" w:rsidRDefault="00F1341F" w:rsidP="001B395D">
            <w:pPr>
              <w:pStyle w:val="ListDash"/>
              <w:numPr>
                <w:ilvl w:val="0"/>
                <w:numId w:val="0"/>
              </w:numPr>
              <w:ind w:left="283" w:hanging="283"/>
              <w:rPr>
                <w:b/>
                <w:i/>
                <w:sz w:val="16"/>
                <w:szCs w:val="16"/>
              </w:rPr>
            </w:pPr>
            <w:r w:rsidRPr="008340BB">
              <w:rPr>
                <w:b/>
                <w:bCs/>
                <w:i/>
                <w:sz w:val="16"/>
                <w:szCs w:val="16"/>
                <w:lang w:eastAsia="bg-BG"/>
              </w:rPr>
              <w:t>Investment priority</w:t>
            </w:r>
          </w:p>
        </w:tc>
        <w:tc>
          <w:tcPr>
            <w:tcW w:w="3928" w:type="pct"/>
            <w:gridSpan w:val="6"/>
          </w:tcPr>
          <w:p w14:paraId="4B9F274A" w14:textId="77777777" w:rsidR="00F1341F" w:rsidRPr="008340BB" w:rsidRDefault="00F1341F" w:rsidP="00371520">
            <w:pPr>
              <w:pStyle w:val="ListDash"/>
              <w:numPr>
                <w:ilvl w:val="0"/>
                <w:numId w:val="0"/>
              </w:numPr>
              <w:rPr>
                <w:b/>
                <w:i/>
                <w:sz w:val="16"/>
                <w:szCs w:val="16"/>
              </w:rPr>
            </w:pPr>
            <w:r w:rsidRPr="008340BB">
              <w:rPr>
                <w:b/>
                <w:bCs/>
                <w:i/>
                <w:sz w:val="16"/>
                <w:szCs w:val="16"/>
                <w:lang w:eastAsia="bg-BG"/>
              </w:rPr>
              <w:t>4e - Promoting low-carbon strategies for all types of territories, in particular for urban areas, including the promotion of sustainable multimodal urban mobility and mitigation-relevant adaptation measures</w:t>
            </w:r>
          </w:p>
        </w:tc>
      </w:tr>
      <w:tr w:rsidR="00F1341F" w:rsidRPr="008340BB" w14:paraId="5F1DE5BC" w14:textId="77777777" w:rsidTr="00515273">
        <w:trPr>
          <w:trHeight w:val="954"/>
          <w:jc w:val="center"/>
        </w:trPr>
        <w:tc>
          <w:tcPr>
            <w:tcW w:w="403" w:type="pct"/>
          </w:tcPr>
          <w:p w14:paraId="7724B1EE" w14:textId="77777777" w:rsidR="00F1341F" w:rsidRPr="008340BB" w:rsidRDefault="00F1341F" w:rsidP="001B395D">
            <w:pPr>
              <w:pStyle w:val="ListDash"/>
              <w:numPr>
                <w:ilvl w:val="0"/>
                <w:numId w:val="0"/>
              </w:numPr>
              <w:ind w:left="283" w:hanging="283"/>
              <w:rPr>
                <w:b/>
                <w:i/>
                <w:sz w:val="16"/>
                <w:szCs w:val="16"/>
              </w:rPr>
            </w:pPr>
            <w:r w:rsidRPr="008340BB">
              <w:rPr>
                <w:b/>
                <w:i/>
                <w:sz w:val="16"/>
                <w:szCs w:val="16"/>
              </w:rPr>
              <w:t>ID</w:t>
            </w:r>
          </w:p>
        </w:tc>
        <w:tc>
          <w:tcPr>
            <w:tcW w:w="669" w:type="pct"/>
          </w:tcPr>
          <w:p w14:paraId="55CAF677" w14:textId="77777777" w:rsidR="00F1341F" w:rsidRPr="008340BB" w:rsidRDefault="00F1341F" w:rsidP="001B395D">
            <w:pPr>
              <w:pStyle w:val="ListDash"/>
              <w:numPr>
                <w:ilvl w:val="0"/>
                <w:numId w:val="0"/>
              </w:numPr>
              <w:ind w:left="283" w:hanging="283"/>
              <w:rPr>
                <w:b/>
                <w:i/>
                <w:sz w:val="16"/>
                <w:szCs w:val="16"/>
              </w:rPr>
            </w:pPr>
            <w:r w:rsidRPr="008340BB">
              <w:rPr>
                <w:b/>
                <w:i/>
                <w:sz w:val="16"/>
                <w:szCs w:val="16"/>
              </w:rPr>
              <w:t xml:space="preserve">Indicator </w:t>
            </w:r>
          </w:p>
        </w:tc>
        <w:tc>
          <w:tcPr>
            <w:tcW w:w="698" w:type="pct"/>
          </w:tcPr>
          <w:p w14:paraId="665E0892" w14:textId="77777777" w:rsidR="00F1341F" w:rsidRPr="008340BB" w:rsidRDefault="00F1341F" w:rsidP="001B395D">
            <w:pPr>
              <w:pStyle w:val="ListDash"/>
              <w:numPr>
                <w:ilvl w:val="0"/>
                <w:numId w:val="0"/>
              </w:numPr>
              <w:rPr>
                <w:b/>
                <w:i/>
                <w:sz w:val="16"/>
                <w:szCs w:val="16"/>
              </w:rPr>
            </w:pPr>
            <w:r w:rsidRPr="008340BB">
              <w:rPr>
                <w:b/>
                <w:i/>
                <w:sz w:val="16"/>
                <w:szCs w:val="16"/>
              </w:rPr>
              <w:t>Measurement unit</w:t>
            </w:r>
          </w:p>
        </w:tc>
        <w:tc>
          <w:tcPr>
            <w:tcW w:w="535" w:type="pct"/>
          </w:tcPr>
          <w:p w14:paraId="407BC4F9" w14:textId="77777777" w:rsidR="00F1341F" w:rsidRPr="008340BB" w:rsidRDefault="00F1341F" w:rsidP="001B395D">
            <w:pPr>
              <w:pStyle w:val="ListDash"/>
              <w:numPr>
                <w:ilvl w:val="0"/>
                <w:numId w:val="0"/>
              </w:numPr>
              <w:rPr>
                <w:b/>
                <w:i/>
                <w:sz w:val="16"/>
                <w:szCs w:val="16"/>
              </w:rPr>
            </w:pPr>
            <w:r w:rsidRPr="008340BB">
              <w:rPr>
                <w:b/>
                <w:i/>
                <w:sz w:val="16"/>
                <w:szCs w:val="16"/>
              </w:rPr>
              <w:t xml:space="preserve">Fund </w:t>
            </w:r>
          </w:p>
        </w:tc>
        <w:tc>
          <w:tcPr>
            <w:tcW w:w="536" w:type="pct"/>
          </w:tcPr>
          <w:p w14:paraId="67404891" w14:textId="77777777" w:rsidR="00F1341F" w:rsidRPr="008340BB" w:rsidRDefault="00F1341F" w:rsidP="005A26B1">
            <w:pPr>
              <w:pStyle w:val="ListDash"/>
              <w:numPr>
                <w:ilvl w:val="0"/>
                <w:numId w:val="0"/>
              </w:numPr>
              <w:jc w:val="left"/>
              <w:rPr>
                <w:b/>
                <w:i/>
                <w:sz w:val="16"/>
                <w:szCs w:val="16"/>
              </w:rPr>
            </w:pPr>
            <w:r w:rsidRPr="008340BB">
              <w:rPr>
                <w:b/>
                <w:i/>
                <w:sz w:val="16"/>
                <w:szCs w:val="16"/>
              </w:rPr>
              <w:t xml:space="preserve">Category of region (where relevant ) </w:t>
            </w:r>
          </w:p>
        </w:tc>
        <w:tc>
          <w:tcPr>
            <w:tcW w:w="656" w:type="pct"/>
          </w:tcPr>
          <w:p w14:paraId="282CC0CA" w14:textId="77777777" w:rsidR="00F1341F" w:rsidRPr="008340BB" w:rsidRDefault="00F1341F" w:rsidP="005A26B1">
            <w:pPr>
              <w:pStyle w:val="ListDash"/>
              <w:numPr>
                <w:ilvl w:val="0"/>
                <w:numId w:val="0"/>
              </w:numPr>
              <w:jc w:val="left"/>
              <w:rPr>
                <w:b/>
                <w:i/>
                <w:sz w:val="16"/>
                <w:szCs w:val="16"/>
              </w:rPr>
            </w:pPr>
            <w:r w:rsidRPr="008340BB">
              <w:rPr>
                <w:b/>
                <w:i/>
                <w:sz w:val="16"/>
                <w:szCs w:val="16"/>
              </w:rPr>
              <w:t>Target value (2023)</w:t>
            </w:r>
            <w:r w:rsidRPr="008340BB">
              <w:rPr>
                <w:rStyle w:val="FootnoteReference"/>
                <w:b/>
                <w:i/>
                <w:sz w:val="16"/>
                <w:szCs w:val="16"/>
              </w:rPr>
              <w:footnoteReference w:id="43"/>
            </w:r>
          </w:p>
        </w:tc>
        <w:tc>
          <w:tcPr>
            <w:tcW w:w="712" w:type="pct"/>
          </w:tcPr>
          <w:p w14:paraId="57ECBE41" w14:textId="77777777" w:rsidR="00F1341F" w:rsidRPr="008340BB" w:rsidRDefault="00F1341F" w:rsidP="001B395D">
            <w:pPr>
              <w:pStyle w:val="ListDash"/>
              <w:numPr>
                <w:ilvl w:val="0"/>
                <w:numId w:val="0"/>
              </w:numPr>
              <w:rPr>
                <w:b/>
                <w:i/>
                <w:sz w:val="16"/>
                <w:szCs w:val="16"/>
              </w:rPr>
            </w:pPr>
            <w:r w:rsidRPr="008340BB">
              <w:rPr>
                <w:b/>
                <w:i/>
                <w:sz w:val="16"/>
                <w:szCs w:val="16"/>
              </w:rPr>
              <w:t>Source of data</w:t>
            </w:r>
          </w:p>
        </w:tc>
        <w:tc>
          <w:tcPr>
            <w:tcW w:w="791" w:type="pct"/>
          </w:tcPr>
          <w:p w14:paraId="304B9849" w14:textId="77777777" w:rsidR="00F1341F" w:rsidRPr="008340BB" w:rsidRDefault="00F1341F" w:rsidP="005A26B1">
            <w:pPr>
              <w:pStyle w:val="ListDash"/>
              <w:numPr>
                <w:ilvl w:val="0"/>
                <w:numId w:val="0"/>
              </w:numPr>
              <w:jc w:val="left"/>
              <w:rPr>
                <w:b/>
                <w:i/>
                <w:sz w:val="16"/>
                <w:szCs w:val="16"/>
              </w:rPr>
            </w:pPr>
            <w:r w:rsidRPr="008340BB">
              <w:rPr>
                <w:b/>
                <w:i/>
                <w:sz w:val="16"/>
                <w:szCs w:val="16"/>
              </w:rPr>
              <w:t>Frequency of reporting</w:t>
            </w:r>
          </w:p>
        </w:tc>
      </w:tr>
      <w:tr w:rsidR="00F1341F" w:rsidRPr="008340BB" w14:paraId="50C5D55C" w14:textId="77777777" w:rsidTr="00515273">
        <w:trPr>
          <w:trHeight w:val="79"/>
          <w:jc w:val="center"/>
        </w:trPr>
        <w:tc>
          <w:tcPr>
            <w:tcW w:w="403" w:type="pct"/>
          </w:tcPr>
          <w:p w14:paraId="19034680" w14:textId="77777777" w:rsidR="00F1341F" w:rsidRPr="008340BB" w:rsidRDefault="001E55E9" w:rsidP="001B395D">
            <w:pPr>
              <w:pStyle w:val="ListDash"/>
              <w:numPr>
                <w:ilvl w:val="0"/>
                <w:numId w:val="0"/>
              </w:numPr>
              <w:rPr>
                <w:sz w:val="20"/>
              </w:rPr>
            </w:pPr>
            <w:r>
              <w:rPr>
                <w:sz w:val="20"/>
              </w:rPr>
              <w:t>CO</w:t>
            </w:r>
            <w:r w:rsidR="00F1341F" w:rsidRPr="008340BB">
              <w:rPr>
                <w:sz w:val="20"/>
              </w:rPr>
              <w:t>15</w:t>
            </w:r>
          </w:p>
        </w:tc>
        <w:tc>
          <w:tcPr>
            <w:tcW w:w="669" w:type="pct"/>
          </w:tcPr>
          <w:p w14:paraId="2DB450E0" w14:textId="77777777" w:rsidR="00F1341F" w:rsidRPr="008340BB" w:rsidRDefault="00F1341F" w:rsidP="001B395D">
            <w:pPr>
              <w:pStyle w:val="ListDash"/>
              <w:numPr>
                <w:ilvl w:val="0"/>
                <w:numId w:val="0"/>
              </w:numPr>
              <w:rPr>
                <w:sz w:val="20"/>
              </w:rPr>
            </w:pPr>
            <w:r w:rsidRPr="008340BB">
              <w:rPr>
                <w:sz w:val="20"/>
              </w:rPr>
              <w:t>Total length of new or improved tram and metro lines</w:t>
            </w:r>
            <w:r w:rsidRPr="008340BB" w:rsidDel="00DD6ADE">
              <w:rPr>
                <w:sz w:val="20"/>
              </w:rPr>
              <w:t xml:space="preserve"> </w:t>
            </w:r>
          </w:p>
        </w:tc>
        <w:tc>
          <w:tcPr>
            <w:tcW w:w="698" w:type="pct"/>
          </w:tcPr>
          <w:p w14:paraId="798F79F0" w14:textId="77777777" w:rsidR="00F1341F" w:rsidRPr="008340BB" w:rsidRDefault="00F1341F" w:rsidP="001B395D">
            <w:pPr>
              <w:pStyle w:val="ListDash"/>
              <w:numPr>
                <w:ilvl w:val="0"/>
                <w:numId w:val="0"/>
              </w:numPr>
              <w:rPr>
                <w:sz w:val="20"/>
              </w:rPr>
            </w:pPr>
            <w:r w:rsidRPr="008340BB">
              <w:rPr>
                <w:sz w:val="20"/>
              </w:rPr>
              <w:t>km</w:t>
            </w:r>
            <w:r w:rsidRPr="008340BB" w:rsidDel="00DD6ADE">
              <w:rPr>
                <w:sz w:val="20"/>
              </w:rPr>
              <w:t xml:space="preserve"> </w:t>
            </w:r>
          </w:p>
        </w:tc>
        <w:tc>
          <w:tcPr>
            <w:tcW w:w="535" w:type="pct"/>
          </w:tcPr>
          <w:p w14:paraId="1045E0DB" w14:textId="77777777" w:rsidR="00F1341F" w:rsidRPr="008340BB" w:rsidRDefault="00F1341F" w:rsidP="001B395D">
            <w:pPr>
              <w:pStyle w:val="ListDash"/>
              <w:numPr>
                <w:ilvl w:val="0"/>
                <w:numId w:val="0"/>
              </w:numPr>
              <w:rPr>
                <w:i/>
                <w:sz w:val="20"/>
              </w:rPr>
            </w:pPr>
            <w:r w:rsidRPr="008340BB">
              <w:rPr>
                <w:sz w:val="20"/>
              </w:rPr>
              <w:t>ERDF</w:t>
            </w:r>
            <w:r w:rsidRPr="008340BB" w:rsidDel="00DD6ADE">
              <w:rPr>
                <w:sz w:val="20"/>
              </w:rPr>
              <w:t xml:space="preserve"> </w:t>
            </w:r>
          </w:p>
        </w:tc>
        <w:tc>
          <w:tcPr>
            <w:tcW w:w="536" w:type="pct"/>
          </w:tcPr>
          <w:p w14:paraId="63CFDDFD" w14:textId="77777777" w:rsidR="00F1341F" w:rsidRPr="008340BB" w:rsidRDefault="00F1341F" w:rsidP="001B395D">
            <w:pPr>
              <w:pStyle w:val="ListDash"/>
              <w:numPr>
                <w:ilvl w:val="0"/>
                <w:numId w:val="0"/>
              </w:numPr>
              <w:rPr>
                <w:i/>
                <w:sz w:val="20"/>
              </w:rPr>
            </w:pPr>
            <w:r w:rsidRPr="008340BB">
              <w:rPr>
                <w:sz w:val="20"/>
              </w:rPr>
              <w:t>Less developed regions</w:t>
            </w:r>
            <w:r w:rsidRPr="008340BB" w:rsidDel="00DD6ADE">
              <w:rPr>
                <w:sz w:val="20"/>
              </w:rPr>
              <w:t xml:space="preserve"> </w:t>
            </w:r>
          </w:p>
        </w:tc>
        <w:tc>
          <w:tcPr>
            <w:tcW w:w="656" w:type="pct"/>
          </w:tcPr>
          <w:p w14:paraId="52387C89" w14:textId="77777777" w:rsidR="00AE145C" w:rsidRDefault="00AE145C" w:rsidP="001B395D">
            <w:pPr>
              <w:pStyle w:val="ListDash"/>
              <w:numPr>
                <w:ilvl w:val="0"/>
                <w:numId w:val="0"/>
              </w:numPr>
              <w:rPr>
                <w:sz w:val="20"/>
              </w:rPr>
            </w:pPr>
            <w:r>
              <w:rPr>
                <w:sz w:val="20"/>
              </w:rPr>
              <w:t>13.10</w:t>
            </w:r>
          </w:p>
          <w:p w14:paraId="38842819" w14:textId="0EC9089F" w:rsidR="00F1341F" w:rsidRPr="008340BB" w:rsidRDefault="00F1341F" w:rsidP="001B395D">
            <w:pPr>
              <w:pStyle w:val="ListDash"/>
              <w:numPr>
                <w:ilvl w:val="0"/>
                <w:numId w:val="0"/>
              </w:numPr>
              <w:rPr>
                <w:i/>
                <w:sz w:val="20"/>
              </w:rPr>
            </w:pPr>
          </w:p>
        </w:tc>
        <w:tc>
          <w:tcPr>
            <w:tcW w:w="712" w:type="pct"/>
          </w:tcPr>
          <w:p w14:paraId="41032438" w14:textId="77777777" w:rsidR="00F1341F" w:rsidRPr="008340BB" w:rsidRDefault="00F1341F" w:rsidP="001B395D">
            <w:pPr>
              <w:pStyle w:val="ListDash"/>
              <w:numPr>
                <w:ilvl w:val="0"/>
                <w:numId w:val="0"/>
              </w:numPr>
              <w:rPr>
                <w:sz w:val="20"/>
              </w:rPr>
            </w:pPr>
            <w:r w:rsidRPr="008340BB">
              <w:rPr>
                <w:sz w:val="20"/>
              </w:rPr>
              <w:t>Metropolitan EAD</w:t>
            </w:r>
            <w:r w:rsidRPr="008340BB" w:rsidDel="00DD6ADE">
              <w:rPr>
                <w:sz w:val="20"/>
              </w:rPr>
              <w:t xml:space="preserve"> </w:t>
            </w:r>
          </w:p>
        </w:tc>
        <w:tc>
          <w:tcPr>
            <w:tcW w:w="791" w:type="pct"/>
          </w:tcPr>
          <w:p w14:paraId="309149B8" w14:textId="77777777" w:rsidR="00F1341F" w:rsidRPr="008340BB" w:rsidRDefault="004F2F5A" w:rsidP="001B395D">
            <w:pPr>
              <w:pStyle w:val="ListDash"/>
              <w:numPr>
                <w:ilvl w:val="0"/>
                <w:numId w:val="0"/>
              </w:numPr>
              <w:rPr>
                <w:sz w:val="20"/>
              </w:rPr>
            </w:pPr>
            <w:r>
              <w:rPr>
                <w:sz w:val="20"/>
              </w:rPr>
              <w:t>annually</w:t>
            </w:r>
            <w:r w:rsidR="00F1341F" w:rsidRPr="008340BB">
              <w:rPr>
                <w:sz w:val="20"/>
              </w:rPr>
              <w:t xml:space="preserve"> </w:t>
            </w:r>
          </w:p>
        </w:tc>
      </w:tr>
      <w:tr w:rsidR="00F1341F" w:rsidRPr="008340BB" w14:paraId="507E536B" w14:textId="77777777" w:rsidTr="00515273">
        <w:trPr>
          <w:trHeight w:val="79"/>
          <w:jc w:val="center"/>
        </w:trPr>
        <w:tc>
          <w:tcPr>
            <w:tcW w:w="403" w:type="pct"/>
          </w:tcPr>
          <w:p w14:paraId="50970921" w14:textId="77777777" w:rsidR="00F1341F" w:rsidRPr="00CD1188" w:rsidRDefault="00F1341F" w:rsidP="001B395D">
            <w:pPr>
              <w:pStyle w:val="ListDash"/>
              <w:numPr>
                <w:ilvl w:val="0"/>
                <w:numId w:val="0"/>
              </w:numPr>
              <w:rPr>
                <w:sz w:val="20"/>
              </w:rPr>
            </w:pPr>
            <w:r w:rsidRPr="00CD1188">
              <w:rPr>
                <w:sz w:val="20"/>
              </w:rPr>
              <w:t>16</w:t>
            </w:r>
          </w:p>
        </w:tc>
        <w:tc>
          <w:tcPr>
            <w:tcW w:w="669" w:type="pct"/>
          </w:tcPr>
          <w:p w14:paraId="4D46279B" w14:textId="77777777" w:rsidR="00F1341F" w:rsidRPr="00CD1188" w:rsidRDefault="00F1341F" w:rsidP="001B395D">
            <w:pPr>
              <w:pStyle w:val="ListDash"/>
              <w:numPr>
                <w:ilvl w:val="0"/>
                <w:numId w:val="0"/>
              </w:numPr>
              <w:rPr>
                <w:sz w:val="20"/>
              </w:rPr>
            </w:pPr>
            <w:r w:rsidRPr="00CD1188">
              <w:rPr>
                <w:sz w:val="20"/>
              </w:rPr>
              <w:t>New metro stations</w:t>
            </w:r>
          </w:p>
        </w:tc>
        <w:tc>
          <w:tcPr>
            <w:tcW w:w="698" w:type="pct"/>
          </w:tcPr>
          <w:p w14:paraId="176A3F60" w14:textId="77777777" w:rsidR="00F1341F" w:rsidRPr="008340BB" w:rsidRDefault="00F1341F" w:rsidP="001B395D">
            <w:pPr>
              <w:pStyle w:val="ListDash"/>
              <w:numPr>
                <w:ilvl w:val="0"/>
                <w:numId w:val="0"/>
              </w:numPr>
              <w:rPr>
                <w:sz w:val="20"/>
              </w:rPr>
            </w:pPr>
            <w:r w:rsidRPr="008340BB">
              <w:rPr>
                <w:sz w:val="20"/>
              </w:rPr>
              <w:t>number</w:t>
            </w:r>
          </w:p>
        </w:tc>
        <w:tc>
          <w:tcPr>
            <w:tcW w:w="535" w:type="pct"/>
          </w:tcPr>
          <w:p w14:paraId="620E0616" w14:textId="77777777" w:rsidR="00F1341F" w:rsidRPr="008340BB" w:rsidRDefault="00F1341F" w:rsidP="001B395D">
            <w:pPr>
              <w:pStyle w:val="ListDash"/>
              <w:numPr>
                <w:ilvl w:val="0"/>
                <w:numId w:val="0"/>
              </w:numPr>
              <w:rPr>
                <w:sz w:val="20"/>
              </w:rPr>
            </w:pPr>
            <w:r w:rsidRPr="008340BB">
              <w:rPr>
                <w:sz w:val="20"/>
              </w:rPr>
              <w:t>ERDF</w:t>
            </w:r>
          </w:p>
        </w:tc>
        <w:tc>
          <w:tcPr>
            <w:tcW w:w="536" w:type="pct"/>
          </w:tcPr>
          <w:p w14:paraId="4F0C6D62" w14:textId="77777777" w:rsidR="00F1341F" w:rsidRPr="008340BB" w:rsidRDefault="00F1341F" w:rsidP="001B395D">
            <w:pPr>
              <w:pStyle w:val="ListDash"/>
              <w:numPr>
                <w:ilvl w:val="0"/>
                <w:numId w:val="0"/>
              </w:numPr>
              <w:rPr>
                <w:sz w:val="20"/>
              </w:rPr>
            </w:pPr>
            <w:r w:rsidRPr="008340BB">
              <w:rPr>
                <w:sz w:val="20"/>
              </w:rPr>
              <w:t>Less developed regions</w:t>
            </w:r>
          </w:p>
        </w:tc>
        <w:tc>
          <w:tcPr>
            <w:tcW w:w="656" w:type="pct"/>
          </w:tcPr>
          <w:p w14:paraId="68879F74" w14:textId="77777777" w:rsidR="00AE145C" w:rsidRDefault="00AE145C" w:rsidP="001B395D">
            <w:pPr>
              <w:pStyle w:val="ListDash"/>
              <w:numPr>
                <w:ilvl w:val="0"/>
                <w:numId w:val="0"/>
              </w:numPr>
              <w:rPr>
                <w:sz w:val="20"/>
              </w:rPr>
            </w:pPr>
            <w:r>
              <w:rPr>
                <w:sz w:val="20"/>
              </w:rPr>
              <w:t>13</w:t>
            </w:r>
          </w:p>
          <w:p w14:paraId="2ACD17F4" w14:textId="515C6EB6" w:rsidR="00F1341F" w:rsidRPr="008340BB" w:rsidRDefault="00F1341F" w:rsidP="001B395D">
            <w:pPr>
              <w:pStyle w:val="ListDash"/>
              <w:numPr>
                <w:ilvl w:val="0"/>
                <w:numId w:val="0"/>
              </w:numPr>
              <w:rPr>
                <w:sz w:val="20"/>
              </w:rPr>
            </w:pPr>
          </w:p>
        </w:tc>
        <w:tc>
          <w:tcPr>
            <w:tcW w:w="712" w:type="pct"/>
          </w:tcPr>
          <w:p w14:paraId="191CACD5" w14:textId="77777777" w:rsidR="00F1341F" w:rsidRPr="008340BB" w:rsidRDefault="00F1341F" w:rsidP="001B395D">
            <w:pPr>
              <w:pStyle w:val="ListDash"/>
              <w:numPr>
                <w:ilvl w:val="0"/>
                <w:numId w:val="0"/>
              </w:numPr>
              <w:rPr>
                <w:sz w:val="20"/>
              </w:rPr>
            </w:pPr>
            <w:r w:rsidRPr="008340BB">
              <w:rPr>
                <w:sz w:val="20"/>
              </w:rPr>
              <w:t>Metropolitan EAD</w:t>
            </w:r>
          </w:p>
        </w:tc>
        <w:tc>
          <w:tcPr>
            <w:tcW w:w="791" w:type="pct"/>
          </w:tcPr>
          <w:p w14:paraId="7C1F1BE6" w14:textId="77777777" w:rsidR="00F1341F" w:rsidRPr="008340BB" w:rsidRDefault="004F2F5A" w:rsidP="001B395D">
            <w:pPr>
              <w:pStyle w:val="ListDash"/>
              <w:numPr>
                <w:ilvl w:val="0"/>
                <w:numId w:val="0"/>
              </w:numPr>
              <w:rPr>
                <w:sz w:val="20"/>
              </w:rPr>
            </w:pPr>
            <w:r w:rsidRPr="004F2F5A">
              <w:rPr>
                <w:sz w:val="20"/>
              </w:rPr>
              <w:t>annually</w:t>
            </w:r>
          </w:p>
        </w:tc>
      </w:tr>
      <w:tr w:rsidR="00962952" w:rsidRPr="008340BB" w14:paraId="73065E06" w14:textId="77777777" w:rsidTr="00515273">
        <w:trPr>
          <w:trHeight w:val="79"/>
          <w:jc w:val="center"/>
        </w:trPr>
        <w:tc>
          <w:tcPr>
            <w:tcW w:w="403" w:type="pct"/>
          </w:tcPr>
          <w:p w14:paraId="19531C4C" w14:textId="77777777" w:rsidR="00962952" w:rsidRPr="00CD1188" w:rsidRDefault="00962952" w:rsidP="001B395D">
            <w:pPr>
              <w:pStyle w:val="ListDash"/>
              <w:numPr>
                <w:ilvl w:val="0"/>
                <w:numId w:val="0"/>
              </w:numPr>
              <w:rPr>
                <w:sz w:val="20"/>
              </w:rPr>
            </w:pPr>
            <w:r>
              <w:rPr>
                <w:sz w:val="20"/>
              </w:rPr>
              <w:t>17</w:t>
            </w:r>
          </w:p>
        </w:tc>
        <w:tc>
          <w:tcPr>
            <w:tcW w:w="669" w:type="pct"/>
          </w:tcPr>
          <w:p w14:paraId="24713CB8" w14:textId="77777777" w:rsidR="00962952" w:rsidRPr="00CD1188" w:rsidRDefault="00C60A2F" w:rsidP="001B395D">
            <w:pPr>
              <w:pStyle w:val="ListDash"/>
              <w:numPr>
                <w:ilvl w:val="0"/>
                <w:numId w:val="0"/>
              </w:numPr>
              <w:rPr>
                <w:sz w:val="20"/>
              </w:rPr>
            </w:pPr>
            <w:r>
              <w:rPr>
                <w:sz w:val="20"/>
              </w:rPr>
              <w:t>Depot</w:t>
            </w:r>
          </w:p>
        </w:tc>
        <w:tc>
          <w:tcPr>
            <w:tcW w:w="698" w:type="pct"/>
          </w:tcPr>
          <w:p w14:paraId="27331FA9" w14:textId="77777777" w:rsidR="00962952" w:rsidRPr="008340BB" w:rsidRDefault="00C60A2F" w:rsidP="001B395D">
            <w:pPr>
              <w:pStyle w:val="ListDash"/>
              <w:numPr>
                <w:ilvl w:val="0"/>
                <w:numId w:val="0"/>
              </w:numPr>
              <w:rPr>
                <w:sz w:val="20"/>
              </w:rPr>
            </w:pPr>
            <w:r>
              <w:rPr>
                <w:sz w:val="20"/>
              </w:rPr>
              <w:t>number</w:t>
            </w:r>
          </w:p>
        </w:tc>
        <w:tc>
          <w:tcPr>
            <w:tcW w:w="535" w:type="pct"/>
          </w:tcPr>
          <w:p w14:paraId="6F524E70" w14:textId="77777777" w:rsidR="00962952" w:rsidRPr="008340BB" w:rsidRDefault="00C60A2F" w:rsidP="001B395D">
            <w:pPr>
              <w:pStyle w:val="ListDash"/>
              <w:numPr>
                <w:ilvl w:val="0"/>
                <w:numId w:val="0"/>
              </w:numPr>
              <w:rPr>
                <w:sz w:val="20"/>
              </w:rPr>
            </w:pPr>
            <w:r>
              <w:rPr>
                <w:sz w:val="20"/>
              </w:rPr>
              <w:t>ERDF</w:t>
            </w:r>
          </w:p>
        </w:tc>
        <w:tc>
          <w:tcPr>
            <w:tcW w:w="536" w:type="pct"/>
          </w:tcPr>
          <w:p w14:paraId="439819CB" w14:textId="77777777" w:rsidR="00962952" w:rsidRPr="008340BB" w:rsidRDefault="00C60A2F" w:rsidP="001B395D">
            <w:pPr>
              <w:pStyle w:val="ListDash"/>
              <w:numPr>
                <w:ilvl w:val="0"/>
                <w:numId w:val="0"/>
              </w:numPr>
              <w:rPr>
                <w:sz w:val="20"/>
              </w:rPr>
            </w:pPr>
            <w:r w:rsidRPr="00C60A2F">
              <w:rPr>
                <w:sz w:val="20"/>
              </w:rPr>
              <w:t>Less developed regions</w:t>
            </w:r>
          </w:p>
        </w:tc>
        <w:tc>
          <w:tcPr>
            <w:tcW w:w="656" w:type="pct"/>
          </w:tcPr>
          <w:p w14:paraId="3D226B5F" w14:textId="77777777" w:rsidR="00962952" w:rsidRDefault="00C60A2F" w:rsidP="001B395D">
            <w:pPr>
              <w:pStyle w:val="ListDash"/>
              <w:numPr>
                <w:ilvl w:val="0"/>
                <w:numId w:val="0"/>
              </w:numPr>
              <w:rPr>
                <w:sz w:val="20"/>
              </w:rPr>
            </w:pPr>
            <w:r>
              <w:rPr>
                <w:sz w:val="20"/>
              </w:rPr>
              <w:t>1</w:t>
            </w:r>
          </w:p>
        </w:tc>
        <w:tc>
          <w:tcPr>
            <w:tcW w:w="712" w:type="pct"/>
          </w:tcPr>
          <w:p w14:paraId="6C7DE131" w14:textId="77777777" w:rsidR="00962952" w:rsidRPr="008340BB" w:rsidRDefault="00C60A2F" w:rsidP="001B395D">
            <w:pPr>
              <w:pStyle w:val="ListDash"/>
              <w:numPr>
                <w:ilvl w:val="0"/>
                <w:numId w:val="0"/>
              </w:numPr>
              <w:rPr>
                <w:sz w:val="20"/>
              </w:rPr>
            </w:pPr>
            <w:r w:rsidRPr="008340BB">
              <w:rPr>
                <w:sz w:val="20"/>
              </w:rPr>
              <w:t>Metropolitan EAD</w:t>
            </w:r>
          </w:p>
        </w:tc>
        <w:tc>
          <w:tcPr>
            <w:tcW w:w="791" w:type="pct"/>
          </w:tcPr>
          <w:p w14:paraId="34351228" w14:textId="77777777" w:rsidR="00962952" w:rsidRPr="004F2F5A" w:rsidRDefault="00C60A2F" w:rsidP="001B395D">
            <w:pPr>
              <w:pStyle w:val="ListDash"/>
              <w:numPr>
                <w:ilvl w:val="0"/>
                <w:numId w:val="0"/>
              </w:numPr>
              <w:rPr>
                <w:sz w:val="20"/>
              </w:rPr>
            </w:pPr>
            <w:r w:rsidRPr="00C60A2F">
              <w:rPr>
                <w:sz w:val="20"/>
              </w:rPr>
              <w:t>annually</w:t>
            </w:r>
          </w:p>
        </w:tc>
      </w:tr>
      <w:tr w:rsidR="00962952" w:rsidRPr="008340BB" w14:paraId="2B2D717E" w14:textId="77777777" w:rsidTr="00515273">
        <w:trPr>
          <w:trHeight w:val="79"/>
          <w:jc w:val="center"/>
        </w:trPr>
        <w:tc>
          <w:tcPr>
            <w:tcW w:w="403" w:type="pct"/>
          </w:tcPr>
          <w:p w14:paraId="5651EFAF" w14:textId="77777777" w:rsidR="00962952" w:rsidRPr="00CD1188" w:rsidRDefault="00962952" w:rsidP="001B395D">
            <w:pPr>
              <w:pStyle w:val="ListDash"/>
              <w:numPr>
                <w:ilvl w:val="0"/>
                <w:numId w:val="0"/>
              </w:numPr>
              <w:rPr>
                <w:sz w:val="20"/>
              </w:rPr>
            </w:pPr>
            <w:r>
              <w:rPr>
                <w:sz w:val="20"/>
              </w:rPr>
              <w:t>18</w:t>
            </w:r>
          </w:p>
        </w:tc>
        <w:tc>
          <w:tcPr>
            <w:tcW w:w="669" w:type="pct"/>
          </w:tcPr>
          <w:p w14:paraId="2064EECF" w14:textId="77777777" w:rsidR="00962952" w:rsidRPr="00CD1188" w:rsidRDefault="00991EE8" w:rsidP="001B395D">
            <w:pPr>
              <w:pStyle w:val="ListDash"/>
              <w:numPr>
                <w:ilvl w:val="0"/>
                <w:numId w:val="0"/>
              </w:numPr>
              <w:rPr>
                <w:sz w:val="20"/>
              </w:rPr>
            </w:pPr>
            <w:r>
              <w:rPr>
                <w:sz w:val="20"/>
              </w:rPr>
              <w:t xml:space="preserve">Metro trains </w:t>
            </w:r>
          </w:p>
        </w:tc>
        <w:tc>
          <w:tcPr>
            <w:tcW w:w="698" w:type="pct"/>
          </w:tcPr>
          <w:p w14:paraId="5B2A33B2" w14:textId="77777777" w:rsidR="00962952" w:rsidRPr="008340BB" w:rsidRDefault="00991EE8" w:rsidP="001B395D">
            <w:pPr>
              <w:pStyle w:val="ListDash"/>
              <w:numPr>
                <w:ilvl w:val="0"/>
                <w:numId w:val="0"/>
              </w:numPr>
              <w:rPr>
                <w:sz w:val="20"/>
              </w:rPr>
            </w:pPr>
            <w:r>
              <w:rPr>
                <w:sz w:val="20"/>
              </w:rPr>
              <w:t>number</w:t>
            </w:r>
          </w:p>
        </w:tc>
        <w:tc>
          <w:tcPr>
            <w:tcW w:w="535" w:type="pct"/>
          </w:tcPr>
          <w:p w14:paraId="7D0E0BDA" w14:textId="77777777" w:rsidR="00962952" w:rsidRPr="008340BB" w:rsidRDefault="00991EE8" w:rsidP="001B395D">
            <w:pPr>
              <w:pStyle w:val="ListDash"/>
              <w:numPr>
                <w:ilvl w:val="0"/>
                <w:numId w:val="0"/>
              </w:numPr>
              <w:rPr>
                <w:sz w:val="20"/>
              </w:rPr>
            </w:pPr>
            <w:r>
              <w:rPr>
                <w:sz w:val="20"/>
              </w:rPr>
              <w:t>ERDF</w:t>
            </w:r>
          </w:p>
        </w:tc>
        <w:tc>
          <w:tcPr>
            <w:tcW w:w="536" w:type="pct"/>
          </w:tcPr>
          <w:p w14:paraId="1EE9A262" w14:textId="77777777" w:rsidR="00962952" w:rsidRPr="008340BB" w:rsidRDefault="00991EE8" w:rsidP="001B395D">
            <w:pPr>
              <w:pStyle w:val="ListDash"/>
              <w:numPr>
                <w:ilvl w:val="0"/>
                <w:numId w:val="0"/>
              </w:numPr>
              <w:rPr>
                <w:sz w:val="20"/>
              </w:rPr>
            </w:pPr>
            <w:r w:rsidRPr="00991EE8">
              <w:rPr>
                <w:sz w:val="20"/>
              </w:rPr>
              <w:t>Less developed regions</w:t>
            </w:r>
          </w:p>
        </w:tc>
        <w:tc>
          <w:tcPr>
            <w:tcW w:w="656" w:type="pct"/>
          </w:tcPr>
          <w:p w14:paraId="04074A92" w14:textId="77777777" w:rsidR="00962952" w:rsidRDefault="00991EE8" w:rsidP="001B395D">
            <w:pPr>
              <w:pStyle w:val="ListDash"/>
              <w:numPr>
                <w:ilvl w:val="0"/>
                <w:numId w:val="0"/>
              </w:numPr>
              <w:rPr>
                <w:sz w:val="20"/>
              </w:rPr>
            </w:pPr>
            <w:r>
              <w:rPr>
                <w:sz w:val="20"/>
              </w:rPr>
              <w:t>20</w:t>
            </w:r>
          </w:p>
        </w:tc>
        <w:tc>
          <w:tcPr>
            <w:tcW w:w="712" w:type="pct"/>
          </w:tcPr>
          <w:p w14:paraId="26C462A9" w14:textId="77777777" w:rsidR="00962952" w:rsidRPr="008340BB" w:rsidRDefault="00991EE8" w:rsidP="001B395D">
            <w:pPr>
              <w:pStyle w:val="ListDash"/>
              <w:numPr>
                <w:ilvl w:val="0"/>
                <w:numId w:val="0"/>
              </w:numPr>
              <w:rPr>
                <w:sz w:val="20"/>
              </w:rPr>
            </w:pPr>
            <w:r w:rsidRPr="008340BB">
              <w:rPr>
                <w:sz w:val="20"/>
              </w:rPr>
              <w:t>Metropolitan EAD</w:t>
            </w:r>
          </w:p>
        </w:tc>
        <w:tc>
          <w:tcPr>
            <w:tcW w:w="791" w:type="pct"/>
          </w:tcPr>
          <w:p w14:paraId="5709B9E5" w14:textId="77777777" w:rsidR="00962952" w:rsidRPr="004F2F5A" w:rsidRDefault="00991EE8" w:rsidP="001B395D">
            <w:pPr>
              <w:pStyle w:val="ListDash"/>
              <w:numPr>
                <w:ilvl w:val="0"/>
                <w:numId w:val="0"/>
              </w:numPr>
              <w:rPr>
                <w:sz w:val="20"/>
              </w:rPr>
            </w:pPr>
            <w:r w:rsidRPr="00C60A2F">
              <w:rPr>
                <w:sz w:val="20"/>
              </w:rPr>
              <w:t>annually</w:t>
            </w:r>
          </w:p>
        </w:tc>
      </w:tr>
    </w:tbl>
    <w:p w14:paraId="0967A673" w14:textId="77777777" w:rsidR="00F1341F" w:rsidRPr="00435AC3" w:rsidRDefault="0046132E" w:rsidP="00B5308A">
      <w:pPr>
        <w:rPr>
          <w:b/>
          <w:i/>
        </w:rPr>
      </w:pPr>
      <w:r w:rsidRPr="00435AC3">
        <w:rPr>
          <w:b/>
          <w:i/>
        </w:rPr>
        <w:t xml:space="preserve">Target values correspond to the available budget under the OPTTI sufficient only for partial completion of </w:t>
      </w:r>
      <w:r w:rsidR="00CB762E">
        <w:rPr>
          <w:b/>
          <w:i/>
        </w:rPr>
        <w:t xml:space="preserve">the </w:t>
      </w:r>
      <w:r w:rsidRPr="00435AC3">
        <w:rPr>
          <w:b/>
          <w:i/>
        </w:rPr>
        <w:t xml:space="preserve">third metroline in 2014-2020 programming period.  </w:t>
      </w:r>
    </w:p>
    <w:p w14:paraId="68693BAD" w14:textId="2AB517E0" w:rsidR="0046132E" w:rsidRPr="00545CFF" w:rsidRDefault="00545CFF" w:rsidP="00B5308A">
      <w:r w:rsidRPr="00545CFF">
        <w:t xml:space="preserve">The target value of the indicators Total length of new or </w:t>
      </w:r>
      <w:r>
        <w:t>improved</w:t>
      </w:r>
      <w:r w:rsidRPr="00545CFF">
        <w:t xml:space="preserve"> tram and metro lines and New metro stations has been changed to 13.1 and 13, respectively. The initially set target values did not include phase 2 of the Sofia Metro Line 2 Extension Project, section M</w:t>
      </w:r>
      <w:r>
        <w:t>etro station</w:t>
      </w:r>
      <w:r w:rsidRPr="00545CFF">
        <w:t xml:space="preserve"> "James Boucher" to M</w:t>
      </w:r>
      <w:r>
        <w:t>etro station</w:t>
      </w:r>
      <w:r w:rsidRPr="00545CFF">
        <w:t xml:space="preserve"> "Vitosha" - phase 2, which was financed by OPTTI and was put into operation in 2016. The section is 1.1 km long and has 1 metro station.</w:t>
      </w:r>
    </w:p>
    <w:p w14:paraId="3EEF036F" w14:textId="77777777" w:rsidR="00545CFF" w:rsidRPr="008340BB" w:rsidRDefault="00545CFF" w:rsidP="00B5308A">
      <w:pPr>
        <w:rPr>
          <w:b/>
        </w:rPr>
      </w:pPr>
    </w:p>
    <w:p w14:paraId="28235B01" w14:textId="77777777" w:rsidR="00F1341F" w:rsidRPr="008340BB" w:rsidRDefault="00F1341F" w:rsidP="00B5308A">
      <w:r w:rsidRPr="008340BB">
        <w:rPr>
          <w:b/>
        </w:rPr>
        <w:t>2.A.3.4 Investment priority</w:t>
      </w:r>
      <w:r w:rsidRPr="008340BB">
        <w:t xml:space="preserve"> </w:t>
      </w:r>
    </w:p>
    <w:p w14:paraId="6F66F234" w14:textId="77777777" w:rsidR="00F1341F" w:rsidRPr="008340BB" w:rsidRDefault="00F1341F" w:rsidP="00B5308A">
      <w:r w:rsidRPr="008340BB">
        <w:t xml:space="preserve"> (Repeated for each investment priority under the priority axis)</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4962"/>
      </w:tblGrid>
      <w:tr w:rsidR="00F1341F" w:rsidRPr="008340BB" w14:paraId="0292C905" w14:textId="77777777" w:rsidTr="001B395D">
        <w:tc>
          <w:tcPr>
            <w:tcW w:w="3544" w:type="dxa"/>
          </w:tcPr>
          <w:p w14:paraId="5B66A19C" w14:textId="77777777" w:rsidR="00F1341F" w:rsidRPr="008340BB" w:rsidRDefault="00F1341F" w:rsidP="001B395D">
            <w:pPr>
              <w:rPr>
                <w:i/>
                <w:szCs w:val="24"/>
              </w:rPr>
            </w:pPr>
            <w:r w:rsidRPr="008340BB">
              <w:rPr>
                <w:bCs/>
                <w:i/>
                <w:szCs w:val="24"/>
                <w:lang w:eastAsia="bg-BG"/>
              </w:rPr>
              <w:lastRenderedPageBreak/>
              <w:t>ID of the investment priority</w:t>
            </w:r>
          </w:p>
        </w:tc>
        <w:tc>
          <w:tcPr>
            <w:tcW w:w="4962" w:type="dxa"/>
          </w:tcPr>
          <w:p w14:paraId="0B52CD18" w14:textId="77777777" w:rsidR="00F1341F" w:rsidRPr="008340BB" w:rsidRDefault="00F1341F" w:rsidP="00AF571C">
            <w:pPr>
              <w:pStyle w:val="Text1"/>
              <w:ind w:left="0"/>
              <w:rPr>
                <w:i/>
                <w:sz w:val="24"/>
                <w:szCs w:val="24"/>
                <w:lang w:val="en-GB" w:eastAsia="en-GB"/>
              </w:rPr>
            </w:pPr>
            <w:r w:rsidRPr="008340BB">
              <w:rPr>
                <w:i/>
                <w:sz w:val="24"/>
                <w:szCs w:val="24"/>
                <w:lang w:val="en-GB" w:eastAsia="en-GB"/>
              </w:rPr>
              <w:t>7</w:t>
            </w:r>
            <w:r w:rsidR="00FE1A63">
              <w:rPr>
                <w:i/>
                <w:sz w:val="24"/>
                <w:szCs w:val="24"/>
                <w:lang w:val="en-GB" w:eastAsia="en-GB"/>
              </w:rPr>
              <w:t>(</w:t>
            </w:r>
            <w:r w:rsidRPr="008340BB">
              <w:rPr>
                <w:i/>
                <w:sz w:val="24"/>
                <w:szCs w:val="24"/>
                <w:lang w:val="en-GB" w:eastAsia="en-GB"/>
              </w:rPr>
              <w:t>a</w:t>
            </w:r>
            <w:r w:rsidR="00FE1A63">
              <w:rPr>
                <w:i/>
                <w:sz w:val="24"/>
                <w:szCs w:val="24"/>
                <w:lang w:val="en-GB" w:eastAsia="en-GB"/>
              </w:rPr>
              <w:t>)</w:t>
            </w:r>
          </w:p>
        </w:tc>
      </w:tr>
      <w:tr w:rsidR="00F1341F" w:rsidRPr="008340BB" w14:paraId="158436EC" w14:textId="77777777" w:rsidTr="001B395D">
        <w:tc>
          <w:tcPr>
            <w:tcW w:w="3544" w:type="dxa"/>
          </w:tcPr>
          <w:p w14:paraId="54367A3D" w14:textId="77777777" w:rsidR="00F1341F" w:rsidRPr="008340BB" w:rsidRDefault="00F1341F" w:rsidP="001B395D">
            <w:pPr>
              <w:rPr>
                <w:i/>
              </w:rPr>
            </w:pPr>
            <w:r w:rsidRPr="008340BB">
              <w:rPr>
                <w:i/>
              </w:rPr>
              <w:t>Investment priority</w:t>
            </w:r>
          </w:p>
        </w:tc>
        <w:tc>
          <w:tcPr>
            <w:tcW w:w="4962" w:type="dxa"/>
          </w:tcPr>
          <w:p w14:paraId="48FC638F" w14:textId="77777777" w:rsidR="00F1341F" w:rsidRPr="008340BB" w:rsidRDefault="00F1341F">
            <w:pPr>
              <w:pStyle w:val="Text1"/>
              <w:ind w:left="0"/>
              <w:rPr>
                <w:i/>
                <w:color w:val="8DB3E2"/>
                <w:sz w:val="18"/>
                <w:szCs w:val="18"/>
                <w:lang w:val="en-GB" w:eastAsia="en-GB"/>
              </w:rPr>
            </w:pPr>
            <w:r w:rsidRPr="008340BB">
              <w:rPr>
                <w:i/>
                <w:sz w:val="24"/>
                <w:lang w:val="en-GB" w:eastAsia="en-GB"/>
              </w:rPr>
              <w:t xml:space="preserve">Supporting a multimodal Single European Transport Area by investing in </w:t>
            </w:r>
            <w:r w:rsidR="00350EB0">
              <w:rPr>
                <w:i/>
                <w:sz w:val="24"/>
                <w:lang w:val="en-GB" w:eastAsia="en-GB"/>
              </w:rPr>
              <w:t>the TEN-T</w:t>
            </w:r>
            <w:r w:rsidRPr="008340BB" w:rsidDel="00DE11C2">
              <w:rPr>
                <w:i/>
                <w:color w:val="8DB3E2"/>
                <w:sz w:val="18"/>
                <w:szCs w:val="18"/>
                <w:lang w:val="en-GB" w:eastAsia="en-GB"/>
              </w:rPr>
              <w:t xml:space="preserve"> </w:t>
            </w:r>
          </w:p>
        </w:tc>
      </w:tr>
    </w:tbl>
    <w:p w14:paraId="0C3BCAA3" w14:textId="77777777" w:rsidR="00F1341F" w:rsidRPr="008340BB" w:rsidRDefault="00F1341F" w:rsidP="00B5308A">
      <w:pPr>
        <w:rPr>
          <w:i/>
        </w:rPr>
      </w:pPr>
    </w:p>
    <w:p w14:paraId="6CD98CF4" w14:textId="77777777" w:rsidR="00F1341F" w:rsidRPr="008340BB" w:rsidRDefault="00F1341F" w:rsidP="00B5308A">
      <w:pPr>
        <w:rPr>
          <w:b/>
        </w:rPr>
      </w:pPr>
      <w:r w:rsidRPr="008340BB">
        <w:rPr>
          <w:b/>
        </w:rPr>
        <w:t xml:space="preserve">2.A.3.4.1 </w:t>
      </w:r>
      <w:r w:rsidRPr="008340BB">
        <w:rPr>
          <w:b/>
        </w:rPr>
        <w:tab/>
        <w:t xml:space="preserve">Specific objectives corresponding to the investment priority and expected results </w:t>
      </w:r>
    </w:p>
    <w:p w14:paraId="71016041" w14:textId="77777777" w:rsidR="00F1341F" w:rsidRPr="008340BB" w:rsidRDefault="00F1341F" w:rsidP="00B5308A">
      <w:r w:rsidRPr="008340BB">
        <w:t>(Repeated for each specific objective under the investment priority)</w:t>
      </w:r>
    </w:p>
    <w:p w14:paraId="5CD681F1" w14:textId="77777777" w:rsidR="00F1341F" w:rsidRPr="008340BB" w:rsidRDefault="00F1341F" w:rsidP="00B5308A">
      <w:r w:rsidRPr="008340BB">
        <w:t xml:space="preserve"> (Reference: points (b)(i) and (ii) of the first subparagraph of Article 96(2) of Regulation (EU) No 1303/2013)</w:t>
      </w:r>
    </w:p>
    <w:p w14:paraId="2C43DCC9" w14:textId="77777777" w:rsidR="00F1341F" w:rsidRPr="008340BB" w:rsidRDefault="00F1341F" w:rsidP="00B530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5103"/>
      </w:tblGrid>
      <w:tr w:rsidR="00F1341F" w:rsidRPr="008340BB" w14:paraId="613D9843" w14:textId="77777777" w:rsidTr="001B395D">
        <w:trPr>
          <w:trHeight w:val="491"/>
        </w:trPr>
        <w:tc>
          <w:tcPr>
            <w:tcW w:w="3510" w:type="dxa"/>
          </w:tcPr>
          <w:p w14:paraId="4279C384" w14:textId="77777777" w:rsidR="00F1341F" w:rsidRPr="008340BB" w:rsidRDefault="00F1341F" w:rsidP="001B395D">
            <w:pPr>
              <w:rPr>
                <w:i/>
              </w:rPr>
            </w:pPr>
            <w:r w:rsidRPr="008340BB">
              <w:rPr>
                <w:i/>
              </w:rPr>
              <w:t>ID</w:t>
            </w:r>
          </w:p>
        </w:tc>
        <w:tc>
          <w:tcPr>
            <w:tcW w:w="5103" w:type="dxa"/>
          </w:tcPr>
          <w:p w14:paraId="544E7725" w14:textId="77777777" w:rsidR="00F1341F" w:rsidRPr="008340BB" w:rsidRDefault="00DE7D4E" w:rsidP="001B395D">
            <w:pPr>
              <w:pStyle w:val="Text1"/>
              <w:ind w:left="0"/>
              <w:jc w:val="left"/>
              <w:rPr>
                <w:i/>
                <w:sz w:val="18"/>
                <w:szCs w:val="18"/>
                <w:lang w:val="en-GB" w:eastAsia="en-GB"/>
              </w:rPr>
            </w:pPr>
            <w:r>
              <w:rPr>
                <w:i/>
                <w:sz w:val="24"/>
                <w:szCs w:val="24"/>
                <w:lang w:val="en-GB" w:eastAsia="en-GB"/>
              </w:rPr>
              <w:t>2</w:t>
            </w:r>
          </w:p>
        </w:tc>
      </w:tr>
      <w:tr w:rsidR="00F1341F" w:rsidRPr="008340BB" w14:paraId="7C0C174F" w14:textId="77777777" w:rsidTr="001B395D">
        <w:trPr>
          <w:trHeight w:val="360"/>
        </w:trPr>
        <w:tc>
          <w:tcPr>
            <w:tcW w:w="3510" w:type="dxa"/>
          </w:tcPr>
          <w:p w14:paraId="130729AB" w14:textId="77777777" w:rsidR="00F1341F" w:rsidRPr="008340BB" w:rsidRDefault="00F1341F" w:rsidP="001B395D">
            <w:pPr>
              <w:rPr>
                <w:i/>
              </w:rPr>
            </w:pPr>
            <w:r w:rsidRPr="008340BB">
              <w:rPr>
                <w:i/>
              </w:rPr>
              <w:t xml:space="preserve">Specific objective </w:t>
            </w:r>
          </w:p>
        </w:tc>
        <w:tc>
          <w:tcPr>
            <w:tcW w:w="5103" w:type="dxa"/>
          </w:tcPr>
          <w:p w14:paraId="14D64B1B" w14:textId="0DA5A799" w:rsidR="00F1341F" w:rsidRPr="00C47900" w:rsidRDefault="00DE7D4E" w:rsidP="00D21C4A">
            <w:pPr>
              <w:pStyle w:val="Text1"/>
              <w:ind w:left="0"/>
              <w:rPr>
                <w:sz w:val="24"/>
                <w:szCs w:val="24"/>
                <w:lang w:val="en-GB" w:eastAsia="en-GB"/>
              </w:rPr>
            </w:pPr>
            <w:r w:rsidRPr="00B13FA5">
              <w:rPr>
                <w:sz w:val="24"/>
                <w:szCs w:val="24"/>
                <w:lang w:val="en-GB"/>
              </w:rPr>
              <w:t xml:space="preserve">Increased </w:t>
            </w:r>
            <w:r w:rsidR="00682267" w:rsidRPr="000917A0">
              <w:rPr>
                <w:sz w:val="24"/>
                <w:szCs w:val="24"/>
                <w:lang w:val="en-GB"/>
              </w:rPr>
              <w:t>potential of</w:t>
            </w:r>
            <w:r w:rsidR="00682267">
              <w:rPr>
                <w:sz w:val="24"/>
                <w:szCs w:val="24"/>
                <w:lang w:val="en-GB"/>
              </w:rPr>
              <w:t xml:space="preserve"> </w:t>
            </w:r>
            <w:r w:rsidRPr="00B13FA5">
              <w:rPr>
                <w:sz w:val="24"/>
                <w:szCs w:val="24"/>
                <w:lang w:val="en-GB"/>
              </w:rPr>
              <w:t>intermodal transport</w:t>
            </w:r>
            <w:r w:rsidR="00F1341F" w:rsidRPr="00233DB0" w:rsidDel="00E00DDC">
              <w:rPr>
                <w:i/>
                <w:sz w:val="24"/>
                <w:szCs w:val="24"/>
                <w:lang w:val="en-GB"/>
              </w:rPr>
              <w:t xml:space="preserve"> </w:t>
            </w:r>
            <w:r w:rsidR="00257DAC">
              <w:rPr>
                <w:sz w:val="24"/>
                <w:szCs w:val="24"/>
                <w:lang w:val="en-GB"/>
              </w:rPr>
              <w:t>along OEM CNC, section Sofia-Plovdiv-Burgas</w:t>
            </w:r>
          </w:p>
        </w:tc>
      </w:tr>
      <w:tr w:rsidR="00F1341F" w:rsidRPr="008340BB" w14:paraId="4583AF61" w14:textId="77777777" w:rsidTr="001B395D">
        <w:trPr>
          <w:trHeight w:val="360"/>
        </w:trPr>
        <w:tc>
          <w:tcPr>
            <w:tcW w:w="3510" w:type="dxa"/>
          </w:tcPr>
          <w:p w14:paraId="76E71CFE" w14:textId="77777777" w:rsidR="00F1341F" w:rsidRPr="008340BB" w:rsidRDefault="00F1341F" w:rsidP="001B395D">
            <w:pPr>
              <w:rPr>
                <w:i/>
              </w:rPr>
            </w:pPr>
            <w:r w:rsidRPr="008340BB">
              <w:rPr>
                <w:i/>
              </w:rPr>
              <w:t>The results that the Member State seeks to achieve with EU support</w:t>
            </w:r>
          </w:p>
        </w:tc>
        <w:tc>
          <w:tcPr>
            <w:tcW w:w="5103" w:type="dxa"/>
          </w:tcPr>
          <w:p w14:paraId="70CDDED2" w14:textId="3E87FF87" w:rsidR="00F35570" w:rsidRPr="008340BB" w:rsidRDefault="00F35570" w:rsidP="00D21C4A">
            <w:pPr>
              <w:numPr>
                <w:ilvl w:val="0"/>
                <w:numId w:val="87"/>
              </w:numPr>
              <w:autoSpaceDE w:val="0"/>
              <w:autoSpaceDN w:val="0"/>
              <w:adjustRightInd w:val="0"/>
              <w:ind w:left="318" w:hanging="284"/>
              <w:rPr>
                <w:lang w:eastAsia="bg-BG"/>
              </w:rPr>
            </w:pPr>
            <w:r>
              <w:rPr>
                <w:rFonts w:cs="Arial"/>
                <w:lang w:eastAsia="bg-BG"/>
              </w:rPr>
              <w:t xml:space="preserve">Increased share of </w:t>
            </w:r>
            <w:r w:rsidR="002E3F5F">
              <w:rPr>
                <w:rFonts w:cs="Arial"/>
                <w:lang w:eastAsia="bg-BG"/>
              </w:rPr>
              <w:t xml:space="preserve">intermodal </w:t>
            </w:r>
            <w:r>
              <w:rPr>
                <w:rFonts w:cs="Arial"/>
                <w:lang w:eastAsia="bg-BG"/>
              </w:rPr>
              <w:t xml:space="preserve">passenger railway stations </w:t>
            </w:r>
            <w:r w:rsidR="00682267" w:rsidRPr="000917A0">
              <w:rPr>
                <w:rFonts w:cs="Arial"/>
                <w:lang w:val="en-US" w:eastAsia="bg-BG"/>
              </w:rPr>
              <w:t>along</w:t>
            </w:r>
            <w:r w:rsidR="000917A0">
              <w:rPr>
                <w:rFonts w:cs="Arial"/>
                <w:lang w:val="en-US" w:eastAsia="bg-BG"/>
              </w:rPr>
              <w:t xml:space="preserve"> OEM CNC (Sofia-Plovdiv-Burgas section) </w:t>
            </w:r>
            <w:r w:rsidR="00E56FA2">
              <w:rPr>
                <w:rFonts w:cs="Arial"/>
                <w:lang w:val="en-US" w:eastAsia="bg-BG"/>
              </w:rPr>
              <w:t xml:space="preserve">with </w:t>
            </w:r>
            <w:r>
              <w:rPr>
                <w:rFonts w:cs="Arial"/>
                <w:lang w:eastAsia="bg-BG"/>
              </w:rPr>
              <w:t xml:space="preserve">improved conditions </w:t>
            </w:r>
            <w:r w:rsidR="00E56FA2">
              <w:rPr>
                <w:rFonts w:cs="Arial"/>
                <w:lang w:eastAsia="bg-BG"/>
              </w:rPr>
              <w:t xml:space="preserve">of services </w:t>
            </w:r>
            <w:r w:rsidR="007E627F">
              <w:rPr>
                <w:rFonts w:cs="Arial"/>
                <w:lang w:val="en-US" w:eastAsia="bg-BG"/>
              </w:rPr>
              <w:t>for</w:t>
            </w:r>
            <w:r>
              <w:rPr>
                <w:rFonts w:cs="Arial"/>
                <w:lang w:eastAsia="bg-BG"/>
              </w:rPr>
              <w:t xml:space="preserve"> passengers </w:t>
            </w:r>
          </w:p>
          <w:p w14:paraId="24EA246A" w14:textId="2A15D833" w:rsidR="00F1341F" w:rsidRPr="008340BB" w:rsidRDefault="00F1341F" w:rsidP="00312B8E">
            <w:pPr>
              <w:numPr>
                <w:ilvl w:val="0"/>
                <w:numId w:val="87"/>
              </w:numPr>
              <w:autoSpaceDE w:val="0"/>
              <w:autoSpaceDN w:val="0"/>
              <w:adjustRightInd w:val="0"/>
              <w:ind w:left="318" w:hanging="284"/>
              <w:rPr>
                <w:i/>
                <w:sz w:val="18"/>
                <w:szCs w:val="18"/>
              </w:rPr>
            </w:pPr>
            <w:r w:rsidRPr="008340BB">
              <w:rPr>
                <w:rFonts w:cs="Arial"/>
                <w:lang w:eastAsia="bg-BG"/>
              </w:rPr>
              <w:t xml:space="preserve">Improved access to passenger transport </w:t>
            </w:r>
            <w:r w:rsidR="00644825">
              <w:rPr>
                <w:rFonts w:cs="Arial"/>
                <w:lang w:eastAsia="bg-BG"/>
              </w:rPr>
              <w:t>at</w:t>
            </w:r>
            <w:r w:rsidRPr="008340BB">
              <w:rPr>
                <w:rFonts w:cs="Arial"/>
                <w:lang w:eastAsia="bg-BG"/>
              </w:rPr>
              <w:t xml:space="preserve"> key railway stations</w:t>
            </w:r>
            <w:r w:rsidR="00BF381B">
              <w:rPr>
                <w:rFonts w:cs="Arial"/>
                <w:lang w:eastAsia="bg-BG"/>
              </w:rPr>
              <w:t xml:space="preserve"> </w:t>
            </w:r>
            <w:r w:rsidR="000917A0">
              <w:rPr>
                <w:rFonts w:cs="Arial"/>
                <w:lang w:eastAsia="bg-BG"/>
              </w:rPr>
              <w:t xml:space="preserve">along </w:t>
            </w:r>
            <w:r w:rsidR="000917A0">
              <w:rPr>
                <w:rFonts w:cs="Arial"/>
                <w:lang w:val="en-US" w:eastAsia="bg-BG"/>
              </w:rPr>
              <w:t xml:space="preserve">OEM CNC (Sofia-Plovdiv-Burgas section) </w:t>
            </w:r>
          </w:p>
        </w:tc>
      </w:tr>
    </w:tbl>
    <w:p w14:paraId="67EBF0E8" w14:textId="77777777" w:rsidR="00F1341F" w:rsidRPr="008340BB" w:rsidRDefault="00F1341F" w:rsidP="00B5308A"/>
    <w:p w14:paraId="6185D7DC" w14:textId="77777777" w:rsidR="00F1341F" w:rsidRPr="008340BB" w:rsidRDefault="00F1341F" w:rsidP="00B5308A">
      <w:pPr>
        <w:sectPr w:rsidR="00F1341F" w:rsidRPr="008340BB" w:rsidSect="001E1D6F">
          <w:headerReference w:type="default" r:id="rId53"/>
          <w:footerReference w:type="default" r:id="rId54"/>
          <w:headerReference w:type="first" r:id="rId55"/>
          <w:footerReference w:type="first" r:id="rId56"/>
          <w:pgSz w:w="11906" w:h="16838"/>
          <w:pgMar w:top="1021" w:right="1418" w:bottom="1021" w:left="1418" w:header="601" w:footer="1077" w:gutter="0"/>
          <w:cols w:space="708"/>
          <w:docGrid w:linePitch="326"/>
        </w:sectPr>
      </w:pPr>
    </w:p>
    <w:p w14:paraId="66B6FC1F" w14:textId="77777777" w:rsidR="00F1341F" w:rsidRPr="008340BB" w:rsidRDefault="00F1341F" w:rsidP="00B5308A">
      <w:r w:rsidRPr="008340BB">
        <w:rPr>
          <w:b/>
        </w:rPr>
        <w:lastRenderedPageBreak/>
        <w:t xml:space="preserve">Table 3: </w:t>
      </w:r>
      <w:r w:rsidRPr="008340BB">
        <w:rPr>
          <w:b/>
        </w:rPr>
        <w:tab/>
        <w:t xml:space="preserve">Programme-specific result indicators, by specific objective </w:t>
      </w:r>
      <w:r w:rsidRPr="008340BB">
        <w:t>(for the ERDF and the Cohesion Fund)</w:t>
      </w:r>
    </w:p>
    <w:p w14:paraId="14F30C01" w14:textId="77777777" w:rsidR="00F1341F" w:rsidRPr="008340BB" w:rsidRDefault="00F1341F" w:rsidP="00B5308A">
      <w:pPr>
        <w:rPr>
          <w:b/>
        </w:rPr>
      </w:pPr>
    </w:p>
    <w:p w14:paraId="4B203491" w14:textId="77777777" w:rsidR="00F1341F" w:rsidRPr="008340BB" w:rsidRDefault="00F1341F" w:rsidP="00B5308A">
      <w:pPr>
        <w:rPr>
          <w:szCs w:val="24"/>
        </w:rPr>
      </w:pPr>
      <w:r w:rsidRPr="008340BB">
        <w:rPr>
          <w:szCs w:val="24"/>
        </w:rPr>
        <w:t>(Reference: point (b)(ii) of the first subparagraph of Article 96(2) of Regulation (EU) No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11"/>
        <w:gridCol w:w="2251"/>
        <w:gridCol w:w="1881"/>
        <w:gridCol w:w="1556"/>
        <w:gridCol w:w="1649"/>
        <w:gridCol w:w="1375"/>
        <w:gridCol w:w="1962"/>
        <w:gridCol w:w="1803"/>
        <w:gridCol w:w="1258"/>
      </w:tblGrid>
      <w:tr w:rsidR="00945F01" w:rsidRPr="008340BB" w14:paraId="48FB76F4" w14:textId="77777777" w:rsidTr="00945F01">
        <w:trPr>
          <w:trHeight w:val="531"/>
        </w:trPr>
        <w:tc>
          <w:tcPr>
            <w:tcW w:w="1184" w:type="pct"/>
            <w:gridSpan w:val="2"/>
          </w:tcPr>
          <w:p w14:paraId="259A858B" w14:textId="77777777" w:rsidR="00945F01" w:rsidRPr="00435AC3" w:rsidRDefault="00945F01" w:rsidP="001B395D">
            <w:pPr>
              <w:pStyle w:val="ListBullet"/>
              <w:tabs>
                <w:tab w:val="clear" w:pos="360"/>
                <w:tab w:val="left" w:pos="720"/>
              </w:tabs>
              <w:ind w:left="0" w:firstLine="0"/>
              <w:rPr>
                <w:b/>
                <w:i/>
                <w:sz w:val="18"/>
                <w:szCs w:val="18"/>
                <w:lang w:val="en-US"/>
              </w:rPr>
            </w:pPr>
            <w:r>
              <w:rPr>
                <w:b/>
                <w:i/>
                <w:sz w:val="18"/>
                <w:szCs w:val="18"/>
                <w:lang w:val="en-US"/>
              </w:rPr>
              <w:t>Specific objective</w:t>
            </w:r>
          </w:p>
        </w:tc>
        <w:tc>
          <w:tcPr>
            <w:tcW w:w="3816" w:type="pct"/>
            <w:gridSpan w:val="7"/>
          </w:tcPr>
          <w:p w14:paraId="3401ED5A" w14:textId="271B623D" w:rsidR="00945F01" w:rsidRPr="008340BB" w:rsidRDefault="00DE7D4E" w:rsidP="00A4468C">
            <w:pPr>
              <w:pStyle w:val="ListBullet"/>
              <w:tabs>
                <w:tab w:val="clear" w:pos="360"/>
                <w:tab w:val="left" w:pos="720"/>
              </w:tabs>
              <w:ind w:left="0" w:firstLine="0"/>
              <w:rPr>
                <w:b/>
                <w:i/>
                <w:sz w:val="18"/>
                <w:szCs w:val="18"/>
              </w:rPr>
            </w:pPr>
            <w:r w:rsidRPr="00DC4E10">
              <w:rPr>
                <w:szCs w:val="24"/>
              </w:rPr>
              <w:t xml:space="preserve">Increased </w:t>
            </w:r>
            <w:r w:rsidR="00816AF1">
              <w:rPr>
                <w:szCs w:val="24"/>
              </w:rPr>
              <w:t xml:space="preserve">potential of </w:t>
            </w:r>
            <w:r w:rsidRPr="00DC4E10">
              <w:rPr>
                <w:szCs w:val="24"/>
              </w:rPr>
              <w:t>intermodal transport</w:t>
            </w:r>
            <w:r w:rsidR="00257DAC">
              <w:rPr>
                <w:szCs w:val="24"/>
              </w:rPr>
              <w:t xml:space="preserve"> along OEM CNC, section Sofia-Plovdiv-Burgas</w:t>
            </w:r>
          </w:p>
        </w:tc>
      </w:tr>
      <w:tr w:rsidR="00F1341F" w:rsidRPr="008340BB" w14:paraId="4E775801" w14:textId="77777777" w:rsidTr="00AE1D6E">
        <w:trPr>
          <w:trHeight w:val="531"/>
        </w:trPr>
        <w:tc>
          <w:tcPr>
            <w:tcW w:w="436" w:type="pct"/>
          </w:tcPr>
          <w:p w14:paraId="720F3FA3" w14:textId="77777777" w:rsidR="00F1341F" w:rsidRPr="008340BB" w:rsidRDefault="00F1341F" w:rsidP="001B395D">
            <w:pPr>
              <w:pStyle w:val="ListBullet"/>
              <w:tabs>
                <w:tab w:val="clear" w:pos="360"/>
                <w:tab w:val="left" w:pos="720"/>
              </w:tabs>
              <w:ind w:left="0" w:firstLine="0"/>
              <w:rPr>
                <w:b/>
                <w:i/>
                <w:sz w:val="18"/>
                <w:szCs w:val="18"/>
              </w:rPr>
            </w:pPr>
            <w:r w:rsidRPr="008340BB">
              <w:rPr>
                <w:b/>
                <w:i/>
                <w:sz w:val="18"/>
                <w:szCs w:val="18"/>
              </w:rPr>
              <w:t>ID</w:t>
            </w:r>
          </w:p>
        </w:tc>
        <w:tc>
          <w:tcPr>
            <w:tcW w:w="748" w:type="pct"/>
          </w:tcPr>
          <w:p w14:paraId="4E09379E" w14:textId="77777777" w:rsidR="00F1341F" w:rsidRPr="008340BB" w:rsidRDefault="00F1341F" w:rsidP="001B395D">
            <w:pPr>
              <w:pStyle w:val="ListBullet"/>
              <w:tabs>
                <w:tab w:val="clear" w:pos="360"/>
                <w:tab w:val="left" w:pos="720"/>
              </w:tabs>
              <w:ind w:left="0" w:firstLine="0"/>
              <w:rPr>
                <w:b/>
                <w:i/>
                <w:sz w:val="18"/>
                <w:szCs w:val="18"/>
              </w:rPr>
            </w:pPr>
            <w:r w:rsidRPr="008340BB">
              <w:rPr>
                <w:b/>
                <w:i/>
                <w:sz w:val="18"/>
                <w:szCs w:val="18"/>
              </w:rPr>
              <w:t xml:space="preserve">Indicator </w:t>
            </w:r>
          </w:p>
        </w:tc>
        <w:tc>
          <w:tcPr>
            <w:tcW w:w="625" w:type="pct"/>
          </w:tcPr>
          <w:p w14:paraId="52A77559" w14:textId="77777777" w:rsidR="00F1341F" w:rsidRPr="008340BB" w:rsidRDefault="00F1341F" w:rsidP="001B395D">
            <w:pPr>
              <w:snapToGrid w:val="0"/>
              <w:rPr>
                <w:b/>
                <w:i/>
                <w:sz w:val="18"/>
                <w:szCs w:val="18"/>
              </w:rPr>
            </w:pPr>
            <w:r w:rsidRPr="008340BB">
              <w:rPr>
                <w:b/>
                <w:i/>
                <w:sz w:val="18"/>
                <w:szCs w:val="18"/>
              </w:rPr>
              <w:t>Measurement unit</w:t>
            </w:r>
          </w:p>
        </w:tc>
        <w:tc>
          <w:tcPr>
            <w:tcW w:w="517" w:type="pct"/>
          </w:tcPr>
          <w:p w14:paraId="7D4DC613" w14:textId="77777777" w:rsidR="00F1341F" w:rsidRPr="008340BB" w:rsidRDefault="00F1341F" w:rsidP="001B395D">
            <w:pPr>
              <w:pStyle w:val="ListBullet"/>
              <w:tabs>
                <w:tab w:val="clear" w:pos="360"/>
                <w:tab w:val="left" w:pos="720"/>
              </w:tabs>
              <w:ind w:left="0" w:firstLine="0"/>
              <w:rPr>
                <w:b/>
                <w:i/>
                <w:sz w:val="18"/>
                <w:szCs w:val="18"/>
              </w:rPr>
            </w:pPr>
            <w:r w:rsidRPr="008340BB">
              <w:rPr>
                <w:b/>
                <w:i/>
                <w:sz w:val="18"/>
                <w:szCs w:val="18"/>
              </w:rPr>
              <w:t>Category of region (where relevant)</w:t>
            </w:r>
          </w:p>
        </w:tc>
        <w:tc>
          <w:tcPr>
            <w:tcW w:w="548" w:type="pct"/>
          </w:tcPr>
          <w:p w14:paraId="2BB4B293" w14:textId="77777777" w:rsidR="00F1341F" w:rsidRPr="008340BB" w:rsidRDefault="00F1341F" w:rsidP="001B395D">
            <w:pPr>
              <w:pStyle w:val="ListBullet"/>
              <w:tabs>
                <w:tab w:val="clear" w:pos="360"/>
                <w:tab w:val="left" w:pos="720"/>
              </w:tabs>
              <w:ind w:left="0" w:firstLine="0"/>
              <w:rPr>
                <w:b/>
                <w:i/>
                <w:sz w:val="18"/>
                <w:szCs w:val="18"/>
              </w:rPr>
            </w:pPr>
            <w:r w:rsidRPr="008340BB">
              <w:rPr>
                <w:b/>
                <w:i/>
                <w:sz w:val="18"/>
                <w:szCs w:val="18"/>
              </w:rPr>
              <w:t xml:space="preserve">Baseline value </w:t>
            </w:r>
          </w:p>
        </w:tc>
        <w:tc>
          <w:tcPr>
            <w:tcW w:w="457" w:type="pct"/>
          </w:tcPr>
          <w:p w14:paraId="4E338BFD" w14:textId="77777777" w:rsidR="00F1341F" w:rsidRPr="008340BB" w:rsidRDefault="00F1341F" w:rsidP="001B395D">
            <w:pPr>
              <w:snapToGrid w:val="0"/>
              <w:rPr>
                <w:b/>
                <w:i/>
                <w:sz w:val="18"/>
                <w:szCs w:val="18"/>
              </w:rPr>
            </w:pPr>
            <w:r w:rsidRPr="008340BB">
              <w:rPr>
                <w:b/>
                <w:i/>
                <w:sz w:val="18"/>
                <w:szCs w:val="18"/>
              </w:rPr>
              <w:t>Baseline year</w:t>
            </w:r>
          </w:p>
        </w:tc>
        <w:tc>
          <w:tcPr>
            <w:tcW w:w="652" w:type="pct"/>
          </w:tcPr>
          <w:p w14:paraId="2A8E59E7" w14:textId="77777777" w:rsidR="00F1341F" w:rsidRPr="008340BB" w:rsidRDefault="00F1341F" w:rsidP="001B395D">
            <w:pPr>
              <w:pStyle w:val="ListBullet"/>
              <w:tabs>
                <w:tab w:val="clear" w:pos="360"/>
                <w:tab w:val="left" w:pos="720"/>
              </w:tabs>
              <w:ind w:left="0" w:firstLine="0"/>
              <w:rPr>
                <w:b/>
                <w:i/>
                <w:sz w:val="18"/>
                <w:szCs w:val="18"/>
              </w:rPr>
            </w:pPr>
            <w:r w:rsidRPr="008340BB">
              <w:rPr>
                <w:b/>
                <w:i/>
                <w:sz w:val="18"/>
                <w:szCs w:val="18"/>
              </w:rPr>
              <w:t>Target value</w:t>
            </w:r>
            <w:r w:rsidRPr="008340BB">
              <w:rPr>
                <w:rStyle w:val="FootnoteReference"/>
                <w:b/>
                <w:i/>
                <w:sz w:val="18"/>
                <w:szCs w:val="18"/>
              </w:rPr>
              <w:footnoteReference w:id="44"/>
            </w:r>
            <w:r w:rsidRPr="008340BB">
              <w:rPr>
                <w:b/>
                <w:i/>
                <w:sz w:val="18"/>
                <w:szCs w:val="18"/>
              </w:rPr>
              <w:t xml:space="preserve"> (2023) </w:t>
            </w:r>
          </w:p>
        </w:tc>
        <w:tc>
          <w:tcPr>
            <w:tcW w:w="599" w:type="pct"/>
          </w:tcPr>
          <w:p w14:paraId="321BC976" w14:textId="77777777" w:rsidR="00F1341F" w:rsidRPr="008340BB" w:rsidRDefault="00F1341F" w:rsidP="001B395D">
            <w:pPr>
              <w:pStyle w:val="ListBullet"/>
              <w:tabs>
                <w:tab w:val="clear" w:pos="360"/>
                <w:tab w:val="left" w:pos="720"/>
              </w:tabs>
              <w:ind w:left="0" w:firstLine="0"/>
              <w:rPr>
                <w:b/>
                <w:i/>
                <w:sz w:val="18"/>
                <w:szCs w:val="18"/>
              </w:rPr>
            </w:pPr>
            <w:r w:rsidRPr="008340BB">
              <w:rPr>
                <w:b/>
                <w:i/>
                <w:sz w:val="18"/>
                <w:szCs w:val="18"/>
              </w:rPr>
              <w:t>Source of data</w:t>
            </w:r>
          </w:p>
        </w:tc>
        <w:tc>
          <w:tcPr>
            <w:tcW w:w="418" w:type="pct"/>
          </w:tcPr>
          <w:p w14:paraId="6F0C85D6" w14:textId="77777777" w:rsidR="00F1341F" w:rsidRPr="008340BB" w:rsidRDefault="00F1341F" w:rsidP="001B395D">
            <w:pPr>
              <w:pStyle w:val="ListBullet"/>
              <w:tabs>
                <w:tab w:val="clear" w:pos="360"/>
                <w:tab w:val="left" w:pos="720"/>
              </w:tabs>
              <w:ind w:left="0" w:firstLine="0"/>
              <w:rPr>
                <w:b/>
                <w:i/>
                <w:sz w:val="18"/>
                <w:szCs w:val="18"/>
              </w:rPr>
            </w:pPr>
            <w:r w:rsidRPr="008340BB">
              <w:rPr>
                <w:b/>
                <w:i/>
                <w:sz w:val="18"/>
                <w:szCs w:val="18"/>
              </w:rPr>
              <w:t>Frequency of reporting</w:t>
            </w:r>
          </w:p>
        </w:tc>
      </w:tr>
      <w:tr w:rsidR="00F1341F" w:rsidRPr="008340BB" w14:paraId="7627642E" w14:textId="77777777" w:rsidTr="00AE1D6E">
        <w:trPr>
          <w:trHeight w:val="1729"/>
        </w:trPr>
        <w:tc>
          <w:tcPr>
            <w:tcW w:w="436" w:type="pct"/>
          </w:tcPr>
          <w:p w14:paraId="5378028B" w14:textId="77777777" w:rsidR="00F1341F" w:rsidRPr="008340BB" w:rsidRDefault="00F1341F" w:rsidP="001B395D">
            <w:pPr>
              <w:pStyle w:val="Text1"/>
              <w:ind w:left="0"/>
              <w:jc w:val="left"/>
              <w:rPr>
                <w:b/>
                <w:sz w:val="20"/>
                <w:lang w:val="en-GB" w:eastAsia="en-GB"/>
              </w:rPr>
            </w:pPr>
            <w:r w:rsidRPr="008340BB">
              <w:rPr>
                <w:b/>
                <w:sz w:val="20"/>
                <w:lang w:val="en-GB" w:eastAsia="en-GB"/>
              </w:rPr>
              <w:t>6</w:t>
            </w:r>
          </w:p>
        </w:tc>
        <w:tc>
          <w:tcPr>
            <w:tcW w:w="748" w:type="pct"/>
          </w:tcPr>
          <w:p w14:paraId="3E0662B7" w14:textId="3CEAB72D" w:rsidR="00B73A84" w:rsidRDefault="00B73A84" w:rsidP="001B395D">
            <w:pPr>
              <w:pStyle w:val="Text1"/>
              <w:spacing w:after="0"/>
              <w:ind w:left="0"/>
              <w:jc w:val="left"/>
              <w:rPr>
                <w:rStyle w:val="hps"/>
                <w:sz w:val="20"/>
                <w:lang w:val="en-GB" w:eastAsia="en-GB"/>
              </w:rPr>
            </w:pPr>
            <w:r>
              <w:rPr>
                <w:rStyle w:val="hps"/>
                <w:sz w:val="20"/>
                <w:lang w:val="en-GB" w:eastAsia="en-GB"/>
              </w:rPr>
              <w:t>Share of reconstructed</w:t>
            </w:r>
            <w:r w:rsidR="00613A64">
              <w:rPr>
                <w:rStyle w:val="hps"/>
                <w:sz w:val="20"/>
                <w:lang w:val="en-GB" w:eastAsia="en-GB"/>
              </w:rPr>
              <w:t xml:space="preserve"> intermodal</w:t>
            </w:r>
            <w:r>
              <w:rPr>
                <w:rStyle w:val="hps"/>
                <w:sz w:val="20"/>
                <w:lang w:val="en-GB" w:eastAsia="en-GB"/>
              </w:rPr>
              <w:t xml:space="preserve"> railway stations along </w:t>
            </w:r>
            <w:r w:rsidR="00C75666">
              <w:rPr>
                <w:rStyle w:val="hps"/>
                <w:sz w:val="20"/>
                <w:lang w:val="en-GB" w:eastAsia="en-GB"/>
              </w:rPr>
              <w:t xml:space="preserve">OEM CNC, section </w:t>
            </w:r>
            <w:r w:rsidR="00D25D2E">
              <w:rPr>
                <w:rStyle w:val="hps"/>
                <w:sz w:val="20"/>
                <w:lang w:val="en-GB" w:eastAsia="en-GB"/>
              </w:rPr>
              <w:t>Sofia-Plovdiv-Burgas</w:t>
            </w:r>
          </w:p>
          <w:p w14:paraId="1605E69E" w14:textId="666AEE6C" w:rsidR="00F1341F" w:rsidRDefault="00F1341F" w:rsidP="001B395D">
            <w:pPr>
              <w:pStyle w:val="Text1"/>
              <w:spacing w:after="0"/>
              <w:ind w:left="0"/>
              <w:jc w:val="left"/>
              <w:rPr>
                <w:iCs/>
                <w:sz w:val="20"/>
                <w:lang w:val="en-GB" w:eastAsia="bg-BG"/>
              </w:rPr>
            </w:pPr>
          </w:p>
          <w:p w14:paraId="7B6CF098" w14:textId="77777777" w:rsidR="00B73A84" w:rsidRPr="008340BB" w:rsidRDefault="00B73A84" w:rsidP="001B395D">
            <w:pPr>
              <w:pStyle w:val="Text1"/>
              <w:spacing w:after="0"/>
              <w:ind w:left="0"/>
              <w:jc w:val="left"/>
              <w:rPr>
                <w:i/>
                <w:sz w:val="20"/>
                <w:lang w:val="en-GB" w:eastAsia="en-GB"/>
              </w:rPr>
            </w:pPr>
          </w:p>
        </w:tc>
        <w:tc>
          <w:tcPr>
            <w:tcW w:w="625" w:type="pct"/>
          </w:tcPr>
          <w:p w14:paraId="1D56F613" w14:textId="77777777" w:rsidR="00730938" w:rsidRDefault="00730938" w:rsidP="00AE1D6E">
            <w:pPr>
              <w:snapToGrid w:val="0"/>
              <w:jc w:val="left"/>
              <w:rPr>
                <w:iCs/>
                <w:sz w:val="20"/>
                <w:lang w:eastAsia="bg-BG"/>
              </w:rPr>
            </w:pPr>
            <w:r>
              <w:rPr>
                <w:iCs/>
                <w:sz w:val="20"/>
                <w:lang w:eastAsia="bg-BG"/>
              </w:rPr>
              <w:t>%</w:t>
            </w:r>
          </w:p>
          <w:p w14:paraId="2C2AFE4F" w14:textId="77777777" w:rsidR="00730938" w:rsidRDefault="00730938" w:rsidP="00AE1D6E">
            <w:pPr>
              <w:snapToGrid w:val="0"/>
              <w:jc w:val="left"/>
              <w:rPr>
                <w:iCs/>
                <w:sz w:val="20"/>
                <w:lang w:eastAsia="bg-BG"/>
              </w:rPr>
            </w:pPr>
          </w:p>
          <w:p w14:paraId="086AFA83" w14:textId="77777777" w:rsidR="00730938" w:rsidRDefault="00730938" w:rsidP="00AE1D6E">
            <w:pPr>
              <w:snapToGrid w:val="0"/>
              <w:jc w:val="left"/>
              <w:rPr>
                <w:iCs/>
                <w:sz w:val="20"/>
                <w:lang w:eastAsia="bg-BG"/>
              </w:rPr>
            </w:pPr>
          </w:p>
          <w:p w14:paraId="0B1936F4" w14:textId="294E7382" w:rsidR="00F1341F" w:rsidRPr="0067246B" w:rsidRDefault="00F1341F" w:rsidP="00AE1D6E">
            <w:pPr>
              <w:snapToGrid w:val="0"/>
              <w:jc w:val="left"/>
              <w:rPr>
                <w:i/>
                <w:sz w:val="18"/>
                <w:szCs w:val="18"/>
              </w:rPr>
            </w:pPr>
          </w:p>
        </w:tc>
        <w:tc>
          <w:tcPr>
            <w:tcW w:w="517" w:type="pct"/>
          </w:tcPr>
          <w:p w14:paraId="615DED6E" w14:textId="77777777" w:rsidR="00F1341F" w:rsidRPr="00020ADD" w:rsidRDefault="00F1341F" w:rsidP="001B395D">
            <w:pPr>
              <w:pStyle w:val="ListBullet"/>
              <w:tabs>
                <w:tab w:val="clear" w:pos="360"/>
                <w:tab w:val="left" w:pos="720"/>
              </w:tabs>
              <w:ind w:left="0" w:firstLine="0"/>
              <w:jc w:val="left"/>
              <w:rPr>
                <w:i/>
                <w:sz w:val="18"/>
                <w:szCs w:val="18"/>
              </w:rPr>
            </w:pPr>
            <w:r w:rsidRPr="00020ADD">
              <w:rPr>
                <w:iCs/>
                <w:sz w:val="20"/>
                <w:lang w:eastAsia="bg-BG"/>
              </w:rPr>
              <w:t>Less developed regions</w:t>
            </w:r>
          </w:p>
        </w:tc>
        <w:tc>
          <w:tcPr>
            <w:tcW w:w="548" w:type="pct"/>
          </w:tcPr>
          <w:p w14:paraId="6B6A770A" w14:textId="77777777" w:rsidR="00730938" w:rsidRDefault="00730938" w:rsidP="00723AE5">
            <w:pPr>
              <w:pStyle w:val="ListBullet"/>
              <w:tabs>
                <w:tab w:val="clear" w:pos="360"/>
                <w:tab w:val="left" w:pos="720"/>
              </w:tabs>
              <w:ind w:left="0" w:firstLine="0"/>
              <w:jc w:val="left"/>
              <w:rPr>
                <w:iCs/>
                <w:sz w:val="20"/>
                <w:lang w:eastAsia="bg-BG"/>
              </w:rPr>
            </w:pPr>
          </w:p>
          <w:p w14:paraId="4E6764CE" w14:textId="5AEA3953" w:rsidR="00730938" w:rsidRPr="00D34591" w:rsidRDefault="00D34591" w:rsidP="00723AE5">
            <w:pPr>
              <w:pStyle w:val="ListBullet"/>
              <w:tabs>
                <w:tab w:val="clear" w:pos="360"/>
                <w:tab w:val="left" w:pos="720"/>
              </w:tabs>
              <w:ind w:left="0" w:firstLine="0"/>
              <w:jc w:val="left"/>
              <w:rPr>
                <w:iCs/>
                <w:sz w:val="20"/>
                <w:lang w:eastAsia="bg-BG"/>
              </w:rPr>
            </w:pPr>
            <w:r w:rsidRPr="00D34591">
              <w:rPr>
                <w:bCs/>
                <w:color w:val="1F497D"/>
                <w:sz w:val="20"/>
                <w:lang w:eastAsia="bg-BG"/>
              </w:rPr>
              <w:t>7.89</w:t>
            </w:r>
          </w:p>
          <w:p w14:paraId="6F9303FB" w14:textId="77777777" w:rsidR="00730938" w:rsidRDefault="00730938" w:rsidP="00723AE5">
            <w:pPr>
              <w:pStyle w:val="ListBullet"/>
              <w:tabs>
                <w:tab w:val="clear" w:pos="360"/>
                <w:tab w:val="left" w:pos="720"/>
              </w:tabs>
              <w:ind w:left="0" w:firstLine="0"/>
              <w:jc w:val="left"/>
              <w:rPr>
                <w:iCs/>
                <w:sz w:val="20"/>
                <w:lang w:eastAsia="bg-BG"/>
              </w:rPr>
            </w:pPr>
          </w:p>
          <w:p w14:paraId="760CA985" w14:textId="77777777" w:rsidR="00730938" w:rsidRDefault="00730938" w:rsidP="00723AE5">
            <w:pPr>
              <w:pStyle w:val="ListBullet"/>
              <w:tabs>
                <w:tab w:val="clear" w:pos="360"/>
                <w:tab w:val="left" w:pos="720"/>
              </w:tabs>
              <w:ind w:left="0" w:firstLine="0"/>
              <w:jc w:val="left"/>
              <w:rPr>
                <w:iCs/>
                <w:sz w:val="20"/>
                <w:lang w:eastAsia="bg-BG"/>
              </w:rPr>
            </w:pPr>
          </w:p>
          <w:p w14:paraId="5ED03E8A" w14:textId="66A6EF79" w:rsidR="00F1341F" w:rsidRDefault="00F1341F" w:rsidP="00723AE5">
            <w:pPr>
              <w:pStyle w:val="ListBullet"/>
              <w:tabs>
                <w:tab w:val="clear" w:pos="360"/>
                <w:tab w:val="left" w:pos="720"/>
              </w:tabs>
              <w:ind w:left="0" w:firstLine="0"/>
              <w:jc w:val="left"/>
              <w:rPr>
                <w:iCs/>
                <w:sz w:val="20"/>
                <w:lang w:eastAsia="bg-BG"/>
              </w:rPr>
            </w:pPr>
          </w:p>
          <w:p w14:paraId="75FC0B45" w14:textId="77777777" w:rsidR="00730938" w:rsidRDefault="00730938" w:rsidP="00723AE5">
            <w:pPr>
              <w:pStyle w:val="ListBullet"/>
              <w:tabs>
                <w:tab w:val="clear" w:pos="360"/>
                <w:tab w:val="left" w:pos="720"/>
              </w:tabs>
              <w:ind w:left="0" w:firstLine="0"/>
              <w:jc w:val="left"/>
              <w:rPr>
                <w:iCs/>
                <w:sz w:val="20"/>
                <w:lang w:eastAsia="bg-BG"/>
              </w:rPr>
            </w:pPr>
          </w:p>
          <w:p w14:paraId="61495FC8" w14:textId="77777777" w:rsidR="00730938" w:rsidRDefault="00730938" w:rsidP="00723AE5">
            <w:pPr>
              <w:pStyle w:val="ListBullet"/>
              <w:tabs>
                <w:tab w:val="clear" w:pos="360"/>
                <w:tab w:val="left" w:pos="720"/>
              </w:tabs>
              <w:ind w:left="0" w:firstLine="0"/>
              <w:jc w:val="left"/>
              <w:rPr>
                <w:iCs/>
                <w:sz w:val="20"/>
                <w:lang w:eastAsia="bg-BG"/>
              </w:rPr>
            </w:pPr>
          </w:p>
          <w:p w14:paraId="56EC7676" w14:textId="77777777" w:rsidR="00730938" w:rsidRDefault="00730938" w:rsidP="00723AE5">
            <w:pPr>
              <w:pStyle w:val="ListBullet"/>
              <w:tabs>
                <w:tab w:val="clear" w:pos="360"/>
                <w:tab w:val="left" w:pos="720"/>
              </w:tabs>
              <w:ind w:left="0" w:firstLine="0"/>
              <w:jc w:val="left"/>
              <w:rPr>
                <w:iCs/>
                <w:sz w:val="20"/>
                <w:lang w:eastAsia="bg-BG"/>
              </w:rPr>
            </w:pPr>
          </w:p>
          <w:p w14:paraId="488981E8" w14:textId="77777777" w:rsidR="00730938" w:rsidRDefault="00730938" w:rsidP="00723AE5">
            <w:pPr>
              <w:pStyle w:val="ListBullet"/>
              <w:tabs>
                <w:tab w:val="clear" w:pos="360"/>
                <w:tab w:val="left" w:pos="720"/>
              </w:tabs>
              <w:ind w:left="0" w:firstLine="0"/>
              <w:jc w:val="left"/>
              <w:rPr>
                <w:iCs/>
                <w:sz w:val="20"/>
                <w:lang w:eastAsia="bg-BG"/>
              </w:rPr>
            </w:pPr>
          </w:p>
          <w:p w14:paraId="5E49707B" w14:textId="77777777" w:rsidR="00730938" w:rsidRPr="00AF507E" w:rsidRDefault="00730938" w:rsidP="00723AE5">
            <w:pPr>
              <w:pStyle w:val="ListBullet"/>
              <w:tabs>
                <w:tab w:val="clear" w:pos="360"/>
                <w:tab w:val="left" w:pos="720"/>
              </w:tabs>
              <w:ind w:left="0" w:firstLine="0"/>
              <w:jc w:val="left"/>
              <w:rPr>
                <w:i/>
                <w:sz w:val="18"/>
                <w:szCs w:val="18"/>
              </w:rPr>
            </w:pPr>
          </w:p>
        </w:tc>
        <w:tc>
          <w:tcPr>
            <w:tcW w:w="457" w:type="pct"/>
          </w:tcPr>
          <w:p w14:paraId="426CF84C" w14:textId="77777777" w:rsidR="00F1341F" w:rsidRPr="00B5130A" w:rsidRDefault="00F1341F" w:rsidP="001B395D">
            <w:pPr>
              <w:snapToGrid w:val="0"/>
              <w:rPr>
                <w:i/>
                <w:sz w:val="18"/>
                <w:szCs w:val="18"/>
              </w:rPr>
            </w:pPr>
            <w:r w:rsidRPr="00DC0475">
              <w:rPr>
                <w:iCs/>
                <w:sz w:val="20"/>
                <w:lang w:eastAsia="bg-BG"/>
              </w:rPr>
              <w:t>201</w:t>
            </w:r>
            <w:r w:rsidR="00CA5579">
              <w:rPr>
                <w:iCs/>
                <w:sz w:val="20"/>
                <w:lang w:eastAsia="bg-BG"/>
              </w:rPr>
              <w:t>3</w:t>
            </w:r>
          </w:p>
        </w:tc>
        <w:tc>
          <w:tcPr>
            <w:tcW w:w="652" w:type="pct"/>
          </w:tcPr>
          <w:p w14:paraId="697E5EBD" w14:textId="621029BC" w:rsidR="00730938" w:rsidRDefault="00B6062A" w:rsidP="00730938">
            <w:pPr>
              <w:pStyle w:val="ListBullet"/>
              <w:tabs>
                <w:tab w:val="clear" w:pos="360"/>
                <w:tab w:val="left" w:pos="720"/>
              </w:tabs>
              <w:ind w:left="0" w:firstLine="0"/>
              <w:rPr>
                <w:iCs/>
                <w:sz w:val="20"/>
                <w:lang w:eastAsia="bg-BG"/>
              </w:rPr>
            </w:pPr>
            <w:r w:rsidRPr="00C65D16">
              <w:rPr>
                <w:iCs/>
                <w:sz w:val="20"/>
                <w:lang w:eastAsia="bg-BG"/>
              </w:rPr>
              <w:t> </w:t>
            </w:r>
            <w:r w:rsidR="00A313C9" w:rsidRPr="00A313C9">
              <w:rPr>
                <w:iCs/>
                <w:sz w:val="20"/>
                <w:lang w:val="bg-BG" w:eastAsia="bg-BG"/>
              </w:rPr>
              <w:t xml:space="preserve">21,05 </w:t>
            </w:r>
          </w:p>
          <w:p w14:paraId="30055E6A" w14:textId="77777777" w:rsidR="00730938" w:rsidRDefault="00730938" w:rsidP="00730938">
            <w:pPr>
              <w:pStyle w:val="ListBullet"/>
              <w:tabs>
                <w:tab w:val="clear" w:pos="360"/>
                <w:tab w:val="left" w:pos="720"/>
              </w:tabs>
              <w:ind w:left="0" w:firstLine="0"/>
              <w:rPr>
                <w:iCs/>
                <w:sz w:val="20"/>
                <w:lang w:eastAsia="bg-BG"/>
              </w:rPr>
            </w:pPr>
          </w:p>
          <w:p w14:paraId="5903D59C" w14:textId="77777777" w:rsidR="00730938" w:rsidRDefault="00730938" w:rsidP="00730938">
            <w:pPr>
              <w:pStyle w:val="ListBullet"/>
              <w:tabs>
                <w:tab w:val="clear" w:pos="360"/>
                <w:tab w:val="left" w:pos="720"/>
              </w:tabs>
              <w:ind w:left="0" w:firstLine="0"/>
              <w:rPr>
                <w:iCs/>
                <w:sz w:val="20"/>
                <w:lang w:eastAsia="bg-BG"/>
              </w:rPr>
            </w:pPr>
          </w:p>
          <w:p w14:paraId="032697FE" w14:textId="77777777" w:rsidR="00730938" w:rsidRDefault="00730938" w:rsidP="00730938">
            <w:pPr>
              <w:pStyle w:val="ListBullet"/>
              <w:tabs>
                <w:tab w:val="clear" w:pos="360"/>
                <w:tab w:val="left" w:pos="720"/>
              </w:tabs>
              <w:ind w:left="0" w:firstLine="0"/>
              <w:rPr>
                <w:iCs/>
                <w:sz w:val="20"/>
                <w:lang w:eastAsia="bg-BG"/>
              </w:rPr>
            </w:pPr>
          </w:p>
          <w:p w14:paraId="7AA1A856" w14:textId="3797D541" w:rsidR="00F1341F" w:rsidRPr="008340BB" w:rsidRDefault="00F1341F" w:rsidP="00730938">
            <w:pPr>
              <w:pStyle w:val="ListBullet"/>
              <w:tabs>
                <w:tab w:val="clear" w:pos="360"/>
                <w:tab w:val="left" w:pos="720"/>
              </w:tabs>
              <w:ind w:left="0" w:firstLine="0"/>
              <w:rPr>
                <w:i/>
                <w:sz w:val="18"/>
                <w:szCs w:val="18"/>
              </w:rPr>
            </w:pPr>
          </w:p>
        </w:tc>
        <w:tc>
          <w:tcPr>
            <w:tcW w:w="599" w:type="pct"/>
          </w:tcPr>
          <w:p w14:paraId="26C3ECDF" w14:textId="77777777" w:rsidR="001B15D8" w:rsidRDefault="001B15D8" w:rsidP="000F1745">
            <w:pPr>
              <w:pStyle w:val="ListBullet"/>
              <w:tabs>
                <w:tab w:val="clear" w:pos="360"/>
                <w:tab w:val="left" w:pos="720"/>
              </w:tabs>
              <w:ind w:left="0" w:firstLine="0"/>
              <w:jc w:val="left"/>
              <w:rPr>
                <w:iCs/>
                <w:sz w:val="20"/>
                <w:lang w:eastAsia="bg-BG"/>
              </w:rPr>
            </w:pPr>
            <w:r>
              <w:rPr>
                <w:sz w:val="20"/>
              </w:rPr>
              <w:t>NRIC</w:t>
            </w:r>
          </w:p>
          <w:p w14:paraId="4562FAB5" w14:textId="77777777" w:rsidR="001B15D8" w:rsidRDefault="001B15D8" w:rsidP="000F1745">
            <w:pPr>
              <w:pStyle w:val="ListBullet"/>
              <w:tabs>
                <w:tab w:val="clear" w:pos="360"/>
                <w:tab w:val="left" w:pos="720"/>
              </w:tabs>
              <w:ind w:left="0" w:firstLine="0"/>
              <w:jc w:val="left"/>
              <w:rPr>
                <w:iCs/>
                <w:sz w:val="20"/>
                <w:lang w:eastAsia="bg-BG"/>
              </w:rPr>
            </w:pPr>
          </w:p>
          <w:p w14:paraId="0138C77A" w14:textId="77777777" w:rsidR="001B15D8" w:rsidRDefault="001B15D8" w:rsidP="000F1745">
            <w:pPr>
              <w:pStyle w:val="ListBullet"/>
              <w:tabs>
                <w:tab w:val="clear" w:pos="360"/>
                <w:tab w:val="left" w:pos="720"/>
              </w:tabs>
              <w:ind w:left="0" w:firstLine="0"/>
              <w:jc w:val="left"/>
              <w:rPr>
                <w:iCs/>
                <w:sz w:val="20"/>
                <w:lang w:eastAsia="bg-BG"/>
              </w:rPr>
            </w:pPr>
          </w:p>
          <w:p w14:paraId="7A493F00" w14:textId="77777777" w:rsidR="001B15D8" w:rsidRDefault="001B15D8" w:rsidP="000F1745">
            <w:pPr>
              <w:pStyle w:val="ListBullet"/>
              <w:tabs>
                <w:tab w:val="clear" w:pos="360"/>
                <w:tab w:val="left" w:pos="720"/>
              </w:tabs>
              <w:ind w:left="0" w:firstLine="0"/>
              <w:jc w:val="left"/>
              <w:rPr>
                <w:iCs/>
                <w:sz w:val="20"/>
                <w:lang w:eastAsia="bg-BG"/>
              </w:rPr>
            </w:pPr>
          </w:p>
          <w:p w14:paraId="743AC5F4" w14:textId="77777777" w:rsidR="00F1341F" w:rsidRPr="008340BB" w:rsidRDefault="00F1341F" w:rsidP="001B15D8">
            <w:pPr>
              <w:pStyle w:val="ListBullet"/>
              <w:tabs>
                <w:tab w:val="clear" w:pos="360"/>
                <w:tab w:val="left" w:pos="720"/>
              </w:tabs>
              <w:ind w:left="0" w:firstLine="0"/>
              <w:jc w:val="left"/>
              <w:rPr>
                <w:i/>
                <w:sz w:val="18"/>
                <w:szCs w:val="18"/>
              </w:rPr>
            </w:pPr>
          </w:p>
        </w:tc>
        <w:tc>
          <w:tcPr>
            <w:tcW w:w="418" w:type="pct"/>
          </w:tcPr>
          <w:p w14:paraId="0DC91496" w14:textId="77777777" w:rsidR="00F1341F" w:rsidRPr="008340BB" w:rsidRDefault="004F2F5A" w:rsidP="001B395D">
            <w:pPr>
              <w:pStyle w:val="ListBullet"/>
              <w:tabs>
                <w:tab w:val="clear" w:pos="360"/>
                <w:tab w:val="left" w:pos="720"/>
              </w:tabs>
              <w:ind w:left="0" w:firstLine="0"/>
              <w:jc w:val="left"/>
              <w:rPr>
                <w:i/>
                <w:sz w:val="18"/>
                <w:szCs w:val="18"/>
              </w:rPr>
            </w:pPr>
            <w:r w:rsidRPr="004F2F5A">
              <w:rPr>
                <w:iCs/>
                <w:sz w:val="20"/>
                <w:lang w:eastAsia="bg-BG"/>
              </w:rPr>
              <w:t>annually</w:t>
            </w:r>
          </w:p>
        </w:tc>
      </w:tr>
    </w:tbl>
    <w:p w14:paraId="02431F32" w14:textId="77777777" w:rsidR="00515897" w:rsidRDefault="00515897" w:rsidP="00515897">
      <w:pPr>
        <w:suppressAutoHyphens/>
      </w:pPr>
      <w:r>
        <w:t>Total number of railway stations between Sofia and Burgas: 38</w:t>
      </w:r>
    </w:p>
    <w:p w14:paraId="64106893" w14:textId="77777777" w:rsidR="00515897" w:rsidRDefault="00515897" w:rsidP="00515897">
      <w:pPr>
        <w:suppressAutoHyphens/>
      </w:pPr>
      <w:r>
        <w:t>Number of reconstructed intermodal stations under PA 3 of OPT: 3 – Sofia, Pazardjik and Burgas</w:t>
      </w:r>
    </w:p>
    <w:p w14:paraId="6488BE12" w14:textId="77777777" w:rsidR="00515897" w:rsidRDefault="00515897" w:rsidP="00515897">
      <w:pPr>
        <w:suppressAutoHyphens/>
      </w:pPr>
      <w:r>
        <w:t>Share: 3/38*100 =   7.89 % - Baseline value</w:t>
      </w:r>
    </w:p>
    <w:p w14:paraId="693FAA74" w14:textId="415B341F" w:rsidR="00515897" w:rsidRDefault="00515897" w:rsidP="00515897">
      <w:pPr>
        <w:suppressAutoHyphens/>
      </w:pPr>
      <w:r>
        <w:t>Number of intermodal</w:t>
      </w:r>
      <w:r w:rsidR="00CE41C5">
        <w:t xml:space="preserve"> stations along OEM CNC (</w:t>
      </w:r>
      <w:r>
        <w:t xml:space="preserve">Sofia-Plovdiv-Burgas </w:t>
      </w:r>
      <w:r w:rsidR="00CE41C5">
        <w:t>section)</w:t>
      </w:r>
      <w:r>
        <w:t xml:space="preserve"> to be reconstructed under PA 3 of OPTTI: </w:t>
      </w:r>
      <w:r w:rsidR="009F22BB">
        <w:t>5</w:t>
      </w:r>
      <w:r>
        <w:t xml:space="preserve"> – Podujane, Iskar</w:t>
      </w:r>
      <w:r w:rsidR="00853225">
        <w:t>,</w:t>
      </w:r>
      <w:r>
        <w:t xml:space="preserve"> Kazichene</w:t>
      </w:r>
      <w:r w:rsidR="00853225">
        <w:t>,</w:t>
      </w:r>
      <w:r>
        <w:t xml:space="preserve"> Karnobat, </w:t>
      </w:r>
      <w:r w:rsidR="00853225" w:rsidRPr="00853225">
        <w:t xml:space="preserve">and </w:t>
      </w:r>
      <w:r>
        <w:t>Stara Zagora</w:t>
      </w:r>
    </w:p>
    <w:p w14:paraId="739845D9" w14:textId="107FD0EE" w:rsidR="007C1D48" w:rsidRDefault="007C1D48" w:rsidP="00515897">
      <w:pPr>
        <w:suppressAutoHyphens/>
      </w:pPr>
      <w:r w:rsidRPr="007C1D48">
        <w:t>The Nova Zagora station will not be completed within the period of eligibility of the costs, therefore it is not calculated in the reported value of the indicator.</w:t>
      </w:r>
    </w:p>
    <w:p w14:paraId="233B2139" w14:textId="0DF462E4" w:rsidR="00F1341F" w:rsidRPr="008340BB" w:rsidRDefault="00515897" w:rsidP="00B5308A">
      <w:pPr>
        <w:suppressAutoHyphens/>
        <w:rPr>
          <w:b/>
        </w:rPr>
        <w:sectPr w:rsidR="00F1341F" w:rsidRPr="008340BB" w:rsidSect="001E1D6F">
          <w:headerReference w:type="default" r:id="rId57"/>
          <w:footerReference w:type="default" r:id="rId58"/>
          <w:headerReference w:type="first" r:id="rId59"/>
          <w:footerReference w:type="first" r:id="rId60"/>
          <w:pgSz w:w="16838" w:h="11906" w:orient="landscape"/>
          <w:pgMar w:top="1418" w:right="1021" w:bottom="1418" w:left="1021" w:header="601" w:footer="1077" w:gutter="0"/>
          <w:cols w:space="708"/>
          <w:docGrid w:linePitch="326"/>
        </w:sectPr>
      </w:pPr>
      <w:r>
        <w:t>Share: (</w:t>
      </w:r>
      <w:r w:rsidR="00D618EA">
        <w:t>5</w:t>
      </w:r>
      <w:r>
        <w:t xml:space="preserve">+3)/38*100 = </w:t>
      </w:r>
      <w:r w:rsidR="00D618EA" w:rsidRPr="00D618EA">
        <w:rPr>
          <w:lang w:val="bg-BG"/>
        </w:rPr>
        <w:t>21,05</w:t>
      </w:r>
      <w:r>
        <w:t xml:space="preserve"> % - Target value</w:t>
      </w:r>
    </w:p>
    <w:p w14:paraId="2E763BC9" w14:textId="77777777" w:rsidR="00F1341F" w:rsidRPr="008340BB" w:rsidRDefault="00F1341F" w:rsidP="00B5308A">
      <w:pPr>
        <w:ind w:left="1418" w:hanging="1418"/>
      </w:pPr>
      <w:r w:rsidRPr="008340BB">
        <w:rPr>
          <w:b/>
        </w:rPr>
        <w:lastRenderedPageBreak/>
        <w:t xml:space="preserve">Table 4: </w:t>
      </w:r>
      <w:r w:rsidRPr="008340BB">
        <w:rPr>
          <w:b/>
        </w:rPr>
        <w:tab/>
        <w:t xml:space="preserve">Common result indicators for which a target value has been set and programme specific result indicators corresponding to the specific objective (by investment priority and category of region) </w:t>
      </w:r>
      <w:r w:rsidRPr="008340BB">
        <w:t>(for the ESF)</w:t>
      </w:r>
    </w:p>
    <w:p w14:paraId="08E04AB7" w14:textId="77777777" w:rsidR="00F1341F" w:rsidRPr="008340BB" w:rsidRDefault="00F1341F" w:rsidP="00B5308A">
      <w:pPr>
        <w:rPr>
          <w:b/>
        </w:rPr>
      </w:pPr>
    </w:p>
    <w:p w14:paraId="1F9F06E7" w14:textId="77777777" w:rsidR="00F1341F" w:rsidRPr="008340BB" w:rsidRDefault="00F1341F" w:rsidP="00B5308A">
      <w:r w:rsidRPr="008340BB">
        <w:t>(Reference: point (b)(ii) of the first subparagraph of Article 96(2) of Regulation (EU) No 1303/2013)</w:t>
      </w:r>
    </w:p>
    <w:p w14:paraId="32D89D24" w14:textId="77777777" w:rsidR="00F1341F" w:rsidRPr="008340BB" w:rsidRDefault="00F1341F" w:rsidP="00B5308A">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6"/>
        <w:gridCol w:w="2149"/>
        <w:gridCol w:w="1395"/>
        <w:gridCol w:w="1398"/>
        <w:gridCol w:w="1535"/>
        <w:gridCol w:w="326"/>
        <w:gridCol w:w="326"/>
        <w:gridCol w:w="326"/>
        <w:gridCol w:w="1255"/>
        <w:gridCol w:w="903"/>
        <w:gridCol w:w="530"/>
        <w:gridCol w:w="9"/>
        <w:gridCol w:w="466"/>
        <w:gridCol w:w="469"/>
        <w:gridCol w:w="976"/>
        <w:gridCol w:w="1191"/>
      </w:tblGrid>
      <w:tr w:rsidR="00F1341F" w:rsidRPr="008340BB" w14:paraId="1402FAA2" w14:textId="77777777" w:rsidTr="00896FA2">
        <w:trPr>
          <w:trHeight w:val="620"/>
        </w:trPr>
        <w:tc>
          <w:tcPr>
            <w:tcW w:w="449" w:type="pct"/>
            <w:vMerge w:val="restart"/>
          </w:tcPr>
          <w:p w14:paraId="3B114406"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b/>
                <w:i/>
                <w:sz w:val="16"/>
                <w:szCs w:val="16"/>
              </w:rPr>
              <w:t>ID</w:t>
            </w:r>
          </w:p>
        </w:tc>
        <w:tc>
          <w:tcPr>
            <w:tcW w:w="738" w:type="pct"/>
            <w:vMerge w:val="restart"/>
          </w:tcPr>
          <w:p w14:paraId="206B5AC5"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b/>
                <w:i/>
                <w:sz w:val="16"/>
                <w:szCs w:val="16"/>
              </w:rPr>
              <w:t xml:space="preserve">Indicator </w:t>
            </w:r>
          </w:p>
        </w:tc>
        <w:tc>
          <w:tcPr>
            <w:tcW w:w="479" w:type="pct"/>
            <w:vMerge w:val="restart"/>
          </w:tcPr>
          <w:p w14:paraId="51860112"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b/>
                <w:i/>
                <w:sz w:val="16"/>
                <w:szCs w:val="16"/>
              </w:rPr>
              <w:t xml:space="preserve">Category of region </w:t>
            </w:r>
          </w:p>
        </w:tc>
        <w:tc>
          <w:tcPr>
            <w:tcW w:w="480" w:type="pct"/>
            <w:vMerge w:val="restart"/>
          </w:tcPr>
          <w:p w14:paraId="1CE3F0A6"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b/>
                <w:i/>
                <w:sz w:val="16"/>
                <w:szCs w:val="16"/>
              </w:rPr>
              <w:t>Measurement unit for indicator</w:t>
            </w:r>
          </w:p>
        </w:tc>
        <w:tc>
          <w:tcPr>
            <w:tcW w:w="527" w:type="pct"/>
            <w:vMerge w:val="restart"/>
          </w:tcPr>
          <w:p w14:paraId="6F93D35D" w14:textId="77777777" w:rsidR="00F1341F" w:rsidRPr="008340BB" w:rsidRDefault="00F1341F" w:rsidP="001B395D">
            <w:pPr>
              <w:snapToGrid w:val="0"/>
              <w:spacing w:before="60" w:after="60"/>
              <w:rPr>
                <w:b/>
                <w:i/>
                <w:sz w:val="16"/>
                <w:szCs w:val="16"/>
              </w:rPr>
            </w:pPr>
            <w:r w:rsidRPr="008340BB">
              <w:rPr>
                <w:b/>
                <w:i/>
                <w:sz w:val="16"/>
                <w:szCs w:val="16"/>
              </w:rPr>
              <w:t>Common output indicator used as basis for target setting</w:t>
            </w:r>
          </w:p>
        </w:tc>
        <w:tc>
          <w:tcPr>
            <w:tcW w:w="336" w:type="pct"/>
            <w:gridSpan w:val="3"/>
          </w:tcPr>
          <w:p w14:paraId="1520866E"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b/>
                <w:i/>
                <w:sz w:val="16"/>
                <w:szCs w:val="16"/>
              </w:rPr>
              <w:t xml:space="preserve">Baseline value </w:t>
            </w:r>
          </w:p>
        </w:tc>
        <w:tc>
          <w:tcPr>
            <w:tcW w:w="431" w:type="pct"/>
            <w:vMerge w:val="restart"/>
          </w:tcPr>
          <w:p w14:paraId="1BD1F651"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b/>
                <w:i/>
                <w:sz w:val="16"/>
                <w:szCs w:val="16"/>
              </w:rPr>
              <w:t>Measurement unit for baseline and target</w:t>
            </w:r>
          </w:p>
        </w:tc>
        <w:tc>
          <w:tcPr>
            <w:tcW w:w="310" w:type="pct"/>
            <w:vMerge w:val="restart"/>
          </w:tcPr>
          <w:p w14:paraId="60E3386C"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b/>
                <w:i/>
                <w:sz w:val="16"/>
                <w:szCs w:val="16"/>
              </w:rPr>
              <w:t>Baseline year</w:t>
            </w:r>
          </w:p>
        </w:tc>
        <w:tc>
          <w:tcPr>
            <w:tcW w:w="506" w:type="pct"/>
            <w:gridSpan w:val="4"/>
          </w:tcPr>
          <w:p w14:paraId="07F86D84" w14:textId="77777777" w:rsidR="00F1341F" w:rsidRPr="008340BB" w:rsidRDefault="00F1341F" w:rsidP="001B395D">
            <w:pPr>
              <w:snapToGrid w:val="0"/>
              <w:spacing w:before="60" w:after="60"/>
              <w:rPr>
                <w:b/>
                <w:i/>
                <w:sz w:val="16"/>
                <w:szCs w:val="16"/>
              </w:rPr>
            </w:pPr>
            <w:r w:rsidRPr="008340BB">
              <w:rPr>
                <w:b/>
                <w:i/>
                <w:sz w:val="16"/>
                <w:szCs w:val="16"/>
              </w:rPr>
              <w:t>Target value</w:t>
            </w:r>
            <w:r w:rsidRPr="008340BB">
              <w:rPr>
                <w:rStyle w:val="FootnoteReference"/>
                <w:b/>
                <w:i/>
                <w:sz w:val="16"/>
                <w:szCs w:val="16"/>
              </w:rPr>
              <w:footnoteReference w:id="45"/>
            </w:r>
            <w:r w:rsidRPr="008340BB">
              <w:rPr>
                <w:b/>
                <w:i/>
                <w:sz w:val="16"/>
                <w:szCs w:val="16"/>
              </w:rPr>
              <w:t xml:space="preserve"> (2023)</w:t>
            </w:r>
          </w:p>
        </w:tc>
        <w:tc>
          <w:tcPr>
            <w:tcW w:w="335" w:type="pct"/>
            <w:vMerge w:val="restart"/>
          </w:tcPr>
          <w:p w14:paraId="608E121B" w14:textId="77777777" w:rsidR="00F1341F" w:rsidRPr="0067246B" w:rsidRDefault="00F1341F" w:rsidP="001B395D">
            <w:pPr>
              <w:pStyle w:val="ListBullet"/>
              <w:tabs>
                <w:tab w:val="clear" w:pos="360"/>
                <w:tab w:val="left" w:pos="720"/>
              </w:tabs>
              <w:spacing w:before="60" w:after="60"/>
              <w:ind w:left="0" w:firstLine="0"/>
              <w:rPr>
                <w:b/>
                <w:i/>
                <w:sz w:val="16"/>
                <w:szCs w:val="16"/>
              </w:rPr>
            </w:pPr>
            <w:r w:rsidRPr="0067246B">
              <w:rPr>
                <w:b/>
                <w:i/>
                <w:sz w:val="16"/>
                <w:szCs w:val="16"/>
              </w:rPr>
              <w:t>Source of data</w:t>
            </w:r>
          </w:p>
        </w:tc>
        <w:tc>
          <w:tcPr>
            <w:tcW w:w="409" w:type="pct"/>
            <w:vMerge w:val="restart"/>
          </w:tcPr>
          <w:p w14:paraId="455975A4" w14:textId="77777777" w:rsidR="00F1341F" w:rsidRPr="00020ADD" w:rsidRDefault="00F1341F" w:rsidP="001B395D">
            <w:pPr>
              <w:pStyle w:val="ListBullet"/>
              <w:tabs>
                <w:tab w:val="clear" w:pos="360"/>
                <w:tab w:val="left" w:pos="720"/>
              </w:tabs>
              <w:spacing w:before="60" w:after="60"/>
              <w:ind w:left="0" w:firstLine="0"/>
              <w:rPr>
                <w:b/>
                <w:i/>
                <w:sz w:val="16"/>
                <w:szCs w:val="16"/>
              </w:rPr>
            </w:pPr>
            <w:r w:rsidRPr="00020ADD">
              <w:rPr>
                <w:b/>
                <w:i/>
                <w:sz w:val="16"/>
                <w:szCs w:val="16"/>
              </w:rPr>
              <w:t>Frequency of reporting</w:t>
            </w:r>
          </w:p>
        </w:tc>
      </w:tr>
      <w:tr w:rsidR="00F1341F" w:rsidRPr="008340BB" w14:paraId="5F9ADF4E" w14:textId="77777777" w:rsidTr="00896FA2">
        <w:trPr>
          <w:trHeight w:val="619"/>
        </w:trPr>
        <w:tc>
          <w:tcPr>
            <w:tcW w:w="449" w:type="pct"/>
            <w:vMerge/>
          </w:tcPr>
          <w:p w14:paraId="5155DB76" w14:textId="77777777" w:rsidR="00F1341F" w:rsidRPr="008340BB" w:rsidRDefault="00F1341F" w:rsidP="001B395D">
            <w:pPr>
              <w:pStyle w:val="ListBullet"/>
              <w:tabs>
                <w:tab w:val="clear" w:pos="360"/>
                <w:tab w:val="left" w:pos="720"/>
              </w:tabs>
              <w:spacing w:before="60" w:after="60"/>
              <w:ind w:left="0" w:firstLine="0"/>
              <w:rPr>
                <w:b/>
                <w:i/>
                <w:sz w:val="16"/>
                <w:szCs w:val="16"/>
              </w:rPr>
            </w:pPr>
          </w:p>
        </w:tc>
        <w:tc>
          <w:tcPr>
            <w:tcW w:w="738" w:type="pct"/>
            <w:vMerge/>
          </w:tcPr>
          <w:p w14:paraId="65D12A10" w14:textId="77777777" w:rsidR="00F1341F" w:rsidRPr="008340BB" w:rsidRDefault="00F1341F" w:rsidP="001B395D">
            <w:pPr>
              <w:pStyle w:val="ListBullet"/>
              <w:tabs>
                <w:tab w:val="clear" w:pos="360"/>
                <w:tab w:val="left" w:pos="720"/>
              </w:tabs>
              <w:spacing w:before="60" w:after="60"/>
              <w:ind w:left="0" w:firstLine="0"/>
              <w:rPr>
                <w:b/>
                <w:i/>
                <w:sz w:val="16"/>
                <w:szCs w:val="16"/>
              </w:rPr>
            </w:pPr>
          </w:p>
        </w:tc>
        <w:tc>
          <w:tcPr>
            <w:tcW w:w="479" w:type="pct"/>
            <w:vMerge/>
          </w:tcPr>
          <w:p w14:paraId="24478CBE" w14:textId="77777777" w:rsidR="00F1341F" w:rsidRPr="008340BB" w:rsidRDefault="00F1341F" w:rsidP="001B395D">
            <w:pPr>
              <w:pStyle w:val="ListBullet"/>
              <w:tabs>
                <w:tab w:val="clear" w:pos="360"/>
                <w:tab w:val="left" w:pos="720"/>
              </w:tabs>
              <w:spacing w:before="60" w:after="60"/>
              <w:ind w:left="0" w:firstLine="0"/>
              <w:rPr>
                <w:b/>
                <w:i/>
                <w:sz w:val="16"/>
                <w:szCs w:val="16"/>
              </w:rPr>
            </w:pPr>
          </w:p>
        </w:tc>
        <w:tc>
          <w:tcPr>
            <w:tcW w:w="480" w:type="pct"/>
            <w:vMerge/>
          </w:tcPr>
          <w:p w14:paraId="67EF2233" w14:textId="77777777" w:rsidR="00F1341F" w:rsidRPr="008340BB" w:rsidRDefault="00F1341F" w:rsidP="001B395D">
            <w:pPr>
              <w:pStyle w:val="ListBullet"/>
              <w:tabs>
                <w:tab w:val="clear" w:pos="360"/>
                <w:tab w:val="left" w:pos="720"/>
              </w:tabs>
              <w:spacing w:before="60" w:after="60"/>
              <w:ind w:left="0" w:firstLine="0"/>
              <w:rPr>
                <w:b/>
                <w:i/>
                <w:sz w:val="16"/>
                <w:szCs w:val="16"/>
              </w:rPr>
            </w:pPr>
          </w:p>
        </w:tc>
        <w:tc>
          <w:tcPr>
            <w:tcW w:w="527" w:type="pct"/>
            <w:vMerge/>
          </w:tcPr>
          <w:p w14:paraId="5BFFDBD0" w14:textId="77777777" w:rsidR="00F1341F" w:rsidRPr="008340BB" w:rsidRDefault="00F1341F" w:rsidP="001B395D">
            <w:pPr>
              <w:snapToGrid w:val="0"/>
              <w:spacing w:before="60" w:after="60"/>
              <w:rPr>
                <w:b/>
                <w:i/>
                <w:sz w:val="16"/>
                <w:szCs w:val="16"/>
              </w:rPr>
            </w:pPr>
          </w:p>
        </w:tc>
        <w:tc>
          <w:tcPr>
            <w:tcW w:w="112" w:type="pct"/>
          </w:tcPr>
          <w:p w14:paraId="01A099E0"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sz w:val="16"/>
                <w:szCs w:val="16"/>
              </w:rPr>
              <w:t>M</w:t>
            </w:r>
          </w:p>
        </w:tc>
        <w:tc>
          <w:tcPr>
            <w:tcW w:w="112" w:type="pct"/>
          </w:tcPr>
          <w:p w14:paraId="093BDBA7"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sz w:val="16"/>
                <w:szCs w:val="16"/>
              </w:rPr>
              <w:t>W</w:t>
            </w:r>
          </w:p>
        </w:tc>
        <w:tc>
          <w:tcPr>
            <w:tcW w:w="112" w:type="pct"/>
          </w:tcPr>
          <w:p w14:paraId="58664EC3" w14:textId="77777777" w:rsidR="00F1341F" w:rsidRPr="008340BB" w:rsidRDefault="00F1341F" w:rsidP="001B395D">
            <w:pPr>
              <w:pStyle w:val="ListBullet"/>
              <w:tabs>
                <w:tab w:val="clear" w:pos="360"/>
                <w:tab w:val="left" w:pos="720"/>
              </w:tabs>
              <w:spacing w:before="60" w:after="60"/>
              <w:ind w:left="0" w:firstLine="0"/>
              <w:rPr>
                <w:b/>
                <w:i/>
                <w:sz w:val="16"/>
                <w:szCs w:val="16"/>
              </w:rPr>
            </w:pPr>
            <w:r w:rsidRPr="008340BB">
              <w:rPr>
                <w:sz w:val="16"/>
                <w:szCs w:val="16"/>
              </w:rPr>
              <w:t>T</w:t>
            </w:r>
          </w:p>
        </w:tc>
        <w:tc>
          <w:tcPr>
            <w:tcW w:w="431" w:type="pct"/>
            <w:vMerge/>
          </w:tcPr>
          <w:p w14:paraId="67E883EA" w14:textId="77777777" w:rsidR="00F1341F" w:rsidRPr="008340BB" w:rsidRDefault="00F1341F" w:rsidP="001B395D">
            <w:pPr>
              <w:pStyle w:val="ListBullet"/>
              <w:tabs>
                <w:tab w:val="clear" w:pos="360"/>
                <w:tab w:val="left" w:pos="720"/>
              </w:tabs>
              <w:spacing w:before="60" w:after="60"/>
              <w:ind w:left="0" w:firstLine="0"/>
              <w:rPr>
                <w:b/>
                <w:i/>
                <w:sz w:val="16"/>
                <w:szCs w:val="16"/>
              </w:rPr>
            </w:pPr>
          </w:p>
        </w:tc>
        <w:tc>
          <w:tcPr>
            <w:tcW w:w="310" w:type="pct"/>
            <w:vMerge/>
          </w:tcPr>
          <w:p w14:paraId="5E198DE9" w14:textId="77777777" w:rsidR="00F1341F" w:rsidRPr="008340BB" w:rsidRDefault="00F1341F" w:rsidP="001B395D">
            <w:pPr>
              <w:pStyle w:val="ListBullet"/>
              <w:tabs>
                <w:tab w:val="clear" w:pos="360"/>
                <w:tab w:val="left" w:pos="720"/>
              </w:tabs>
              <w:spacing w:before="60" w:after="60"/>
              <w:ind w:left="0" w:firstLine="0"/>
              <w:rPr>
                <w:b/>
                <w:i/>
                <w:sz w:val="16"/>
                <w:szCs w:val="16"/>
              </w:rPr>
            </w:pPr>
          </w:p>
        </w:tc>
        <w:tc>
          <w:tcPr>
            <w:tcW w:w="185" w:type="pct"/>
            <w:gridSpan w:val="2"/>
          </w:tcPr>
          <w:p w14:paraId="1565FEAF" w14:textId="77777777" w:rsidR="00F1341F" w:rsidRPr="008340BB" w:rsidRDefault="00F1341F" w:rsidP="001B395D">
            <w:pPr>
              <w:snapToGrid w:val="0"/>
              <w:spacing w:before="60" w:after="60"/>
              <w:rPr>
                <w:b/>
                <w:i/>
                <w:sz w:val="16"/>
                <w:szCs w:val="16"/>
              </w:rPr>
            </w:pPr>
            <w:r w:rsidRPr="008340BB">
              <w:rPr>
                <w:sz w:val="16"/>
                <w:szCs w:val="16"/>
              </w:rPr>
              <w:t>M</w:t>
            </w:r>
          </w:p>
        </w:tc>
        <w:tc>
          <w:tcPr>
            <w:tcW w:w="160" w:type="pct"/>
          </w:tcPr>
          <w:p w14:paraId="04E84DA7" w14:textId="77777777" w:rsidR="00F1341F" w:rsidRPr="008340BB" w:rsidRDefault="00F1341F" w:rsidP="001B395D">
            <w:pPr>
              <w:snapToGrid w:val="0"/>
              <w:spacing w:before="60" w:after="60"/>
              <w:rPr>
                <w:b/>
                <w:i/>
                <w:sz w:val="16"/>
                <w:szCs w:val="16"/>
              </w:rPr>
            </w:pPr>
            <w:r w:rsidRPr="008340BB">
              <w:rPr>
                <w:sz w:val="16"/>
                <w:szCs w:val="16"/>
              </w:rPr>
              <w:t>W</w:t>
            </w:r>
          </w:p>
        </w:tc>
        <w:tc>
          <w:tcPr>
            <w:tcW w:w="161" w:type="pct"/>
          </w:tcPr>
          <w:p w14:paraId="5EF7BD7B" w14:textId="77777777" w:rsidR="00F1341F" w:rsidRPr="008340BB" w:rsidRDefault="00F1341F" w:rsidP="001B395D">
            <w:pPr>
              <w:snapToGrid w:val="0"/>
              <w:spacing w:before="60" w:after="60"/>
              <w:rPr>
                <w:b/>
                <w:i/>
                <w:sz w:val="16"/>
                <w:szCs w:val="16"/>
              </w:rPr>
            </w:pPr>
            <w:r w:rsidRPr="008340BB">
              <w:rPr>
                <w:sz w:val="16"/>
                <w:szCs w:val="16"/>
              </w:rPr>
              <w:t>T</w:t>
            </w:r>
          </w:p>
        </w:tc>
        <w:tc>
          <w:tcPr>
            <w:tcW w:w="335" w:type="pct"/>
            <w:vMerge/>
          </w:tcPr>
          <w:p w14:paraId="612D1244" w14:textId="77777777" w:rsidR="00F1341F" w:rsidRPr="008340BB" w:rsidRDefault="00F1341F" w:rsidP="001B395D">
            <w:pPr>
              <w:pStyle w:val="ListBullet"/>
              <w:tabs>
                <w:tab w:val="clear" w:pos="360"/>
                <w:tab w:val="left" w:pos="720"/>
              </w:tabs>
              <w:spacing w:before="60" w:after="60"/>
              <w:ind w:left="0" w:firstLine="0"/>
              <w:rPr>
                <w:b/>
                <w:i/>
                <w:sz w:val="16"/>
                <w:szCs w:val="16"/>
              </w:rPr>
            </w:pPr>
          </w:p>
        </w:tc>
        <w:tc>
          <w:tcPr>
            <w:tcW w:w="409" w:type="pct"/>
            <w:vMerge/>
          </w:tcPr>
          <w:p w14:paraId="19229AD7" w14:textId="77777777" w:rsidR="00F1341F" w:rsidRPr="008340BB" w:rsidRDefault="00F1341F" w:rsidP="001B395D">
            <w:pPr>
              <w:pStyle w:val="ListBullet"/>
              <w:tabs>
                <w:tab w:val="clear" w:pos="360"/>
                <w:tab w:val="left" w:pos="720"/>
              </w:tabs>
              <w:spacing w:before="60" w:after="60"/>
              <w:ind w:left="0" w:firstLine="0"/>
              <w:rPr>
                <w:b/>
                <w:sz w:val="16"/>
                <w:szCs w:val="16"/>
              </w:rPr>
            </w:pPr>
          </w:p>
        </w:tc>
      </w:tr>
      <w:tr w:rsidR="00F1341F" w:rsidRPr="008340BB" w14:paraId="00369848" w14:textId="77777777" w:rsidTr="00896FA2">
        <w:trPr>
          <w:trHeight w:val="652"/>
        </w:trPr>
        <w:tc>
          <w:tcPr>
            <w:tcW w:w="449" w:type="pct"/>
          </w:tcPr>
          <w:p w14:paraId="53758BD3" w14:textId="77777777" w:rsidR="00F1341F" w:rsidRPr="008340BB" w:rsidRDefault="00F1341F" w:rsidP="001B395D">
            <w:pPr>
              <w:pStyle w:val="Text1"/>
              <w:spacing w:before="60" w:after="60"/>
              <w:ind w:left="0"/>
              <w:jc w:val="left"/>
              <w:rPr>
                <w:i/>
                <w:sz w:val="16"/>
                <w:szCs w:val="16"/>
                <w:lang w:val="en-GB" w:eastAsia="en-GB"/>
              </w:rPr>
            </w:pPr>
            <w:r w:rsidRPr="008340BB">
              <w:rPr>
                <w:i/>
                <w:sz w:val="16"/>
                <w:szCs w:val="16"/>
                <w:lang w:val="en-GB" w:eastAsia="en-GB"/>
              </w:rPr>
              <w:t>N/A</w:t>
            </w:r>
          </w:p>
        </w:tc>
        <w:tc>
          <w:tcPr>
            <w:tcW w:w="738" w:type="pct"/>
          </w:tcPr>
          <w:p w14:paraId="5F820B59" w14:textId="77777777" w:rsidR="00F1341F" w:rsidRPr="008340BB" w:rsidRDefault="00F1341F">
            <w:r w:rsidRPr="008340BB">
              <w:rPr>
                <w:i/>
                <w:sz w:val="16"/>
                <w:szCs w:val="16"/>
              </w:rPr>
              <w:t>N/A</w:t>
            </w:r>
          </w:p>
        </w:tc>
        <w:tc>
          <w:tcPr>
            <w:tcW w:w="479" w:type="pct"/>
          </w:tcPr>
          <w:p w14:paraId="1AFA2C2D" w14:textId="77777777" w:rsidR="00F1341F" w:rsidRPr="008340BB" w:rsidRDefault="00F1341F">
            <w:r w:rsidRPr="008340BB">
              <w:rPr>
                <w:i/>
                <w:sz w:val="16"/>
                <w:szCs w:val="16"/>
              </w:rPr>
              <w:t>N/A</w:t>
            </w:r>
          </w:p>
        </w:tc>
        <w:tc>
          <w:tcPr>
            <w:tcW w:w="480" w:type="pct"/>
          </w:tcPr>
          <w:p w14:paraId="0A7D81D5" w14:textId="77777777" w:rsidR="00F1341F" w:rsidRPr="008340BB" w:rsidRDefault="00F1341F">
            <w:r w:rsidRPr="008340BB">
              <w:rPr>
                <w:i/>
                <w:sz w:val="16"/>
                <w:szCs w:val="16"/>
              </w:rPr>
              <w:t>N/A</w:t>
            </w:r>
          </w:p>
        </w:tc>
        <w:tc>
          <w:tcPr>
            <w:tcW w:w="527" w:type="pct"/>
          </w:tcPr>
          <w:p w14:paraId="0BEA86CC" w14:textId="77777777" w:rsidR="00F1341F" w:rsidRPr="008340BB" w:rsidRDefault="00F1341F">
            <w:r w:rsidRPr="008340BB">
              <w:rPr>
                <w:i/>
                <w:sz w:val="16"/>
                <w:szCs w:val="16"/>
              </w:rPr>
              <w:t>N/A</w:t>
            </w:r>
          </w:p>
        </w:tc>
        <w:tc>
          <w:tcPr>
            <w:tcW w:w="112" w:type="pct"/>
          </w:tcPr>
          <w:p w14:paraId="3F41FF59" w14:textId="77777777" w:rsidR="00F1341F" w:rsidRPr="008340BB" w:rsidRDefault="00F1341F">
            <w:r w:rsidRPr="008340BB">
              <w:rPr>
                <w:i/>
                <w:sz w:val="16"/>
                <w:szCs w:val="16"/>
              </w:rPr>
              <w:t>N/A</w:t>
            </w:r>
          </w:p>
        </w:tc>
        <w:tc>
          <w:tcPr>
            <w:tcW w:w="112" w:type="pct"/>
          </w:tcPr>
          <w:p w14:paraId="61EDDEDC" w14:textId="77777777" w:rsidR="00F1341F" w:rsidRPr="008340BB" w:rsidRDefault="00F1341F">
            <w:r w:rsidRPr="008340BB">
              <w:rPr>
                <w:i/>
                <w:sz w:val="16"/>
                <w:szCs w:val="16"/>
              </w:rPr>
              <w:t>N/A</w:t>
            </w:r>
          </w:p>
        </w:tc>
        <w:tc>
          <w:tcPr>
            <w:tcW w:w="112" w:type="pct"/>
          </w:tcPr>
          <w:p w14:paraId="7D8B7C7A" w14:textId="77777777" w:rsidR="00F1341F" w:rsidRPr="008340BB" w:rsidRDefault="00F1341F">
            <w:r w:rsidRPr="008340BB">
              <w:rPr>
                <w:i/>
                <w:sz w:val="16"/>
                <w:szCs w:val="16"/>
              </w:rPr>
              <w:t>N/A</w:t>
            </w:r>
          </w:p>
        </w:tc>
        <w:tc>
          <w:tcPr>
            <w:tcW w:w="431" w:type="pct"/>
          </w:tcPr>
          <w:p w14:paraId="6B335D5D" w14:textId="77777777" w:rsidR="00F1341F" w:rsidRPr="008340BB" w:rsidRDefault="00F1341F">
            <w:r w:rsidRPr="008340BB">
              <w:rPr>
                <w:i/>
                <w:sz w:val="16"/>
                <w:szCs w:val="16"/>
              </w:rPr>
              <w:t>N/A</w:t>
            </w:r>
          </w:p>
        </w:tc>
        <w:tc>
          <w:tcPr>
            <w:tcW w:w="310" w:type="pct"/>
          </w:tcPr>
          <w:p w14:paraId="2C919B2B" w14:textId="77777777" w:rsidR="00F1341F" w:rsidRPr="008340BB" w:rsidRDefault="00F1341F">
            <w:r w:rsidRPr="008340BB">
              <w:rPr>
                <w:i/>
                <w:sz w:val="16"/>
                <w:szCs w:val="16"/>
              </w:rPr>
              <w:t>N/A</w:t>
            </w:r>
          </w:p>
        </w:tc>
        <w:tc>
          <w:tcPr>
            <w:tcW w:w="182" w:type="pct"/>
          </w:tcPr>
          <w:p w14:paraId="68FA8720" w14:textId="77777777" w:rsidR="00F1341F" w:rsidRPr="008340BB" w:rsidRDefault="00F1341F">
            <w:r w:rsidRPr="008340BB">
              <w:rPr>
                <w:i/>
                <w:sz w:val="16"/>
                <w:szCs w:val="16"/>
              </w:rPr>
              <w:t>N/A</w:t>
            </w:r>
          </w:p>
        </w:tc>
        <w:tc>
          <w:tcPr>
            <w:tcW w:w="163" w:type="pct"/>
            <w:gridSpan w:val="2"/>
          </w:tcPr>
          <w:p w14:paraId="6E1ED3E7" w14:textId="77777777" w:rsidR="00F1341F" w:rsidRPr="008340BB" w:rsidRDefault="00F1341F">
            <w:r w:rsidRPr="008340BB">
              <w:rPr>
                <w:i/>
                <w:sz w:val="16"/>
                <w:szCs w:val="16"/>
              </w:rPr>
              <w:t>N/A</w:t>
            </w:r>
          </w:p>
        </w:tc>
        <w:tc>
          <w:tcPr>
            <w:tcW w:w="161" w:type="pct"/>
          </w:tcPr>
          <w:p w14:paraId="2FB439BC" w14:textId="77777777" w:rsidR="00F1341F" w:rsidRPr="008340BB" w:rsidRDefault="00F1341F">
            <w:r w:rsidRPr="008340BB">
              <w:rPr>
                <w:i/>
                <w:sz w:val="16"/>
                <w:szCs w:val="16"/>
              </w:rPr>
              <w:t>N/A</w:t>
            </w:r>
          </w:p>
        </w:tc>
        <w:tc>
          <w:tcPr>
            <w:tcW w:w="335" w:type="pct"/>
          </w:tcPr>
          <w:p w14:paraId="30179BAB" w14:textId="77777777" w:rsidR="00F1341F" w:rsidRPr="008340BB" w:rsidRDefault="00F1341F">
            <w:r w:rsidRPr="008340BB">
              <w:rPr>
                <w:i/>
                <w:sz w:val="16"/>
                <w:szCs w:val="16"/>
              </w:rPr>
              <w:t>N/A</w:t>
            </w:r>
          </w:p>
        </w:tc>
        <w:tc>
          <w:tcPr>
            <w:tcW w:w="409" w:type="pct"/>
          </w:tcPr>
          <w:p w14:paraId="14BBB5B5" w14:textId="77777777" w:rsidR="00F1341F" w:rsidRPr="008340BB" w:rsidRDefault="00F1341F">
            <w:r w:rsidRPr="008340BB">
              <w:rPr>
                <w:i/>
                <w:sz w:val="16"/>
                <w:szCs w:val="16"/>
              </w:rPr>
              <w:t>N/A</w:t>
            </w:r>
          </w:p>
        </w:tc>
      </w:tr>
      <w:tr w:rsidR="00F1341F" w:rsidRPr="008340BB" w14:paraId="21E7BEB2" w14:textId="77777777" w:rsidTr="00896FA2">
        <w:trPr>
          <w:trHeight w:val="665"/>
        </w:trPr>
        <w:tc>
          <w:tcPr>
            <w:tcW w:w="449" w:type="pct"/>
          </w:tcPr>
          <w:p w14:paraId="497CA61F" w14:textId="77777777" w:rsidR="00F1341F" w:rsidRPr="008340BB" w:rsidRDefault="00F1341F">
            <w:r w:rsidRPr="008340BB">
              <w:rPr>
                <w:i/>
                <w:sz w:val="16"/>
                <w:szCs w:val="16"/>
              </w:rPr>
              <w:t>N/A</w:t>
            </w:r>
          </w:p>
        </w:tc>
        <w:tc>
          <w:tcPr>
            <w:tcW w:w="738" w:type="pct"/>
          </w:tcPr>
          <w:p w14:paraId="4DFDD44B" w14:textId="77777777" w:rsidR="00F1341F" w:rsidRPr="008340BB" w:rsidRDefault="00F1341F">
            <w:r w:rsidRPr="008340BB">
              <w:rPr>
                <w:i/>
                <w:sz w:val="16"/>
                <w:szCs w:val="16"/>
              </w:rPr>
              <w:t>N/A</w:t>
            </w:r>
          </w:p>
        </w:tc>
        <w:tc>
          <w:tcPr>
            <w:tcW w:w="479" w:type="pct"/>
          </w:tcPr>
          <w:p w14:paraId="1DC63217" w14:textId="77777777" w:rsidR="00F1341F" w:rsidRPr="008340BB" w:rsidRDefault="00F1341F">
            <w:r w:rsidRPr="008340BB">
              <w:rPr>
                <w:i/>
                <w:sz w:val="16"/>
                <w:szCs w:val="16"/>
              </w:rPr>
              <w:t>N/A</w:t>
            </w:r>
          </w:p>
        </w:tc>
        <w:tc>
          <w:tcPr>
            <w:tcW w:w="480" w:type="pct"/>
          </w:tcPr>
          <w:p w14:paraId="577C64F6" w14:textId="77777777" w:rsidR="00F1341F" w:rsidRPr="008340BB" w:rsidRDefault="00F1341F">
            <w:r w:rsidRPr="008340BB">
              <w:rPr>
                <w:i/>
                <w:sz w:val="16"/>
                <w:szCs w:val="16"/>
              </w:rPr>
              <w:t>N/A</w:t>
            </w:r>
          </w:p>
        </w:tc>
        <w:tc>
          <w:tcPr>
            <w:tcW w:w="527" w:type="pct"/>
          </w:tcPr>
          <w:p w14:paraId="5A3A0B94" w14:textId="77777777" w:rsidR="00F1341F" w:rsidRPr="008340BB" w:rsidRDefault="00F1341F">
            <w:r w:rsidRPr="008340BB">
              <w:rPr>
                <w:i/>
                <w:sz w:val="16"/>
                <w:szCs w:val="16"/>
              </w:rPr>
              <w:t>N/A</w:t>
            </w:r>
          </w:p>
        </w:tc>
        <w:tc>
          <w:tcPr>
            <w:tcW w:w="112" w:type="pct"/>
          </w:tcPr>
          <w:p w14:paraId="7FDB2147" w14:textId="77777777" w:rsidR="00F1341F" w:rsidRPr="008340BB" w:rsidRDefault="00F1341F">
            <w:r w:rsidRPr="008340BB">
              <w:rPr>
                <w:i/>
                <w:sz w:val="16"/>
                <w:szCs w:val="16"/>
              </w:rPr>
              <w:t>N/A</w:t>
            </w:r>
          </w:p>
        </w:tc>
        <w:tc>
          <w:tcPr>
            <w:tcW w:w="112" w:type="pct"/>
          </w:tcPr>
          <w:p w14:paraId="14988BF2" w14:textId="77777777" w:rsidR="00F1341F" w:rsidRPr="008340BB" w:rsidRDefault="00F1341F">
            <w:r w:rsidRPr="008340BB">
              <w:rPr>
                <w:i/>
                <w:sz w:val="16"/>
                <w:szCs w:val="16"/>
              </w:rPr>
              <w:t>N/A</w:t>
            </w:r>
          </w:p>
        </w:tc>
        <w:tc>
          <w:tcPr>
            <w:tcW w:w="112" w:type="pct"/>
          </w:tcPr>
          <w:p w14:paraId="3B3D6CCD" w14:textId="77777777" w:rsidR="00F1341F" w:rsidRPr="008340BB" w:rsidRDefault="00F1341F">
            <w:r w:rsidRPr="008340BB">
              <w:rPr>
                <w:i/>
                <w:sz w:val="16"/>
                <w:szCs w:val="16"/>
              </w:rPr>
              <w:t>N/A</w:t>
            </w:r>
          </w:p>
        </w:tc>
        <w:tc>
          <w:tcPr>
            <w:tcW w:w="431" w:type="pct"/>
          </w:tcPr>
          <w:p w14:paraId="3E83BC8E" w14:textId="77777777" w:rsidR="00F1341F" w:rsidRPr="008340BB" w:rsidRDefault="00F1341F">
            <w:r w:rsidRPr="008340BB">
              <w:rPr>
                <w:i/>
                <w:sz w:val="16"/>
                <w:szCs w:val="16"/>
              </w:rPr>
              <w:t>N/A</w:t>
            </w:r>
          </w:p>
        </w:tc>
        <w:tc>
          <w:tcPr>
            <w:tcW w:w="310" w:type="pct"/>
          </w:tcPr>
          <w:p w14:paraId="5EE56362" w14:textId="77777777" w:rsidR="00F1341F" w:rsidRPr="008340BB" w:rsidRDefault="00F1341F">
            <w:r w:rsidRPr="008340BB">
              <w:rPr>
                <w:i/>
                <w:sz w:val="16"/>
                <w:szCs w:val="16"/>
              </w:rPr>
              <w:t>N/A</w:t>
            </w:r>
          </w:p>
        </w:tc>
        <w:tc>
          <w:tcPr>
            <w:tcW w:w="182" w:type="pct"/>
          </w:tcPr>
          <w:p w14:paraId="2122919A" w14:textId="77777777" w:rsidR="00F1341F" w:rsidRPr="008340BB" w:rsidRDefault="00F1341F">
            <w:r w:rsidRPr="008340BB">
              <w:rPr>
                <w:i/>
                <w:sz w:val="16"/>
                <w:szCs w:val="16"/>
              </w:rPr>
              <w:t>N/A</w:t>
            </w:r>
          </w:p>
        </w:tc>
        <w:tc>
          <w:tcPr>
            <w:tcW w:w="163" w:type="pct"/>
            <w:gridSpan w:val="2"/>
          </w:tcPr>
          <w:p w14:paraId="4638831B" w14:textId="77777777" w:rsidR="00F1341F" w:rsidRPr="008340BB" w:rsidRDefault="00F1341F">
            <w:r w:rsidRPr="008340BB">
              <w:rPr>
                <w:i/>
                <w:sz w:val="16"/>
                <w:szCs w:val="16"/>
              </w:rPr>
              <w:t>N/A</w:t>
            </w:r>
          </w:p>
        </w:tc>
        <w:tc>
          <w:tcPr>
            <w:tcW w:w="161" w:type="pct"/>
          </w:tcPr>
          <w:p w14:paraId="010A8B90" w14:textId="77777777" w:rsidR="00F1341F" w:rsidRPr="008340BB" w:rsidRDefault="00F1341F">
            <w:r w:rsidRPr="008340BB">
              <w:rPr>
                <w:i/>
                <w:sz w:val="16"/>
                <w:szCs w:val="16"/>
              </w:rPr>
              <w:t>N/A</w:t>
            </w:r>
          </w:p>
        </w:tc>
        <w:tc>
          <w:tcPr>
            <w:tcW w:w="335" w:type="pct"/>
          </w:tcPr>
          <w:p w14:paraId="0C98C43F" w14:textId="77777777" w:rsidR="00F1341F" w:rsidRPr="008340BB" w:rsidRDefault="00F1341F">
            <w:r w:rsidRPr="008340BB">
              <w:rPr>
                <w:i/>
                <w:sz w:val="16"/>
                <w:szCs w:val="16"/>
              </w:rPr>
              <w:t>N/A</w:t>
            </w:r>
          </w:p>
        </w:tc>
        <w:tc>
          <w:tcPr>
            <w:tcW w:w="409" w:type="pct"/>
          </w:tcPr>
          <w:p w14:paraId="5BAD4974" w14:textId="77777777" w:rsidR="00F1341F" w:rsidRPr="008340BB" w:rsidRDefault="00F1341F">
            <w:r w:rsidRPr="008340BB">
              <w:rPr>
                <w:i/>
                <w:sz w:val="16"/>
                <w:szCs w:val="16"/>
              </w:rPr>
              <w:t>N/A</w:t>
            </w:r>
          </w:p>
        </w:tc>
      </w:tr>
    </w:tbl>
    <w:p w14:paraId="528B82D6" w14:textId="77777777" w:rsidR="00F1341F" w:rsidRPr="008340BB" w:rsidRDefault="00F1341F" w:rsidP="00B5308A">
      <w:pPr>
        <w:tabs>
          <w:tab w:val="left" w:pos="720"/>
        </w:tabs>
        <w:spacing w:before="0" w:after="240"/>
        <w:jc w:val="center"/>
        <w:rPr>
          <w:b/>
          <w:lang w:eastAsia="en-US"/>
        </w:rPr>
      </w:pPr>
    </w:p>
    <w:p w14:paraId="4D273338" w14:textId="77777777" w:rsidR="00F1341F" w:rsidRPr="008340BB" w:rsidRDefault="00F1341F" w:rsidP="00B5308A">
      <w:pPr>
        <w:tabs>
          <w:tab w:val="left" w:pos="720"/>
        </w:tabs>
        <w:spacing w:before="0" w:after="240"/>
        <w:jc w:val="left"/>
        <w:rPr>
          <w:b/>
          <w:lang w:eastAsia="en-US"/>
        </w:rPr>
      </w:pPr>
      <w:r w:rsidRPr="008340BB">
        <w:rPr>
          <w:b/>
          <w:lang w:eastAsia="en-US"/>
        </w:rPr>
        <w:br w:type="page"/>
      </w:r>
      <w:r w:rsidRPr="008340BB">
        <w:rPr>
          <w:b/>
          <w:lang w:eastAsia="en-US"/>
        </w:rPr>
        <w:lastRenderedPageBreak/>
        <w:t xml:space="preserve">Table 4a: </w:t>
      </w:r>
      <w:r w:rsidRPr="008340BB">
        <w:rPr>
          <w:b/>
          <w:lang w:eastAsia="en-US"/>
        </w:rPr>
        <w:tab/>
        <w:t xml:space="preserve">YEI result indicators and programme-specific result indicators corresponding to the specific objective </w:t>
      </w:r>
    </w:p>
    <w:p w14:paraId="73E4BF43" w14:textId="77777777" w:rsidR="00F1341F" w:rsidRPr="008340BB" w:rsidRDefault="00F1341F" w:rsidP="00B5308A">
      <w:pPr>
        <w:tabs>
          <w:tab w:val="left" w:pos="720"/>
        </w:tabs>
        <w:spacing w:before="0" w:after="240"/>
        <w:jc w:val="left"/>
        <w:rPr>
          <w:lang w:eastAsia="en-US"/>
        </w:rPr>
      </w:pPr>
      <w:r w:rsidRPr="008340BB">
        <w:rPr>
          <w:lang w:eastAsia="en-US"/>
        </w:rPr>
        <w:t xml:space="preserve">(by priority axis or by part of a priority axis) </w:t>
      </w:r>
    </w:p>
    <w:p w14:paraId="298A57F7" w14:textId="77777777" w:rsidR="00F1341F" w:rsidRPr="008340BB" w:rsidRDefault="00F1341F" w:rsidP="00B5308A">
      <w:pPr>
        <w:tabs>
          <w:tab w:val="left" w:pos="720"/>
        </w:tabs>
        <w:spacing w:before="0" w:after="240"/>
        <w:jc w:val="left"/>
        <w:rPr>
          <w:lang w:eastAsia="en-US"/>
        </w:rPr>
      </w:pPr>
      <w:r w:rsidRPr="008340BB">
        <w:rPr>
          <w:lang w:eastAsia="en-US"/>
        </w:rPr>
        <w:t xml:space="preserve"> (</w:t>
      </w:r>
      <w:r w:rsidRPr="008340BB">
        <w:rPr>
          <w:szCs w:val="24"/>
          <w:lang w:eastAsia="en-US"/>
        </w:rPr>
        <w:t xml:space="preserve">Reference: Article 19(3) of Regulation (EU) No </w:t>
      </w:r>
      <w:r w:rsidRPr="008340BB">
        <w:rPr>
          <w:szCs w:val="24"/>
        </w:rPr>
        <w:t>1304/2013 of the European Parliament and of the Council</w:t>
      </w:r>
      <w:r w:rsidRPr="008340BB">
        <w:rPr>
          <w:rStyle w:val="FootnoteReference"/>
          <w:lang w:eastAsia="en-US"/>
        </w:rPr>
        <w:footnoteReference w:id="46"/>
      </w:r>
      <w:r w:rsidRPr="008340BB">
        <w:rPr>
          <w:lang w:eastAsia="en-US"/>
        </w:rPr>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10"/>
        <w:gridCol w:w="2149"/>
        <w:gridCol w:w="1398"/>
        <w:gridCol w:w="1535"/>
        <w:gridCol w:w="326"/>
        <w:gridCol w:w="326"/>
        <w:gridCol w:w="326"/>
        <w:gridCol w:w="1256"/>
        <w:gridCol w:w="874"/>
        <w:gridCol w:w="532"/>
        <w:gridCol w:w="37"/>
        <w:gridCol w:w="466"/>
        <w:gridCol w:w="466"/>
        <w:gridCol w:w="977"/>
        <w:gridCol w:w="1187"/>
      </w:tblGrid>
      <w:tr w:rsidR="00F1341F" w:rsidRPr="008340BB" w14:paraId="5A5B2712" w14:textId="77777777" w:rsidTr="00537970">
        <w:trPr>
          <w:trHeight w:val="620"/>
        </w:trPr>
        <w:tc>
          <w:tcPr>
            <w:tcW w:w="497" w:type="pct"/>
            <w:vMerge w:val="restart"/>
          </w:tcPr>
          <w:p w14:paraId="3B5D647D" w14:textId="77777777" w:rsidR="00F1341F" w:rsidRPr="0067246B" w:rsidRDefault="00F1341F" w:rsidP="001B395D">
            <w:pPr>
              <w:tabs>
                <w:tab w:val="left" w:pos="720"/>
              </w:tabs>
              <w:spacing w:before="60" w:after="60"/>
              <w:rPr>
                <w:b/>
                <w:i/>
                <w:sz w:val="16"/>
                <w:szCs w:val="16"/>
                <w:lang w:eastAsia="en-US"/>
              </w:rPr>
            </w:pPr>
            <w:r w:rsidRPr="0067246B" w:rsidDel="00496ED7">
              <w:rPr>
                <w:lang w:eastAsia="en-US"/>
              </w:rPr>
              <w:t xml:space="preserve"> </w:t>
            </w:r>
            <w:r w:rsidRPr="0067246B">
              <w:rPr>
                <w:b/>
                <w:i/>
                <w:sz w:val="16"/>
                <w:szCs w:val="16"/>
                <w:lang w:eastAsia="en-US"/>
              </w:rPr>
              <w:t>ID</w:t>
            </w:r>
          </w:p>
        </w:tc>
        <w:tc>
          <w:tcPr>
            <w:tcW w:w="816" w:type="pct"/>
            <w:vMerge w:val="restart"/>
          </w:tcPr>
          <w:p w14:paraId="08E4ED60" w14:textId="77777777" w:rsidR="00F1341F" w:rsidRPr="00020ADD" w:rsidRDefault="00F1341F" w:rsidP="001B395D">
            <w:pPr>
              <w:tabs>
                <w:tab w:val="left" w:pos="720"/>
              </w:tabs>
              <w:spacing w:before="60" w:after="60"/>
              <w:rPr>
                <w:b/>
                <w:i/>
                <w:sz w:val="16"/>
                <w:szCs w:val="16"/>
                <w:lang w:eastAsia="en-US"/>
              </w:rPr>
            </w:pPr>
            <w:r w:rsidRPr="00020ADD">
              <w:rPr>
                <w:b/>
                <w:i/>
                <w:sz w:val="16"/>
                <w:szCs w:val="16"/>
                <w:lang w:eastAsia="en-US"/>
              </w:rPr>
              <w:t xml:space="preserve">Indicator </w:t>
            </w:r>
          </w:p>
        </w:tc>
        <w:tc>
          <w:tcPr>
            <w:tcW w:w="531" w:type="pct"/>
            <w:vMerge w:val="restart"/>
          </w:tcPr>
          <w:p w14:paraId="517326CF" w14:textId="77777777" w:rsidR="00F1341F" w:rsidRPr="00020ADD" w:rsidRDefault="00F1341F" w:rsidP="001B395D">
            <w:pPr>
              <w:tabs>
                <w:tab w:val="left" w:pos="720"/>
              </w:tabs>
              <w:spacing w:before="60" w:after="60"/>
              <w:rPr>
                <w:b/>
                <w:i/>
                <w:sz w:val="16"/>
                <w:szCs w:val="16"/>
                <w:lang w:eastAsia="en-US"/>
              </w:rPr>
            </w:pPr>
            <w:r w:rsidRPr="00020ADD">
              <w:rPr>
                <w:b/>
                <w:i/>
                <w:sz w:val="16"/>
                <w:szCs w:val="16"/>
                <w:lang w:eastAsia="en-US"/>
              </w:rPr>
              <w:t>Measurement unit for indicator</w:t>
            </w:r>
          </w:p>
        </w:tc>
        <w:tc>
          <w:tcPr>
            <w:tcW w:w="583" w:type="pct"/>
            <w:vMerge w:val="restart"/>
          </w:tcPr>
          <w:p w14:paraId="49A4B01C" w14:textId="77777777" w:rsidR="00F1341F" w:rsidRPr="00020ADD" w:rsidRDefault="00F1341F" w:rsidP="001B395D">
            <w:pPr>
              <w:snapToGrid w:val="0"/>
              <w:spacing w:before="60" w:after="60"/>
              <w:rPr>
                <w:b/>
                <w:i/>
                <w:sz w:val="16"/>
                <w:szCs w:val="16"/>
                <w:lang w:eastAsia="en-US"/>
              </w:rPr>
            </w:pPr>
            <w:r w:rsidRPr="00020ADD">
              <w:rPr>
                <w:b/>
                <w:i/>
                <w:sz w:val="16"/>
                <w:szCs w:val="16"/>
                <w:lang w:eastAsia="en-US"/>
              </w:rPr>
              <w:t>Common output indicator used as basis for target setting</w:t>
            </w:r>
          </w:p>
        </w:tc>
        <w:tc>
          <w:tcPr>
            <w:tcW w:w="372" w:type="pct"/>
            <w:gridSpan w:val="3"/>
          </w:tcPr>
          <w:p w14:paraId="4E050500" w14:textId="77777777" w:rsidR="00F1341F" w:rsidRPr="00DC0475" w:rsidRDefault="00F1341F" w:rsidP="001B395D">
            <w:pPr>
              <w:tabs>
                <w:tab w:val="left" w:pos="720"/>
              </w:tabs>
              <w:spacing w:before="60" w:after="60"/>
              <w:rPr>
                <w:b/>
                <w:i/>
                <w:sz w:val="16"/>
                <w:szCs w:val="16"/>
                <w:lang w:eastAsia="en-US"/>
              </w:rPr>
            </w:pPr>
            <w:r w:rsidRPr="00DC0475">
              <w:rPr>
                <w:b/>
                <w:i/>
                <w:sz w:val="16"/>
                <w:szCs w:val="16"/>
                <w:lang w:eastAsia="en-US"/>
              </w:rPr>
              <w:t xml:space="preserve">Baseline value </w:t>
            </w:r>
          </w:p>
        </w:tc>
        <w:tc>
          <w:tcPr>
            <w:tcW w:w="477" w:type="pct"/>
            <w:vMerge w:val="restart"/>
          </w:tcPr>
          <w:p w14:paraId="319DC13E" w14:textId="77777777" w:rsidR="00F1341F" w:rsidRPr="00B5130A" w:rsidRDefault="00F1341F" w:rsidP="001B395D">
            <w:pPr>
              <w:tabs>
                <w:tab w:val="left" w:pos="720"/>
              </w:tabs>
              <w:spacing w:before="60" w:after="60"/>
              <w:rPr>
                <w:b/>
                <w:i/>
                <w:sz w:val="16"/>
                <w:szCs w:val="16"/>
                <w:lang w:eastAsia="en-US"/>
              </w:rPr>
            </w:pPr>
            <w:r w:rsidRPr="00B5130A">
              <w:rPr>
                <w:b/>
                <w:i/>
                <w:sz w:val="16"/>
                <w:szCs w:val="16"/>
                <w:lang w:eastAsia="en-US"/>
              </w:rPr>
              <w:t>Measurement unit for baseline and target</w:t>
            </w:r>
          </w:p>
        </w:tc>
        <w:tc>
          <w:tcPr>
            <w:tcW w:w="332" w:type="pct"/>
            <w:vMerge w:val="restart"/>
          </w:tcPr>
          <w:p w14:paraId="0C0B451D" w14:textId="77777777" w:rsidR="00F1341F" w:rsidRPr="00A828C5" w:rsidRDefault="00F1341F" w:rsidP="001B395D">
            <w:pPr>
              <w:tabs>
                <w:tab w:val="left" w:pos="720"/>
              </w:tabs>
              <w:spacing w:before="60" w:after="60"/>
              <w:rPr>
                <w:b/>
                <w:i/>
                <w:sz w:val="16"/>
                <w:szCs w:val="16"/>
                <w:lang w:eastAsia="en-US"/>
              </w:rPr>
            </w:pPr>
            <w:r w:rsidRPr="00A828C5">
              <w:rPr>
                <w:b/>
                <w:i/>
                <w:sz w:val="16"/>
                <w:szCs w:val="16"/>
                <w:lang w:eastAsia="en-US"/>
              </w:rPr>
              <w:t>Baseline year</w:t>
            </w:r>
          </w:p>
        </w:tc>
        <w:tc>
          <w:tcPr>
            <w:tcW w:w="570" w:type="pct"/>
            <w:gridSpan w:val="4"/>
          </w:tcPr>
          <w:p w14:paraId="276717FE" w14:textId="77777777" w:rsidR="00F1341F" w:rsidRPr="008340BB" w:rsidRDefault="00F1341F" w:rsidP="001B395D">
            <w:pPr>
              <w:snapToGrid w:val="0"/>
              <w:spacing w:before="60" w:after="60"/>
              <w:rPr>
                <w:b/>
                <w:i/>
                <w:sz w:val="16"/>
                <w:szCs w:val="16"/>
                <w:lang w:eastAsia="en-US"/>
              </w:rPr>
            </w:pPr>
            <w:r w:rsidRPr="008340BB">
              <w:rPr>
                <w:b/>
                <w:i/>
                <w:sz w:val="16"/>
                <w:szCs w:val="16"/>
                <w:lang w:eastAsia="en-US"/>
              </w:rPr>
              <w:t>Target value</w:t>
            </w:r>
            <w:r w:rsidRPr="008340BB">
              <w:rPr>
                <w:rStyle w:val="FootnoteReference"/>
              </w:rPr>
              <w:footnoteReference w:id="47"/>
            </w:r>
            <w:r w:rsidRPr="008340BB">
              <w:rPr>
                <w:b/>
                <w:i/>
                <w:sz w:val="16"/>
                <w:szCs w:val="16"/>
                <w:lang w:eastAsia="en-US"/>
              </w:rPr>
              <w:t xml:space="preserve"> (2023)</w:t>
            </w:r>
          </w:p>
        </w:tc>
        <w:tc>
          <w:tcPr>
            <w:tcW w:w="371" w:type="pct"/>
            <w:vMerge w:val="restart"/>
          </w:tcPr>
          <w:p w14:paraId="3910366D" w14:textId="77777777" w:rsidR="00F1341F" w:rsidRPr="0067246B" w:rsidRDefault="00F1341F" w:rsidP="001B395D">
            <w:pPr>
              <w:tabs>
                <w:tab w:val="left" w:pos="720"/>
              </w:tabs>
              <w:spacing w:before="60" w:after="60"/>
              <w:rPr>
                <w:b/>
                <w:i/>
                <w:sz w:val="16"/>
                <w:szCs w:val="16"/>
                <w:lang w:eastAsia="en-US"/>
              </w:rPr>
            </w:pPr>
            <w:r w:rsidRPr="0067246B">
              <w:rPr>
                <w:b/>
                <w:i/>
                <w:sz w:val="16"/>
                <w:szCs w:val="16"/>
                <w:lang w:eastAsia="en-US"/>
              </w:rPr>
              <w:t>Source of data</w:t>
            </w:r>
          </w:p>
        </w:tc>
        <w:tc>
          <w:tcPr>
            <w:tcW w:w="451" w:type="pct"/>
            <w:vMerge w:val="restart"/>
          </w:tcPr>
          <w:p w14:paraId="3E04D48E" w14:textId="77777777" w:rsidR="00F1341F" w:rsidRPr="00020ADD" w:rsidRDefault="00F1341F" w:rsidP="001B395D">
            <w:pPr>
              <w:tabs>
                <w:tab w:val="left" w:pos="720"/>
              </w:tabs>
              <w:spacing w:before="60" w:after="60"/>
              <w:rPr>
                <w:b/>
                <w:i/>
                <w:sz w:val="16"/>
                <w:szCs w:val="16"/>
                <w:lang w:eastAsia="en-US"/>
              </w:rPr>
            </w:pPr>
            <w:r w:rsidRPr="00020ADD">
              <w:rPr>
                <w:b/>
                <w:i/>
                <w:sz w:val="16"/>
                <w:szCs w:val="16"/>
                <w:lang w:eastAsia="en-US"/>
              </w:rPr>
              <w:t>Frequency of reporting</w:t>
            </w:r>
          </w:p>
        </w:tc>
      </w:tr>
      <w:tr w:rsidR="00F1341F" w:rsidRPr="008340BB" w14:paraId="4764376B" w14:textId="77777777" w:rsidTr="00537970">
        <w:trPr>
          <w:trHeight w:val="619"/>
        </w:trPr>
        <w:tc>
          <w:tcPr>
            <w:tcW w:w="497" w:type="pct"/>
            <w:vMerge/>
          </w:tcPr>
          <w:p w14:paraId="75F6D56C" w14:textId="77777777" w:rsidR="00F1341F" w:rsidRPr="008340BB" w:rsidRDefault="00F1341F" w:rsidP="001B395D">
            <w:pPr>
              <w:tabs>
                <w:tab w:val="left" w:pos="720"/>
              </w:tabs>
              <w:spacing w:before="60" w:after="60"/>
              <w:rPr>
                <w:b/>
                <w:i/>
                <w:sz w:val="16"/>
                <w:szCs w:val="16"/>
                <w:lang w:eastAsia="en-US"/>
              </w:rPr>
            </w:pPr>
          </w:p>
        </w:tc>
        <w:tc>
          <w:tcPr>
            <w:tcW w:w="816" w:type="pct"/>
            <w:vMerge/>
          </w:tcPr>
          <w:p w14:paraId="1966820E" w14:textId="77777777" w:rsidR="00F1341F" w:rsidRPr="008340BB" w:rsidRDefault="00F1341F" w:rsidP="001B395D">
            <w:pPr>
              <w:tabs>
                <w:tab w:val="left" w:pos="720"/>
              </w:tabs>
              <w:spacing w:before="60" w:after="60"/>
              <w:rPr>
                <w:b/>
                <w:i/>
                <w:sz w:val="16"/>
                <w:szCs w:val="16"/>
                <w:lang w:eastAsia="en-US"/>
              </w:rPr>
            </w:pPr>
          </w:p>
        </w:tc>
        <w:tc>
          <w:tcPr>
            <w:tcW w:w="531" w:type="pct"/>
            <w:vMerge/>
          </w:tcPr>
          <w:p w14:paraId="0C980345" w14:textId="77777777" w:rsidR="00F1341F" w:rsidRPr="008340BB" w:rsidRDefault="00F1341F" w:rsidP="001B395D">
            <w:pPr>
              <w:tabs>
                <w:tab w:val="left" w:pos="720"/>
              </w:tabs>
              <w:spacing w:before="60" w:after="60"/>
              <w:rPr>
                <w:b/>
                <w:i/>
                <w:sz w:val="16"/>
                <w:szCs w:val="16"/>
                <w:lang w:eastAsia="en-US"/>
              </w:rPr>
            </w:pPr>
          </w:p>
        </w:tc>
        <w:tc>
          <w:tcPr>
            <w:tcW w:w="583" w:type="pct"/>
            <w:vMerge/>
          </w:tcPr>
          <w:p w14:paraId="3EC219AD" w14:textId="77777777" w:rsidR="00F1341F" w:rsidRPr="008340BB" w:rsidRDefault="00F1341F" w:rsidP="001B395D">
            <w:pPr>
              <w:snapToGrid w:val="0"/>
              <w:spacing w:before="60" w:after="60"/>
              <w:rPr>
                <w:b/>
                <w:i/>
                <w:sz w:val="16"/>
                <w:szCs w:val="16"/>
                <w:lang w:eastAsia="en-US"/>
              </w:rPr>
            </w:pPr>
          </w:p>
        </w:tc>
        <w:tc>
          <w:tcPr>
            <w:tcW w:w="124" w:type="pct"/>
          </w:tcPr>
          <w:p w14:paraId="375FD0BF" w14:textId="77777777" w:rsidR="00F1341F" w:rsidRPr="008340BB" w:rsidRDefault="00F1341F" w:rsidP="001B395D">
            <w:pPr>
              <w:tabs>
                <w:tab w:val="left" w:pos="720"/>
              </w:tabs>
              <w:spacing w:before="60" w:after="60"/>
              <w:rPr>
                <w:b/>
                <w:i/>
                <w:sz w:val="16"/>
                <w:szCs w:val="16"/>
                <w:lang w:eastAsia="en-US"/>
              </w:rPr>
            </w:pPr>
            <w:r w:rsidRPr="008340BB">
              <w:rPr>
                <w:sz w:val="16"/>
                <w:szCs w:val="16"/>
                <w:lang w:eastAsia="en-US"/>
              </w:rPr>
              <w:t>M</w:t>
            </w:r>
          </w:p>
        </w:tc>
        <w:tc>
          <w:tcPr>
            <w:tcW w:w="124" w:type="pct"/>
          </w:tcPr>
          <w:p w14:paraId="71D8137D" w14:textId="77777777" w:rsidR="00F1341F" w:rsidRPr="008340BB" w:rsidRDefault="00F1341F" w:rsidP="001B395D">
            <w:pPr>
              <w:tabs>
                <w:tab w:val="left" w:pos="720"/>
              </w:tabs>
              <w:spacing w:before="60" w:after="60"/>
              <w:rPr>
                <w:b/>
                <w:i/>
                <w:sz w:val="16"/>
                <w:szCs w:val="16"/>
                <w:lang w:eastAsia="en-US"/>
              </w:rPr>
            </w:pPr>
            <w:r w:rsidRPr="008340BB">
              <w:rPr>
                <w:sz w:val="16"/>
                <w:szCs w:val="16"/>
                <w:lang w:eastAsia="en-US"/>
              </w:rPr>
              <w:t>W</w:t>
            </w:r>
          </w:p>
        </w:tc>
        <w:tc>
          <w:tcPr>
            <w:tcW w:w="124" w:type="pct"/>
          </w:tcPr>
          <w:p w14:paraId="09709607" w14:textId="77777777" w:rsidR="00F1341F" w:rsidRPr="008340BB" w:rsidRDefault="00F1341F" w:rsidP="001B395D">
            <w:pPr>
              <w:tabs>
                <w:tab w:val="left" w:pos="720"/>
              </w:tabs>
              <w:spacing w:before="60" w:after="60"/>
              <w:rPr>
                <w:b/>
                <w:i/>
                <w:sz w:val="16"/>
                <w:szCs w:val="16"/>
                <w:lang w:eastAsia="en-US"/>
              </w:rPr>
            </w:pPr>
            <w:r w:rsidRPr="008340BB">
              <w:rPr>
                <w:sz w:val="16"/>
                <w:szCs w:val="16"/>
                <w:lang w:eastAsia="en-US"/>
              </w:rPr>
              <w:t>T</w:t>
            </w:r>
          </w:p>
        </w:tc>
        <w:tc>
          <w:tcPr>
            <w:tcW w:w="477" w:type="pct"/>
            <w:vMerge/>
          </w:tcPr>
          <w:p w14:paraId="3F384882" w14:textId="77777777" w:rsidR="00F1341F" w:rsidRPr="008340BB" w:rsidRDefault="00F1341F" w:rsidP="001B395D">
            <w:pPr>
              <w:tabs>
                <w:tab w:val="left" w:pos="720"/>
              </w:tabs>
              <w:spacing w:before="60" w:after="60"/>
              <w:rPr>
                <w:b/>
                <w:i/>
                <w:sz w:val="16"/>
                <w:szCs w:val="16"/>
                <w:lang w:eastAsia="en-US"/>
              </w:rPr>
            </w:pPr>
          </w:p>
        </w:tc>
        <w:tc>
          <w:tcPr>
            <w:tcW w:w="332" w:type="pct"/>
            <w:vMerge/>
          </w:tcPr>
          <w:p w14:paraId="6D428561" w14:textId="77777777" w:rsidR="00F1341F" w:rsidRPr="008340BB" w:rsidRDefault="00F1341F" w:rsidP="001B395D">
            <w:pPr>
              <w:tabs>
                <w:tab w:val="left" w:pos="720"/>
              </w:tabs>
              <w:spacing w:before="60" w:after="60"/>
              <w:rPr>
                <w:b/>
                <w:i/>
                <w:sz w:val="16"/>
                <w:szCs w:val="16"/>
                <w:lang w:eastAsia="en-US"/>
              </w:rPr>
            </w:pPr>
          </w:p>
        </w:tc>
        <w:tc>
          <w:tcPr>
            <w:tcW w:w="216" w:type="pct"/>
            <w:gridSpan w:val="2"/>
          </w:tcPr>
          <w:p w14:paraId="2C03D87E" w14:textId="77777777" w:rsidR="00F1341F" w:rsidRPr="008340BB" w:rsidRDefault="00F1341F" w:rsidP="001B395D">
            <w:pPr>
              <w:snapToGrid w:val="0"/>
              <w:spacing w:before="60" w:after="60"/>
              <w:rPr>
                <w:b/>
                <w:i/>
                <w:sz w:val="16"/>
                <w:szCs w:val="16"/>
                <w:lang w:eastAsia="en-US"/>
              </w:rPr>
            </w:pPr>
            <w:r w:rsidRPr="008340BB">
              <w:rPr>
                <w:sz w:val="16"/>
                <w:szCs w:val="16"/>
                <w:lang w:eastAsia="en-US"/>
              </w:rPr>
              <w:t>M</w:t>
            </w:r>
          </w:p>
        </w:tc>
        <w:tc>
          <w:tcPr>
            <w:tcW w:w="177" w:type="pct"/>
          </w:tcPr>
          <w:p w14:paraId="2A953629" w14:textId="77777777" w:rsidR="00F1341F" w:rsidRPr="008340BB" w:rsidRDefault="00F1341F" w:rsidP="001B395D">
            <w:pPr>
              <w:snapToGrid w:val="0"/>
              <w:spacing w:before="60" w:after="60"/>
              <w:rPr>
                <w:b/>
                <w:i/>
                <w:sz w:val="16"/>
                <w:szCs w:val="16"/>
                <w:lang w:eastAsia="en-US"/>
              </w:rPr>
            </w:pPr>
            <w:r w:rsidRPr="008340BB">
              <w:rPr>
                <w:sz w:val="16"/>
                <w:szCs w:val="16"/>
                <w:lang w:eastAsia="en-US"/>
              </w:rPr>
              <w:t>W</w:t>
            </w:r>
          </w:p>
        </w:tc>
        <w:tc>
          <w:tcPr>
            <w:tcW w:w="177" w:type="pct"/>
          </w:tcPr>
          <w:p w14:paraId="394B9B50" w14:textId="77777777" w:rsidR="00F1341F" w:rsidRPr="008340BB" w:rsidRDefault="00F1341F" w:rsidP="001B395D">
            <w:pPr>
              <w:snapToGrid w:val="0"/>
              <w:spacing w:before="60" w:after="60"/>
              <w:rPr>
                <w:b/>
                <w:i/>
                <w:sz w:val="16"/>
                <w:szCs w:val="16"/>
                <w:lang w:eastAsia="en-US"/>
              </w:rPr>
            </w:pPr>
            <w:r w:rsidRPr="008340BB">
              <w:rPr>
                <w:sz w:val="16"/>
                <w:szCs w:val="16"/>
                <w:lang w:eastAsia="en-US"/>
              </w:rPr>
              <w:t>T</w:t>
            </w:r>
          </w:p>
        </w:tc>
        <w:tc>
          <w:tcPr>
            <w:tcW w:w="371" w:type="pct"/>
            <w:vMerge/>
          </w:tcPr>
          <w:p w14:paraId="24920C6E" w14:textId="77777777" w:rsidR="00F1341F" w:rsidRPr="008340BB" w:rsidRDefault="00F1341F" w:rsidP="001B395D">
            <w:pPr>
              <w:tabs>
                <w:tab w:val="left" w:pos="720"/>
              </w:tabs>
              <w:spacing w:before="60" w:after="60"/>
              <w:rPr>
                <w:b/>
                <w:i/>
                <w:sz w:val="16"/>
                <w:szCs w:val="16"/>
                <w:lang w:eastAsia="en-US"/>
              </w:rPr>
            </w:pPr>
          </w:p>
        </w:tc>
        <w:tc>
          <w:tcPr>
            <w:tcW w:w="451" w:type="pct"/>
            <w:vMerge/>
          </w:tcPr>
          <w:p w14:paraId="11F38C90" w14:textId="77777777" w:rsidR="00F1341F" w:rsidRPr="008340BB" w:rsidRDefault="00F1341F" w:rsidP="001B395D">
            <w:pPr>
              <w:tabs>
                <w:tab w:val="left" w:pos="720"/>
              </w:tabs>
              <w:spacing w:before="60" w:after="60"/>
              <w:rPr>
                <w:b/>
                <w:sz w:val="16"/>
                <w:szCs w:val="16"/>
                <w:lang w:eastAsia="en-US"/>
              </w:rPr>
            </w:pPr>
          </w:p>
        </w:tc>
      </w:tr>
      <w:tr w:rsidR="00F1341F" w:rsidRPr="008340BB" w14:paraId="75AC4234" w14:textId="77777777" w:rsidTr="00537970">
        <w:trPr>
          <w:trHeight w:val="652"/>
        </w:trPr>
        <w:tc>
          <w:tcPr>
            <w:tcW w:w="497" w:type="pct"/>
          </w:tcPr>
          <w:p w14:paraId="6AAEEC2B" w14:textId="77777777" w:rsidR="00F1341F" w:rsidRPr="008340BB" w:rsidRDefault="00F1341F" w:rsidP="001B395D">
            <w:pPr>
              <w:spacing w:before="60" w:after="60"/>
              <w:jc w:val="left"/>
              <w:rPr>
                <w:i/>
                <w:sz w:val="16"/>
                <w:szCs w:val="16"/>
                <w:lang w:eastAsia="en-US"/>
              </w:rPr>
            </w:pPr>
            <w:r w:rsidRPr="008340BB">
              <w:rPr>
                <w:i/>
                <w:sz w:val="16"/>
                <w:szCs w:val="16"/>
              </w:rPr>
              <w:t>N/A</w:t>
            </w:r>
          </w:p>
        </w:tc>
        <w:tc>
          <w:tcPr>
            <w:tcW w:w="816" w:type="pct"/>
          </w:tcPr>
          <w:p w14:paraId="53A727D4" w14:textId="77777777" w:rsidR="00F1341F" w:rsidRPr="008340BB" w:rsidRDefault="00F1341F">
            <w:r w:rsidRPr="008340BB">
              <w:rPr>
                <w:i/>
                <w:sz w:val="16"/>
                <w:szCs w:val="16"/>
              </w:rPr>
              <w:t>N/A</w:t>
            </w:r>
          </w:p>
        </w:tc>
        <w:tc>
          <w:tcPr>
            <w:tcW w:w="531" w:type="pct"/>
          </w:tcPr>
          <w:p w14:paraId="4EAFD3AB" w14:textId="77777777" w:rsidR="00F1341F" w:rsidRPr="008340BB" w:rsidRDefault="00F1341F">
            <w:r w:rsidRPr="008340BB">
              <w:rPr>
                <w:i/>
                <w:sz w:val="16"/>
                <w:szCs w:val="16"/>
              </w:rPr>
              <w:t>N/A</w:t>
            </w:r>
          </w:p>
        </w:tc>
        <w:tc>
          <w:tcPr>
            <w:tcW w:w="583" w:type="pct"/>
          </w:tcPr>
          <w:p w14:paraId="4A58374A" w14:textId="77777777" w:rsidR="00F1341F" w:rsidRPr="008340BB" w:rsidRDefault="00F1341F">
            <w:r w:rsidRPr="008340BB">
              <w:rPr>
                <w:i/>
                <w:sz w:val="16"/>
                <w:szCs w:val="16"/>
              </w:rPr>
              <w:t>N/A</w:t>
            </w:r>
          </w:p>
        </w:tc>
        <w:tc>
          <w:tcPr>
            <w:tcW w:w="372" w:type="pct"/>
            <w:gridSpan w:val="3"/>
          </w:tcPr>
          <w:p w14:paraId="354DE880" w14:textId="77777777" w:rsidR="00F1341F" w:rsidRPr="008340BB" w:rsidRDefault="00F1341F">
            <w:r w:rsidRPr="008340BB">
              <w:rPr>
                <w:i/>
                <w:sz w:val="16"/>
                <w:szCs w:val="16"/>
              </w:rPr>
              <w:t>N/A</w:t>
            </w:r>
          </w:p>
        </w:tc>
        <w:tc>
          <w:tcPr>
            <w:tcW w:w="477" w:type="pct"/>
          </w:tcPr>
          <w:p w14:paraId="08DD4F72" w14:textId="77777777" w:rsidR="00F1341F" w:rsidRPr="008340BB" w:rsidRDefault="00F1341F">
            <w:r w:rsidRPr="008340BB">
              <w:rPr>
                <w:i/>
                <w:sz w:val="16"/>
                <w:szCs w:val="16"/>
              </w:rPr>
              <w:t>N/A</w:t>
            </w:r>
          </w:p>
        </w:tc>
        <w:tc>
          <w:tcPr>
            <w:tcW w:w="332" w:type="pct"/>
          </w:tcPr>
          <w:p w14:paraId="2D3D6CD5" w14:textId="77777777" w:rsidR="00F1341F" w:rsidRPr="008340BB" w:rsidRDefault="00F1341F">
            <w:r w:rsidRPr="008340BB">
              <w:rPr>
                <w:i/>
                <w:sz w:val="16"/>
                <w:szCs w:val="16"/>
              </w:rPr>
              <w:t>N/A</w:t>
            </w:r>
          </w:p>
        </w:tc>
        <w:tc>
          <w:tcPr>
            <w:tcW w:w="202" w:type="pct"/>
          </w:tcPr>
          <w:p w14:paraId="2884E57F" w14:textId="77777777" w:rsidR="00F1341F" w:rsidRPr="008340BB" w:rsidRDefault="00F1341F">
            <w:r w:rsidRPr="008340BB">
              <w:rPr>
                <w:i/>
                <w:sz w:val="16"/>
                <w:szCs w:val="16"/>
              </w:rPr>
              <w:t>N/A</w:t>
            </w:r>
          </w:p>
        </w:tc>
        <w:tc>
          <w:tcPr>
            <w:tcW w:w="191" w:type="pct"/>
            <w:gridSpan w:val="2"/>
          </w:tcPr>
          <w:p w14:paraId="0D6502DF" w14:textId="77777777" w:rsidR="00F1341F" w:rsidRPr="008340BB" w:rsidRDefault="00F1341F">
            <w:r w:rsidRPr="008340BB">
              <w:rPr>
                <w:i/>
                <w:sz w:val="16"/>
                <w:szCs w:val="16"/>
              </w:rPr>
              <w:t>N/A</w:t>
            </w:r>
          </w:p>
        </w:tc>
        <w:tc>
          <w:tcPr>
            <w:tcW w:w="177" w:type="pct"/>
          </w:tcPr>
          <w:p w14:paraId="772BCE4B" w14:textId="77777777" w:rsidR="00F1341F" w:rsidRPr="008340BB" w:rsidRDefault="00F1341F">
            <w:r w:rsidRPr="008340BB">
              <w:rPr>
                <w:i/>
                <w:sz w:val="16"/>
                <w:szCs w:val="16"/>
              </w:rPr>
              <w:t>N/A</w:t>
            </w:r>
          </w:p>
        </w:tc>
        <w:tc>
          <w:tcPr>
            <w:tcW w:w="371" w:type="pct"/>
          </w:tcPr>
          <w:p w14:paraId="669616AB" w14:textId="77777777" w:rsidR="00F1341F" w:rsidRPr="008340BB" w:rsidRDefault="00F1341F">
            <w:r w:rsidRPr="008340BB">
              <w:rPr>
                <w:i/>
                <w:sz w:val="16"/>
                <w:szCs w:val="16"/>
              </w:rPr>
              <w:t>N/A</w:t>
            </w:r>
          </w:p>
        </w:tc>
        <w:tc>
          <w:tcPr>
            <w:tcW w:w="451" w:type="pct"/>
          </w:tcPr>
          <w:p w14:paraId="26F08F0A" w14:textId="77777777" w:rsidR="00F1341F" w:rsidRPr="008340BB" w:rsidRDefault="00F1341F">
            <w:r w:rsidRPr="008340BB">
              <w:rPr>
                <w:i/>
                <w:sz w:val="16"/>
                <w:szCs w:val="16"/>
              </w:rPr>
              <w:t>N/A</w:t>
            </w:r>
          </w:p>
        </w:tc>
      </w:tr>
    </w:tbl>
    <w:p w14:paraId="6C74C158" w14:textId="77777777" w:rsidR="00F1341F" w:rsidRPr="008340BB" w:rsidRDefault="00F1341F" w:rsidP="00B5308A">
      <w:pPr>
        <w:suppressAutoHyphens/>
        <w:rPr>
          <w:b/>
        </w:rPr>
        <w:sectPr w:rsidR="00F1341F" w:rsidRPr="008340BB" w:rsidSect="001E1D6F">
          <w:pgSz w:w="16838" w:h="11906" w:orient="landscape"/>
          <w:pgMar w:top="1021" w:right="1134" w:bottom="1021" w:left="1134" w:header="601" w:footer="1077" w:gutter="0"/>
          <w:cols w:space="708"/>
          <w:docGrid w:linePitch="326"/>
        </w:sectPr>
      </w:pPr>
    </w:p>
    <w:p w14:paraId="562A41EE" w14:textId="77777777" w:rsidR="00F1341F" w:rsidRPr="008340BB" w:rsidRDefault="00F1341F" w:rsidP="00B5308A">
      <w:pPr>
        <w:suppressAutoHyphens/>
        <w:rPr>
          <w:b/>
        </w:rPr>
      </w:pPr>
      <w:r w:rsidRPr="008340BB">
        <w:rPr>
          <w:b/>
        </w:rPr>
        <w:lastRenderedPageBreak/>
        <w:t xml:space="preserve">2.A.3.4.2    </w:t>
      </w:r>
      <w:r w:rsidRPr="008340BB">
        <w:rPr>
          <w:b/>
        </w:rPr>
        <w:tab/>
        <w:t xml:space="preserve">Action to be supported under the investment priority </w:t>
      </w:r>
    </w:p>
    <w:p w14:paraId="2E303622" w14:textId="77777777" w:rsidR="00F1341F" w:rsidRPr="008340BB" w:rsidRDefault="00F1341F" w:rsidP="00B5308A">
      <w:pPr>
        <w:suppressAutoHyphens/>
      </w:pPr>
      <w:r w:rsidRPr="008340BB">
        <w:t>(by investment priority)</w:t>
      </w:r>
    </w:p>
    <w:p w14:paraId="0A9974B2" w14:textId="77777777" w:rsidR="00F1341F" w:rsidRPr="008340BB" w:rsidRDefault="00F1341F" w:rsidP="00B5308A">
      <w:pPr>
        <w:suppressAutoHyphens/>
        <w:rPr>
          <w:b/>
        </w:rPr>
      </w:pPr>
    </w:p>
    <w:p w14:paraId="3C1E88F0" w14:textId="77777777" w:rsidR="00F1341F" w:rsidRPr="008340BB" w:rsidRDefault="00F1341F" w:rsidP="00B5308A">
      <w:pPr>
        <w:pStyle w:val="ManualHeading3"/>
        <w:tabs>
          <w:tab w:val="clear" w:pos="850"/>
        </w:tabs>
        <w:ind w:left="1418" w:hanging="1418"/>
        <w:rPr>
          <w:b/>
        </w:rPr>
      </w:pPr>
      <w:r w:rsidRPr="008340BB">
        <w:rPr>
          <w:b/>
        </w:rPr>
        <w:t xml:space="preserve">2.A.3.4.2.1 </w:t>
      </w:r>
      <w:r w:rsidRPr="008340BB">
        <w:rPr>
          <w:b/>
        </w:rPr>
        <w:tab/>
        <w:t>Description of the type and examples of actions to be supported and their expected contribution to the specific objectives including, where appropriate,  the identification of main target groups, specific territories targeted and  types of beneficiaries</w:t>
      </w:r>
    </w:p>
    <w:p w14:paraId="7A782278" w14:textId="77777777" w:rsidR="00F1341F" w:rsidRPr="008340BB" w:rsidRDefault="00F1341F" w:rsidP="00B5308A">
      <w:pPr>
        <w:pStyle w:val="ManualHeading3"/>
        <w:tabs>
          <w:tab w:val="clear" w:pos="850"/>
        </w:tabs>
        <w:ind w:left="1418" w:hanging="1418"/>
        <w:rPr>
          <w:i w:val="0"/>
        </w:rPr>
      </w:pPr>
      <w:r w:rsidRPr="008340BB">
        <w:rPr>
          <w:i w:val="0"/>
        </w:rPr>
        <w:t>(Reference: point (b)(iii) of the first subparagraph of Article 96 (2) of Regulation (EU) No 1303/2013)</w:t>
      </w:r>
    </w:p>
    <w:tbl>
      <w:tblPr>
        <w:tblW w:w="9039" w:type="dxa"/>
        <w:tblLook w:val="00A0" w:firstRow="1" w:lastRow="0" w:firstColumn="1" w:lastColumn="0" w:noHBand="0" w:noVBand="0"/>
      </w:tblPr>
      <w:tblGrid>
        <w:gridCol w:w="2235"/>
        <w:gridCol w:w="6804"/>
      </w:tblGrid>
      <w:tr w:rsidR="00F1341F" w:rsidRPr="008340BB" w14:paraId="1B2163A7" w14:textId="77777777" w:rsidTr="00243777">
        <w:trPr>
          <w:trHeight w:val="518"/>
        </w:trPr>
        <w:tc>
          <w:tcPr>
            <w:tcW w:w="2235" w:type="dxa"/>
          </w:tcPr>
          <w:p w14:paraId="6DCF5A24" w14:textId="77777777" w:rsidR="00F1341F" w:rsidRPr="008340BB" w:rsidRDefault="00F1341F" w:rsidP="001B395D">
            <w:pPr>
              <w:rPr>
                <w:i/>
                <w:color w:val="8DB3E2"/>
                <w:sz w:val="18"/>
                <w:szCs w:val="18"/>
              </w:rPr>
            </w:pPr>
            <w:r w:rsidRPr="008340BB">
              <w:rPr>
                <w:i/>
              </w:rPr>
              <w:t>Investment priority</w:t>
            </w:r>
          </w:p>
        </w:tc>
        <w:tc>
          <w:tcPr>
            <w:tcW w:w="6804" w:type="dxa"/>
          </w:tcPr>
          <w:p w14:paraId="46C1FD5B" w14:textId="77777777" w:rsidR="00F1341F" w:rsidRPr="008340BB" w:rsidRDefault="00F1341F">
            <w:pPr>
              <w:rPr>
                <w:i/>
                <w:color w:val="8DB3E2"/>
                <w:sz w:val="18"/>
                <w:szCs w:val="18"/>
              </w:rPr>
            </w:pPr>
            <w:r w:rsidRPr="008340BB">
              <w:rPr>
                <w:i/>
                <w:lang w:eastAsia="bg-BG"/>
              </w:rPr>
              <w:t>7</w:t>
            </w:r>
            <w:r w:rsidR="00FE1A63">
              <w:rPr>
                <w:i/>
                <w:lang w:eastAsia="bg-BG"/>
              </w:rPr>
              <w:t>(</w:t>
            </w:r>
            <w:r w:rsidRPr="008340BB">
              <w:rPr>
                <w:i/>
                <w:lang w:eastAsia="bg-BG"/>
              </w:rPr>
              <w:t>a</w:t>
            </w:r>
            <w:r w:rsidR="00FE1A63">
              <w:rPr>
                <w:i/>
                <w:lang w:eastAsia="bg-BG"/>
              </w:rPr>
              <w:t>)</w:t>
            </w:r>
            <w:r w:rsidRPr="008340BB">
              <w:rPr>
                <w:i/>
                <w:lang w:eastAsia="bg-BG"/>
              </w:rPr>
              <w:t xml:space="preserve"> - </w:t>
            </w:r>
            <w:r w:rsidRPr="008340BB">
              <w:rPr>
                <w:i/>
              </w:rPr>
              <w:t xml:space="preserve">Supporting a multimodal Single European Transport Area by investing in </w:t>
            </w:r>
            <w:r w:rsidR="00FE1A63">
              <w:rPr>
                <w:i/>
              </w:rPr>
              <w:t>the TEN-T</w:t>
            </w:r>
            <w:r w:rsidRPr="008340BB">
              <w:rPr>
                <w:i/>
                <w:lang w:eastAsia="bg-BG"/>
              </w:rPr>
              <w:t xml:space="preserve"> </w:t>
            </w:r>
          </w:p>
        </w:tc>
      </w:tr>
      <w:tr w:rsidR="00F1341F" w:rsidRPr="008340BB" w14:paraId="2ED0DD10" w14:textId="77777777" w:rsidTr="00243777">
        <w:trPr>
          <w:trHeight w:val="819"/>
        </w:trPr>
        <w:tc>
          <w:tcPr>
            <w:tcW w:w="9039" w:type="dxa"/>
            <w:gridSpan w:val="2"/>
          </w:tcPr>
          <w:p w14:paraId="6AF8BE1B" w14:textId="77777777" w:rsidR="00D32E79" w:rsidRDefault="00F1341F" w:rsidP="00D21C4A">
            <w:pPr>
              <w:autoSpaceDE w:val="0"/>
              <w:autoSpaceDN w:val="0"/>
              <w:adjustRightInd w:val="0"/>
              <w:spacing w:after="0"/>
              <w:rPr>
                <w:b/>
                <w:bCs/>
                <w:lang w:eastAsia="bg-BG"/>
              </w:rPr>
            </w:pPr>
            <w:r w:rsidRPr="008340BB">
              <w:rPr>
                <w:b/>
                <w:bCs/>
                <w:lang w:eastAsia="bg-BG"/>
              </w:rPr>
              <w:t xml:space="preserve">Examples of actions to be financed: </w:t>
            </w:r>
          </w:p>
          <w:p w14:paraId="1CBAC5A2" w14:textId="77777777" w:rsidR="00D32E79" w:rsidRPr="003F08A8" w:rsidRDefault="00D32E79" w:rsidP="00D32E79">
            <w:pPr>
              <w:spacing w:after="0"/>
              <w:rPr>
                <w:i/>
              </w:rPr>
            </w:pPr>
            <w:r w:rsidRPr="003F08A8">
              <w:rPr>
                <w:i/>
              </w:rPr>
              <w:t xml:space="preserve">Reconstruction of key railway stations  along the main railway lines </w:t>
            </w:r>
          </w:p>
          <w:p w14:paraId="443CA747" w14:textId="77777777" w:rsidR="00D32E79" w:rsidRDefault="00D32E79" w:rsidP="00D32E79">
            <w:pPr>
              <w:spacing w:after="0"/>
              <w:rPr>
                <w:szCs w:val="24"/>
              </w:rPr>
            </w:pPr>
            <w:r w:rsidRPr="008340BB">
              <w:rPr>
                <w:szCs w:val="24"/>
              </w:rPr>
              <w:t>The main objective of the reconstruction of key station</w:t>
            </w:r>
            <w:r>
              <w:rPr>
                <w:szCs w:val="24"/>
              </w:rPr>
              <w:t>s</w:t>
            </w:r>
            <w:r w:rsidRPr="008340BB">
              <w:rPr>
                <w:szCs w:val="24"/>
              </w:rPr>
              <w:t xml:space="preserve"> is to improve the functional requirements of the main activities associated with trains’ movement management, as well as creating conditions for the provision of a high quality customer service – to railway undertakings and passengers. The reconstruction aims improved intermodality for passengers by connecting the station</w:t>
            </w:r>
            <w:r>
              <w:rPr>
                <w:szCs w:val="24"/>
              </w:rPr>
              <w:t>s</w:t>
            </w:r>
            <w:r w:rsidRPr="008340BB">
              <w:rPr>
                <w:szCs w:val="24"/>
              </w:rPr>
              <w:t xml:space="preserve"> with metro/bus station/ airport, as well as communication solutions for the connections of the station - vehicular and pedestrian.</w:t>
            </w:r>
            <w:r>
              <w:rPr>
                <w:szCs w:val="24"/>
              </w:rPr>
              <w:t xml:space="preserve"> </w:t>
            </w:r>
          </w:p>
          <w:p w14:paraId="65EA16F2" w14:textId="77777777" w:rsidR="00D32E79" w:rsidRPr="008340BB" w:rsidRDefault="00D32E79" w:rsidP="00D32E79">
            <w:pPr>
              <w:spacing w:after="0"/>
            </w:pPr>
            <w:r>
              <w:rPr>
                <w:szCs w:val="24"/>
              </w:rPr>
              <w:t xml:space="preserve">In addition, </w:t>
            </w:r>
            <w:r w:rsidRPr="008340BB">
              <w:rPr>
                <w:szCs w:val="24"/>
              </w:rPr>
              <w:t>the station</w:t>
            </w:r>
            <w:r>
              <w:rPr>
                <w:szCs w:val="24"/>
              </w:rPr>
              <w:t>s will be put in compliance</w:t>
            </w:r>
            <w:r w:rsidRPr="008340BB">
              <w:rPr>
                <w:szCs w:val="24"/>
              </w:rPr>
              <w:t xml:space="preserve"> with the legal requirements to build an accessible environment in urban areas. </w:t>
            </w:r>
            <w:r>
              <w:rPr>
                <w:szCs w:val="24"/>
              </w:rPr>
              <w:t>E</w:t>
            </w:r>
            <w:r w:rsidRPr="008340BB">
              <w:rPr>
                <w:szCs w:val="24"/>
              </w:rPr>
              <w:t xml:space="preserve">nergy efficiency </w:t>
            </w:r>
            <w:r>
              <w:rPr>
                <w:szCs w:val="24"/>
              </w:rPr>
              <w:t xml:space="preserve">measures such as </w:t>
            </w:r>
            <w:r w:rsidRPr="008340BB">
              <w:rPr>
                <w:szCs w:val="24"/>
              </w:rPr>
              <w:t>smart management systems for passive and active heati</w:t>
            </w:r>
            <w:r>
              <w:rPr>
                <w:szCs w:val="24"/>
              </w:rPr>
              <w:t>ng, energy efficient air conditioning</w:t>
            </w:r>
            <w:r w:rsidR="00BD3CE4">
              <w:rPr>
                <w:szCs w:val="24"/>
                <w:lang w:val="en-US"/>
              </w:rPr>
              <w:t>,</w:t>
            </w:r>
            <w:r>
              <w:rPr>
                <w:szCs w:val="24"/>
              </w:rPr>
              <w:t xml:space="preserve"> </w:t>
            </w:r>
            <w:r w:rsidR="00BD3CE4">
              <w:rPr>
                <w:szCs w:val="24"/>
              </w:rPr>
              <w:t xml:space="preserve">lighting </w:t>
            </w:r>
            <w:r>
              <w:rPr>
                <w:szCs w:val="24"/>
              </w:rPr>
              <w:t xml:space="preserve">and </w:t>
            </w:r>
            <w:r w:rsidR="00BD3CE4">
              <w:rPr>
                <w:szCs w:val="24"/>
              </w:rPr>
              <w:t xml:space="preserve"> information </w:t>
            </w:r>
            <w:r>
              <w:rPr>
                <w:szCs w:val="24"/>
              </w:rPr>
              <w:t>will be</w:t>
            </w:r>
            <w:r w:rsidRPr="008340BB">
              <w:rPr>
                <w:szCs w:val="24"/>
              </w:rPr>
              <w:t xml:space="preserve"> implemented.</w:t>
            </w:r>
          </w:p>
          <w:p w14:paraId="607F3F0B" w14:textId="7A61429A" w:rsidR="00D32E79" w:rsidRPr="008340BB" w:rsidRDefault="00D32E79" w:rsidP="00D32E79">
            <w:pPr>
              <w:pStyle w:val="BodyTextIndent"/>
              <w:spacing w:before="120" w:after="0"/>
              <w:ind w:left="0" w:right="2"/>
              <w:rPr>
                <w:lang w:val="en-GB" w:eastAsia="en-GB"/>
              </w:rPr>
            </w:pPr>
            <w:r>
              <w:rPr>
                <w:lang w:val="en-GB" w:eastAsia="en-GB"/>
              </w:rPr>
              <w:t>The reconstruction of key</w:t>
            </w:r>
            <w:r w:rsidRPr="008340BB">
              <w:rPr>
                <w:lang w:val="en-GB" w:eastAsia="en-GB"/>
              </w:rPr>
              <w:t xml:space="preserve"> railway station</w:t>
            </w:r>
            <w:r>
              <w:rPr>
                <w:lang w:val="en-GB" w:eastAsia="en-GB"/>
              </w:rPr>
              <w:t>s</w:t>
            </w:r>
            <w:r w:rsidRPr="008340BB">
              <w:rPr>
                <w:lang w:val="en-GB" w:eastAsia="en-GB"/>
              </w:rPr>
              <w:t xml:space="preserve"> </w:t>
            </w:r>
            <w:r>
              <w:rPr>
                <w:lang w:val="en-GB" w:eastAsia="en-GB"/>
              </w:rPr>
              <w:t xml:space="preserve">which started </w:t>
            </w:r>
            <w:r w:rsidRPr="008340BB">
              <w:rPr>
                <w:lang w:val="en-GB" w:eastAsia="en-GB"/>
              </w:rPr>
              <w:t xml:space="preserve">in the 2007-2013 period  </w:t>
            </w:r>
            <w:r>
              <w:rPr>
                <w:lang w:val="en-GB" w:eastAsia="en-GB"/>
              </w:rPr>
              <w:t>will</w:t>
            </w:r>
            <w:r w:rsidRPr="008340BB">
              <w:rPr>
                <w:lang w:val="en-GB" w:eastAsia="en-GB"/>
              </w:rPr>
              <w:t xml:space="preserve"> continue </w:t>
            </w:r>
            <w:r>
              <w:rPr>
                <w:lang w:val="en-GB" w:eastAsia="en-GB"/>
              </w:rPr>
              <w:t xml:space="preserve">under the OPTTI. It is foreseen to finance under the OPTTI the reconstruction of </w:t>
            </w:r>
            <w:r w:rsidRPr="008340BB">
              <w:rPr>
                <w:lang w:val="en-GB" w:eastAsia="en-GB"/>
              </w:rPr>
              <w:t>.the railway station</w:t>
            </w:r>
            <w:r>
              <w:rPr>
                <w:lang w:val="en-GB" w:eastAsia="en-GB"/>
              </w:rPr>
              <w:t>s</w:t>
            </w:r>
            <w:r w:rsidRPr="008340BB">
              <w:rPr>
                <w:lang w:val="en-GB" w:eastAsia="en-GB"/>
              </w:rPr>
              <w:t xml:space="preserve"> of </w:t>
            </w:r>
            <w:r w:rsidRPr="008340BB">
              <w:rPr>
                <w:szCs w:val="24"/>
                <w:lang w:val="en-GB"/>
              </w:rPr>
              <w:t xml:space="preserve">Stara Zagora, Nova Zagora </w:t>
            </w:r>
            <w:r w:rsidR="00053C45" w:rsidRPr="00053C45">
              <w:rPr>
                <w:szCs w:val="24"/>
                <w:lang w:val="en-GB"/>
              </w:rPr>
              <w:t>(due to circumstances related to the reception building, the implementation will continue in the period 2021-2027)</w:t>
            </w:r>
            <w:r w:rsidR="00053C45">
              <w:rPr>
                <w:szCs w:val="24"/>
                <w:lang w:val="en-GB"/>
              </w:rPr>
              <w:t xml:space="preserve"> </w:t>
            </w:r>
            <w:r w:rsidRPr="008340BB">
              <w:rPr>
                <w:szCs w:val="24"/>
                <w:lang w:val="en-GB"/>
              </w:rPr>
              <w:t xml:space="preserve">and </w:t>
            </w:r>
            <w:r w:rsidR="00AD707B">
              <w:rPr>
                <w:szCs w:val="24"/>
                <w:lang w:val="en-GB"/>
              </w:rPr>
              <w:t>Karnobat</w:t>
            </w:r>
            <w:r>
              <w:rPr>
                <w:szCs w:val="24"/>
                <w:lang w:val="en-GB"/>
              </w:rPr>
              <w:t xml:space="preserve">, </w:t>
            </w:r>
            <w:r>
              <w:rPr>
                <w:szCs w:val="24"/>
                <w:lang w:val="en-US"/>
              </w:rPr>
              <w:t xml:space="preserve">which  are </w:t>
            </w:r>
            <w:r w:rsidRPr="008340BB">
              <w:rPr>
                <w:lang w:val="en-GB" w:eastAsia="en-GB"/>
              </w:rPr>
              <w:t xml:space="preserve">outside </w:t>
            </w:r>
            <w:r>
              <w:rPr>
                <w:lang w:val="en-GB" w:eastAsia="en-GB"/>
              </w:rPr>
              <w:t xml:space="preserve">of </w:t>
            </w:r>
            <w:r w:rsidRPr="008340BB">
              <w:rPr>
                <w:lang w:val="en-GB" w:eastAsia="en-GB"/>
              </w:rPr>
              <w:t>the scope of projects for modernisation of</w:t>
            </w:r>
            <w:r>
              <w:rPr>
                <w:lang w:val="en-GB" w:eastAsia="en-GB"/>
              </w:rPr>
              <w:t xml:space="preserve"> </w:t>
            </w:r>
            <w:r w:rsidRPr="008340BB">
              <w:rPr>
                <w:lang w:val="en-GB" w:eastAsia="en-GB"/>
              </w:rPr>
              <w:t>railway infrastructure under Priority axis 1</w:t>
            </w:r>
            <w:r w:rsidR="00AD707B">
              <w:rPr>
                <w:lang w:val="en-GB" w:eastAsia="en-GB"/>
              </w:rPr>
              <w:t xml:space="preserve"> in particular the project for Plovdiv-Burgas, phase II. It is </w:t>
            </w:r>
            <w:r w:rsidR="000D5450">
              <w:rPr>
                <w:lang w:val="en-GB" w:eastAsia="en-GB"/>
              </w:rPr>
              <w:t>also</w:t>
            </w:r>
            <w:r w:rsidR="00AD707B">
              <w:rPr>
                <w:lang w:val="en-GB" w:eastAsia="en-GB"/>
              </w:rPr>
              <w:t xml:space="preserve"> planned reconstruction of railway stations Iskur, Kazichane and Poduene, which are not included in the scope of the project for Sofia-Plovdiv in particular Sofia-Elin Pelin section, funded under CEF.  </w:t>
            </w:r>
          </w:p>
          <w:p w14:paraId="0CA26FE0" w14:textId="77777777" w:rsidR="00D32E79" w:rsidRDefault="00D32E79" w:rsidP="00D21C4A">
            <w:pPr>
              <w:pStyle w:val="Default"/>
              <w:spacing w:before="120"/>
              <w:jc w:val="both"/>
              <w:rPr>
                <w:b/>
                <w:lang w:val="en-GB"/>
              </w:rPr>
            </w:pPr>
          </w:p>
          <w:p w14:paraId="4EAAA6E9" w14:textId="77777777" w:rsidR="00F1341F" w:rsidRPr="008340BB" w:rsidRDefault="00F1341F" w:rsidP="00D21C4A">
            <w:pPr>
              <w:pStyle w:val="Default"/>
              <w:spacing w:before="120"/>
              <w:jc w:val="both"/>
              <w:rPr>
                <w:b/>
                <w:lang w:val="en-GB"/>
              </w:rPr>
            </w:pPr>
            <w:r w:rsidRPr="008340BB">
              <w:rPr>
                <w:b/>
                <w:lang w:val="en-GB"/>
              </w:rPr>
              <w:t>Potential beneficiaries:</w:t>
            </w:r>
          </w:p>
          <w:p w14:paraId="03D21DE0" w14:textId="77777777" w:rsidR="00F1341F" w:rsidRPr="008340BB" w:rsidRDefault="00F1341F" w:rsidP="00D21C4A">
            <w:pPr>
              <w:pStyle w:val="Default"/>
              <w:numPr>
                <w:ilvl w:val="0"/>
                <w:numId w:val="89"/>
              </w:numPr>
              <w:spacing w:before="120"/>
              <w:jc w:val="both"/>
              <w:rPr>
                <w:i/>
                <w:sz w:val="18"/>
                <w:szCs w:val="18"/>
                <w:lang w:val="en-GB" w:eastAsia="en-GB"/>
              </w:rPr>
            </w:pPr>
            <w:r w:rsidRPr="008340BB">
              <w:rPr>
                <w:lang w:val="en-GB"/>
              </w:rPr>
              <w:t>National Railway Infrastructure Company.</w:t>
            </w:r>
          </w:p>
        </w:tc>
      </w:tr>
    </w:tbl>
    <w:p w14:paraId="1DBD7B9E" w14:textId="77777777" w:rsidR="00F1341F" w:rsidRPr="008340BB" w:rsidRDefault="00F1341F" w:rsidP="00B5308A"/>
    <w:p w14:paraId="093C16D9" w14:textId="77777777" w:rsidR="00F1341F" w:rsidRPr="008340BB" w:rsidRDefault="00F1341F" w:rsidP="00B5308A">
      <w:pPr>
        <w:pStyle w:val="ManualHeading3"/>
        <w:tabs>
          <w:tab w:val="clear" w:pos="850"/>
        </w:tabs>
        <w:ind w:left="1418" w:hanging="1418"/>
        <w:rPr>
          <w:b/>
        </w:rPr>
      </w:pPr>
      <w:r w:rsidRPr="008340BB">
        <w:rPr>
          <w:b/>
        </w:rPr>
        <w:lastRenderedPageBreak/>
        <w:t xml:space="preserve">2.A.3.4.2.2 </w:t>
      </w:r>
      <w:r w:rsidRPr="008340BB">
        <w:rPr>
          <w:b/>
        </w:rPr>
        <w:tab/>
        <w:t>Guiding principles for selection of operations</w:t>
      </w:r>
    </w:p>
    <w:p w14:paraId="61452A05" w14:textId="77777777" w:rsidR="00F1341F" w:rsidRPr="008340BB" w:rsidRDefault="00F1341F" w:rsidP="00B5308A">
      <w:pPr>
        <w:pStyle w:val="ManualHeading3"/>
        <w:tabs>
          <w:tab w:val="clear" w:pos="850"/>
        </w:tabs>
        <w:ind w:left="1418" w:hanging="1418"/>
        <w:rPr>
          <w:i w:val="0"/>
        </w:rPr>
      </w:pPr>
      <w:r w:rsidRPr="008340BB">
        <w:rPr>
          <w:i w:val="0"/>
        </w:rPr>
        <w:t xml:space="preserve"> (Reference: point (b)(iii) of the first subparagraph of Article 96(2) of Regulation (EU) No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292EA1E4" w14:textId="77777777" w:rsidTr="001B395D">
        <w:trPr>
          <w:trHeight w:val="518"/>
        </w:trPr>
        <w:tc>
          <w:tcPr>
            <w:tcW w:w="2235" w:type="dxa"/>
          </w:tcPr>
          <w:p w14:paraId="3569DB95" w14:textId="77777777" w:rsidR="00F1341F" w:rsidRPr="008340BB" w:rsidRDefault="00F1341F" w:rsidP="001B395D">
            <w:pPr>
              <w:rPr>
                <w:i/>
                <w:color w:val="8DB3E2"/>
                <w:sz w:val="18"/>
                <w:szCs w:val="18"/>
              </w:rPr>
            </w:pPr>
            <w:r w:rsidRPr="008340BB">
              <w:rPr>
                <w:i/>
              </w:rPr>
              <w:t>Investment Priority</w:t>
            </w:r>
          </w:p>
        </w:tc>
        <w:tc>
          <w:tcPr>
            <w:tcW w:w="6443" w:type="dxa"/>
          </w:tcPr>
          <w:p w14:paraId="3919ADD5" w14:textId="77777777" w:rsidR="00F1341F" w:rsidRPr="008340BB" w:rsidRDefault="00F1341F">
            <w:pPr>
              <w:rPr>
                <w:i/>
                <w:color w:val="8DB3E2"/>
                <w:sz w:val="18"/>
                <w:szCs w:val="18"/>
              </w:rPr>
            </w:pPr>
            <w:r w:rsidRPr="008340BB">
              <w:rPr>
                <w:i/>
                <w:lang w:eastAsia="bg-BG"/>
              </w:rPr>
              <w:t>7</w:t>
            </w:r>
            <w:r w:rsidR="00FE1A63">
              <w:rPr>
                <w:i/>
                <w:lang w:eastAsia="bg-BG"/>
              </w:rPr>
              <w:t>(</w:t>
            </w:r>
            <w:r w:rsidRPr="008340BB">
              <w:rPr>
                <w:i/>
                <w:lang w:eastAsia="bg-BG"/>
              </w:rPr>
              <w:t>a</w:t>
            </w:r>
            <w:r w:rsidR="00FE1A63">
              <w:rPr>
                <w:i/>
                <w:lang w:eastAsia="bg-BG"/>
              </w:rPr>
              <w:t>)</w:t>
            </w:r>
            <w:r w:rsidRPr="008340BB">
              <w:rPr>
                <w:i/>
                <w:lang w:eastAsia="bg-BG"/>
              </w:rPr>
              <w:t xml:space="preserve"> -</w:t>
            </w:r>
            <w:r w:rsidRPr="008340BB">
              <w:rPr>
                <w:i/>
              </w:rPr>
              <w:t xml:space="preserve">Supporting a multimodal Single European Transport Area by investing in </w:t>
            </w:r>
            <w:r w:rsidR="00FE1A63">
              <w:rPr>
                <w:i/>
              </w:rPr>
              <w:t>the TEN-T</w:t>
            </w:r>
            <w:r w:rsidRPr="008340BB">
              <w:rPr>
                <w:i/>
                <w:szCs w:val="24"/>
              </w:rPr>
              <w:t xml:space="preserve"> </w:t>
            </w:r>
          </w:p>
        </w:tc>
      </w:tr>
      <w:tr w:rsidR="00F1341F" w:rsidRPr="008340BB" w14:paraId="2DE807A0" w14:textId="77777777" w:rsidTr="001B395D">
        <w:trPr>
          <w:trHeight w:val="1088"/>
        </w:trPr>
        <w:tc>
          <w:tcPr>
            <w:tcW w:w="8678" w:type="dxa"/>
            <w:gridSpan w:val="2"/>
          </w:tcPr>
          <w:p w14:paraId="7D0575AD" w14:textId="77777777" w:rsidR="00F1341F" w:rsidRPr="008340BB" w:rsidRDefault="00F1341F" w:rsidP="00CA16D8">
            <w:r w:rsidRPr="008340BB">
              <w:t xml:space="preserve">Defining the operations, included in the list of investment projects for funding were used the methodology and the approach, as outlined </w:t>
            </w:r>
            <w:r w:rsidR="005A7B48" w:rsidRPr="005A7B48">
              <w:t>in section 2.A.1.5.2</w:t>
            </w:r>
            <w:r w:rsidRPr="008340BB">
              <w:t>: (**)</w:t>
            </w:r>
          </w:p>
          <w:p w14:paraId="5580637C" w14:textId="77777777" w:rsidR="00F1341F" w:rsidRPr="008340BB" w:rsidRDefault="00F1341F" w:rsidP="00CA16D8">
            <w:r w:rsidRPr="008340BB">
              <w:t>More attention in the evaluation for selection of the operations under the investment priority, included in the Priority Axis 3 is drawn on reporting the achievement of the following sub-criteria:</w:t>
            </w:r>
          </w:p>
          <w:p w14:paraId="39756CC8" w14:textId="77777777" w:rsidR="00F1341F" w:rsidRPr="008340BB" w:rsidRDefault="00F1341F" w:rsidP="00D21C4A">
            <w:pPr>
              <w:numPr>
                <w:ilvl w:val="0"/>
                <w:numId w:val="50"/>
              </w:numPr>
              <w:tabs>
                <w:tab w:val="left" w:pos="567"/>
              </w:tabs>
              <w:ind w:left="567" w:hanging="283"/>
            </w:pPr>
            <w:r w:rsidRPr="008340BB">
              <w:t xml:space="preserve">degree of improvement of intermodality in the EU; </w:t>
            </w:r>
          </w:p>
          <w:p w14:paraId="68DAFB3D" w14:textId="41D9A485" w:rsidR="00F1341F" w:rsidRPr="008340BB" w:rsidRDefault="00F1341F" w:rsidP="00D21C4A">
            <w:pPr>
              <w:numPr>
                <w:ilvl w:val="0"/>
                <w:numId w:val="50"/>
              </w:numPr>
              <w:tabs>
                <w:tab w:val="left" w:pos="567"/>
              </w:tabs>
              <w:ind w:left="567" w:hanging="283"/>
            </w:pPr>
            <w:r w:rsidRPr="008340BB">
              <w:t>degree of impact on the integration of different modes of transport in the area of intervention</w:t>
            </w:r>
            <w:r w:rsidR="007523B7">
              <w:t>.</w:t>
            </w:r>
            <w:r w:rsidRPr="008340BB">
              <w:t xml:space="preserve"> </w:t>
            </w:r>
          </w:p>
          <w:p w14:paraId="1CD837F9" w14:textId="77777777" w:rsidR="00F1341F" w:rsidRPr="008340BB" w:rsidRDefault="00F1341F" w:rsidP="00DE3E40">
            <w:pPr>
              <w:tabs>
                <w:tab w:val="left" w:pos="567"/>
              </w:tabs>
              <w:ind w:left="567"/>
              <w:rPr>
                <w:i/>
                <w:sz w:val="18"/>
                <w:szCs w:val="18"/>
              </w:rPr>
            </w:pPr>
          </w:p>
        </w:tc>
      </w:tr>
    </w:tbl>
    <w:p w14:paraId="3979597F" w14:textId="77777777" w:rsidR="00F1341F" w:rsidRPr="008340BB" w:rsidRDefault="00F1341F" w:rsidP="00B5308A">
      <w:pPr>
        <w:pStyle w:val="Text3"/>
        <w:ind w:left="0"/>
        <w:rPr>
          <w:szCs w:val="24"/>
        </w:rPr>
      </w:pPr>
    </w:p>
    <w:p w14:paraId="7F6B24D7" w14:textId="77777777" w:rsidR="00F1341F" w:rsidRPr="008340BB" w:rsidRDefault="00F1341F" w:rsidP="00B5308A">
      <w:pPr>
        <w:pStyle w:val="Text1"/>
        <w:ind w:left="0"/>
        <w:rPr>
          <w:lang w:val="en-GB"/>
        </w:rPr>
      </w:pPr>
      <w:r w:rsidRPr="008340BB">
        <w:rPr>
          <w:b/>
          <w:i/>
          <w:lang w:val="en-GB"/>
        </w:rPr>
        <w:t>2.A.3.4.2.3</w:t>
      </w:r>
      <w:r w:rsidRPr="008340BB">
        <w:rPr>
          <w:b/>
          <w:i/>
          <w:lang w:val="en-GB"/>
        </w:rPr>
        <w:tab/>
        <w:t xml:space="preserve"> Planned use of financial instruments </w:t>
      </w:r>
      <w:r w:rsidRPr="008340BB">
        <w:rPr>
          <w:lang w:val="en-GB"/>
        </w:rPr>
        <w:t>(where appropriate)</w:t>
      </w:r>
    </w:p>
    <w:p w14:paraId="4C7145CA" w14:textId="77777777" w:rsidR="00F1341F" w:rsidRPr="008340BB" w:rsidRDefault="00F1341F" w:rsidP="00B5308A">
      <w:pPr>
        <w:pStyle w:val="ManualHeading3"/>
        <w:tabs>
          <w:tab w:val="clear" w:pos="850"/>
        </w:tabs>
        <w:ind w:left="0" w:firstLine="0"/>
        <w:rPr>
          <w:i w:val="0"/>
        </w:rPr>
      </w:pPr>
      <w:r w:rsidRPr="008340BB">
        <w:rPr>
          <w:i w:val="0"/>
        </w:rPr>
        <w:t>(Reference: point (b)(iii) of the first subparagraph of Article 96(2)</w:t>
      </w:r>
      <w:r w:rsidRPr="008340BB" w:rsidDel="00961976">
        <w:rPr>
          <w:i w:val="0"/>
        </w:rPr>
        <w:t xml:space="preserve"> </w:t>
      </w:r>
      <w:r w:rsidRPr="008340BB">
        <w:rPr>
          <w:i w:val="0"/>
        </w:rPr>
        <w:t xml:space="preserve">of Regulation (EU) No 1303/2013) </w:t>
      </w:r>
    </w:p>
    <w:p w14:paraId="308F2FA0" w14:textId="77777777" w:rsidR="00F1341F" w:rsidRPr="008340BB" w:rsidRDefault="00F1341F" w:rsidP="00B5308A">
      <w:pPr>
        <w:pStyle w:val="Text1"/>
        <w:rPr>
          <w:lang w:val="en-GB"/>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9"/>
        <w:gridCol w:w="4339"/>
      </w:tblGrid>
      <w:tr w:rsidR="00F1341F" w:rsidRPr="008340BB" w14:paraId="773E3317" w14:textId="77777777" w:rsidTr="001B395D">
        <w:trPr>
          <w:trHeight w:val="518"/>
        </w:trPr>
        <w:tc>
          <w:tcPr>
            <w:tcW w:w="4339" w:type="dxa"/>
          </w:tcPr>
          <w:p w14:paraId="0022CD6B" w14:textId="77777777" w:rsidR="00F1341F" w:rsidRPr="008340BB" w:rsidRDefault="00F1341F" w:rsidP="001B395D">
            <w:pPr>
              <w:rPr>
                <w:i/>
                <w:color w:val="8DB3E2"/>
                <w:sz w:val="18"/>
                <w:szCs w:val="18"/>
              </w:rPr>
            </w:pPr>
            <w:r w:rsidRPr="008340BB">
              <w:rPr>
                <w:i/>
              </w:rPr>
              <w:t>Investment Priority</w:t>
            </w:r>
          </w:p>
        </w:tc>
        <w:tc>
          <w:tcPr>
            <w:tcW w:w="4339" w:type="dxa"/>
          </w:tcPr>
          <w:p w14:paraId="522F2F80" w14:textId="77777777" w:rsidR="00F1341F" w:rsidRPr="008340BB" w:rsidRDefault="00F1341F">
            <w:pPr>
              <w:rPr>
                <w:i/>
                <w:color w:val="8DB3E2"/>
                <w:sz w:val="18"/>
                <w:szCs w:val="18"/>
              </w:rPr>
            </w:pPr>
            <w:r w:rsidRPr="008340BB">
              <w:rPr>
                <w:i/>
                <w:lang w:eastAsia="bg-BG"/>
              </w:rPr>
              <w:t>7</w:t>
            </w:r>
            <w:r w:rsidR="00FE1A63">
              <w:rPr>
                <w:i/>
                <w:lang w:eastAsia="bg-BG"/>
              </w:rPr>
              <w:t>(</w:t>
            </w:r>
            <w:r w:rsidRPr="008340BB">
              <w:rPr>
                <w:i/>
                <w:lang w:eastAsia="bg-BG"/>
              </w:rPr>
              <w:t>a</w:t>
            </w:r>
            <w:r w:rsidR="00FE1A63">
              <w:rPr>
                <w:i/>
                <w:lang w:eastAsia="bg-BG"/>
              </w:rPr>
              <w:t>)</w:t>
            </w:r>
            <w:r w:rsidRPr="008340BB">
              <w:rPr>
                <w:i/>
                <w:lang w:eastAsia="bg-BG"/>
              </w:rPr>
              <w:t xml:space="preserve"> -</w:t>
            </w:r>
            <w:r w:rsidR="00E151CE">
              <w:rPr>
                <w:i/>
                <w:lang w:eastAsia="bg-BG"/>
              </w:rPr>
              <w:t xml:space="preserve"> </w:t>
            </w:r>
            <w:r w:rsidRPr="008340BB">
              <w:rPr>
                <w:i/>
              </w:rPr>
              <w:t xml:space="preserve">Supporting a multimodal Single European Transport Area by investing in </w:t>
            </w:r>
            <w:r w:rsidR="00E151CE">
              <w:rPr>
                <w:i/>
              </w:rPr>
              <w:t>the TEN-T</w:t>
            </w:r>
            <w:r w:rsidRPr="008340BB">
              <w:rPr>
                <w:i/>
                <w:szCs w:val="24"/>
              </w:rPr>
              <w:t xml:space="preserve"> </w:t>
            </w:r>
          </w:p>
        </w:tc>
      </w:tr>
      <w:tr w:rsidR="00F1341F" w:rsidRPr="008340BB" w14:paraId="16C65775" w14:textId="77777777" w:rsidTr="001B395D">
        <w:trPr>
          <w:trHeight w:val="379"/>
        </w:trPr>
        <w:tc>
          <w:tcPr>
            <w:tcW w:w="4339" w:type="dxa"/>
          </w:tcPr>
          <w:p w14:paraId="283AEFAB" w14:textId="77777777" w:rsidR="00F1341F" w:rsidRPr="008340BB" w:rsidRDefault="00F1341F" w:rsidP="001B395D">
            <w:pPr>
              <w:rPr>
                <w:i/>
                <w:color w:val="8DB3E2"/>
                <w:sz w:val="18"/>
                <w:szCs w:val="18"/>
              </w:rPr>
            </w:pPr>
            <w:r w:rsidRPr="008340BB">
              <w:rPr>
                <w:i/>
              </w:rPr>
              <w:t>Planned use of financial instruments</w:t>
            </w:r>
          </w:p>
        </w:tc>
        <w:tc>
          <w:tcPr>
            <w:tcW w:w="4339" w:type="dxa"/>
          </w:tcPr>
          <w:p w14:paraId="780945C4" w14:textId="77777777" w:rsidR="00F1341F" w:rsidRPr="008340BB" w:rsidRDefault="00F1341F" w:rsidP="001B395D">
            <w:pPr>
              <w:rPr>
                <w:i/>
                <w:color w:val="8DB3E2"/>
                <w:sz w:val="18"/>
                <w:szCs w:val="18"/>
              </w:rPr>
            </w:pPr>
            <w:r w:rsidRPr="008340BB">
              <w:rPr>
                <w:i/>
                <w:szCs w:val="24"/>
              </w:rPr>
              <w:t>N/A</w:t>
            </w:r>
          </w:p>
        </w:tc>
      </w:tr>
      <w:tr w:rsidR="00F1341F" w:rsidRPr="008340BB" w14:paraId="2CA598AF" w14:textId="77777777" w:rsidTr="00D21C4A">
        <w:trPr>
          <w:trHeight w:val="522"/>
        </w:trPr>
        <w:tc>
          <w:tcPr>
            <w:tcW w:w="8678" w:type="dxa"/>
            <w:gridSpan w:val="2"/>
          </w:tcPr>
          <w:p w14:paraId="5215E2AB" w14:textId="77777777" w:rsidR="00F1341F" w:rsidRPr="008340BB" w:rsidRDefault="00F1341F" w:rsidP="001B395D">
            <w:pPr>
              <w:rPr>
                <w:i/>
                <w:sz w:val="18"/>
                <w:szCs w:val="18"/>
              </w:rPr>
            </w:pPr>
            <w:r w:rsidRPr="008340BB">
              <w:rPr>
                <w:i/>
                <w:szCs w:val="24"/>
              </w:rPr>
              <w:t>N/A</w:t>
            </w:r>
          </w:p>
        </w:tc>
      </w:tr>
    </w:tbl>
    <w:p w14:paraId="67DF2DE4" w14:textId="77777777" w:rsidR="00F1341F" w:rsidRPr="008340BB" w:rsidRDefault="00F1341F" w:rsidP="00B5308A"/>
    <w:p w14:paraId="77F06622" w14:textId="77777777" w:rsidR="00F1341F" w:rsidRPr="008340BB" w:rsidRDefault="00F1341F" w:rsidP="00B5308A">
      <w:pPr>
        <w:pStyle w:val="Text1"/>
        <w:ind w:left="0"/>
        <w:rPr>
          <w:lang w:val="en-GB"/>
        </w:rPr>
      </w:pPr>
      <w:r w:rsidRPr="008340BB">
        <w:rPr>
          <w:b/>
          <w:i/>
          <w:lang w:val="en-GB"/>
        </w:rPr>
        <w:t xml:space="preserve">2.A.3.4.2.4 </w:t>
      </w:r>
      <w:r w:rsidRPr="008340BB">
        <w:rPr>
          <w:b/>
          <w:i/>
          <w:lang w:val="en-GB"/>
        </w:rPr>
        <w:tab/>
        <w:t xml:space="preserve">Planned use of major projects </w:t>
      </w:r>
      <w:r w:rsidRPr="008340BB">
        <w:rPr>
          <w:lang w:val="en-GB"/>
        </w:rPr>
        <w:t>(where appropriate)</w:t>
      </w:r>
    </w:p>
    <w:p w14:paraId="5C8B0C2D" w14:textId="77777777" w:rsidR="00F1341F" w:rsidRPr="008340BB" w:rsidRDefault="00F1341F" w:rsidP="00B5308A">
      <w:pPr>
        <w:pStyle w:val="ManualHeading3"/>
        <w:tabs>
          <w:tab w:val="clear" w:pos="850"/>
        </w:tabs>
        <w:ind w:left="1418" w:hanging="1418"/>
        <w:rPr>
          <w:i w:val="0"/>
        </w:rPr>
      </w:pPr>
      <w:r w:rsidRPr="008340BB">
        <w:rPr>
          <w:i w:val="0"/>
        </w:rPr>
        <w:t xml:space="preserve"> (Reference: point (b)(iii) of the first subparagraph of Article 96 (2) of Regulation (EU) No 1303/2013) </w:t>
      </w:r>
    </w:p>
    <w:p w14:paraId="5D5F14DB" w14:textId="77777777" w:rsidR="00F1341F" w:rsidRPr="008340BB" w:rsidRDefault="00F1341F" w:rsidP="00B5308A">
      <w:pPr>
        <w:pStyle w:val="Text1"/>
        <w:ind w:left="0"/>
        <w:rPr>
          <w:lang w:val="en-GB"/>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9"/>
        <w:gridCol w:w="4416"/>
      </w:tblGrid>
      <w:tr w:rsidR="00F1341F" w:rsidRPr="008340BB" w14:paraId="795618F1" w14:textId="77777777" w:rsidTr="001B395D">
        <w:trPr>
          <w:trHeight w:val="518"/>
        </w:trPr>
        <w:tc>
          <w:tcPr>
            <w:tcW w:w="4339" w:type="dxa"/>
          </w:tcPr>
          <w:p w14:paraId="23AFEEBA" w14:textId="77777777" w:rsidR="00F1341F" w:rsidRPr="008340BB" w:rsidRDefault="00F1341F" w:rsidP="001B395D">
            <w:pPr>
              <w:rPr>
                <w:i/>
                <w:color w:val="8DB3E2"/>
                <w:sz w:val="18"/>
                <w:szCs w:val="18"/>
              </w:rPr>
            </w:pPr>
            <w:r w:rsidRPr="008340BB">
              <w:rPr>
                <w:i/>
              </w:rPr>
              <w:t>Investment Priority</w:t>
            </w:r>
          </w:p>
        </w:tc>
        <w:tc>
          <w:tcPr>
            <w:tcW w:w="4416" w:type="dxa"/>
          </w:tcPr>
          <w:p w14:paraId="2F660EE4" w14:textId="77777777" w:rsidR="00F1341F" w:rsidRPr="008340BB" w:rsidRDefault="00F1341F">
            <w:pPr>
              <w:rPr>
                <w:i/>
                <w:color w:val="8DB3E2"/>
                <w:sz w:val="18"/>
                <w:szCs w:val="18"/>
              </w:rPr>
            </w:pPr>
            <w:r w:rsidRPr="008340BB">
              <w:rPr>
                <w:i/>
                <w:lang w:eastAsia="bg-BG"/>
              </w:rPr>
              <w:t>7</w:t>
            </w:r>
            <w:r w:rsidR="00FE1A63">
              <w:rPr>
                <w:i/>
                <w:lang w:eastAsia="bg-BG"/>
              </w:rPr>
              <w:t>(</w:t>
            </w:r>
            <w:r w:rsidRPr="008340BB">
              <w:rPr>
                <w:i/>
                <w:lang w:eastAsia="bg-BG"/>
              </w:rPr>
              <w:t>a</w:t>
            </w:r>
            <w:r w:rsidR="00FE1A63">
              <w:rPr>
                <w:i/>
                <w:lang w:eastAsia="bg-BG"/>
              </w:rPr>
              <w:t>)</w:t>
            </w:r>
            <w:r w:rsidRPr="008340BB">
              <w:rPr>
                <w:i/>
                <w:lang w:eastAsia="bg-BG"/>
              </w:rPr>
              <w:t xml:space="preserve"> -</w:t>
            </w:r>
            <w:r w:rsidR="00E151CE">
              <w:rPr>
                <w:i/>
                <w:lang w:eastAsia="bg-BG"/>
              </w:rPr>
              <w:t xml:space="preserve"> </w:t>
            </w:r>
            <w:r w:rsidRPr="008340BB">
              <w:rPr>
                <w:i/>
              </w:rPr>
              <w:t xml:space="preserve">Supporting a multimodal Single European Transport Area by investing in </w:t>
            </w:r>
            <w:r w:rsidR="00E151CE">
              <w:rPr>
                <w:i/>
              </w:rPr>
              <w:t>the TEN-T</w:t>
            </w:r>
            <w:r w:rsidRPr="008340BB">
              <w:rPr>
                <w:i/>
                <w:szCs w:val="24"/>
              </w:rPr>
              <w:t xml:space="preserve"> </w:t>
            </w:r>
          </w:p>
        </w:tc>
      </w:tr>
      <w:tr w:rsidR="00F1341F" w:rsidRPr="008340BB" w14:paraId="006138BB" w14:textId="77777777" w:rsidTr="00D21C4A">
        <w:trPr>
          <w:trHeight w:val="592"/>
        </w:trPr>
        <w:tc>
          <w:tcPr>
            <w:tcW w:w="8755" w:type="dxa"/>
            <w:gridSpan w:val="2"/>
          </w:tcPr>
          <w:p w14:paraId="7707C6C4" w14:textId="77777777" w:rsidR="00F1341F" w:rsidRPr="008340BB" w:rsidRDefault="00F1341F" w:rsidP="00D21C4A">
            <w:pPr>
              <w:autoSpaceDE w:val="0"/>
              <w:autoSpaceDN w:val="0"/>
              <w:adjustRightInd w:val="0"/>
            </w:pPr>
            <w:r w:rsidRPr="008340BB">
              <w:rPr>
                <w:bCs/>
              </w:rPr>
              <w:t xml:space="preserve">Major projects are not planned under the priority axis. </w:t>
            </w:r>
          </w:p>
        </w:tc>
      </w:tr>
    </w:tbl>
    <w:p w14:paraId="2CCA0439" w14:textId="77777777" w:rsidR="00F1341F" w:rsidRPr="008340BB" w:rsidRDefault="00F1341F" w:rsidP="00B5308A"/>
    <w:p w14:paraId="5D10D194" w14:textId="77777777" w:rsidR="00F1341F" w:rsidRPr="008340BB" w:rsidRDefault="00F1341F" w:rsidP="00B5308A">
      <w:pPr>
        <w:rPr>
          <w:b/>
          <w:i/>
        </w:rPr>
      </w:pPr>
      <w:r w:rsidRPr="008340BB">
        <w:rPr>
          <w:b/>
          <w:i/>
        </w:rPr>
        <w:t>2.A.3.4.2.5  Output indicators by investment priority and, where appropriate by category of region</w:t>
      </w:r>
    </w:p>
    <w:p w14:paraId="6944FEF1" w14:textId="77777777" w:rsidR="00F1341F" w:rsidRPr="008340BB" w:rsidRDefault="00F1341F" w:rsidP="00B5308A">
      <w:r w:rsidRPr="008340BB">
        <w:lastRenderedPageBreak/>
        <w:t>(Reference: point (b)(iv) of the first subparagraph of</w:t>
      </w:r>
      <w:r w:rsidRPr="008340BB">
        <w:rPr>
          <w:i/>
        </w:rPr>
        <w:t xml:space="preserve"> </w:t>
      </w:r>
      <w:r w:rsidRPr="008340BB">
        <w:t>Article 96(2) of Regulation (EU) No 1303/2013)</w:t>
      </w:r>
    </w:p>
    <w:p w14:paraId="16F55E23" w14:textId="77777777" w:rsidR="00F1341F" w:rsidRPr="008340BB" w:rsidRDefault="00F1341F" w:rsidP="00B5308A">
      <w:pPr>
        <w:rPr>
          <w:i/>
        </w:rPr>
      </w:pPr>
    </w:p>
    <w:p w14:paraId="5E291E7C" w14:textId="77777777" w:rsidR="00F1341F" w:rsidRPr="008340BB" w:rsidRDefault="00F1341F" w:rsidP="00B5308A">
      <w:pPr>
        <w:rPr>
          <w:b/>
        </w:rPr>
      </w:pPr>
      <w:r w:rsidRPr="008340BB">
        <w:rPr>
          <w:b/>
        </w:rPr>
        <w:t xml:space="preserve">Table 5: </w:t>
      </w:r>
      <w:r w:rsidRPr="008340BB">
        <w:rPr>
          <w:b/>
        </w:rPr>
        <w:tab/>
        <w:t xml:space="preserve">Common and programme-specific output indicators </w:t>
      </w:r>
    </w:p>
    <w:p w14:paraId="6A83569B" w14:textId="77777777" w:rsidR="00F1341F" w:rsidRPr="008340BB" w:rsidRDefault="00F1341F" w:rsidP="00B5308A">
      <w:r w:rsidRPr="008340BB">
        <w:t>(by investment priority, broken down by category of region for the ESF, and where relevant, for the ERDF)</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8"/>
        <w:gridCol w:w="1582"/>
        <w:gridCol w:w="1074"/>
        <w:gridCol w:w="1039"/>
        <w:gridCol w:w="1041"/>
        <w:gridCol w:w="1274"/>
        <w:gridCol w:w="1383"/>
        <w:gridCol w:w="1533"/>
      </w:tblGrid>
      <w:tr w:rsidR="00F1341F" w:rsidRPr="008340BB" w14:paraId="6C0370B2" w14:textId="77777777" w:rsidTr="00405F39">
        <w:trPr>
          <w:trHeight w:val="530"/>
          <w:jc w:val="center"/>
        </w:trPr>
        <w:tc>
          <w:tcPr>
            <w:tcW w:w="1219" w:type="pct"/>
            <w:gridSpan w:val="2"/>
          </w:tcPr>
          <w:p w14:paraId="4B9E7729" w14:textId="77777777" w:rsidR="00F1341F" w:rsidRPr="008340BB" w:rsidRDefault="00F1341F" w:rsidP="001B395D">
            <w:pPr>
              <w:pStyle w:val="ListDash"/>
              <w:numPr>
                <w:ilvl w:val="0"/>
                <w:numId w:val="0"/>
              </w:numPr>
              <w:ind w:left="283" w:hanging="283"/>
              <w:rPr>
                <w:b/>
                <w:i/>
                <w:sz w:val="16"/>
                <w:szCs w:val="16"/>
              </w:rPr>
            </w:pPr>
            <w:r w:rsidRPr="008340BB">
              <w:rPr>
                <w:b/>
                <w:i/>
                <w:sz w:val="16"/>
                <w:szCs w:val="16"/>
              </w:rPr>
              <w:t xml:space="preserve">Investment priority </w:t>
            </w:r>
          </w:p>
        </w:tc>
        <w:tc>
          <w:tcPr>
            <w:tcW w:w="3781" w:type="pct"/>
            <w:gridSpan w:val="6"/>
          </w:tcPr>
          <w:p w14:paraId="194E4D98" w14:textId="77777777" w:rsidR="00F1341F" w:rsidRPr="008340BB" w:rsidRDefault="00F1341F" w:rsidP="00E05999">
            <w:pPr>
              <w:pStyle w:val="ListDash"/>
              <w:numPr>
                <w:ilvl w:val="0"/>
                <w:numId w:val="0"/>
              </w:numPr>
              <w:rPr>
                <w:b/>
                <w:i/>
                <w:sz w:val="16"/>
                <w:szCs w:val="16"/>
              </w:rPr>
            </w:pPr>
            <w:r w:rsidRPr="008340BB">
              <w:rPr>
                <w:i/>
                <w:lang w:eastAsia="bg-BG"/>
              </w:rPr>
              <w:t>7a -“</w:t>
            </w:r>
            <w:r w:rsidRPr="008340BB">
              <w:rPr>
                <w:i/>
              </w:rPr>
              <w:t>Supporting a multi-modal Single European Transport Area by investing in Trans-European transport network”</w:t>
            </w:r>
          </w:p>
        </w:tc>
      </w:tr>
      <w:tr w:rsidR="00F1341F" w:rsidRPr="008340BB" w14:paraId="42B35376" w14:textId="77777777" w:rsidTr="00405F39">
        <w:trPr>
          <w:trHeight w:val="909"/>
          <w:jc w:val="center"/>
        </w:trPr>
        <w:tc>
          <w:tcPr>
            <w:tcW w:w="405" w:type="pct"/>
          </w:tcPr>
          <w:p w14:paraId="5B074A82" w14:textId="77777777" w:rsidR="00F1341F" w:rsidRPr="008340BB" w:rsidRDefault="00F1341F" w:rsidP="001B395D">
            <w:pPr>
              <w:pStyle w:val="ListDash"/>
              <w:numPr>
                <w:ilvl w:val="0"/>
                <w:numId w:val="0"/>
              </w:numPr>
              <w:ind w:left="283" w:hanging="283"/>
              <w:rPr>
                <w:b/>
                <w:i/>
                <w:sz w:val="16"/>
                <w:szCs w:val="16"/>
              </w:rPr>
            </w:pPr>
            <w:r w:rsidRPr="008340BB">
              <w:rPr>
                <w:b/>
                <w:i/>
                <w:sz w:val="16"/>
                <w:szCs w:val="16"/>
              </w:rPr>
              <w:t>ID</w:t>
            </w:r>
          </w:p>
        </w:tc>
        <w:tc>
          <w:tcPr>
            <w:tcW w:w="814" w:type="pct"/>
          </w:tcPr>
          <w:p w14:paraId="41C24228" w14:textId="77777777" w:rsidR="00F1341F" w:rsidRPr="008340BB" w:rsidRDefault="00F1341F" w:rsidP="001B395D">
            <w:pPr>
              <w:pStyle w:val="ListDash"/>
              <w:numPr>
                <w:ilvl w:val="0"/>
                <w:numId w:val="0"/>
              </w:numPr>
              <w:ind w:left="283" w:hanging="283"/>
              <w:rPr>
                <w:b/>
                <w:i/>
                <w:sz w:val="16"/>
                <w:szCs w:val="16"/>
              </w:rPr>
            </w:pPr>
            <w:r w:rsidRPr="008340BB">
              <w:rPr>
                <w:b/>
                <w:i/>
                <w:sz w:val="16"/>
                <w:szCs w:val="16"/>
              </w:rPr>
              <w:t xml:space="preserve">Indicator </w:t>
            </w:r>
          </w:p>
        </w:tc>
        <w:tc>
          <w:tcPr>
            <w:tcW w:w="553" w:type="pct"/>
          </w:tcPr>
          <w:p w14:paraId="5470C5B5" w14:textId="77777777" w:rsidR="00F1341F" w:rsidRPr="008340BB" w:rsidRDefault="00F1341F" w:rsidP="001B395D">
            <w:pPr>
              <w:pStyle w:val="ListDash"/>
              <w:numPr>
                <w:ilvl w:val="0"/>
                <w:numId w:val="0"/>
              </w:numPr>
              <w:rPr>
                <w:b/>
                <w:i/>
                <w:sz w:val="16"/>
                <w:szCs w:val="16"/>
              </w:rPr>
            </w:pPr>
            <w:r w:rsidRPr="008340BB">
              <w:rPr>
                <w:b/>
                <w:i/>
                <w:sz w:val="16"/>
                <w:szCs w:val="16"/>
              </w:rPr>
              <w:t>Measurement unit</w:t>
            </w:r>
          </w:p>
        </w:tc>
        <w:tc>
          <w:tcPr>
            <w:tcW w:w="535" w:type="pct"/>
          </w:tcPr>
          <w:p w14:paraId="055D8E0B" w14:textId="77777777" w:rsidR="00F1341F" w:rsidRPr="008340BB" w:rsidRDefault="00F1341F" w:rsidP="001B395D">
            <w:pPr>
              <w:pStyle w:val="ListDash"/>
              <w:numPr>
                <w:ilvl w:val="0"/>
                <w:numId w:val="0"/>
              </w:numPr>
              <w:rPr>
                <w:b/>
                <w:i/>
                <w:sz w:val="16"/>
                <w:szCs w:val="16"/>
              </w:rPr>
            </w:pPr>
            <w:r w:rsidRPr="008340BB">
              <w:rPr>
                <w:b/>
                <w:i/>
                <w:sz w:val="16"/>
                <w:szCs w:val="16"/>
              </w:rPr>
              <w:t xml:space="preserve">Fund </w:t>
            </w:r>
          </w:p>
        </w:tc>
        <w:tc>
          <w:tcPr>
            <w:tcW w:w="536" w:type="pct"/>
          </w:tcPr>
          <w:p w14:paraId="711EF4F0" w14:textId="77777777" w:rsidR="00F1341F" w:rsidRPr="008340BB" w:rsidRDefault="00F1341F" w:rsidP="001B395D">
            <w:pPr>
              <w:pStyle w:val="ListDash"/>
              <w:numPr>
                <w:ilvl w:val="0"/>
                <w:numId w:val="0"/>
              </w:numPr>
              <w:rPr>
                <w:b/>
                <w:i/>
                <w:sz w:val="16"/>
                <w:szCs w:val="16"/>
              </w:rPr>
            </w:pPr>
            <w:r w:rsidRPr="008340BB">
              <w:rPr>
                <w:b/>
                <w:i/>
                <w:sz w:val="16"/>
                <w:szCs w:val="16"/>
              </w:rPr>
              <w:t xml:space="preserve">Category of region (where relevant ) </w:t>
            </w:r>
          </w:p>
        </w:tc>
        <w:tc>
          <w:tcPr>
            <w:tcW w:w="656" w:type="pct"/>
          </w:tcPr>
          <w:p w14:paraId="4BA79D30" w14:textId="77777777" w:rsidR="00F1341F" w:rsidRPr="008340BB" w:rsidRDefault="00F1341F" w:rsidP="001B395D">
            <w:pPr>
              <w:pStyle w:val="ListDash"/>
              <w:numPr>
                <w:ilvl w:val="0"/>
                <w:numId w:val="0"/>
              </w:numPr>
              <w:rPr>
                <w:b/>
                <w:i/>
                <w:sz w:val="16"/>
                <w:szCs w:val="16"/>
              </w:rPr>
            </w:pPr>
            <w:r w:rsidRPr="008340BB">
              <w:rPr>
                <w:b/>
                <w:i/>
                <w:sz w:val="16"/>
                <w:szCs w:val="16"/>
              </w:rPr>
              <w:t>Target value (2023)</w:t>
            </w:r>
            <w:r w:rsidRPr="008340BB">
              <w:rPr>
                <w:rStyle w:val="FootnoteReference"/>
                <w:b/>
                <w:i/>
                <w:sz w:val="16"/>
                <w:szCs w:val="16"/>
              </w:rPr>
              <w:footnoteReference w:id="48"/>
            </w:r>
          </w:p>
        </w:tc>
        <w:tc>
          <w:tcPr>
            <w:tcW w:w="712" w:type="pct"/>
          </w:tcPr>
          <w:p w14:paraId="784619F8" w14:textId="77777777" w:rsidR="00F1341F" w:rsidRPr="008340BB" w:rsidRDefault="00F1341F" w:rsidP="001B395D">
            <w:pPr>
              <w:pStyle w:val="ListDash"/>
              <w:numPr>
                <w:ilvl w:val="0"/>
                <w:numId w:val="0"/>
              </w:numPr>
              <w:rPr>
                <w:b/>
                <w:i/>
                <w:sz w:val="16"/>
                <w:szCs w:val="16"/>
              </w:rPr>
            </w:pPr>
            <w:r w:rsidRPr="008340BB">
              <w:rPr>
                <w:b/>
                <w:i/>
                <w:sz w:val="16"/>
                <w:szCs w:val="16"/>
              </w:rPr>
              <w:t>Source of data</w:t>
            </w:r>
          </w:p>
        </w:tc>
        <w:tc>
          <w:tcPr>
            <w:tcW w:w="790" w:type="pct"/>
          </w:tcPr>
          <w:p w14:paraId="345F2FA3" w14:textId="77777777" w:rsidR="00F1341F" w:rsidRPr="008340BB" w:rsidRDefault="00F1341F" w:rsidP="00B22C27">
            <w:pPr>
              <w:pStyle w:val="ListDash"/>
              <w:numPr>
                <w:ilvl w:val="0"/>
                <w:numId w:val="0"/>
              </w:numPr>
              <w:jc w:val="left"/>
              <w:rPr>
                <w:b/>
                <w:i/>
                <w:sz w:val="16"/>
                <w:szCs w:val="16"/>
              </w:rPr>
            </w:pPr>
            <w:r w:rsidRPr="008340BB">
              <w:rPr>
                <w:b/>
                <w:i/>
                <w:sz w:val="16"/>
                <w:szCs w:val="16"/>
              </w:rPr>
              <w:t>Frequency of reporting</w:t>
            </w:r>
          </w:p>
        </w:tc>
      </w:tr>
      <w:tr w:rsidR="00F1341F" w:rsidRPr="008340BB" w14:paraId="260C2AF5" w14:textId="77777777" w:rsidTr="00405F39">
        <w:trPr>
          <w:trHeight w:val="79"/>
          <w:jc w:val="center"/>
        </w:trPr>
        <w:tc>
          <w:tcPr>
            <w:tcW w:w="405" w:type="pct"/>
          </w:tcPr>
          <w:p w14:paraId="7495A823" w14:textId="77777777" w:rsidR="00F1341F" w:rsidRPr="008340BB" w:rsidRDefault="00F1341F" w:rsidP="001B395D">
            <w:pPr>
              <w:pStyle w:val="ListDash"/>
              <w:numPr>
                <w:ilvl w:val="0"/>
                <w:numId w:val="0"/>
              </w:numPr>
              <w:rPr>
                <w:sz w:val="20"/>
              </w:rPr>
            </w:pPr>
            <w:r w:rsidRPr="008340BB">
              <w:rPr>
                <w:sz w:val="20"/>
              </w:rPr>
              <w:t>7</w:t>
            </w:r>
          </w:p>
        </w:tc>
        <w:tc>
          <w:tcPr>
            <w:tcW w:w="814" w:type="pct"/>
          </w:tcPr>
          <w:p w14:paraId="2C60317D" w14:textId="77777777" w:rsidR="00F1341F" w:rsidRPr="008340BB" w:rsidRDefault="00F1341F" w:rsidP="007F7661">
            <w:pPr>
              <w:pStyle w:val="ListDash"/>
              <w:numPr>
                <w:ilvl w:val="0"/>
                <w:numId w:val="0"/>
              </w:numPr>
              <w:jc w:val="left"/>
              <w:rPr>
                <w:sz w:val="20"/>
              </w:rPr>
            </w:pPr>
            <w:r w:rsidRPr="008340BB">
              <w:rPr>
                <w:sz w:val="20"/>
              </w:rPr>
              <w:t>Reconstructed rail</w:t>
            </w:r>
            <w:r w:rsidR="001B646E">
              <w:rPr>
                <w:sz w:val="20"/>
              </w:rPr>
              <w:t>way</w:t>
            </w:r>
            <w:r w:rsidRPr="008340BB">
              <w:rPr>
                <w:sz w:val="20"/>
              </w:rPr>
              <w:t xml:space="preserve"> station</w:t>
            </w:r>
            <w:r w:rsidR="001B646E">
              <w:rPr>
                <w:sz w:val="20"/>
              </w:rPr>
              <w:t>s</w:t>
            </w:r>
            <w:r w:rsidRPr="008340BB">
              <w:rPr>
                <w:sz w:val="20"/>
              </w:rPr>
              <w:t xml:space="preserve"> </w:t>
            </w:r>
          </w:p>
        </w:tc>
        <w:tc>
          <w:tcPr>
            <w:tcW w:w="553" w:type="pct"/>
          </w:tcPr>
          <w:p w14:paraId="01575C1C" w14:textId="77777777" w:rsidR="00F1341F" w:rsidRPr="008340BB" w:rsidRDefault="00F1341F" w:rsidP="001B395D">
            <w:pPr>
              <w:pStyle w:val="ListDash"/>
              <w:numPr>
                <w:ilvl w:val="0"/>
                <w:numId w:val="0"/>
              </w:numPr>
              <w:rPr>
                <w:sz w:val="20"/>
              </w:rPr>
            </w:pPr>
            <w:r w:rsidRPr="008340BB">
              <w:rPr>
                <w:sz w:val="20"/>
              </w:rPr>
              <w:t>number</w:t>
            </w:r>
            <w:r w:rsidRPr="008340BB" w:rsidDel="005A60D8">
              <w:rPr>
                <w:sz w:val="20"/>
              </w:rPr>
              <w:t xml:space="preserve"> </w:t>
            </w:r>
          </w:p>
        </w:tc>
        <w:tc>
          <w:tcPr>
            <w:tcW w:w="535" w:type="pct"/>
          </w:tcPr>
          <w:p w14:paraId="0F754D88" w14:textId="77777777" w:rsidR="00F1341F" w:rsidRPr="008340BB" w:rsidRDefault="00F1341F" w:rsidP="001B395D">
            <w:pPr>
              <w:pStyle w:val="ListDash"/>
              <w:numPr>
                <w:ilvl w:val="0"/>
                <w:numId w:val="0"/>
              </w:numPr>
              <w:rPr>
                <w:i/>
                <w:sz w:val="20"/>
              </w:rPr>
            </w:pPr>
            <w:r w:rsidRPr="008340BB">
              <w:rPr>
                <w:sz w:val="20"/>
              </w:rPr>
              <w:t>ERDF</w:t>
            </w:r>
            <w:r w:rsidRPr="008340BB" w:rsidDel="005A60D8">
              <w:rPr>
                <w:sz w:val="20"/>
              </w:rPr>
              <w:t xml:space="preserve"> </w:t>
            </w:r>
          </w:p>
        </w:tc>
        <w:tc>
          <w:tcPr>
            <w:tcW w:w="536" w:type="pct"/>
          </w:tcPr>
          <w:p w14:paraId="222C0618" w14:textId="77777777" w:rsidR="00F1341F" w:rsidRPr="008340BB" w:rsidRDefault="00F1341F" w:rsidP="001B395D">
            <w:pPr>
              <w:pStyle w:val="ListDash"/>
              <w:numPr>
                <w:ilvl w:val="0"/>
                <w:numId w:val="0"/>
              </w:numPr>
              <w:rPr>
                <w:i/>
                <w:sz w:val="20"/>
              </w:rPr>
            </w:pPr>
            <w:r w:rsidRPr="008340BB">
              <w:rPr>
                <w:sz w:val="20"/>
              </w:rPr>
              <w:t>Less developed regions</w:t>
            </w:r>
            <w:r w:rsidRPr="008340BB" w:rsidDel="005A60D8">
              <w:rPr>
                <w:sz w:val="20"/>
              </w:rPr>
              <w:t xml:space="preserve"> </w:t>
            </w:r>
          </w:p>
        </w:tc>
        <w:tc>
          <w:tcPr>
            <w:tcW w:w="656" w:type="pct"/>
            <w:shd w:val="clear" w:color="auto" w:fill="FFFFFF" w:themeFill="background1"/>
          </w:tcPr>
          <w:p w14:paraId="0DF281BA" w14:textId="738284D0" w:rsidR="00F1341F" w:rsidRPr="008340BB" w:rsidRDefault="00931046" w:rsidP="001B395D">
            <w:pPr>
              <w:pStyle w:val="ListDash"/>
              <w:numPr>
                <w:ilvl w:val="0"/>
                <w:numId w:val="0"/>
              </w:numPr>
              <w:rPr>
                <w:i/>
                <w:sz w:val="20"/>
              </w:rPr>
            </w:pPr>
            <w:r>
              <w:rPr>
                <w:sz w:val="20"/>
              </w:rPr>
              <w:t>5</w:t>
            </w:r>
          </w:p>
        </w:tc>
        <w:tc>
          <w:tcPr>
            <w:tcW w:w="712" w:type="pct"/>
          </w:tcPr>
          <w:p w14:paraId="2B6784D7" w14:textId="77777777" w:rsidR="00F1341F" w:rsidRPr="008340BB" w:rsidRDefault="00FD28A6" w:rsidP="001B395D">
            <w:pPr>
              <w:pStyle w:val="ListDash"/>
              <w:numPr>
                <w:ilvl w:val="0"/>
                <w:numId w:val="0"/>
              </w:numPr>
              <w:rPr>
                <w:sz w:val="20"/>
              </w:rPr>
            </w:pPr>
            <w:r>
              <w:rPr>
                <w:sz w:val="20"/>
              </w:rPr>
              <w:t>NRIC</w:t>
            </w:r>
            <w:r w:rsidR="00F1341F" w:rsidRPr="008340BB" w:rsidDel="005A60D8">
              <w:rPr>
                <w:sz w:val="20"/>
              </w:rPr>
              <w:t xml:space="preserve"> </w:t>
            </w:r>
          </w:p>
        </w:tc>
        <w:tc>
          <w:tcPr>
            <w:tcW w:w="790" w:type="pct"/>
          </w:tcPr>
          <w:p w14:paraId="3D5FFA25" w14:textId="77777777" w:rsidR="00F1341F" w:rsidRPr="008340BB" w:rsidRDefault="004F2F5A" w:rsidP="001B395D">
            <w:pPr>
              <w:pStyle w:val="ListDash"/>
              <w:numPr>
                <w:ilvl w:val="0"/>
                <w:numId w:val="0"/>
              </w:numPr>
              <w:rPr>
                <w:sz w:val="20"/>
              </w:rPr>
            </w:pPr>
            <w:r w:rsidRPr="004F2F5A">
              <w:rPr>
                <w:sz w:val="20"/>
              </w:rPr>
              <w:t>annually</w:t>
            </w:r>
          </w:p>
        </w:tc>
      </w:tr>
    </w:tbl>
    <w:p w14:paraId="6FF6D575" w14:textId="77777777" w:rsidR="00405F39" w:rsidRDefault="00405F39" w:rsidP="00405F39">
      <w:r>
        <w:t>Number of stations that will be reconstructed according to PO 3 of OPTTI: 5 – Poduene, Iskar, Kazichene; Karnobat and Stara Zagora.</w:t>
      </w:r>
    </w:p>
    <w:p w14:paraId="58DB57E0" w14:textId="55D9E2A7" w:rsidR="00F1341F" w:rsidRDefault="00405F39" w:rsidP="00405F39">
      <w:r>
        <w:t>The Nova Zagora station will not be completed within the period of eligibility of the costs, therefore it is not calculated in the reported value of the indicator.</w:t>
      </w:r>
    </w:p>
    <w:p w14:paraId="22D90E37" w14:textId="77777777" w:rsidR="00405F39" w:rsidRPr="008340BB" w:rsidRDefault="00405F39" w:rsidP="00405F39"/>
    <w:p w14:paraId="71C714F9" w14:textId="77777777" w:rsidR="00F1341F" w:rsidRPr="008340BB" w:rsidRDefault="00F1341F" w:rsidP="00D14C5F">
      <w:pPr>
        <w:ind w:left="1418" w:hanging="1418"/>
        <w:rPr>
          <w:b/>
        </w:rPr>
      </w:pPr>
      <w:r w:rsidRPr="008340BB">
        <w:rPr>
          <w:b/>
        </w:rPr>
        <w:t xml:space="preserve">2.А.3.5 </w:t>
      </w:r>
      <w:r w:rsidRPr="008340BB">
        <w:rPr>
          <w:b/>
        </w:rPr>
        <w:tab/>
        <w:t>Social innovation, transnational cooperation and contribution to thematic objectives 1-7</w:t>
      </w:r>
      <w:r w:rsidRPr="008340BB">
        <w:rPr>
          <w:rStyle w:val="FootnoteReference"/>
          <w:b/>
        </w:rPr>
        <w:footnoteReference w:id="49"/>
      </w:r>
    </w:p>
    <w:p w14:paraId="7D7C842C" w14:textId="77777777" w:rsidR="00F1341F" w:rsidRPr="0067246B" w:rsidRDefault="00F1341F" w:rsidP="00D14C5F">
      <w:r w:rsidRPr="0067246B">
        <w:t>Specific provisions for ESF</w:t>
      </w:r>
      <w:r w:rsidRPr="008340BB">
        <w:rPr>
          <w:rStyle w:val="FootnoteReference"/>
        </w:rPr>
        <w:footnoteReference w:id="50"/>
      </w:r>
      <w:r w:rsidRPr="008340BB">
        <w:t>, where applicable (by priority axis and, where relevant, category of region): social innovation, transnational cooperation and E</w:t>
      </w:r>
      <w:r w:rsidRPr="0067246B">
        <w:t>SF contribution to thematic objectives 1 to 7.</w:t>
      </w:r>
    </w:p>
    <w:p w14:paraId="2CE78598" w14:textId="77777777" w:rsidR="00F1341F" w:rsidRPr="00020ADD" w:rsidRDefault="00F1341F" w:rsidP="00D14C5F"/>
    <w:p w14:paraId="48FCEA91" w14:textId="77777777" w:rsidR="00F1341F" w:rsidRPr="00020ADD" w:rsidRDefault="00F1341F" w:rsidP="00D14C5F">
      <w:r w:rsidRPr="00020ADD">
        <w:t xml:space="preserve">Description of the contribution of the planned actions of the priority axis to: </w:t>
      </w:r>
    </w:p>
    <w:p w14:paraId="29BF880E" w14:textId="77777777" w:rsidR="00F1341F" w:rsidRPr="00020ADD" w:rsidRDefault="00F1341F" w:rsidP="00D14C5F">
      <w:pPr>
        <w:pStyle w:val="ListDash"/>
        <w:tabs>
          <w:tab w:val="clear" w:pos="283"/>
          <w:tab w:val="num" w:pos="851"/>
        </w:tabs>
        <w:spacing w:before="120" w:after="120"/>
        <w:ind w:left="851"/>
      </w:pPr>
      <w:r w:rsidRPr="00020ADD">
        <w:t>social innovation (if not covered by a dedicated priority axis);</w:t>
      </w:r>
    </w:p>
    <w:p w14:paraId="33D35096" w14:textId="77777777" w:rsidR="00F1341F" w:rsidRPr="00B5130A" w:rsidRDefault="00F1341F" w:rsidP="00D14C5F">
      <w:pPr>
        <w:pStyle w:val="ListDash"/>
        <w:tabs>
          <w:tab w:val="clear" w:pos="283"/>
          <w:tab w:val="num" w:pos="851"/>
        </w:tabs>
        <w:spacing w:before="120" w:after="120"/>
        <w:ind w:left="851"/>
      </w:pPr>
      <w:r w:rsidRPr="00DC0475">
        <w:t>transnational cooperation (if not covered by a dedicated prior</w:t>
      </w:r>
      <w:r w:rsidRPr="00B5130A">
        <w:t xml:space="preserve">ity axis). </w:t>
      </w:r>
    </w:p>
    <w:p w14:paraId="4CC7599E" w14:textId="77777777" w:rsidR="00F1341F" w:rsidRPr="00A828C5" w:rsidRDefault="00F1341F" w:rsidP="00D14C5F">
      <w:pPr>
        <w:pStyle w:val="ListDash"/>
        <w:tabs>
          <w:tab w:val="clear" w:pos="283"/>
          <w:tab w:val="num" w:pos="851"/>
        </w:tabs>
        <w:spacing w:before="120" w:after="120"/>
        <w:ind w:left="851"/>
      </w:pPr>
      <w:r w:rsidRPr="00B5130A">
        <w:t>thematic objectives referred to in points (1) to (7) of the first paragraph of Article 9 of Regulation (EU)</w:t>
      </w:r>
      <w:r w:rsidRPr="00A828C5">
        <w:t xml:space="preserve"> No 1303/2013.</w:t>
      </w:r>
    </w:p>
    <w:p w14:paraId="16C5D50C" w14:textId="77777777" w:rsidR="00F1341F" w:rsidRPr="008340BB" w:rsidRDefault="00F1341F" w:rsidP="00D14C5F"/>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01C31D55" w14:textId="77777777" w:rsidTr="001B395D">
        <w:trPr>
          <w:trHeight w:val="518"/>
        </w:trPr>
        <w:tc>
          <w:tcPr>
            <w:tcW w:w="2235" w:type="dxa"/>
          </w:tcPr>
          <w:p w14:paraId="3E8AEE3F" w14:textId="77777777" w:rsidR="00F1341F" w:rsidRPr="008340BB" w:rsidRDefault="00F1341F" w:rsidP="001B395D">
            <w:pPr>
              <w:rPr>
                <w:i/>
                <w:color w:val="8DB3E2"/>
                <w:sz w:val="18"/>
                <w:szCs w:val="18"/>
              </w:rPr>
            </w:pPr>
            <w:r w:rsidRPr="008340BB">
              <w:rPr>
                <w:i/>
              </w:rPr>
              <w:t>Priority axis</w:t>
            </w:r>
          </w:p>
        </w:tc>
        <w:tc>
          <w:tcPr>
            <w:tcW w:w="6443" w:type="dxa"/>
          </w:tcPr>
          <w:p w14:paraId="72E2CC43" w14:textId="77777777" w:rsidR="00F1341F" w:rsidRPr="008340BB" w:rsidRDefault="00F1341F" w:rsidP="001B395D">
            <w:pPr>
              <w:rPr>
                <w:i/>
                <w:color w:val="8DB3E2"/>
                <w:sz w:val="18"/>
                <w:szCs w:val="18"/>
              </w:rPr>
            </w:pPr>
            <w:r w:rsidRPr="008340BB">
              <w:rPr>
                <w:i/>
              </w:rPr>
              <w:t>Improvement of intermodal transport services for passengers and freights and development of sustainable urban transport</w:t>
            </w:r>
          </w:p>
        </w:tc>
      </w:tr>
      <w:tr w:rsidR="00F1341F" w:rsidRPr="008340BB" w14:paraId="48628E76" w14:textId="77777777" w:rsidTr="001B395D">
        <w:trPr>
          <w:trHeight w:val="1154"/>
        </w:trPr>
        <w:tc>
          <w:tcPr>
            <w:tcW w:w="8678" w:type="dxa"/>
            <w:gridSpan w:val="2"/>
          </w:tcPr>
          <w:p w14:paraId="3548E413" w14:textId="77777777" w:rsidR="00F1341F" w:rsidRPr="008340BB" w:rsidRDefault="00F1341F" w:rsidP="001B395D">
            <w:pPr>
              <w:rPr>
                <w:i/>
                <w:szCs w:val="24"/>
              </w:rPr>
            </w:pPr>
            <w:r w:rsidRPr="008340BB">
              <w:rPr>
                <w:i/>
                <w:szCs w:val="24"/>
              </w:rPr>
              <w:lastRenderedPageBreak/>
              <w:t>Not applicable.</w:t>
            </w:r>
          </w:p>
        </w:tc>
      </w:tr>
    </w:tbl>
    <w:p w14:paraId="08002262" w14:textId="77777777" w:rsidR="00F1341F" w:rsidRPr="008340BB" w:rsidRDefault="00F1341F" w:rsidP="00D14C5F"/>
    <w:p w14:paraId="0833B118" w14:textId="77777777" w:rsidR="00F1341F" w:rsidRPr="008340BB" w:rsidRDefault="00F1341F" w:rsidP="00D14C5F">
      <w:pPr>
        <w:suppressAutoHyphens/>
        <w:rPr>
          <w:b/>
        </w:rPr>
        <w:sectPr w:rsidR="00F1341F" w:rsidRPr="008340BB" w:rsidSect="001E1D6F">
          <w:headerReference w:type="default" r:id="rId61"/>
          <w:footerReference w:type="default" r:id="rId62"/>
          <w:headerReference w:type="first" r:id="rId63"/>
          <w:footerReference w:type="first" r:id="rId64"/>
          <w:pgSz w:w="11906" w:h="16838"/>
          <w:pgMar w:top="1021" w:right="1418" w:bottom="1021" w:left="1418" w:header="601" w:footer="1077" w:gutter="0"/>
          <w:cols w:space="708"/>
          <w:docGrid w:linePitch="326"/>
        </w:sectPr>
      </w:pPr>
    </w:p>
    <w:p w14:paraId="421D8EA1" w14:textId="77777777" w:rsidR="00F1341F" w:rsidRPr="008340BB" w:rsidRDefault="00F1341F" w:rsidP="00D14C5F">
      <w:pPr>
        <w:ind w:left="1418" w:hanging="1418"/>
        <w:rPr>
          <w:b/>
        </w:rPr>
      </w:pPr>
      <w:r w:rsidRPr="008340BB">
        <w:rPr>
          <w:b/>
        </w:rPr>
        <w:lastRenderedPageBreak/>
        <w:t xml:space="preserve">2.A.3.6 </w:t>
      </w:r>
      <w:r w:rsidRPr="008340BB">
        <w:rPr>
          <w:b/>
        </w:rPr>
        <w:tab/>
        <w:t xml:space="preserve">Performance framework </w:t>
      </w:r>
    </w:p>
    <w:p w14:paraId="02F59713" w14:textId="77777777" w:rsidR="00F1341F" w:rsidRPr="008340BB" w:rsidRDefault="00F1341F" w:rsidP="00D14C5F">
      <w:pPr>
        <w:ind w:left="1418" w:hanging="1418"/>
      </w:pPr>
      <w:r w:rsidRPr="008340BB">
        <w:t>(Reference: point (b)(v) of the first subparagraph of Article 96(2), and Annex II to Regulation (EU) No 1303/2013)</w:t>
      </w:r>
    </w:p>
    <w:p w14:paraId="22B16C8D" w14:textId="77777777" w:rsidR="00F1341F" w:rsidRPr="008340BB" w:rsidRDefault="00F1341F" w:rsidP="00D14C5F">
      <w:pPr>
        <w:rPr>
          <w:b/>
        </w:rPr>
      </w:pPr>
      <w:r w:rsidRPr="008340BB">
        <w:rPr>
          <w:b/>
        </w:rPr>
        <w:t xml:space="preserve">Table 6: </w:t>
      </w:r>
      <w:r w:rsidRPr="008340BB">
        <w:rPr>
          <w:b/>
        </w:rPr>
        <w:tab/>
        <w:t>Performance framework of the priority axis</w:t>
      </w:r>
    </w:p>
    <w:p w14:paraId="0B9E1CFE" w14:textId="77777777" w:rsidR="00F1341F" w:rsidRPr="008340BB" w:rsidRDefault="00F1341F" w:rsidP="00D14C5F">
      <w:pPr>
        <w:pStyle w:val="TableTitle"/>
        <w:jc w:val="left"/>
        <w:rPr>
          <w:b w:val="0"/>
        </w:rPr>
      </w:pPr>
      <w:r w:rsidRPr="008340BB">
        <w:rPr>
          <w:b w:val="0"/>
        </w:rPr>
        <w:t xml:space="preserve"> (by fund and category of region)</w:t>
      </w:r>
      <w:r w:rsidRPr="008340BB">
        <w:rPr>
          <w:rStyle w:val="FootnoteReference"/>
          <w:b w:val="0"/>
        </w:rPr>
        <w:footnoteReference w:id="51"/>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905"/>
        <w:gridCol w:w="1538"/>
        <w:gridCol w:w="1395"/>
        <w:gridCol w:w="838"/>
        <w:gridCol w:w="1395"/>
        <w:gridCol w:w="1438"/>
        <w:gridCol w:w="1495"/>
        <w:gridCol w:w="1535"/>
        <w:gridCol w:w="1816"/>
      </w:tblGrid>
      <w:tr w:rsidR="00F1341F" w:rsidRPr="008340BB" w14:paraId="102CC4C9" w14:textId="77777777" w:rsidTr="000A5044">
        <w:trPr>
          <w:trHeight w:val="740"/>
        </w:trPr>
        <w:tc>
          <w:tcPr>
            <w:tcW w:w="1010" w:type="pct"/>
            <w:gridSpan w:val="2"/>
          </w:tcPr>
          <w:p w14:paraId="4BCAF67E" w14:textId="77777777" w:rsidR="00F1341F" w:rsidRPr="008340BB" w:rsidRDefault="00F1341F" w:rsidP="001B395D">
            <w:pPr>
              <w:pStyle w:val="Text1"/>
              <w:ind w:left="0"/>
              <w:rPr>
                <w:b/>
                <w:i/>
                <w:sz w:val="20"/>
                <w:lang w:val="en-GB" w:eastAsia="en-GB"/>
              </w:rPr>
            </w:pPr>
            <w:r w:rsidRPr="008340BB">
              <w:rPr>
                <w:b/>
                <w:i/>
                <w:sz w:val="18"/>
                <w:szCs w:val="18"/>
                <w:lang w:val="en-GB" w:eastAsia="en-GB"/>
              </w:rPr>
              <w:t>Priority axis</w:t>
            </w:r>
          </w:p>
        </w:tc>
        <w:tc>
          <w:tcPr>
            <w:tcW w:w="3990" w:type="pct"/>
            <w:gridSpan w:val="8"/>
          </w:tcPr>
          <w:p w14:paraId="445F1EC8" w14:textId="77777777" w:rsidR="00F1341F" w:rsidRPr="008340BB" w:rsidRDefault="00F1341F" w:rsidP="001B395D">
            <w:pPr>
              <w:rPr>
                <w:b/>
                <w:i/>
                <w:sz w:val="20"/>
              </w:rPr>
            </w:pPr>
            <w:r w:rsidRPr="008340BB">
              <w:rPr>
                <w:i/>
                <w:sz w:val="18"/>
                <w:szCs w:val="18"/>
              </w:rPr>
              <w:t>Improvement of intermodal transport services for passengers and freights and development of sustainable urban transport</w:t>
            </w:r>
          </w:p>
        </w:tc>
      </w:tr>
      <w:tr w:rsidR="00F1341F" w:rsidRPr="008340BB" w14:paraId="6C09C0A5" w14:textId="77777777" w:rsidTr="00CC2CB3">
        <w:trPr>
          <w:trHeight w:val="1617"/>
        </w:trPr>
        <w:tc>
          <w:tcPr>
            <w:tcW w:w="346" w:type="pct"/>
          </w:tcPr>
          <w:p w14:paraId="20861C9A" w14:textId="77777777" w:rsidR="00F1341F" w:rsidRPr="008340BB" w:rsidRDefault="00F1341F" w:rsidP="001B395D">
            <w:pPr>
              <w:pStyle w:val="Text1"/>
              <w:ind w:left="0"/>
              <w:rPr>
                <w:b/>
                <w:i/>
                <w:sz w:val="18"/>
                <w:szCs w:val="18"/>
                <w:lang w:val="en-GB" w:eastAsia="en-GB"/>
              </w:rPr>
            </w:pPr>
            <w:r w:rsidRPr="008340BB">
              <w:rPr>
                <w:b/>
                <w:i/>
                <w:sz w:val="20"/>
                <w:lang w:val="en-GB" w:eastAsia="en-GB"/>
              </w:rPr>
              <w:t>ID</w:t>
            </w:r>
            <w:r w:rsidRPr="008340BB" w:rsidDel="000E3DC8">
              <w:rPr>
                <w:b/>
                <w:i/>
                <w:sz w:val="18"/>
                <w:szCs w:val="18"/>
                <w:lang w:val="en-GB" w:eastAsia="en-GB"/>
              </w:rPr>
              <w:t xml:space="preserve"> </w:t>
            </w:r>
          </w:p>
        </w:tc>
        <w:tc>
          <w:tcPr>
            <w:tcW w:w="664" w:type="pct"/>
          </w:tcPr>
          <w:p w14:paraId="540401A8" w14:textId="77777777" w:rsidR="00F1341F" w:rsidRPr="008340BB" w:rsidRDefault="00F1341F" w:rsidP="001B395D">
            <w:pPr>
              <w:pStyle w:val="Text1"/>
              <w:ind w:left="0"/>
              <w:rPr>
                <w:b/>
                <w:i/>
                <w:sz w:val="18"/>
                <w:szCs w:val="18"/>
                <w:lang w:val="en-GB" w:eastAsia="en-GB"/>
              </w:rPr>
            </w:pPr>
            <w:r w:rsidRPr="008340BB">
              <w:rPr>
                <w:b/>
                <w:i/>
                <w:sz w:val="18"/>
                <w:szCs w:val="18"/>
                <w:lang w:val="en-GB" w:eastAsia="en-GB"/>
              </w:rPr>
              <w:t>Indicator type</w:t>
            </w:r>
          </w:p>
          <w:p w14:paraId="38C06F56" w14:textId="77777777" w:rsidR="00F1341F" w:rsidRPr="008340BB" w:rsidRDefault="00F1341F" w:rsidP="001B395D">
            <w:pPr>
              <w:pStyle w:val="Text1"/>
              <w:ind w:left="0"/>
              <w:rPr>
                <w:b/>
                <w:i/>
                <w:sz w:val="18"/>
                <w:szCs w:val="18"/>
                <w:lang w:val="en-GB" w:eastAsia="en-GB"/>
              </w:rPr>
            </w:pPr>
            <w:r w:rsidRPr="008340BB">
              <w:rPr>
                <w:b/>
                <w:i/>
                <w:sz w:val="18"/>
                <w:szCs w:val="18"/>
                <w:lang w:val="en-GB" w:eastAsia="en-GB"/>
              </w:rPr>
              <w:t>(Key implementation step, financial, output or, where appropriate, result indicator)</w:t>
            </w:r>
          </w:p>
          <w:p w14:paraId="497BFFE5" w14:textId="77777777" w:rsidR="00F1341F" w:rsidRPr="008340BB" w:rsidRDefault="00F1341F" w:rsidP="001B395D">
            <w:pPr>
              <w:pStyle w:val="Text1"/>
              <w:ind w:left="0"/>
              <w:rPr>
                <w:b/>
                <w:i/>
                <w:sz w:val="20"/>
                <w:lang w:val="en-GB" w:eastAsia="en-GB"/>
              </w:rPr>
            </w:pPr>
          </w:p>
        </w:tc>
        <w:tc>
          <w:tcPr>
            <w:tcW w:w="536" w:type="pct"/>
          </w:tcPr>
          <w:p w14:paraId="3514E33C" w14:textId="77777777" w:rsidR="00F1341F" w:rsidRPr="008340BB" w:rsidRDefault="00F1341F" w:rsidP="001B395D">
            <w:pPr>
              <w:pStyle w:val="Text1"/>
              <w:ind w:left="0"/>
              <w:rPr>
                <w:b/>
                <w:i/>
                <w:sz w:val="20"/>
                <w:lang w:val="en-GB" w:eastAsia="en-GB"/>
              </w:rPr>
            </w:pPr>
            <w:r w:rsidRPr="008340BB">
              <w:rPr>
                <w:b/>
                <w:i/>
                <w:sz w:val="20"/>
                <w:lang w:val="en-GB" w:eastAsia="en-GB"/>
              </w:rPr>
              <w:t xml:space="preserve">Indicator or key implementation step </w:t>
            </w:r>
          </w:p>
        </w:tc>
        <w:tc>
          <w:tcPr>
            <w:tcW w:w="486" w:type="pct"/>
          </w:tcPr>
          <w:p w14:paraId="7D5E55FA" w14:textId="77777777" w:rsidR="00F1341F" w:rsidRPr="008340BB" w:rsidRDefault="00F1341F" w:rsidP="001B395D">
            <w:pPr>
              <w:pStyle w:val="Text1"/>
              <w:ind w:left="0"/>
              <w:rPr>
                <w:b/>
                <w:i/>
                <w:sz w:val="20"/>
                <w:lang w:val="en-GB" w:eastAsia="en-GB"/>
              </w:rPr>
            </w:pPr>
            <w:r w:rsidRPr="008340BB">
              <w:rPr>
                <w:b/>
                <w:i/>
                <w:sz w:val="20"/>
                <w:lang w:val="en-GB" w:eastAsia="en-GB"/>
              </w:rPr>
              <w:t xml:space="preserve">Measurement unit, where appropriate </w:t>
            </w:r>
          </w:p>
        </w:tc>
        <w:tc>
          <w:tcPr>
            <w:tcW w:w="292" w:type="pct"/>
          </w:tcPr>
          <w:p w14:paraId="27154837" w14:textId="77777777" w:rsidR="00F1341F" w:rsidRPr="008340BB" w:rsidRDefault="00F1341F" w:rsidP="001B395D">
            <w:pPr>
              <w:pStyle w:val="Text1"/>
              <w:ind w:left="0"/>
              <w:rPr>
                <w:b/>
                <w:i/>
                <w:sz w:val="20"/>
                <w:lang w:val="en-GB" w:eastAsia="en-GB"/>
              </w:rPr>
            </w:pPr>
            <w:r w:rsidRPr="008340BB">
              <w:rPr>
                <w:b/>
                <w:i/>
                <w:sz w:val="20"/>
                <w:lang w:val="en-GB" w:eastAsia="en-GB"/>
              </w:rPr>
              <w:t>Fund</w:t>
            </w:r>
          </w:p>
        </w:tc>
        <w:tc>
          <w:tcPr>
            <w:tcW w:w="486" w:type="pct"/>
          </w:tcPr>
          <w:p w14:paraId="76802B23" w14:textId="77777777" w:rsidR="00F1341F" w:rsidRPr="008340BB" w:rsidRDefault="00F1341F" w:rsidP="001B395D">
            <w:pPr>
              <w:pStyle w:val="Text1"/>
              <w:ind w:left="0"/>
              <w:rPr>
                <w:b/>
                <w:i/>
                <w:sz w:val="20"/>
                <w:lang w:val="en-GB" w:eastAsia="en-GB"/>
              </w:rPr>
            </w:pPr>
            <w:r w:rsidRPr="008340BB">
              <w:rPr>
                <w:b/>
                <w:i/>
                <w:sz w:val="20"/>
                <w:lang w:val="en-GB" w:eastAsia="en-GB"/>
              </w:rPr>
              <w:t>Category of region</w:t>
            </w:r>
          </w:p>
        </w:tc>
        <w:tc>
          <w:tcPr>
            <w:tcW w:w="501" w:type="pct"/>
          </w:tcPr>
          <w:p w14:paraId="2E03D0A8" w14:textId="77777777" w:rsidR="00F1341F" w:rsidRPr="008340BB" w:rsidRDefault="00F1341F" w:rsidP="001B395D">
            <w:pPr>
              <w:pStyle w:val="Text1"/>
              <w:ind w:left="0"/>
              <w:rPr>
                <w:b/>
                <w:i/>
                <w:sz w:val="20"/>
                <w:lang w:val="en-GB" w:eastAsia="en-GB"/>
              </w:rPr>
            </w:pPr>
            <w:r w:rsidRPr="008340BB">
              <w:rPr>
                <w:b/>
                <w:i/>
                <w:sz w:val="20"/>
                <w:lang w:val="en-GB" w:eastAsia="en-GB"/>
              </w:rPr>
              <w:t>Milestone for 2018</w:t>
            </w:r>
          </w:p>
        </w:tc>
        <w:tc>
          <w:tcPr>
            <w:tcW w:w="521" w:type="pct"/>
          </w:tcPr>
          <w:p w14:paraId="63688915" w14:textId="77777777" w:rsidR="00F1341F" w:rsidRPr="008340BB" w:rsidRDefault="00F1341F" w:rsidP="001B395D">
            <w:pPr>
              <w:pStyle w:val="Text1"/>
              <w:ind w:left="0"/>
              <w:rPr>
                <w:b/>
                <w:i/>
                <w:sz w:val="20"/>
                <w:lang w:val="en-GB" w:eastAsia="en-GB"/>
              </w:rPr>
            </w:pPr>
            <w:r w:rsidRPr="008340BB">
              <w:rPr>
                <w:b/>
                <w:i/>
                <w:sz w:val="20"/>
                <w:lang w:val="en-GB" w:eastAsia="en-GB"/>
              </w:rPr>
              <w:t>Final target (2023)</w:t>
            </w:r>
            <w:r w:rsidRPr="008340BB">
              <w:rPr>
                <w:rStyle w:val="FootnoteReference"/>
                <w:b/>
                <w:i/>
                <w:sz w:val="20"/>
                <w:lang w:val="en-GB" w:eastAsia="en-GB"/>
              </w:rPr>
              <w:footnoteReference w:id="52"/>
            </w:r>
          </w:p>
        </w:tc>
        <w:tc>
          <w:tcPr>
            <w:tcW w:w="535" w:type="pct"/>
          </w:tcPr>
          <w:p w14:paraId="3C5FD27B" w14:textId="77777777" w:rsidR="00F1341F" w:rsidRPr="008340BB" w:rsidRDefault="00F1341F" w:rsidP="001B395D">
            <w:pPr>
              <w:pStyle w:val="Text1"/>
              <w:spacing w:line="480" w:lineRule="auto"/>
              <w:ind w:left="0"/>
              <w:rPr>
                <w:b/>
                <w:i/>
                <w:sz w:val="20"/>
                <w:lang w:val="en-GB" w:eastAsia="en-GB"/>
              </w:rPr>
            </w:pPr>
            <w:r w:rsidRPr="008340BB">
              <w:rPr>
                <w:b/>
                <w:i/>
                <w:sz w:val="20"/>
                <w:lang w:val="en-GB" w:eastAsia="en-GB"/>
              </w:rPr>
              <w:t>Source of data</w:t>
            </w:r>
          </w:p>
        </w:tc>
        <w:tc>
          <w:tcPr>
            <w:tcW w:w="633" w:type="pct"/>
          </w:tcPr>
          <w:p w14:paraId="431A8915" w14:textId="77777777" w:rsidR="00F1341F" w:rsidRPr="008340BB" w:rsidRDefault="00F1341F" w:rsidP="001B395D">
            <w:pPr>
              <w:rPr>
                <w:b/>
                <w:i/>
                <w:sz w:val="20"/>
              </w:rPr>
            </w:pPr>
            <w:r w:rsidRPr="008340BB">
              <w:rPr>
                <w:b/>
                <w:i/>
                <w:sz w:val="20"/>
              </w:rPr>
              <w:t>Explanation of relevance of indicator, where appropriate</w:t>
            </w:r>
          </w:p>
        </w:tc>
      </w:tr>
      <w:tr w:rsidR="00F1341F" w:rsidRPr="008340BB" w14:paraId="5A57CE6F" w14:textId="77777777" w:rsidTr="00CC2CB3">
        <w:trPr>
          <w:trHeight w:val="397"/>
        </w:trPr>
        <w:tc>
          <w:tcPr>
            <w:tcW w:w="346" w:type="pct"/>
          </w:tcPr>
          <w:p w14:paraId="4D3067DC" w14:textId="77777777" w:rsidR="00F1341F" w:rsidRPr="008340BB" w:rsidRDefault="00F1341F" w:rsidP="00B61D91">
            <w:pPr>
              <w:pStyle w:val="Text1"/>
              <w:ind w:left="0"/>
              <w:jc w:val="left"/>
              <w:rPr>
                <w:sz w:val="18"/>
                <w:szCs w:val="18"/>
                <w:lang w:val="en-GB" w:eastAsia="en-GB"/>
              </w:rPr>
            </w:pPr>
            <w:r w:rsidRPr="008340BB">
              <w:rPr>
                <w:i/>
                <w:sz w:val="18"/>
                <w:szCs w:val="18"/>
                <w:lang w:val="en-GB" w:eastAsia="en-GB"/>
              </w:rPr>
              <w:t>1</w:t>
            </w:r>
          </w:p>
        </w:tc>
        <w:tc>
          <w:tcPr>
            <w:tcW w:w="664" w:type="pct"/>
          </w:tcPr>
          <w:p w14:paraId="550D4EBE" w14:textId="77777777" w:rsidR="00F1341F" w:rsidRPr="008340BB" w:rsidRDefault="00F1341F" w:rsidP="001B395D">
            <w:pPr>
              <w:pStyle w:val="Text1"/>
              <w:ind w:left="0"/>
              <w:rPr>
                <w:sz w:val="20"/>
                <w:lang w:val="en-GB" w:eastAsia="en-GB"/>
              </w:rPr>
            </w:pPr>
            <w:r w:rsidRPr="008340BB">
              <w:rPr>
                <w:sz w:val="20"/>
                <w:lang w:val="en-GB" w:eastAsia="en-GB"/>
              </w:rPr>
              <w:t>financial indicator</w:t>
            </w:r>
          </w:p>
        </w:tc>
        <w:tc>
          <w:tcPr>
            <w:tcW w:w="536" w:type="pct"/>
          </w:tcPr>
          <w:p w14:paraId="7A92B778" w14:textId="77777777" w:rsidR="00F1341F" w:rsidRPr="008340BB" w:rsidRDefault="00F1341F">
            <w:pPr>
              <w:pStyle w:val="Text1"/>
              <w:ind w:left="0"/>
              <w:jc w:val="left"/>
              <w:rPr>
                <w:sz w:val="20"/>
                <w:lang w:val="en-GB" w:eastAsia="en-GB"/>
              </w:rPr>
            </w:pPr>
            <w:r w:rsidRPr="008340BB">
              <w:rPr>
                <w:sz w:val="20"/>
                <w:lang w:val="en-GB" w:eastAsia="en-GB"/>
              </w:rPr>
              <w:t xml:space="preserve">Certified expenditure </w:t>
            </w:r>
          </w:p>
        </w:tc>
        <w:tc>
          <w:tcPr>
            <w:tcW w:w="486" w:type="pct"/>
          </w:tcPr>
          <w:p w14:paraId="69957EBC" w14:textId="77777777" w:rsidR="00F1341F" w:rsidRPr="008340BB" w:rsidRDefault="00F1341F" w:rsidP="001B395D">
            <w:pPr>
              <w:pStyle w:val="Text1"/>
              <w:ind w:left="0"/>
              <w:rPr>
                <w:sz w:val="20"/>
                <w:lang w:val="en-GB" w:eastAsia="en-GB"/>
              </w:rPr>
            </w:pPr>
            <w:r w:rsidRPr="008340BB">
              <w:rPr>
                <w:sz w:val="20"/>
                <w:lang w:val="en-GB" w:eastAsia="en-GB"/>
              </w:rPr>
              <w:t xml:space="preserve">Euro </w:t>
            </w:r>
          </w:p>
        </w:tc>
        <w:tc>
          <w:tcPr>
            <w:tcW w:w="292" w:type="pct"/>
          </w:tcPr>
          <w:p w14:paraId="272BF426" w14:textId="77777777" w:rsidR="00F1341F" w:rsidRPr="008340BB" w:rsidRDefault="00F1341F" w:rsidP="001B395D">
            <w:pPr>
              <w:pStyle w:val="Text1"/>
              <w:ind w:left="0"/>
              <w:rPr>
                <w:sz w:val="20"/>
                <w:lang w:val="en-GB" w:eastAsia="en-GB"/>
              </w:rPr>
            </w:pPr>
            <w:r w:rsidRPr="008340BB">
              <w:rPr>
                <w:sz w:val="20"/>
                <w:lang w:val="en-GB" w:eastAsia="en-GB"/>
              </w:rPr>
              <w:t>ERDF</w:t>
            </w:r>
          </w:p>
        </w:tc>
        <w:tc>
          <w:tcPr>
            <w:tcW w:w="486" w:type="pct"/>
          </w:tcPr>
          <w:p w14:paraId="5C422753" w14:textId="77777777" w:rsidR="00F1341F" w:rsidRPr="008340BB" w:rsidRDefault="00F1341F" w:rsidP="001B395D">
            <w:pPr>
              <w:pStyle w:val="Text1"/>
              <w:ind w:left="0"/>
              <w:rPr>
                <w:sz w:val="20"/>
                <w:lang w:val="en-GB" w:eastAsia="en-GB"/>
              </w:rPr>
            </w:pPr>
            <w:r w:rsidRPr="008340BB">
              <w:rPr>
                <w:sz w:val="20"/>
                <w:lang w:val="en-GB" w:eastAsia="en-GB"/>
              </w:rPr>
              <w:t>Less developed regions</w:t>
            </w:r>
          </w:p>
        </w:tc>
        <w:tc>
          <w:tcPr>
            <w:tcW w:w="501" w:type="pct"/>
          </w:tcPr>
          <w:p w14:paraId="70EB8CF7" w14:textId="2E515347" w:rsidR="00F1341F" w:rsidRPr="008340BB" w:rsidRDefault="00E60FF8" w:rsidP="004C637E">
            <w:pPr>
              <w:pStyle w:val="Text1"/>
              <w:ind w:left="0"/>
              <w:jc w:val="left"/>
              <w:rPr>
                <w:sz w:val="20"/>
                <w:lang w:val="en-GB" w:eastAsia="en-GB"/>
              </w:rPr>
            </w:pPr>
            <w:r>
              <w:rPr>
                <w:sz w:val="18"/>
                <w:szCs w:val="18"/>
                <w:lang w:val="en-GB" w:eastAsia="en-GB"/>
              </w:rPr>
              <w:t>105 152</w:t>
            </w:r>
            <w:r w:rsidR="007523B7">
              <w:rPr>
                <w:sz w:val="18"/>
                <w:szCs w:val="18"/>
                <w:lang w:val="en-GB" w:eastAsia="en-GB"/>
              </w:rPr>
              <w:t> </w:t>
            </w:r>
            <w:r>
              <w:rPr>
                <w:sz w:val="18"/>
                <w:szCs w:val="18"/>
                <w:lang w:val="en-GB" w:eastAsia="en-GB"/>
              </w:rPr>
              <w:t>249</w:t>
            </w:r>
            <w:r w:rsidR="007523B7">
              <w:rPr>
                <w:sz w:val="18"/>
                <w:szCs w:val="18"/>
                <w:lang w:val="en-GB" w:eastAsia="en-GB"/>
              </w:rPr>
              <w:t>.00</w:t>
            </w:r>
          </w:p>
        </w:tc>
        <w:tc>
          <w:tcPr>
            <w:tcW w:w="521" w:type="pct"/>
          </w:tcPr>
          <w:p w14:paraId="178BDC90" w14:textId="712E2468" w:rsidR="007523B7" w:rsidRDefault="003D7363" w:rsidP="001D393D">
            <w:pPr>
              <w:pStyle w:val="Text1"/>
              <w:ind w:left="0"/>
              <w:jc w:val="left"/>
              <w:rPr>
                <w:sz w:val="18"/>
                <w:szCs w:val="18"/>
                <w:lang w:val="en-GB" w:eastAsia="en-GB"/>
              </w:rPr>
            </w:pPr>
            <w:r>
              <w:rPr>
                <w:sz w:val="18"/>
                <w:szCs w:val="18"/>
                <w:lang w:val="en-GB" w:eastAsia="en-GB"/>
              </w:rPr>
              <w:t xml:space="preserve">400 000 000.00 </w:t>
            </w:r>
            <w:r w:rsidR="007F2F80">
              <w:rPr>
                <w:sz w:val="18"/>
                <w:szCs w:val="18"/>
                <w:lang w:val="en-GB" w:eastAsia="en-GB"/>
              </w:rPr>
              <w:t xml:space="preserve"> </w:t>
            </w:r>
          </w:p>
          <w:p w14:paraId="6B994B77" w14:textId="1906CF3A" w:rsidR="00F1341F" w:rsidRPr="008340BB" w:rsidRDefault="00F1341F" w:rsidP="001D393D">
            <w:pPr>
              <w:pStyle w:val="Text1"/>
              <w:ind w:left="0"/>
              <w:jc w:val="left"/>
              <w:rPr>
                <w:sz w:val="18"/>
                <w:szCs w:val="18"/>
                <w:lang w:val="en-GB" w:eastAsia="en-GB"/>
              </w:rPr>
            </w:pPr>
          </w:p>
        </w:tc>
        <w:tc>
          <w:tcPr>
            <w:tcW w:w="535" w:type="pct"/>
          </w:tcPr>
          <w:p w14:paraId="72F0F52F" w14:textId="77777777" w:rsidR="00F1341F" w:rsidRPr="008340BB" w:rsidRDefault="00F1341F" w:rsidP="001B395D">
            <w:pPr>
              <w:pStyle w:val="Text1"/>
              <w:ind w:left="0"/>
              <w:rPr>
                <w:sz w:val="20"/>
                <w:lang w:val="en-GB" w:eastAsia="en-GB"/>
              </w:rPr>
            </w:pPr>
            <w:r w:rsidRPr="008340BB">
              <w:rPr>
                <w:sz w:val="20"/>
                <w:lang w:val="en-GB" w:eastAsia="en-GB"/>
              </w:rPr>
              <w:t>Certifying Authority</w:t>
            </w:r>
          </w:p>
        </w:tc>
        <w:tc>
          <w:tcPr>
            <w:tcW w:w="633" w:type="pct"/>
          </w:tcPr>
          <w:p w14:paraId="20FB0E14" w14:textId="77777777" w:rsidR="00F1341F" w:rsidRPr="008340BB" w:rsidRDefault="00F1341F" w:rsidP="00CB2E83">
            <w:pPr>
              <w:pStyle w:val="Text1"/>
              <w:ind w:left="0"/>
              <w:jc w:val="left"/>
              <w:rPr>
                <w:sz w:val="20"/>
                <w:lang w:val="en-GB" w:eastAsia="en-GB"/>
              </w:rPr>
            </w:pPr>
            <w:r w:rsidRPr="008340BB">
              <w:rPr>
                <w:sz w:val="20"/>
                <w:lang w:val="en-GB" w:eastAsia="en-GB"/>
              </w:rPr>
              <w:t>This financial indicator is suggested to be used in the guide for determining milestones and targets for the performance framework</w:t>
            </w:r>
          </w:p>
        </w:tc>
      </w:tr>
      <w:tr w:rsidR="00F1341F" w:rsidRPr="008340BB" w14:paraId="3E71C785" w14:textId="77777777" w:rsidTr="00CC2CB3">
        <w:tc>
          <w:tcPr>
            <w:tcW w:w="346" w:type="pct"/>
          </w:tcPr>
          <w:p w14:paraId="759768DD" w14:textId="77777777" w:rsidR="00F1341F" w:rsidRPr="008340BB" w:rsidRDefault="00E451A2" w:rsidP="00747BAB">
            <w:pPr>
              <w:pStyle w:val="Text1"/>
              <w:ind w:left="0"/>
              <w:jc w:val="left"/>
              <w:rPr>
                <w:sz w:val="20"/>
                <w:lang w:val="en-GB" w:eastAsia="en-GB"/>
              </w:rPr>
            </w:pPr>
            <w:r>
              <w:rPr>
                <w:i/>
                <w:sz w:val="18"/>
                <w:szCs w:val="18"/>
                <w:lang w:val="en-GB" w:eastAsia="en-GB"/>
              </w:rPr>
              <w:lastRenderedPageBreak/>
              <w:t>4</w:t>
            </w:r>
          </w:p>
        </w:tc>
        <w:tc>
          <w:tcPr>
            <w:tcW w:w="664" w:type="pct"/>
          </w:tcPr>
          <w:p w14:paraId="4C9EDFBE" w14:textId="77777777" w:rsidR="00F1341F" w:rsidRPr="008340BB" w:rsidRDefault="00F1341F" w:rsidP="00047328">
            <w:pPr>
              <w:pStyle w:val="Text1"/>
              <w:ind w:left="0"/>
              <w:rPr>
                <w:sz w:val="18"/>
                <w:lang w:val="en-GB" w:eastAsia="en-GB"/>
              </w:rPr>
            </w:pPr>
            <w:r w:rsidRPr="008340BB">
              <w:rPr>
                <w:sz w:val="18"/>
                <w:lang w:val="en-GB" w:eastAsia="en-GB"/>
              </w:rPr>
              <w:t xml:space="preserve">key implementation step </w:t>
            </w:r>
          </w:p>
        </w:tc>
        <w:tc>
          <w:tcPr>
            <w:tcW w:w="536" w:type="pct"/>
          </w:tcPr>
          <w:p w14:paraId="05FA66CD" w14:textId="77777777" w:rsidR="00F1341F" w:rsidRPr="008340BB" w:rsidRDefault="00F1341F" w:rsidP="00C923E3">
            <w:pPr>
              <w:pStyle w:val="Text1"/>
              <w:ind w:left="0"/>
              <w:jc w:val="left"/>
              <w:rPr>
                <w:sz w:val="20"/>
                <w:lang w:val="en-GB" w:eastAsia="en-GB"/>
              </w:rPr>
            </w:pPr>
            <w:r w:rsidRPr="008340BB">
              <w:rPr>
                <w:sz w:val="20"/>
                <w:lang w:val="en-GB" w:eastAsia="en-GB"/>
              </w:rPr>
              <w:t>Number of major projects with started construction</w:t>
            </w:r>
          </w:p>
        </w:tc>
        <w:tc>
          <w:tcPr>
            <w:tcW w:w="486" w:type="pct"/>
          </w:tcPr>
          <w:p w14:paraId="724673BA" w14:textId="77777777" w:rsidR="00F1341F" w:rsidRPr="008340BB" w:rsidRDefault="00F1341F" w:rsidP="001B395D">
            <w:pPr>
              <w:pStyle w:val="Text1"/>
              <w:ind w:left="0"/>
              <w:rPr>
                <w:sz w:val="20"/>
                <w:lang w:val="en-GB" w:eastAsia="en-GB"/>
              </w:rPr>
            </w:pPr>
            <w:r w:rsidRPr="008340BB">
              <w:rPr>
                <w:sz w:val="20"/>
                <w:lang w:val="en-GB" w:eastAsia="en-GB"/>
              </w:rPr>
              <w:t xml:space="preserve">Number </w:t>
            </w:r>
          </w:p>
        </w:tc>
        <w:tc>
          <w:tcPr>
            <w:tcW w:w="292" w:type="pct"/>
          </w:tcPr>
          <w:p w14:paraId="13D29BB0" w14:textId="77777777" w:rsidR="00F1341F" w:rsidRPr="008340BB" w:rsidRDefault="00F1341F" w:rsidP="001B395D">
            <w:pPr>
              <w:pStyle w:val="Text1"/>
              <w:ind w:left="0"/>
              <w:rPr>
                <w:sz w:val="20"/>
                <w:lang w:val="en-GB" w:eastAsia="en-GB"/>
              </w:rPr>
            </w:pPr>
            <w:r w:rsidRPr="008340BB">
              <w:rPr>
                <w:sz w:val="20"/>
                <w:lang w:val="en-GB" w:eastAsia="en-GB"/>
              </w:rPr>
              <w:t>ERDF</w:t>
            </w:r>
          </w:p>
        </w:tc>
        <w:tc>
          <w:tcPr>
            <w:tcW w:w="486" w:type="pct"/>
          </w:tcPr>
          <w:p w14:paraId="11AB5ED2" w14:textId="77777777" w:rsidR="00F1341F" w:rsidRPr="008340BB" w:rsidRDefault="00F1341F" w:rsidP="001B395D">
            <w:pPr>
              <w:pStyle w:val="Text1"/>
              <w:ind w:left="0"/>
              <w:rPr>
                <w:sz w:val="20"/>
                <w:lang w:val="en-GB" w:eastAsia="en-GB"/>
              </w:rPr>
            </w:pPr>
            <w:r w:rsidRPr="008340BB">
              <w:rPr>
                <w:sz w:val="20"/>
                <w:lang w:val="en-GB" w:eastAsia="en-GB"/>
              </w:rPr>
              <w:t>Less developed regions</w:t>
            </w:r>
          </w:p>
        </w:tc>
        <w:tc>
          <w:tcPr>
            <w:tcW w:w="501" w:type="pct"/>
          </w:tcPr>
          <w:p w14:paraId="76615462" w14:textId="77777777" w:rsidR="00F1341F" w:rsidRPr="008340BB" w:rsidRDefault="00F1341F" w:rsidP="001B395D">
            <w:pPr>
              <w:pStyle w:val="Text1"/>
              <w:ind w:left="0"/>
              <w:rPr>
                <w:sz w:val="20"/>
                <w:lang w:val="en-GB" w:eastAsia="en-GB"/>
              </w:rPr>
            </w:pPr>
            <w:r w:rsidRPr="008340BB">
              <w:rPr>
                <w:sz w:val="20"/>
                <w:lang w:val="en-GB" w:eastAsia="en-GB"/>
              </w:rPr>
              <w:t>1</w:t>
            </w:r>
          </w:p>
        </w:tc>
        <w:tc>
          <w:tcPr>
            <w:tcW w:w="521" w:type="pct"/>
          </w:tcPr>
          <w:p w14:paraId="0EEF395A" w14:textId="1237ABEF" w:rsidR="00F1341F" w:rsidRPr="008340BB" w:rsidRDefault="00D72A8B" w:rsidP="001B395D">
            <w:pPr>
              <w:pStyle w:val="Text1"/>
              <w:ind w:left="0"/>
              <w:rPr>
                <w:sz w:val="20"/>
                <w:lang w:val="en-GB" w:eastAsia="en-GB"/>
              </w:rPr>
            </w:pPr>
            <w:r>
              <w:rPr>
                <w:sz w:val="20"/>
                <w:lang w:eastAsia="en-GB"/>
              </w:rPr>
              <w:t>2</w:t>
            </w:r>
          </w:p>
        </w:tc>
        <w:tc>
          <w:tcPr>
            <w:tcW w:w="535" w:type="pct"/>
          </w:tcPr>
          <w:p w14:paraId="0A77EE04" w14:textId="77777777" w:rsidR="00F1341F" w:rsidRPr="008340BB" w:rsidRDefault="00F1341F" w:rsidP="001B395D">
            <w:pPr>
              <w:pStyle w:val="Text1"/>
              <w:ind w:left="0"/>
              <w:rPr>
                <w:sz w:val="20"/>
                <w:lang w:val="en-GB" w:eastAsia="en-GB"/>
              </w:rPr>
            </w:pPr>
            <w:r w:rsidRPr="008340BB">
              <w:rPr>
                <w:sz w:val="20"/>
                <w:lang w:val="en-GB" w:eastAsia="en-GB"/>
              </w:rPr>
              <w:t>Managing Authority</w:t>
            </w:r>
          </w:p>
        </w:tc>
        <w:tc>
          <w:tcPr>
            <w:tcW w:w="633" w:type="pct"/>
          </w:tcPr>
          <w:p w14:paraId="35F2CB66" w14:textId="77777777" w:rsidR="00F1341F" w:rsidRPr="008340BB" w:rsidRDefault="00F1341F" w:rsidP="00CB2E83">
            <w:pPr>
              <w:pStyle w:val="Text1"/>
              <w:ind w:left="0"/>
              <w:jc w:val="left"/>
              <w:rPr>
                <w:sz w:val="20"/>
                <w:lang w:val="en-GB" w:eastAsia="en-GB"/>
              </w:rPr>
            </w:pPr>
            <w:r w:rsidRPr="008340BB">
              <w:rPr>
                <w:sz w:val="20"/>
                <w:lang w:val="en-GB" w:eastAsia="en-GB"/>
              </w:rPr>
              <w:t>We suggest using this implementation step because no measurable output is expected, as an output of fully implemented projects in 2018.</w:t>
            </w:r>
          </w:p>
        </w:tc>
      </w:tr>
      <w:tr w:rsidR="00F1341F" w:rsidRPr="008340BB" w14:paraId="1195B5F4" w14:textId="77777777" w:rsidTr="00CC2CB3">
        <w:tc>
          <w:tcPr>
            <w:tcW w:w="346" w:type="pct"/>
          </w:tcPr>
          <w:p w14:paraId="2E000D63" w14:textId="77777777" w:rsidR="00F1341F" w:rsidRPr="008340BB" w:rsidRDefault="00FE1A63" w:rsidP="00747BAB">
            <w:pPr>
              <w:pStyle w:val="Text1"/>
              <w:ind w:left="0"/>
              <w:jc w:val="left"/>
              <w:rPr>
                <w:sz w:val="20"/>
                <w:lang w:val="en-GB" w:eastAsia="en-GB"/>
              </w:rPr>
            </w:pPr>
            <w:r>
              <w:rPr>
                <w:i/>
                <w:sz w:val="18"/>
                <w:szCs w:val="18"/>
                <w:lang w:val="en-GB" w:eastAsia="en-GB"/>
              </w:rPr>
              <w:t>CO</w:t>
            </w:r>
            <w:r w:rsidR="00F1341F" w:rsidRPr="008340BB">
              <w:rPr>
                <w:i/>
                <w:sz w:val="18"/>
                <w:szCs w:val="18"/>
                <w:lang w:val="en-GB" w:eastAsia="en-GB"/>
              </w:rPr>
              <w:t>15</w:t>
            </w:r>
          </w:p>
        </w:tc>
        <w:tc>
          <w:tcPr>
            <w:tcW w:w="664" w:type="pct"/>
          </w:tcPr>
          <w:p w14:paraId="530E6129" w14:textId="77777777" w:rsidR="00F1341F" w:rsidRPr="008340BB" w:rsidRDefault="00F1341F" w:rsidP="001B395D">
            <w:pPr>
              <w:pStyle w:val="Text1"/>
              <w:ind w:left="0"/>
              <w:rPr>
                <w:sz w:val="20"/>
                <w:lang w:val="en-GB" w:eastAsia="en-GB"/>
              </w:rPr>
            </w:pPr>
            <w:r w:rsidRPr="008340BB">
              <w:rPr>
                <w:sz w:val="20"/>
                <w:lang w:val="en-GB" w:eastAsia="en-GB"/>
              </w:rPr>
              <w:t>output indicator</w:t>
            </w:r>
          </w:p>
        </w:tc>
        <w:tc>
          <w:tcPr>
            <w:tcW w:w="536" w:type="pct"/>
          </w:tcPr>
          <w:p w14:paraId="69B245B2" w14:textId="77777777" w:rsidR="00F1341F" w:rsidRPr="008340BB" w:rsidRDefault="00F1341F" w:rsidP="00C8540F">
            <w:pPr>
              <w:pStyle w:val="Text1"/>
              <w:ind w:left="0"/>
              <w:jc w:val="left"/>
              <w:rPr>
                <w:sz w:val="20"/>
                <w:lang w:val="en-GB" w:eastAsia="en-GB"/>
              </w:rPr>
            </w:pPr>
            <w:r w:rsidRPr="008340BB">
              <w:rPr>
                <w:sz w:val="20"/>
                <w:lang w:val="en-GB" w:eastAsia="en-GB"/>
              </w:rPr>
              <w:t xml:space="preserve">Total length of new or </w:t>
            </w:r>
            <w:r w:rsidR="00C8540F">
              <w:rPr>
                <w:sz w:val="20"/>
                <w:lang w:val="en-US" w:eastAsia="en-GB"/>
              </w:rPr>
              <w:t xml:space="preserve">modernized </w:t>
            </w:r>
            <w:r w:rsidR="00A57A71" w:rsidRPr="008340BB">
              <w:rPr>
                <w:sz w:val="20"/>
                <w:lang w:val="en-GB" w:eastAsia="en-GB"/>
              </w:rPr>
              <w:t xml:space="preserve"> </w:t>
            </w:r>
            <w:r w:rsidRPr="008340BB">
              <w:rPr>
                <w:sz w:val="20"/>
                <w:lang w:val="en-GB" w:eastAsia="en-GB"/>
              </w:rPr>
              <w:t xml:space="preserve">tram and metro lines </w:t>
            </w:r>
          </w:p>
        </w:tc>
        <w:tc>
          <w:tcPr>
            <w:tcW w:w="486" w:type="pct"/>
          </w:tcPr>
          <w:p w14:paraId="7728BBC4" w14:textId="77777777" w:rsidR="00F1341F" w:rsidRPr="008340BB" w:rsidRDefault="00F1341F" w:rsidP="001B395D">
            <w:pPr>
              <w:pStyle w:val="Text1"/>
              <w:ind w:left="0"/>
              <w:rPr>
                <w:sz w:val="20"/>
                <w:lang w:val="en-GB" w:eastAsia="en-GB"/>
              </w:rPr>
            </w:pPr>
            <w:r w:rsidRPr="008340BB">
              <w:rPr>
                <w:sz w:val="20"/>
                <w:lang w:val="en-GB" w:eastAsia="en-GB"/>
              </w:rPr>
              <w:t xml:space="preserve">km </w:t>
            </w:r>
          </w:p>
        </w:tc>
        <w:tc>
          <w:tcPr>
            <w:tcW w:w="292" w:type="pct"/>
          </w:tcPr>
          <w:p w14:paraId="70B842F0" w14:textId="77777777" w:rsidR="00F1341F" w:rsidRPr="008340BB" w:rsidRDefault="00F1341F" w:rsidP="001B395D">
            <w:pPr>
              <w:pStyle w:val="Text1"/>
              <w:ind w:left="0"/>
              <w:rPr>
                <w:sz w:val="20"/>
                <w:lang w:val="en-GB" w:eastAsia="en-GB"/>
              </w:rPr>
            </w:pPr>
            <w:r w:rsidRPr="008340BB">
              <w:rPr>
                <w:sz w:val="20"/>
                <w:lang w:val="en-GB" w:eastAsia="en-GB"/>
              </w:rPr>
              <w:t>ERDF</w:t>
            </w:r>
          </w:p>
        </w:tc>
        <w:tc>
          <w:tcPr>
            <w:tcW w:w="486" w:type="pct"/>
          </w:tcPr>
          <w:p w14:paraId="67ECF163" w14:textId="77777777" w:rsidR="00F1341F" w:rsidRPr="008340BB" w:rsidRDefault="00F1341F" w:rsidP="001B395D">
            <w:pPr>
              <w:pStyle w:val="Text1"/>
              <w:ind w:left="0"/>
              <w:rPr>
                <w:sz w:val="20"/>
                <w:lang w:val="en-GB" w:eastAsia="en-GB"/>
              </w:rPr>
            </w:pPr>
            <w:r w:rsidRPr="008340BB">
              <w:rPr>
                <w:sz w:val="20"/>
                <w:lang w:val="en-GB" w:eastAsia="en-GB"/>
              </w:rPr>
              <w:t>Less developed regions</w:t>
            </w:r>
          </w:p>
        </w:tc>
        <w:tc>
          <w:tcPr>
            <w:tcW w:w="501" w:type="pct"/>
          </w:tcPr>
          <w:p w14:paraId="07F55B14" w14:textId="77777777" w:rsidR="00F1341F" w:rsidRPr="008340BB" w:rsidRDefault="00F1341F" w:rsidP="001B395D">
            <w:pPr>
              <w:pStyle w:val="Text1"/>
              <w:ind w:left="0"/>
              <w:rPr>
                <w:sz w:val="20"/>
                <w:lang w:val="en-GB" w:eastAsia="en-GB"/>
              </w:rPr>
            </w:pPr>
            <w:r w:rsidRPr="008340BB">
              <w:rPr>
                <w:sz w:val="20"/>
                <w:lang w:val="en-GB" w:eastAsia="en-GB"/>
              </w:rPr>
              <w:t>0</w:t>
            </w:r>
          </w:p>
        </w:tc>
        <w:tc>
          <w:tcPr>
            <w:tcW w:w="521" w:type="pct"/>
          </w:tcPr>
          <w:p w14:paraId="742827BB" w14:textId="77777777" w:rsidR="00FF06CF" w:rsidRDefault="00FF06CF" w:rsidP="001B395D">
            <w:pPr>
              <w:pStyle w:val="Text1"/>
              <w:ind w:left="0"/>
              <w:rPr>
                <w:sz w:val="20"/>
                <w:lang w:val="en-GB" w:eastAsia="en-GB"/>
              </w:rPr>
            </w:pPr>
            <w:r>
              <w:rPr>
                <w:sz w:val="20"/>
                <w:lang w:val="en-GB" w:eastAsia="en-GB"/>
              </w:rPr>
              <w:t>13.10</w:t>
            </w:r>
          </w:p>
          <w:p w14:paraId="6AB3C842" w14:textId="7CCBB6EE" w:rsidR="00F1341F" w:rsidRPr="008340BB" w:rsidRDefault="00F1341F" w:rsidP="001B395D">
            <w:pPr>
              <w:pStyle w:val="Text1"/>
              <w:ind w:left="0"/>
              <w:rPr>
                <w:sz w:val="20"/>
                <w:lang w:val="en-GB" w:eastAsia="en-GB"/>
              </w:rPr>
            </w:pPr>
          </w:p>
        </w:tc>
        <w:tc>
          <w:tcPr>
            <w:tcW w:w="535" w:type="pct"/>
          </w:tcPr>
          <w:p w14:paraId="0E167C73" w14:textId="77777777" w:rsidR="00F1341F" w:rsidRPr="008340BB" w:rsidRDefault="00F1341F" w:rsidP="001B395D">
            <w:pPr>
              <w:pStyle w:val="Text1"/>
              <w:ind w:left="0"/>
              <w:rPr>
                <w:sz w:val="20"/>
                <w:lang w:val="en-GB" w:eastAsia="en-GB"/>
              </w:rPr>
            </w:pPr>
            <w:r w:rsidRPr="008340BB">
              <w:rPr>
                <w:sz w:val="20"/>
                <w:lang w:val="en-GB" w:eastAsia="en-GB"/>
              </w:rPr>
              <w:t>Metropolitan EAD</w:t>
            </w:r>
          </w:p>
        </w:tc>
        <w:tc>
          <w:tcPr>
            <w:tcW w:w="633" w:type="pct"/>
          </w:tcPr>
          <w:p w14:paraId="0FB0ED8B" w14:textId="35489261" w:rsidR="00F1341F" w:rsidRPr="008340BB" w:rsidRDefault="00F1341F" w:rsidP="00CB2E83">
            <w:pPr>
              <w:pStyle w:val="Text1"/>
              <w:ind w:left="0"/>
              <w:jc w:val="left"/>
              <w:rPr>
                <w:sz w:val="20"/>
                <w:lang w:val="en-GB" w:eastAsia="en-GB"/>
              </w:rPr>
            </w:pPr>
            <w:r w:rsidRPr="008340BB">
              <w:rPr>
                <w:sz w:val="20"/>
                <w:lang w:val="en-GB" w:eastAsia="en-GB"/>
              </w:rPr>
              <w:t xml:space="preserve">Share of this indicator represents </w:t>
            </w:r>
            <w:r w:rsidR="00642CBC">
              <w:rPr>
                <w:sz w:val="20"/>
                <w:lang w:val="en-GB" w:eastAsia="en-GB"/>
              </w:rPr>
              <w:t>95,</w:t>
            </w:r>
            <w:r w:rsidRPr="008340BB">
              <w:rPr>
                <w:sz w:val="20"/>
                <w:lang w:val="en-GB" w:eastAsia="en-GB"/>
              </w:rPr>
              <w:t>8% of priority axis budget</w:t>
            </w:r>
          </w:p>
        </w:tc>
      </w:tr>
    </w:tbl>
    <w:p w14:paraId="37721DEB" w14:textId="77777777" w:rsidR="00F1341F" w:rsidRPr="00435AC3" w:rsidRDefault="00F1341F" w:rsidP="00A00B20">
      <w:pPr>
        <w:suppressAutoHyphens/>
        <w:rPr>
          <w:rStyle w:val="hps"/>
          <w:szCs w:val="24"/>
        </w:rPr>
      </w:pPr>
    </w:p>
    <w:p w14:paraId="2FF296C4" w14:textId="77777777" w:rsidR="00F1341F" w:rsidRPr="008340BB" w:rsidRDefault="00F1341F" w:rsidP="00A00B20">
      <w:pPr>
        <w:suppressAutoHyphens/>
        <w:rPr>
          <w:i/>
          <w:szCs w:val="24"/>
        </w:rPr>
      </w:pPr>
      <w:r w:rsidRPr="008340BB">
        <w:rPr>
          <w:rStyle w:val="hps"/>
          <w:szCs w:val="24"/>
        </w:rPr>
        <w:t>The milestone of the</w:t>
      </w:r>
      <w:r w:rsidRPr="008340BB">
        <w:rPr>
          <w:szCs w:val="24"/>
        </w:rPr>
        <w:t xml:space="preserve"> </w:t>
      </w:r>
      <w:r w:rsidRPr="008340BB">
        <w:rPr>
          <w:rStyle w:val="hps"/>
          <w:szCs w:val="24"/>
        </w:rPr>
        <w:t>financial</w:t>
      </w:r>
      <w:r w:rsidRPr="008340BB">
        <w:rPr>
          <w:szCs w:val="24"/>
        </w:rPr>
        <w:t xml:space="preserve"> </w:t>
      </w:r>
      <w:r w:rsidRPr="008340BB">
        <w:rPr>
          <w:rStyle w:val="hps"/>
          <w:szCs w:val="24"/>
        </w:rPr>
        <w:t>indicator is</w:t>
      </w:r>
      <w:r w:rsidRPr="008340BB">
        <w:rPr>
          <w:szCs w:val="24"/>
        </w:rPr>
        <w:t xml:space="preserve"> </w:t>
      </w:r>
      <w:r w:rsidRPr="008340BB">
        <w:rPr>
          <w:rStyle w:val="hps"/>
          <w:szCs w:val="24"/>
        </w:rPr>
        <w:t>based on the</w:t>
      </w:r>
      <w:r w:rsidRPr="008340BB">
        <w:rPr>
          <w:szCs w:val="24"/>
        </w:rPr>
        <w:t xml:space="preserve"> </w:t>
      </w:r>
      <w:r w:rsidRPr="008340BB">
        <w:rPr>
          <w:rStyle w:val="hps"/>
          <w:szCs w:val="24"/>
        </w:rPr>
        <w:t>total amount of</w:t>
      </w:r>
      <w:r w:rsidRPr="008340BB">
        <w:rPr>
          <w:szCs w:val="24"/>
        </w:rPr>
        <w:t xml:space="preserve"> </w:t>
      </w:r>
      <w:r w:rsidRPr="008340BB">
        <w:rPr>
          <w:rStyle w:val="hps"/>
          <w:szCs w:val="24"/>
        </w:rPr>
        <w:t>grant funding</w:t>
      </w:r>
      <w:r w:rsidRPr="008340BB">
        <w:rPr>
          <w:szCs w:val="24"/>
        </w:rPr>
        <w:t xml:space="preserve"> </w:t>
      </w:r>
      <w:r w:rsidRPr="008340BB">
        <w:rPr>
          <w:rStyle w:val="hps"/>
          <w:szCs w:val="24"/>
        </w:rPr>
        <w:t>(w/o</w:t>
      </w:r>
      <w:r w:rsidRPr="008340BB">
        <w:rPr>
          <w:szCs w:val="24"/>
        </w:rPr>
        <w:t xml:space="preserve"> </w:t>
      </w:r>
      <w:r w:rsidRPr="008340BB">
        <w:rPr>
          <w:rStyle w:val="hps"/>
          <w:szCs w:val="24"/>
        </w:rPr>
        <w:t>performance reserve</w:t>
      </w:r>
      <w:r w:rsidRPr="008340BB">
        <w:rPr>
          <w:szCs w:val="24"/>
        </w:rPr>
        <w:t>)</w:t>
      </w:r>
      <w:r w:rsidRPr="008340BB">
        <w:rPr>
          <w:rStyle w:val="hps"/>
          <w:szCs w:val="24"/>
        </w:rPr>
        <w:t xml:space="preserve"> </w:t>
      </w:r>
      <w:r w:rsidRPr="008340BB">
        <w:rPr>
          <w:szCs w:val="24"/>
        </w:rPr>
        <w:t>and</w:t>
      </w:r>
      <w:r w:rsidRPr="008340BB">
        <w:rPr>
          <w:rStyle w:val="hps"/>
          <w:szCs w:val="24"/>
        </w:rPr>
        <w:t xml:space="preserve"> the past experience</w:t>
      </w:r>
      <w:r w:rsidRPr="008340BB">
        <w:rPr>
          <w:szCs w:val="24"/>
        </w:rPr>
        <w:t xml:space="preserve"> </w:t>
      </w:r>
      <w:r w:rsidRPr="008340BB">
        <w:rPr>
          <w:rStyle w:val="hps"/>
          <w:szCs w:val="24"/>
        </w:rPr>
        <w:t>of the implementation</w:t>
      </w:r>
      <w:r w:rsidRPr="008340BB">
        <w:rPr>
          <w:szCs w:val="24"/>
        </w:rPr>
        <w:t xml:space="preserve"> </w:t>
      </w:r>
      <w:r w:rsidRPr="008340BB">
        <w:rPr>
          <w:rStyle w:val="hps"/>
          <w:szCs w:val="24"/>
        </w:rPr>
        <w:t>of the OPT</w:t>
      </w:r>
      <w:r w:rsidRPr="008340BB">
        <w:rPr>
          <w:szCs w:val="24"/>
        </w:rPr>
        <w:t xml:space="preserve">, i.e. by </w:t>
      </w:r>
      <w:r w:rsidRPr="008340BB">
        <w:rPr>
          <w:rStyle w:val="hps"/>
          <w:szCs w:val="24"/>
        </w:rPr>
        <w:t>2018</w:t>
      </w:r>
      <w:r w:rsidRPr="008340BB">
        <w:rPr>
          <w:szCs w:val="24"/>
        </w:rPr>
        <w:t xml:space="preserve"> </w:t>
      </w:r>
      <w:r w:rsidRPr="008340BB">
        <w:rPr>
          <w:rStyle w:val="hps"/>
          <w:szCs w:val="24"/>
        </w:rPr>
        <w:t>to</w:t>
      </w:r>
      <w:r w:rsidRPr="008340BB">
        <w:rPr>
          <w:szCs w:val="24"/>
        </w:rPr>
        <w:t xml:space="preserve"> </w:t>
      </w:r>
      <w:r w:rsidRPr="008340BB">
        <w:rPr>
          <w:rStyle w:val="hps"/>
          <w:szCs w:val="24"/>
        </w:rPr>
        <w:t>be concluded</w:t>
      </w:r>
      <w:r w:rsidRPr="008340BB">
        <w:rPr>
          <w:szCs w:val="24"/>
        </w:rPr>
        <w:t xml:space="preserve"> </w:t>
      </w:r>
      <w:r w:rsidRPr="008340BB">
        <w:rPr>
          <w:rStyle w:val="hps"/>
          <w:szCs w:val="24"/>
        </w:rPr>
        <w:t>60% of</w:t>
      </w:r>
      <w:r w:rsidRPr="008340BB">
        <w:rPr>
          <w:szCs w:val="24"/>
        </w:rPr>
        <w:t xml:space="preserve"> </w:t>
      </w:r>
      <w:r w:rsidRPr="008340BB">
        <w:rPr>
          <w:rStyle w:val="hps"/>
          <w:szCs w:val="24"/>
        </w:rPr>
        <w:t>contracts</w:t>
      </w:r>
      <w:r w:rsidRPr="008340BB">
        <w:rPr>
          <w:szCs w:val="24"/>
        </w:rPr>
        <w:t xml:space="preserve"> </w:t>
      </w:r>
      <w:r w:rsidRPr="008340BB">
        <w:rPr>
          <w:rStyle w:val="hps"/>
          <w:szCs w:val="24"/>
        </w:rPr>
        <w:t>for programme</w:t>
      </w:r>
      <w:r w:rsidRPr="008340BB">
        <w:rPr>
          <w:szCs w:val="24"/>
        </w:rPr>
        <w:t xml:space="preserve"> </w:t>
      </w:r>
      <w:r w:rsidRPr="008340BB">
        <w:rPr>
          <w:rStyle w:val="hps"/>
          <w:szCs w:val="24"/>
        </w:rPr>
        <w:t>implementation.</w:t>
      </w:r>
      <w:r w:rsidR="009342E7">
        <w:rPr>
          <w:rStyle w:val="hps"/>
          <w:szCs w:val="24"/>
        </w:rPr>
        <w:t xml:space="preserve"> </w:t>
      </w:r>
    </w:p>
    <w:p w14:paraId="088EA13E" w14:textId="77777777" w:rsidR="00F1341F" w:rsidRPr="008340BB" w:rsidRDefault="00F1341F" w:rsidP="00D14C5F">
      <w:pPr>
        <w:suppressAutoHyphens/>
        <w:rPr>
          <w:i/>
        </w:rPr>
      </w:pPr>
    </w:p>
    <w:p w14:paraId="62CC784D" w14:textId="77777777" w:rsidR="00F1341F" w:rsidRPr="008340BB" w:rsidRDefault="00F1341F" w:rsidP="00D14C5F">
      <w:pPr>
        <w:suppressAutoHyphens/>
      </w:pPr>
      <w:r w:rsidRPr="008340BB">
        <w:t xml:space="preserve">Additional qualitative information on the establishment of the performance framework </w:t>
      </w:r>
    </w:p>
    <w:p w14:paraId="59300554" w14:textId="77777777" w:rsidR="00F1341F" w:rsidRPr="008340BB" w:rsidRDefault="00F1341F" w:rsidP="00D14C5F">
      <w:pPr>
        <w:suppressAutoHyphens/>
        <w:rPr>
          <w:b/>
        </w:rPr>
      </w:pPr>
      <w:r w:rsidRPr="008340BB">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7"/>
      </w:tblGrid>
      <w:tr w:rsidR="00F1341F" w:rsidRPr="008340BB" w14:paraId="6E885B4C" w14:textId="77777777" w:rsidTr="001B395D">
        <w:trPr>
          <w:trHeight w:val="678"/>
        </w:trPr>
        <w:tc>
          <w:tcPr>
            <w:tcW w:w="14567" w:type="dxa"/>
          </w:tcPr>
          <w:p w14:paraId="22493BD0" w14:textId="77777777" w:rsidR="00F1341F" w:rsidRPr="008340BB" w:rsidRDefault="00F1341F" w:rsidP="001B395D">
            <w:pPr>
              <w:pStyle w:val="Text1"/>
              <w:ind w:left="0"/>
              <w:rPr>
                <w:i/>
                <w:color w:val="8DB3E2"/>
                <w:sz w:val="18"/>
                <w:szCs w:val="18"/>
                <w:lang w:val="en-GB" w:eastAsia="en-GB"/>
              </w:rPr>
            </w:pPr>
            <w:r w:rsidRPr="008340BB">
              <w:rPr>
                <w:sz w:val="24"/>
                <w:szCs w:val="24"/>
                <w:lang w:val="en-GB" w:eastAsia="en-GB"/>
              </w:rPr>
              <w:t>Investment priorities will be implemented through the provision of grants.</w:t>
            </w:r>
          </w:p>
        </w:tc>
      </w:tr>
    </w:tbl>
    <w:p w14:paraId="0023706B" w14:textId="77777777" w:rsidR="00F1341F" w:rsidRPr="008340BB" w:rsidRDefault="00F1341F" w:rsidP="00D14C5F">
      <w:pPr>
        <w:suppressAutoHyphens/>
        <w:rPr>
          <w:b/>
        </w:rPr>
      </w:pPr>
    </w:p>
    <w:p w14:paraId="6A9C6B72" w14:textId="77777777" w:rsidR="00F1341F" w:rsidRPr="008340BB" w:rsidRDefault="00F1341F" w:rsidP="00D14C5F">
      <w:pPr>
        <w:suppressAutoHyphens/>
        <w:rPr>
          <w:b/>
        </w:rPr>
        <w:sectPr w:rsidR="00F1341F" w:rsidRPr="008340BB" w:rsidSect="001E1D6F">
          <w:headerReference w:type="default" r:id="rId65"/>
          <w:footerReference w:type="default" r:id="rId66"/>
          <w:headerReference w:type="first" r:id="rId67"/>
          <w:footerReference w:type="first" r:id="rId68"/>
          <w:pgSz w:w="16838" w:h="11906" w:orient="landscape"/>
          <w:pgMar w:top="1418" w:right="1021" w:bottom="1418" w:left="1021" w:header="601" w:footer="1077" w:gutter="0"/>
          <w:cols w:space="708"/>
          <w:docGrid w:linePitch="326"/>
        </w:sectPr>
      </w:pPr>
    </w:p>
    <w:p w14:paraId="0DD2E590" w14:textId="77777777" w:rsidR="00F1341F" w:rsidRPr="008340BB" w:rsidRDefault="00F1341F" w:rsidP="00D14C5F">
      <w:pPr>
        <w:suppressAutoHyphens/>
        <w:ind w:left="1418" w:hanging="1418"/>
        <w:rPr>
          <w:b/>
        </w:rPr>
      </w:pPr>
      <w:r w:rsidRPr="008340BB">
        <w:rPr>
          <w:b/>
        </w:rPr>
        <w:lastRenderedPageBreak/>
        <w:t xml:space="preserve">2.A.3.7 </w:t>
      </w:r>
      <w:r w:rsidRPr="008340BB">
        <w:rPr>
          <w:b/>
        </w:rPr>
        <w:tab/>
        <w:t xml:space="preserve">Categories of intervention </w:t>
      </w:r>
    </w:p>
    <w:p w14:paraId="6EBD6B73" w14:textId="77777777" w:rsidR="00F1341F" w:rsidRPr="008340BB" w:rsidRDefault="00F1341F" w:rsidP="00D14C5F">
      <w:pPr>
        <w:suppressAutoHyphens/>
        <w:ind w:left="1418" w:hanging="1418"/>
      </w:pPr>
      <w:r w:rsidRPr="008340BB">
        <w:t>(Reference: point (b)(vi) of Article 96(2) of Regulation (EU) No 1303/2013)</w:t>
      </w:r>
    </w:p>
    <w:p w14:paraId="73D00612" w14:textId="77777777" w:rsidR="00F1341F" w:rsidRPr="008340BB" w:rsidRDefault="00F1341F" w:rsidP="00D14C5F">
      <w:pPr>
        <w:suppressAutoHyphens/>
        <w:rPr>
          <w:szCs w:val="24"/>
        </w:rPr>
      </w:pPr>
      <w:r w:rsidRPr="008340BB">
        <w:t xml:space="preserve">Categories of intervention corresponding to the content of the priority axis based on a nomenclature adopted by the Commission, and indicative breakdown of </w:t>
      </w:r>
      <w:r w:rsidRPr="008340BB">
        <w:rPr>
          <w:szCs w:val="24"/>
        </w:rPr>
        <w:t>Union support.</w:t>
      </w:r>
    </w:p>
    <w:p w14:paraId="0E85E4F1" w14:textId="77777777" w:rsidR="00F1341F" w:rsidRPr="008340BB" w:rsidRDefault="00F1341F" w:rsidP="00D14C5F">
      <w:pPr>
        <w:suppressAutoHyphens/>
        <w:ind w:left="1418" w:hanging="1418"/>
        <w:rPr>
          <w:b/>
          <w:szCs w:val="24"/>
        </w:rPr>
      </w:pPr>
      <w:r w:rsidRPr="008340BB">
        <w:rPr>
          <w:b/>
          <w:szCs w:val="24"/>
        </w:rPr>
        <w:t xml:space="preserve">Tables 7-11: </w:t>
      </w:r>
      <w:r w:rsidRPr="008340BB">
        <w:rPr>
          <w:b/>
          <w:szCs w:val="24"/>
        </w:rPr>
        <w:tab/>
        <w:t>Categories of intervention</w:t>
      </w:r>
      <w:r w:rsidRPr="008340BB">
        <w:rPr>
          <w:rStyle w:val="FootnoteReference"/>
          <w:b/>
          <w:szCs w:val="24"/>
        </w:rPr>
        <w:footnoteReference w:id="53"/>
      </w:r>
      <w:r w:rsidRPr="008340BB">
        <w:rPr>
          <w:b/>
          <w:szCs w:val="24"/>
        </w:rPr>
        <w:t xml:space="preserve"> </w:t>
      </w:r>
    </w:p>
    <w:p w14:paraId="41ACA387" w14:textId="77777777" w:rsidR="00F1341F" w:rsidRPr="0067246B" w:rsidRDefault="00F1341F" w:rsidP="00D14C5F">
      <w:pPr>
        <w:suppressAutoHyphens/>
        <w:ind w:left="1418" w:hanging="1418"/>
        <w:rPr>
          <w:szCs w:val="24"/>
        </w:rPr>
      </w:pPr>
      <w:r w:rsidRPr="0067246B">
        <w:rPr>
          <w:szCs w:val="24"/>
        </w:rPr>
        <w:t xml:space="preserve">(by Fund and category of region, if the priority axis covers more than 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01F10490" w14:textId="77777777" w:rsidTr="001B395D">
        <w:trPr>
          <w:trHeight w:val="364"/>
        </w:trPr>
        <w:tc>
          <w:tcPr>
            <w:tcW w:w="8472" w:type="dxa"/>
            <w:gridSpan w:val="4"/>
          </w:tcPr>
          <w:p w14:paraId="170A51CE" w14:textId="77777777" w:rsidR="00F1341F" w:rsidRPr="00020ADD" w:rsidRDefault="00F1341F" w:rsidP="001B395D">
            <w:pPr>
              <w:autoSpaceDE w:val="0"/>
              <w:autoSpaceDN w:val="0"/>
              <w:adjustRightInd w:val="0"/>
              <w:spacing w:after="0"/>
              <w:jc w:val="left"/>
              <w:rPr>
                <w:rFonts w:ascii="TimesNewRoman" w:cs="TimesNewRoman"/>
                <w:b/>
                <w:color w:val="000000"/>
                <w:sz w:val="20"/>
              </w:rPr>
            </w:pPr>
            <w:r w:rsidRPr="00020ADD">
              <w:rPr>
                <w:rFonts w:ascii="TimesNewRoman,Bold" w:hAnsi="TimesNewRoman,Bold" w:cs="TimesNewRoman,Bold"/>
                <w:b/>
                <w:bCs/>
                <w:color w:val="000000"/>
                <w:sz w:val="20"/>
              </w:rPr>
              <w:t>Table 7: Dimension 1 – Intervention field</w:t>
            </w:r>
          </w:p>
        </w:tc>
      </w:tr>
      <w:tr w:rsidR="00F1341F" w:rsidRPr="008340BB" w14:paraId="3D26BD5C" w14:textId="77777777" w:rsidTr="001B395D">
        <w:trPr>
          <w:trHeight w:val="364"/>
        </w:trPr>
        <w:tc>
          <w:tcPr>
            <w:tcW w:w="2802" w:type="dxa"/>
            <w:gridSpan w:val="2"/>
          </w:tcPr>
          <w:p w14:paraId="1648A8AF" w14:textId="77777777" w:rsidR="00F1341F" w:rsidRPr="008340BB" w:rsidRDefault="00F1341F" w:rsidP="001B395D">
            <w:pPr>
              <w:autoSpaceDE w:val="0"/>
              <w:autoSpaceDN w:val="0"/>
              <w:adjustRightInd w:val="0"/>
              <w:spacing w:after="0"/>
              <w:jc w:val="left"/>
              <w:rPr>
                <w:bCs/>
                <w:sz w:val="20"/>
              </w:rPr>
            </w:pPr>
            <w:r w:rsidRPr="008340BB">
              <w:rPr>
                <w:b/>
                <w:sz w:val="18"/>
                <w:szCs w:val="18"/>
              </w:rPr>
              <w:t>Priority axis</w:t>
            </w:r>
            <w:r w:rsidRPr="008340BB" w:rsidDel="007129AC">
              <w:rPr>
                <w:bCs/>
                <w:sz w:val="20"/>
              </w:rPr>
              <w:t xml:space="preserve"> </w:t>
            </w:r>
          </w:p>
        </w:tc>
        <w:tc>
          <w:tcPr>
            <w:tcW w:w="5670" w:type="dxa"/>
            <w:gridSpan w:val="2"/>
          </w:tcPr>
          <w:p w14:paraId="7C7C0708" w14:textId="77777777" w:rsidR="00F1341F" w:rsidRPr="008340BB" w:rsidRDefault="00F1341F" w:rsidP="001B395D">
            <w:pPr>
              <w:autoSpaceDE w:val="0"/>
              <w:autoSpaceDN w:val="0"/>
              <w:adjustRightInd w:val="0"/>
              <w:spacing w:after="0"/>
              <w:jc w:val="left"/>
              <w:rPr>
                <w:bCs/>
                <w:sz w:val="20"/>
              </w:rPr>
            </w:pPr>
            <w:r w:rsidRPr="008340BB">
              <w:rPr>
                <w:i/>
                <w:sz w:val="18"/>
                <w:szCs w:val="18"/>
              </w:rPr>
              <w:t>Improvement of intermodal transport services for passengers and freights and development of sustainable urban transport</w:t>
            </w:r>
            <w:r w:rsidRPr="008340BB" w:rsidDel="007129AC">
              <w:rPr>
                <w:i/>
                <w:color w:val="8DB3E2"/>
                <w:sz w:val="18"/>
                <w:szCs w:val="18"/>
              </w:rPr>
              <w:t xml:space="preserve"> </w:t>
            </w:r>
          </w:p>
        </w:tc>
      </w:tr>
      <w:tr w:rsidR="00F1341F" w:rsidRPr="008340BB" w14:paraId="7380BF3A" w14:textId="77777777" w:rsidTr="00E8049C">
        <w:trPr>
          <w:trHeight w:val="267"/>
        </w:trPr>
        <w:tc>
          <w:tcPr>
            <w:tcW w:w="1401" w:type="dxa"/>
          </w:tcPr>
          <w:p w14:paraId="123B4B37" w14:textId="77777777" w:rsidR="00F1341F" w:rsidRPr="008340BB" w:rsidRDefault="00F1341F" w:rsidP="001B395D">
            <w:pPr>
              <w:jc w:val="center"/>
              <w:rPr>
                <w:b/>
                <w:sz w:val="18"/>
                <w:szCs w:val="18"/>
              </w:rPr>
            </w:pPr>
            <w:r w:rsidRPr="008340BB">
              <w:rPr>
                <w:b/>
                <w:sz w:val="18"/>
                <w:szCs w:val="18"/>
              </w:rPr>
              <w:t>Fund</w:t>
            </w:r>
          </w:p>
        </w:tc>
        <w:tc>
          <w:tcPr>
            <w:tcW w:w="1401" w:type="dxa"/>
          </w:tcPr>
          <w:p w14:paraId="07C139D3" w14:textId="77777777" w:rsidR="00F1341F" w:rsidRPr="008340BB" w:rsidRDefault="00F1341F" w:rsidP="001B395D">
            <w:pPr>
              <w:jc w:val="center"/>
              <w:rPr>
                <w:b/>
                <w:sz w:val="18"/>
                <w:szCs w:val="18"/>
              </w:rPr>
            </w:pPr>
            <w:r w:rsidRPr="008340BB">
              <w:rPr>
                <w:b/>
                <w:sz w:val="18"/>
                <w:szCs w:val="18"/>
              </w:rPr>
              <w:t>Category of region</w:t>
            </w:r>
          </w:p>
        </w:tc>
        <w:tc>
          <w:tcPr>
            <w:tcW w:w="2693" w:type="dxa"/>
          </w:tcPr>
          <w:p w14:paraId="1AD41A03" w14:textId="77777777" w:rsidR="00F1341F" w:rsidRPr="008340BB" w:rsidRDefault="00F1341F" w:rsidP="001B395D">
            <w:pPr>
              <w:jc w:val="center"/>
              <w:rPr>
                <w:sz w:val="20"/>
              </w:rPr>
            </w:pPr>
            <w:r w:rsidRPr="008340BB">
              <w:rPr>
                <w:b/>
                <w:sz w:val="18"/>
                <w:szCs w:val="18"/>
              </w:rPr>
              <w:t>Code</w:t>
            </w:r>
          </w:p>
        </w:tc>
        <w:tc>
          <w:tcPr>
            <w:tcW w:w="2977" w:type="dxa"/>
          </w:tcPr>
          <w:p w14:paraId="55F6AE12" w14:textId="77777777" w:rsidR="00F1341F" w:rsidRPr="008340BB" w:rsidRDefault="00F1341F" w:rsidP="001B395D">
            <w:pPr>
              <w:jc w:val="center"/>
              <w:rPr>
                <w:sz w:val="20"/>
              </w:rPr>
            </w:pPr>
            <w:r w:rsidRPr="008340BB">
              <w:rPr>
                <w:b/>
                <w:sz w:val="18"/>
                <w:szCs w:val="18"/>
              </w:rPr>
              <w:t>Amount (EUR)</w:t>
            </w:r>
          </w:p>
        </w:tc>
      </w:tr>
      <w:tr w:rsidR="00F1341F" w:rsidRPr="00586661" w14:paraId="38762ABC" w14:textId="77777777" w:rsidTr="00E8049C">
        <w:tc>
          <w:tcPr>
            <w:tcW w:w="1401" w:type="dxa"/>
          </w:tcPr>
          <w:p w14:paraId="2D351A58" w14:textId="77777777" w:rsidR="00F1341F" w:rsidRPr="00586661" w:rsidRDefault="00F1341F" w:rsidP="001B395D">
            <w:pPr>
              <w:pStyle w:val="Text1"/>
              <w:ind w:left="0"/>
              <w:jc w:val="left"/>
              <w:rPr>
                <w:sz w:val="18"/>
                <w:szCs w:val="18"/>
                <w:lang w:val="en-GB" w:eastAsia="en-GB"/>
              </w:rPr>
            </w:pPr>
            <w:r w:rsidRPr="00586661">
              <w:rPr>
                <w:sz w:val="18"/>
                <w:szCs w:val="18"/>
                <w:lang w:val="en-GB" w:eastAsia="en-GB"/>
              </w:rPr>
              <w:t>ERDF</w:t>
            </w:r>
          </w:p>
        </w:tc>
        <w:tc>
          <w:tcPr>
            <w:tcW w:w="1401" w:type="dxa"/>
          </w:tcPr>
          <w:p w14:paraId="694068A0" w14:textId="77777777" w:rsidR="00F1341F" w:rsidRPr="00586661" w:rsidRDefault="00F1341F" w:rsidP="001B395D">
            <w:pPr>
              <w:pStyle w:val="Text1"/>
              <w:ind w:left="0"/>
              <w:jc w:val="left"/>
              <w:rPr>
                <w:sz w:val="18"/>
                <w:szCs w:val="18"/>
                <w:lang w:val="en-GB" w:eastAsia="en-GB"/>
              </w:rPr>
            </w:pPr>
            <w:r w:rsidRPr="00586661">
              <w:rPr>
                <w:sz w:val="18"/>
                <w:szCs w:val="18"/>
                <w:lang w:val="en-GB" w:eastAsia="en-GB"/>
              </w:rPr>
              <w:t>Less developed region</w:t>
            </w:r>
          </w:p>
        </w:tc>
        <w:tc>
          <w:tcPr>
            <w:tcW w:w="2693" w:type="dxa"/>
          </w:tcPr>
          <w:p w14:paraId="66FAA6FA" w14:textId="77777777" w:rsidR="00F1341F" w:rsidRPr="00586661" w:rsidRDefault="00F1341F" w:rsidP="001B395D">
            <w:pPr>
              <w:pStyle w:val="Text1"/>
              <w:ind w:left="0"/>
              <w:jc w:val="left"/>
              <w:rPr>
                <w:sz w:val="18"/>
                <w:szCs w:val="18"/>
                <w:lang w:val="en-GB" w:eastAsia="en-GB"/>
              </w:rPr>
            </w:pPr>
            <w:r w:rsidRPr="00586661">
              <w:rPr>
                <w:sz w:val="18"/>
                <w:szCs w:val="18"/>
                <w:lang w:val="en-GB" w:eastAsia="en-GB"/>
              </w:rPr>
              <w:t>035 Multimodal transport (TEN-T)</w:t>
            </w:r>
          </w:p>
        </w:tc>
        <w:tc>
          <w:tcPr>
            <w:tcW w:w="2977" w:type="dxa"/>
          </w:tcPr>
          <w:p w14:paraId="076614F1" w14:textId="199BDDEA" w:rsidR="00312F47" w:rsidRPr="00586661" w:rsidRDefault="00312F47" w:rsidP="001B395D">
            <w:pPr>
              <w:pStyle w:val="Text1"/>
              <w:ind w:left="0"/>
              <w:jc w:val="left"/>
              <w:rPr>
                <w:sz w:val="18"/>
                <w:szCs w:val="18"/>
                <w:lang w:val="en-GB" w:eastAsia="en-GB"/>
              </w:rPr>
            </w:pPr>
            <w:r w:rsidRPr="00586661">
              <w:rPr>
                <w:sz w:val="18"/>
                <w:szCs w:val="18"/>
                <w:lang w:val="en-GB" w:eastAsia="en-GB"/>
              </w:rPr>
              <w:t xml:space="preserve">11 245 311.00 </w:t>
            </w:r>
          </w:p>
          <w:p w14:paraId="0B9D2B9C" w14:textId="77777777" w:rsidR="00145B71" w:rsidRPr="00586661" w:rsidRDefault="00145B71" w:rsidP="001B395D">
            <w:pPr>
              <w:pStyle w:val="Text1"/>
              <w:ind w:left="0"/>
              <w:jc w:val="left"/>
              <w:rPr>
                <w:sz w:val="18"/>
                <w:szCs w:val="18"/>
                <w:lang w:val="en-GB" w:eastAsia="en-GB"/>
              </w:rPr>
            </w:pPr>
          </w:p>
          <w:p w14:paraId="38E4B164" w14:textId="0205063E" w:rsidR="00F1341F" w:rsidRPr="00586661" w:rsidRDefault="00F1341F" w:rsidP="001B395D">
            <w:pPr>
              <w:pStyle w:val="Text1"/>
              <w:ind w:left="0"/>
              <w:jc w:val="left"/>
              <w:rPr>
                <w:sz w:val="18"/>
                <w:szCs w:val="18"/>
                <w:lang w:val="en-GB" w:eastAsia="en-GB"/>
              </w:rPr>
            </w:pPr>
          </w:p>
        </w:tc>
      </w:tr>
      <w:tr w:rsidR="00F1341F" w:rsidRPr="00586661" w14:paraId="47235D3C" w14:textId="77777777" w:rsidTr="00E8049C">
        <w:tc>
          <w:tcPr>
            <w:tcW w:w="1401" w:type="dxa"/>
          </w:tcPr>
          <w:p w14:paraId="28524D3C" w14:textId="77777777" w:rsidR="00F1341F" w:rsidRPr="00586661" w:rsidRDefault="00F1341F" w:rsidP="001B395D">
            <w:pPr>
              <w:pStyle w:val="Text1"/>
              <w:ind w:left="0"/>
              <w:jc w:val="left"/>
              <w:rPr>
                <w:sz w:val="18"/>
                <w:szCs w:val="18"/>
                <w:lang w:val="en-GB" w:eastAsia="en-GB"/>
              </w:rPr>
            </w:pPr>
            <w:r w:rsidRPr="00586661">
              <w:rPr>
                <w:sz w:val="18"/>
                <w:szCs w:val="18"/>
                <w:lang w:val="en-GB" w:eastAsia="en-GB"/>
              </w:rPr>
              <w:t>ERDF</w:t>
            </w:r>
          </w:p>
        </w:tc>
        <w:tc>
          <w:tcPr>
            <w:tcW w:w="1401" w:type="dxa"/>
          </w:tcPr>
          <w:p w14:paraId="7869AF97" w14:textId="77777777" w:rsidR="00F1341F" w:rsidRPr="00586661" w:rsidRDefault="00F1341F" w:rsidP="001B395D">
            <w:pPr>
              <w:pStyle w:val="Text1"/>
              <w:ind w:left="0"/>
              <w:jc w:val="left"/>
              <w:rPr>
                <w:sz w:val="18"/>
                <w:szCs w:val="18"/>
                <w:lang w:val="en-GB" w:eastAsia="en-GB"/>
              </w:rPr>
            </w:pPr>
            <w:r w:rsidRPr="00586661">
              <w:rPr>
                <w:sz w:val="18"/>
                <w:szCs w:val="18"/>
                <w:lang w:val="en-GB" w:eastAsia="en-GB"/>
              </w:rPr>
              <w:t>Less developed region</w:t>
            </w:r>
          </w:p>
        </w:tc>
        <w:tc>
          <w:tcPr>
            <w:tcW w:w="2693" w:type="dxa"/>
          </w:tcPr>
          <w:p w14:paraId="098227EC" w14:textId="77777777" w:rsidR="00F1341F" w:rsidRPr="00586661" w:rsidRDefault="00F1341F" w:rsidP="001B395D">
            <w:pPr>
              <w:pStyle w:val="Text1"/>
              <w:ind w:left="0"/>
              <w:jc w:val="left"/>
              <w:rPr>
                <w:sz w:val="18"/>
                <w:szCs w:val="18"/>
                <w:lang w:val="en-GB" w:eastAsia="en-GB"/>
              </w:rPr>
            </w:pPr>
            <w:r w:rsidRPr="00586661">
              <w:rPr>
                <w:sz w:val="18"/>
                <w:szCs w:val="18"/>
                <w:lang w:val="en-GB" w:eastAsia="en-GB"/>
              </w:rPr>
              <w:t xml:space="preserve">043 Clean urban transport infrastructure and promotion (including equipment and rolling stock) </w:t>
            </w:r>
          </w:p>
        </w:tc>
        <w:tc>
          <w:tcPr>
            <w:tcW w:w="2977" w:type="dxa"/>
          </w:tcPr>
          <w:p w14:paraId="037DB07D" w14:textId="77777777" w:rsidR="00647F57" w:rsidRPr="00586661" w:rsidRDefault="00647F57" w:rsidP="00647F57">
            <w:pPr>
              <w:pStyle w:val="Text1"/>
              <w:ind w:left="0"/>
              <w:jc w:val="left"/>
              <w:rPr>
                <w:bCs/>
                <w:sz w:val="18"/>
                <w:szCs w:val="18"/>
              </w:rPr>
            </w:pPr>
            <w:r w:rsidRPr="00586661">
              <w:rPr>
                <w:bCs/>
                <w:sz w:val="18"/>
                <w:szCs w:val="18"/>
              </w:rPr>
              <w:t>345 153 286,00</w:t>
            </w:r>
          </w:p>
          <w:p w14:paraId="551242F1" w14:textId="77777777" w:rsidR="00647F57" w:rsidRPr="00586661" w:rsidRDefault="00647F57" w:rsidP="00FA2152">
            <w:pPr>
              <w:pStyle w:val="Text1"/>
              <w:ind w:left="0"/>
              <w:jc w:val="left"/>
              <w:rPr>
                <w:bCs/>
                <w:sz w:val="18"/>
                <w:szCs w:val="18"/>
              </w:rPr>
            </w:pPr>
          </w:p>
          <w:p w14:paraId="3D1FEA07" w14:textId="219CA161" w:rsidR="00FA2152" w:rsidRPr="00586661" w:rsidRDefault="00FA2152" w:rsidP="00FA2152">
            <w:pPr>
              <w:pStyle w:val="Text1"/>
              <w:ind w:left="0"/>
              <w:jc w:val="left"/>
              <w:rPr>
                <w:bCs/>
                <w:sz w:val="18"/>
                <w:szCs w:val="18"/>
              </w:rPr>
            </w:pPr>
          </w:p>
          <w:p w14:paraId="61424A25" w14:textId="10E7B8F8" w:rsidR="00F1341F" w:rsidRPr="00586661" w:rsidRDefault="00720FE6" w:rsidP="00FA2152">
            <w:pPr>
              <w:pStyle w:val="Text1"/>
              <w:ind w:left="0"/>
              <w:jc w:val="left"/>
              <w:rPr>
                <w:sz w:val="18"/>
                <w:szCs w:val="18"/>
                <w:lang w:val="en-GB" w:eastAsia="en-GB"/>
              </w:rPr>
            </w:pPr>
            <w:r w:rsidRPr="00586661">
              <w:rPr>
                <w:sz w:val="18"/>
                <w:szCs w:val="18"/>
                <w:lang w:val="en-GB" w:eastAsia="en-GB"/>
              </w:rPr>
              <w:t xml:space="preserve"> </w:t>
            </w:r>
          </w:p>
        </w:tc>
      </w:tr>
    </w:tbl>
    <w:p w14:paraId="32BCA0F0" w14:textId="77777777" w:rsidR="00F1341F" w:rsidRPr="00586661" w:rsidRDefault="00F1341F" w:rsidP="00D14C5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586661" w14:paraId="303DAB6B" w14:textId="77777777" w:rsidTr="001B395D">
        <w:trPr>
          <w:trHeight w:val="364"/>
        </w:trPr>
        <w:tc>
          <w:tcPr>
            <w:tcW w:w="8472" w:type="dxa"/>
            <w:gridSpan w:val="4"/>
          </w:tcPr>
          <w:p w14:paraId="0976DE5F" w14:textId="77777777" w:rsidR="00F1341F" w:rsidRPr="00586661" w:rsidRDefault="00F1341F" w:rsidP="001B395D">
            <w:pPr>
              <w:autoSpaceDE w:val="0"/>
              <w:autoSpaceDN w:val="0"/>
              <w:adjustRightInd w:val="0"/>
              <w:spacing w:after="0"/>
              <w:jc w:val="left"/>
              <w:rPr>
                <w:rFonts w:ascii="TimesNewRoman" w:cs="TimesNewRoman"/>
                <w:b/>
                <w:color w:val="000000"/>
                <w:sz w:val="20"/>
              </w:rPr>
            </w:pPr>
            <w:r w:rsidRPr="00586661">
              <w:rPr>
                <w:rFonts w:ascii="TimesNewRoman,Bold" w:hAnsi="TimesNewRoman,Bold" w:cs="TimesNewRoman,Bold"/>
                <w:b/>
                <w:bCs/>
                <w:color w:val="000000"/>
                <w:sz w:val="20"/>
              </w:rPr>
              <w:t>Table 8: Dimension 2 – Form of finance</w:t>
            </w:r>
          </w:p>
        </w:tc>
      </w:tr>
      <w:tr w:rsidR="00F1341F" w:rsidRPr="00586661" w14:paraId="0F576B89" w14:textId="77777777" w:rsidTr="001B395D">
        <w:trPr>
          <w:trHeight w:val="364"/>
        </w:trPr>
        <w:tc>
          <w:tcPr>
            <w:tcW w:w="2802" w:type="dxa"/>
            <w:gridSpan w:val="2"/>
          </w:tcPr>
          <w:p w14:paraId="48E5F798" w14:textId="77777777" w:rsidR="00F1341F" w:rsidRPr="00586661" w:rsidRDefault="00F1341F" w:rsidP="001B395D">
            <w:pPr>
              <w:autoSpaceDE w:val="0"/>
              <w:autoSpaceDN w:val="0"/>
              <w:adjustRightInd w:val="0"/>
              <w:spacing w:after="0"/>
              <w:jc w:val="left"/>
              <w:rPr>
                <w:bCs/>
                <w:sz w:val="20"/>
              </w:rPr>
            </w:pPr>
            <w:r w:rsidRPr="00586661">
              <w:rPr>
                <w:b/>
                <w:sz w:val="18"/>
                <w:szCs w:val="18"/>
              </w:rPr>
              <w:t>Priority axis</w:t>
            </w:r>
            <w:r w:rsidRPr="00586661" w:rsidDel="00F97364">
              <w:rPr>
                <w:bCs/>
                <w:sz w:val="20"/>
              </w:rPr>
              <w:t xml:space="preserve"> </w:t>
            </w:r>
          </w:p>
        </w:tc>
        <w:tc>
          <w:tcPr>
            <w:tcW w:w="5670" w:type="dxa"/>
            <w:gridSpan w:val="2"/>
          </w:tcPr>
          <w:p w14:paraId="39586640" w14:textId="77777777" w:rsidR="00F1341F" w:rsidRPr="00586661" w:rsidRDefault="00F1341F" w:rsidP="001B395D">
            <w:pPr>
              <w:autoSpaceDE w:val="0"/>
              <w:autoSpaceDN w:val="0"/>
              <w:adjustRightInd w:val="0"/>
              <w:spacing w:after="0"/>
              <w:jc w:val="left"/>
              <w:rPr>
                <w:bCs/>
                <w:sz w:val="20"/>
              </w:rPr>
            </w:pPr>
            <w:r w:rsidRPr="00586661">
              <w:rPr>
                <w:i/>
                <w:sz w:val="18"/>
                <w:szCs w:val="18"/>
              </w:rPr>
              <w:t>Improvement of intermodal transport services for passengers and freights and development of sustainable urban transport</w:t>
            </w:r>
            <w:r w:rsidRPr="00586661" w:rsidDel="00F97364">
              <w:rPr>
                <w:i/>
                <w:color w:val="8DB3E2"/>
                <w:sz w:val="18"/>
                <w:szCs w:val="18"/>
              </w:rPr>
              <w:t xml:space="preserve"> </w:t>
            </w:r>
          </w:p>
        </w:tc>
      </w:tr>
      <w:tr w:rsidR="00F1341F" w:rsidRPr="00586661" w14:paraId="3B114ADE" w14:textId="77777777" w:rsidTr="00E8049C">
        <w:trPr>
          <w:trHeight w:val="267"/>
        </w:trPr>
        <w:tc>
          <w:tcPr>
            <w:tcW w:w="1401" w:type="dxa"/>
          </w:tcPr>
          <w:p w14:paraId="27C528C8" w14:textId="77777777" w:rsidR="00F1341F" w:rsidRPr="00586661" w:rsidRDefault="00F1341F" w:rsidP="001B395D">
            <w:pPr>
              <w:jc w:val="center"/>
              <w:rPr>
                <w:b/>
                <w:sz w:val="18"/>
                <w:szCs w:val="18"/>
              </w:rPr>
            </w:pPr>
            <w:r w:rsidRPr="00586661">
              <w:rPr>
                <w:b/>
                <w:sz w:val="18"/>
                <w:szCs w:val="18"/>
              </w:rPr>
              <w:t>Fund</w:t>
            </w:r>
          </w:p>
        </w:tc>
        <w:tc>
          <w:tcPr>
            <w:tcW w:w="1401" w:type="dxa"/>
          </w:tcPr>
          <w:p w14:paraId="51BA5B78" w14:textId="77777777" w:rsidR="00F1341F" w:rsidRPr="00586661" w:rsidRDefault="00F1341F" w:rsidP="001B395D">
            <w:pPr>
              <w:jc w:val="center"/>
              <w:rPr>
                <w:b/>
                <w:sz w:val="18"/>
                <w:szCs w:val="18"/>
              </w:rPr>
            </w:pPr>
            <w:r w:rsidRPr="00586661">
              <w:rPr>
                <w:b/>
                <w:sz w:val="18"/>
                <w:szCs w:val="18"/>
              </w:rPr>
              <w:t>Category of region</w:t>
            </w:r>
          </w:p>
        </w:tc>
        <w:tc>
          <w:tcPr>
            <w:tcW w:w="2693" w:type="dxa"/>
          </w:tcPr>
          <w:p w14:paraId="7553EA20" w14:textId="77777777" w:rsidR="00F1341F" w:rsidRPr="00586661" w:rsidRDefault="00F1341F" w:rsidP="001B395D">
            <w:pPr>
              <w:jc w:val="center"/>
              <w:rPr>
                <w:sz w:val="20"/>
              </w:rPr>
            </w:pPr>
            <w:r w:rsidRPr="00586661">
              <w:rPr>
                <w:b/>
                <w:sz w:val="18"/>
                <w:szCs w:val="18"/>
              </w:rPr>
              <w:t>Code</w:t>
            </w:r>
          </w:p>
        </w:tc>
        <w:tc>
          <w:tcPr>
            <w:tcW w:w="2977" w:type="dxa"/>
          </w:tcPr>
          <w:p w14:paraId="2F49BE2B" w14:textId="77777777" w:rsidR="00F1341F" w:rsidRPr="00586661" w:rsidRDefault="00F1341F" w:rsidP="001B395D">
            <w:pPr>
              <w:jc w:val="center"/>
              <w:rPr>
                <w:sz w:val="20"/>
              </w:rPr>
            </w:pPr>
            <w:r w:rsidRPr="00586661">
              <w:rPr>
                <w:b/>
                <w:sz w:val="18"/>
                <w:szCs w:val="18"/>
              </w:rPr>
              <w:t>Amount (EUR)</w:t>
            </w:r>
          </w:p>
        </w:tc>
      </w:tr>
      <w:tr w:rsidR="00F1341F" w:rsidRPr="008340BB" w14:paraId="3544077B" w14:textId="77777777" w:rsidTr="00E8049C">
        <w:tc>
          <w:tcPr>
            <w:tcW w:w="1401" w:type="dxa"/>
          </w:tcPr>
          <w:p w14:paraId="2171F8EC" w14:textId="77777777" w:rsidR="00F1341F" w:rsidRPr="00586661" w:rsidRDefault="00F1341F" w:rsidP="001B395D">
            <w:pPr>
              <w:pStyle w:val="Text1"/>
              <w:ind w:left="0"/>
              <w:jc w:val="left"/>
              <w:rPr>
                <w:sz w:val="18"/>
                <w:szCs w:val="18"/>
                <w:lang w:val="en-GB" w:eastAsia="en-GB"/>
              </w:rPr>
            </w:pPr>
            <w:r w:rsidRPr="00586661">
              <w:rPr>
                <w:sz w:val="18"/>
                <w:szCs w:val="18"/>
                <w:lang w:val="en-GB" w:eastAsia="en-GB"/>
              </w:rPr>
              <w:t>ERDF</w:t>
            </w:r>
          </w:p>
        </w:tc>
        <w:tc>
          <w:tcPr>
            <w:tcW w:w="1401" w:type="dxa"/>
          </w:tcPr>
          <w:p w14:paraId="2C673A25" w14:textId="77777777" w:rsidR="00F1341F" w:rsidRPr="00586661" w:rsidRDefault="00F1341F" w:rsidP="001B395D">
            <w:pPr>
              <w:pStyle w:val="Text1"/>
              <w:ind w:left="0"/>
              <w:jc w:val="left"/>
              <w:rPr>
                <w:sz w:val="18"/>
                <w:szCs w:val="18"/>
                <w:lang w:val="en-GB" w:eastAsia="en-GB"/>
              </w:rPr>
            </w:pPr>
            <w:r w:rsidRPr="00586661">
              <w:rPr>
                <w:sz w:val="18"/>
                <w:szCs w:val="18"/>
                <w:lang w:val="en-GB" w:eastAsia="en-GB"/>
              </w:rPr>
              <w:t>Less developed region</w:t>
            </w:r>
          </w:p>
        </w:tc>
        <w:tc>
          <w:tcPr>
            <w:tcW w:w="2693" w:type="dxa"/>
          </w:tcPr>
          <w:p w14:paraId="0F2E7111" w14:textId="77777777" w:rsidR="00F1341F" w:rsidRPr="00586661" w:rsidRDefault="00F1341F" w:rsidP="001B395D">
            <w:pPr>
              <w:pStyle w:val="Text1"/>
              <w:ind w:left="0"/>
              <w:jc w:val="left"/>
              <w:rPr>
                <w:sz w:val="18"/>
                <w:szCs w:val="18"/>
                <w:lang w:val="en-GB" w:eastAsia="en-GB"/>
              </w:rPr>
            </w:pPr>
            <w:r w:rsidRPr="00586661">
              <w:rPr>
                <w:sz w:val="18"/>
                <w:szCs w:val="18"/>
                <w:lang w:val="en-GB" w:eastAsia="en-GB"/>
              </w:rPr>
              <w:t xml:space="preserve">01 Non-repayable grant </w:t>
            </w:r>
          </w:p>
        </w:tc>
        <w:tc>
          <w:tcPr>
            <w:tcW w:w="2977" w:type="dxa"/>
          </w:tcPr>
          <w:p w14:paraId="2A20C5F8" w14:textId="01CD06A4" w:rsidR="00970D0A" w:rsidRDefault="00970D0A" w:rsidP="00970D0A">
            <w:pPr>
              <w:pStyle w:val="Text1"/>
              <w:ind w:left="0"/>
              <w:jc w:val="left"/>
              <w:rPr>
                <w:bCs/>
                <w:sz w:val="18"/>
                <w:szCs w:val="18"/>
              </w:rPr>
            </w:pPr>
            <w:r w:rsidRPr="00586661">
              <w:rPr>
                <w:bCs/>
                <w:sz w:val="18"/>
                <w:szCs w:val="18"/>
              </w:rPr>
              <w:t>35</w:t>
            </w:r>
            <w:r w:rsidRPr="00586661">
              <w:rPr>
                <w:bCs/>
                <w:sz w:val="18"/>
                <w:szCs w:val="18"/>
                <w:lang w:val="en-US"/>
              </w:rPr>
              <w:t>6</w:t>
            </w:r>
            <w:r w:rsidRPr="00586661">
              <w:rPr>
                <w:bCs/>
                <w:sz w:val="18"/>
                <w:szCs w:val="18"/>
              </w:rPr>
              <w:t xml:space="preserve"> 398 597,00</w:t>
            </w:r>
          </w:p>
          <w:p w14:paraId="31847C19" w14:textId="77777777" w:rsidR="00970D0A" w:rsidRPr="00970D0A" w:rsidRDefault="00970D0A" w:rsidP="00970D0A">
            <w:pPr>
              <w:pStyle w:val="Text1"/>
              <w:ind w:left="0"/>
              <w:jc w:val="left"/>
              <w:rPr>
                <w:bCs/>
                <w:sz w:val="18"/>
                <w:szCs w:val="18"/>
              </w:rPr>
            </w:pPr>
          </w:p>
          <w:p w14:paraId="1AF3252E" w14:textId="24AFB473" w:rsidR="001F2C8A" w:rsidRPr="001F2C8A" w:rsidRDefault="001F2C8A" w:rsidP="001F2C8A">
            <w:pPr>
              <w:pStyle w:val="Text1"/>
              <w:ind w:left="0"/>
              <w:jc w:val="left"/>
              <w:rPr>
                <w:bCs/>
                <w:sz w:val="18"/>
                <w:szCs w:val="18"/>
              </w:rPr>
            </w:pPr>
          </w:p>
          <w:p w14:paraId="03B44191" w14:textId="03AA55A8" w:rsidR="00F1341F" w:rsidRPr="008340BB" w:rsidRDefault="00720FE6" w:rsidP="00B70B66">
            <w:pPr>
              <w:pStyle w:val="Text1"/>
              <w:ind w:left="0"/>
              <w:jc w:val="left"/>
              <w:rPr>
                <w:sz w:val="18"/>
                <w:szCs w:val="18"/>
                <w:lang w:val="en-GB" w:eastAsia="en-GB"/>
              </w:rPr>
            </w:pPr>
            <w:r>
              <w:rPr>
                <w:sz w:val="18"/>
                <w:szCs w:val="18"/>
                <w:lang w:val="en-GB" w:eastAsia="en-GB"/>
              </w:rPr>
              <w:t xml:space="preserve"> </w:t>
            </w:r>
          </w:p>
        </w:tc>
      </w:tr>
    </w:tbl>
    <w:p w14:paraId="0DDFCF2E" w14:textId="77777777" w:rsidR="00F1341F" w:rsidRPr="008340BB" w:rsidRDefault="00F1341F" w:rsidP="00D14C5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6CC1916D" w14:textId="77777777" w:rsidTr="001B395D">
        <w:trPr>
          <w:trHeight w:val="364"/>
        </w:trPr>
        <w:tc>
          <w:tcPr>
            <w:tcW w:w="8472" w:type="dxa"/>
            <w:gridSpan w:val="4"/>
          </w:tcPr>
          <w:p w14:paraId="5E1BD4DA" w14:textId="77777777" w:rsidR="00F1341F" w:rsidRPr="008340BB" w:rsidRDefault="00F1341F" w:rsidP="001B395D">
            <w:pPr>
              <w:autoSpaceDE w:val="0"/>
              <w:autoSpaceDN w:val="0"/>
              <w:adjustRightInd w:val="0"/>
              <w:spacing w:after="0"/>
              <w:jc w:val="left"/>
              <w:rPr>
                <w:rFonts w:ascii="TimesNewRoman" w:cs="TimesNewRoman"/>
                <w:b/>
                <w:color w:val="000000"/>
                <w:sz w:val="20"/>
              </w:rPr>
            </w:pPr>
            <w:r w:rsidRPr="008340BB">
              <w:rPr>
                <w:rFonts w:ascii="TimesNewRoman,Bold" w:hAnsi="TimesNewRoman,Bold" w:cs="TimesNewRoman,Bold"/>
                <w:b/>
                <w:bCs/>
                <w:color w:val="000000"/>
                <w:sz w:val="20"/>
              </w:rPr>
              <w:t>Table 9: Dimension 3 – Territory type</w:t>
            </w:r>
          </w:p>
        </w:tc>
      </w:tr>
      <w:tr w:rsidR="00F1341F" w:rsidRPr="008340BB" w14:paraId="78D7C739" w14:textId="77777777" w:rsidTr="001B395D">
        <w:trPr>
          <w:trHeight w:val="364"/>
        </w:trPr>
        <w:tc>
          <w:tcPr>
            <w:tcW w:w="2802" w:type="dxa"/>
            <w:gridSpan w:val="2"/>
          </w:tcPr>
          <w:p w14:paraId="58F4E175" w14:textId="77777777" w:rsidR="00F1341F" w:rsidRPr="008340BB" w:rsidRDefault="00F1341F" w:rsidP="001B395D">
            <w:pPr>
              <w:autoSpaceDE w:val="0"/>
              <w:autoSpaceDN w:val="0"/>
              <w:adjustRightInd w:val="0"/>
              <w:spacing w:after="0"/>
              <w:jc w:val="left"/>
              <w:rPr>
                <w:bCs/>
                <w:sz w:val="20"/>
              </w:rPr>
            </w:pPr>
            <w:r w:rsidRPr="008340BB">
              <w:rPr>
                <w:b/>
                <w:sz w:val="18"/>
                <w:szCs w:val="18"/>
              </w:rPr>
              <w:t>Priority axis</w:t>
            </w:r>
            <w:r w:rsidRPr="008340BB" w:rsidDel="00F97364">
              <w:rPr>
                <w:bCs/>
                <w:sz w:val="20"/>
              </w:rPr>
              <w:t xml:space="preserve"> </w:t>
            </w:r>
          </w:p>
        </w:tc>
        <w:tc>
          <w:tcPr>
            <w:tcW w:w="5670" w:type="dxa"/>
            <w:gridSpan w:val="2"/>
          </w:tcPr>
          <w:p w14:paraId="457A1DD8" w14:textId="77777777" w:rsidR="00F1341F" w:rsidRPr="008340BB" w:rsidRDefault="00F1341F" w:rsidP="001B395D">
            <w:pPr>
              <w:autoSpaceDE w:val="0"/>
              <w:autoSpaceDN w:val="0"/>
              <w:adjustRightInd w:val="0"/>
              <w:spacing w:after="0"/>
              <w:jc w:val="left"/>
              <w:rPr>
                <w:bCs/>
                <w:sz w:val="20"/>
              </w:rPr>
            </w:pPr>
            <w:r w:rsidRPr="008340BB">
              <w:rPr>
                <w:i/>
                <w:sz w:val="18"/>
                <w:szCs w:val="18"/>
              </w:rPr>
              <w:t>Improvement of intermodal transport services for passengers and freights and development of sustainable urban transport</w:t>
            </w:r>
            <w:r w:rsidRPr="008340BB" w:rsidDel="00F97364">
              <w:rPr>
                <w:i/>
                <w:color w:val="8DB3E2"/>
                <w:sz w:val="18"/>
                <w:szCs w:val="18"/>
              </w:rPr>
              <w:t xml:space="preserve"> </w:t>
            </w:r>
          </w:p>
        </w:tc>
      </w:tr>
      <w:tr w:rsidR="00F1341F" w:rsidRPr="008340BB" w14:paraId="7C9CE4F3" w14:textId="77777777" w:rsidTr="00E8049C">
        <w:trPr>
          <w:trHeight w:val="267"/>
        </w:trPr>
        <w:tc>
          <w:tcPr>
            <w:tcW w:w="1401" w:type="dxa"/>
          </w:tcPr>
          <w:p w14:paraId="0902DB28" w14:textId="77777777" w:rsidR="00F1341F" w:rsidRPr="008340BB" w:rsidRDefault="00F1341F" w:rsidP="001B395D">
            <w:pPr>
              <w:jc w:val="center"/>
              <w:rPr>
                <w:b/>
                <w:sz w:val="18"/>
                <w:szCs w:val="18"/>
              </w:rPr>
            </w:pPr>
            <w:r w:rsidRPr="008340BB">
              <w:rPr>
                <w:b/>
                <w:sz w:val="18"/>
                <w:szCs w:val="18"/>
              </w:rPr>
              <w:t>Fund</w:t>
            </w:r>
          </w:p>
        </w:tc>
        <w:tc>
          <w:tcPr>
            <w:tcW w:w="1401" w:type="dxa"/>
          </w:tcPr>
          <w:p w14:paraId="4D9E5457" w14:textId="77777777" w:rsidR="00F1341F" w:rsidRPr="008340BB" w:rsidRDefault="00F1341F" w:rsidP="001B395D">
            <w:pPr>
              <w:jc w:val="center"/>
              <w:rPr>
                <w:b/>
                <w:sz w:val="18"/>
                <w:szCs w:val="18"/>
              </w:rPr>
            </w:pPr>
            <w:r w:rsidRPr="008340BB">
              <w:rPr>
                <w:b/>
                <w:sz w:val="18"/>
                <w:szCs w:val="18"/>
              </w:rPr>
              <w:t>Category of region</w:t>
            </w:r>
          </w:p>
        </w:tc>
        <w:tc>
          <w:tcPr>
            <w:tcW w:w="2693" w:type="dxa"/>
          </w:tcPr>
          <w:p w14:paraId="4E165A08" w14:textId="77777777" w:rsidR="00F1341F" w:rsidRPr="008340BB" w:rsidRDefault="00F1341F" w:rsidP="001B395D">
            <w:pPr>
              <w:jc w:val="center"/>
              <w:rPr>
                <w:sz w:val="20"/>
              </w:rPr>
            </w:pPr>
            <w:r w:rsidRPr="008340BB">
              <w:rPr>
                <w:b/>
                <w:sz w:val="18"/>
                <w:szCs w:val="18"/>
              </w:rPr>
              <w:t>Code</w:t>
            </w:r>
          </w:p>
        </w:tc>
        <w:tc>
          <w:tcPr>
            <w:tcW w:w="2977" w:type="dxa"/>
          </w:tcPr>
          <w:p w14:paraId="4A88C93C" w14:textId="77777777" w:rsidR="00F1341F" w:rsidRPr="008340BB" w:rsidRDefault="00F1341F" w:rsidP="001B395D">
            <w:pPr>
              <w:jc w:val="center"/>
              <w:rPr>
                <w:sz w:val="20"/>
              </w:rPr>
            </w:pPr>
            <w:r w:rsidRPr="008340BB">
              <w:rPr>
                <w:b/>
                <w:sz w:val="18"/>
                <w:szCs w:val="18"/>
              </w:rPr>
              <w:t>Amount (EUR)</w:t>
            </w:r>
          </w:p>
        </w:tc>
      </w:tr>
      <w:tr w:rsidR="00F1341F" w:rsidRPr="008340BB" w14:paraId="2E093EBA" w14:textId="77777777" w:rsidTr="00E8049C">
        <w:tc>
          <w:tcPr>
            <w:tcW w:w="1401" w:type="dxa"/>
          </w:tcPr>
          <w:p w14:paraId="2A083C88" w14:textId="77777777" w:rsidR="00F1341F" w:rsidRPr="008340BB" w:rsidRDefault="00F1341F" w:rsidP="001B395D">
            <w:pPr>
              <w:pStyle w:val="Text1"/>
              <w:ind w:left="0"/>
              <w:jc w:val="left"/>
              <w:rPr>
                <w:sz w:val="18"/>
                <w:szCs w:val="18"/>
                <w:lang w:val="en-GB" w:eastAsia="en-GB"/>
              </w:rPr>
            </w:pPr>
            <w:r w:rsidRPr="008340BB">
              <w:rPr>
                <w:sz w:val="18"/>
                <w:szCs w:val="18"/>
                <w:lang w:val="en-GB" w:eastAsia="en-GB"/>
              </w:rPr>
              <w:t>ERDF</w:t>
            </w:r>
          </w:p>
        </w:tc>
        <w:tc>
          <w:tcPr>
            <w:tcW w:w="1401" w:type="dxa"/>
          </w:tcPr>
          <w:p w14:paraId="190709CC" w14:textId="77777777" w:rsidR="00F1341F" w:rsidRPr="008340BB" w:rsidRDefault="00F1341F" w:rsidP="001B395D">
            <w:pPr>
              <w:pStyle w:val="Text1"/>
              <w:ind w:left="0"/>
              <w:jc w:val="left"/>
              <w:rPr>
                <w:sz w:val="18"/>
                <w:szCs w:val="18"/>
                <w:lang w:val="en-GB" w:eastAsia="en-GB"/>
              </w:rPr>
            </w:pPr>
            <w:r w:rsidRPr="008340BB">
              <w:rPr>
                <w:sz w:val="18"/>
                <w:szCs w:val="18"/>
                <w:lang w:val="en-GB" w:eastAsia="en-GB"/>
              </w:rPr>
              <w:t>Less developed region</w:t>
            </w:r>
          </w:p>
        </w:tc>
        <w:tc>
          <w:tcPr>
            <w:tcW w:w="2693" w:type="dxa"/>
          </w:tcPr>
          <w:p w14:paraId="3E0F8929" w14:textId="77777777" w:rsidR="00F1341F" w:rsidRPr="008340BB" w:rsidRDefault="00F1341F" w:rsidP="001B395D">
            <w:pPr>
              <w:pStyle w:val="Text1"/>
              <w:ind w:left="0"/>
              <w:jc w:val="left"/>
              <w:rPr>
                <w:sz w:val="18"/>
                <w:szCs w:val="18"/>
                <w:lang w:val="en-GB" w:eastAsia="en-GB"/>
              </w:rPr>
            </w:pPr>
            <w:r w:rsidRPr="008340BB">
              <w:rPr>
                <w:sz w:val="18"/>
                <w:szCs w:val="18"/>
                <w:lang w:val="en-GB" w:eastAsia="en-GB"/>
              </w:rPr>
              <w:t xml:space="preserve">07 Not applicable </w:t>
            </w:r>
          </w:p>
        </w:tc>
        <w:tc>
          <w:tcPr>
            <w:tcW w:w="2977" w:type="dxa"/>
          </w:tcPr>
          <w:p w14:paraId="2DC7DAB0" w14:textId="75A76AE1" w:rsidR="007A66E0" w:rsidRDefault="007A66E0" w:rsidP="007A66E0">
            <w:pPr>
              <w:pStyle w:val="Text1"/>
              <w:ind w:left="0"/>
              <w:jc w:val="left"/>
              <w:rPr>
                <w:bCs/>
                <w:sz w:val="18"/>
                <w:szCs w:val="18"/>
              </w:rPr>
            </w:pPr>
            <w:r w:rsidRPr="00586661">
              <w:rPr>
                <w:bCs/>
                <w:sz w:val="18"/>
                <w:szCs w:val="18"/>
              </w:rPr>
              <w:t>35</w:t>
            </w:r>
            <w:r w:rsidRPr="00586661">
              <w:rPr>
                <w:bCs/>
                <w:sz w:val="18"/>
                <w:szCs w:val="18"/>
                <w:lang w:val="en-US"/>
              </w:rPr>
              <w:t>6</w:t>
            </w:r>
            <w:r w:rsidRPr="00586661">
              <w:rPr>
                <w:bCs/>
                <w:sz w:val="18"/>
                <w:szCs w:val="18"/>
              </w:rPr>
              <w:t xml:space="preserve"> 398 597,00</w:t>
            </w:r>
          </w:p>
          <w:p w14:paraId="32BC3D2A" w14:textId="77777777" w:rsidR="007A66E0" w:rsidRPr="007A66E0" w:rsidRDefault="007A66E0" w:rsidP="007A66E0">
            <w:pPr>
              <w:pStyle w:val="Text1"/>
              <w:ind w:left="0"/>
              <w:jc w:val="left"/>
              <w:rPr>
                <w:bCs/>
                <w:sz w:val="18"/>
                <w:szCs w:val="18"/>
              </w:rPr>
            </w:pPr>
          </w:p>
          <w:p w14:paraId="44169DF8" w14:textId="38A4B226" w:rsidR="001F2C8A" w:rsidRPr="001F2C8A" w:rsidRDefault="001F2C8A" w:rsidP="001F2C8A">
            <w:pPr>
              <w:pStyle w:val="Text1"/>
              <w:ind w:left="0"/>
              <w:jc w:val="left"/>
              <w:rPr>
                <w:bCs/>
                <w:sz w:val="18"/>
                <w:szCs w:val="18"/>
              </w:rPr>
            </w:pPr>
          </w:p>
          <w:p w14:paraId="750DD09E" w14:textId="0DA8AA5D" w:rsidR="00F1341F" w:rsidRPr="008340BB" w:rsidRDefault="00F1341F" w:rsidP="00B70B66">
            <w:pPr>
              <w:pStyle w:val="Text1"/>
              <w:ind w:left="0"/>
              <w:jc w:val="left"/>
              <w:rPr>
                <w:sz w:val="18"/>
                <w:szCs w:val="18"/>
                <w:lang w:val="en-GB" w:eastAsia="en-GB"/>
              </w:rPr>
            </w:pPr>
          </w:p>
        </w:tc>
      </w:tr>
    </w:tbl>
    <w:p w14:paraId="33B82CD4" w14:textId="77777777" w:rsidR="00F1341F" w:rsidRPr="008340BB" w:rsidRDefault="00F1341F" w:rsidP="00D14C5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006F466F" w14:textId="77777777" w:rsidTr="001B395D">
        <w:trPr>
          <w:trHeight w:val="364"/>
        </w:trPr>
        <w:tc>
          <w:tcPr>
            <w:tcW w:w="8472" w:type="dxa"/>
            <w:gridSpan w:val="4"/>
          </w:tcPr>
          <w:p w14:paraId="3B9C90E4" w14:textId="77777777" w:rsidR="00F1341F" w:rsidRPr="008340BB" w:rsidRDefault="00F1341F" w:rsidP="001B395D">
            <w:pPr>
              <w:autoSpaceDE w:val="0"/>
              <w:autoSpaceDN w:val="0"/>
              <w:adjustRightInd w:val="0"/>
              <w:spacing w:after="0"/>
              <w:jc w:val="left"/>
              <w:rPr>
                <w:rFonts w:ascii="TimesNewRoman" w:cs="TimesNewRoman"/>
                <w:b/>
                <w:color w:val="000000"/>
                <w:sz w:val="20"/>
              </w:rPr>
            </w:pPr>
            <w:r w:rsidRPr="008340BB">
              <w:rPr>
                <w:rFonts w:ascii="TimesNewRoman,Bold" w:hAnsi="TimesNewRoman,Bold" w:cs="TimesNewRoman,Bold"/>
                <w:b/>
                <w:bCs/>
                <w:color w:val="000000"/>
                <w:sz w:val="20"/>
              </w:rPr>
              <w:t>Table 10: Dimension 4 – Territorial delivery mechanisms</w:t>
            </w:r>
          </w:p>
        </w:tc>
      </w:tr>
      <w:tr w:rsidR="00F1341F" w:rsidRPr="008340BB" w14:paraId="2CCCFFE1" w14:textId="77777777" w:rsidTr="001B395D">
        <w:trPr>
          <w:trHeight w:val="364"/>
        </w:trPr>
        <w:tc>
          <w:tcPr>
            <w:tcW w:w="2802" w:type="dxa"/>
            <w:gridSpan w:val="2"/>
          </w:tcPr>
          <w:p w14:paraId="47EDCE5D" w14:textId="77777777" w:rsidR="00F1341F" w:rsidRPr="008340BB" w:rsidRDefault="00F1341F" w:rsidP="001B395D">
            <w:pPr>
              <w:autoSpaceDE w:val="0"/>
              <w:autoSpaceDN w:val="0"/>
              <w:adjustRightInd w:val="0"/>
              <w:spacing w:after="0"/>
              <w:jc w:val="left"/>
              <w:rPr>
                <w:bCs/>
                <w:sz w:val="20"/>
              </w:rPr>
            </w:pPr>
            <w:r w:rsidRPr="008340BB">
              <w:rPr>
                <w:b/>
                <w:sz w:val="18"/>
                <w:szCs w:val="18"/>
              </w:rPr>
              <w:t>Priority axis</w:t>
            </w:r>
            <w:r w:rsidRPr="008340BB" w:rsidDel="00F97364">
              <w:rPr>
                <w:bCs/>
                <w:sz w:val="20"/>
              </w:rPr>
              <w:t xml:space="preserve"> </w:t>
            </w:r>
          </w:p>
        </w:tc>
        <w:tc>
          <w:tcPr>
            <w:tcW w:w="5670" w:type="dxa"/>
            <w:gridSpan w:val="2"/>
          </w:tcPr>
          <w:p w14:paraId="0912AEEA" w14:textId="77777777" w:rsidR="00F1341F" w:rsidRPr="008340BB" w:rsidRDefault="00F1341F" w:rsidP="001B395D">
            <w:pPr>
              <w:autoSpaceDE w:val="0"/>
              <w:autoSpaceDN w:val="0"/>
              <w:adjustRightInd w:val="0"/>
              <w:spacing w:after="0"/>
              <w:jc w:val="left"/>
              <w:rPr>
                <w:bCs/>
                <w:sz w:val="20"/>
              </w:rPr>
            </w:pPr>
            <w:r w:rsidRPr="008340BB">
              <w:rPr>
                <w:i/>
                <w:sz w:val="18"/>
                <w:szCs w:val="18"/>
              </w:rPr>
              <w:t>Improvement of intermodal transport services for passengers and freights and development of sustainable urban transport</w:t>
            </w:r>
            <w:r w:rsidRPr="008340BB" w:rsidDel="00F97364">
              <w:rPr>
                <w:i/>
                <w:color w:val="8DB3E2"/>
                <w:sz w:val="18"/>
                <w:szCs w:val="18"/>
              </w:rPr>
              <w:t xml:space="preserve"> </w:t>
            </w:r>
          </w:p>
        </w:tc>
      </w:tr>
      <w:tr w:rsidR="00F1341F" w:rsidRPr="008340BB" w14:paraId="781DBB10" w14:textId="77777777" w:rsidTr="00E8049C">
        <w:trPr>
          <w:trHeight w:val="267"/>
        </w:trPr>
        <w:tc>
          <w:tcPr>
            <w:tcW w:w="1401" w:type="dxa"/>
          </w:tcPr>
          <w:p w14:paraId="4F812F68" w14:textId="77777777" w:rsidR="00F1341F" w:rsidRPr="008340BB" w:rsidRDefault="00F1341F" w:rsidP="001B395D">
            <w:pPr>
              <w:suppressAutoHyphens/>
              <w:rPr>
                <w:i/>
                <w:color w:val="8DB3E2"/>
                <w:sz w:val="18"/>
                <w:szCs w:val="18"/>
              </w:rPr>
            </w:pPr>
            <w:r w:rsidRPr="008340BB">
              <w:rPr>
                <w:b/>
                <w:sz w:val="18"/>
                <w:szCs w:val="18"/>
              </w:rPr>
              <w:t>Fund</w:t>
            </w:r>
          </w:p>
        </w:tc>
        <w:tc>
          <w:tcPr>
            <w:tcW w:w="1401" w:type="dxa"/>
          </w:tcPr>
          <w:p w14:paraId="2A048C5D" w14:textId="77777777" w:rsidR="00F1341F" w:rsidRPr="008340BB" w:rsidRDefault="00F1341F" w:rsidP="001B395D">
            <w:pPr>
              <w:pStyle w:val="Text1"/>
              <w:ind w:left="0"/>
              <w:jc w:val="left"/>
              <w:rPr>
                <w:b/>
                <w:sz w:val="18"/>
                <w:szCs w:val="18"/>
                <w:lang w:val="en-GB" w:eastAsia="en-GB"/>
              </w:rPr>
            </w:pPr>
            <w:r w:rsidRPr="008340BB">
              <w:rPr>
                <w:b/>
                <w:sz w:val="18"/>
                <w:szCs w:val="18"/>
                <w:lang w:val="en-GB" w:eastAsia="en-GB"/>
              </w:rPr>
              <w:t>Category of region</w:t>
            </w:r>
          </w:p>
        </w:tc>
        <w:tc>
          <w:tcPr>
            <w:tcW w:w="2693" w:type="dxa"/>
          </w:tcPr>
          <w:p w14:paraId="0B898EA0" w14:textId="77777777" w:rsidR="00F1341F" w:rsidRPr="008340BB" w:rsidRDefault="00F1341F" w:rsidP="001B395D">
            <w:pPr>
              <w:jc w:val="center"/>
              <w:rPr>
                <w:sz w:val="20"/>
              </w:rPr>
            </w:pPr>
            <w:r w:rsidRPr="008340BB">
              <w:rPr>
                <w:b/>
                <w:sz w:val="18"/>
                <w:szCs w:val="18"/>
              </w:rPr>
              <w:t>Code</w:t>
            </w:r>
          </w:p>
        </w:tc>
        <w:tc>
          <w:tcPr>
            <w:tcW w:w="2977" w:type="dxa"/>
          </w:tcPr>
          <w:p w14:paraId="37314480" w14:textId="77777777" w:rsidR="00F1341F" w:rsidRPr="008340BB" w:rsidRDefault="00F1341F" w:rsidP="001B395D">
            <w:pPr>
              <w:jc w:val="center"/>
              <w:rPr>
                <w:sz w:val="20"/>
              </w:rPr>
            </w:pPr>
            <w:r w:rsidRPr="008340BB">
              <w:rPr>
                <w:b/>
                <w:sz w:val="18"/>
                <w:szCs w:val="18"/>
              </w:rPr>
              <w:t>Amount (EUR)</w:t>
            </w:r>
          </w:p>
        </w:tc>
      </w:tr>
      <w:tr w:rsidR="00F1341F" w:rsidRPr="008340BB" w14:paraId="35D71458" w14:textId="77777777" w:rsidTr="00E8049C">
        <w:tc>
          <w:tcPr>
            <w:tcW w:w="1401" w:type="dxa"/>
          </w:tcPr>
          <w:p w14:paraId="279E497A" w14:textId="77777777" w:rsidR="00F1341F" w:rsidRPr="008340BB" w:rsidRDefault="00F1341F" w:rsidP="001B395D">
            <w:pPr>
              <w:pStyle w:val="Text1"/>
              <w:ind w:left="0"/>
              <w:jc w:val="left"/>
              <w:rPr>
                <w:sz w:val="18"/>
                <w:szCs w:val="18"/>
                <w:lang w:val="en-GB" w:eastAsia="en-GB"/>
              </w:rPr>
            </w:pPr>
            <w:r w:rsidRPr="008340BB">
              <w:rPr>
                <w:sz w:val="18"/>
                <w:szCs w:val="18"/>
                <w:lang w:val="en-GB" w:eastAsia="en-GB"/>
              </w:rPr>
              <w:t>ERDF</w:t>
            </w:r>
          </w:p>
        </w:tc>
        <w:tc>
          <w:tcPr>
            <w:tcW w:w="1401" w:type="dxa"/>
          </w:tcPr>
          <w:p w14:paraId="7E75A01D" w14:textId="77777777" w:rsidR="00F1341F" w:rsidRPr="008340BB" w:rsidRDefault="00F1341F" w:rsidP="001B395D">
            <w:pPr>
              <w:pStyle w:val="Text1"/>
              <w:ind w:left="0"/>
              <w:jc w:val="left"/>
              <w:rPr>
                <w:sz w:val="18"/>
                <w:szCs w:val="18"/>
                <w:lang w:val="en-GB" w:eastAsia="en-GB"/>
              </w:rPr>
            </w:pPr>
            <w:r w:rsidRPr="008340BB">
              <w:rPr>
                <w:sz w:val="18"/>
                <w:szCs w:val="18"/>
                <w:lang w:val="en-GB" w:eastAsia="en-GB"/>
              </w:rPr>
              <w:t>Less developed region</w:t>
            </w:r>
          </w:p>
        </w:tc>
        <w:tc>
          <w:tcPr>
            <w:tcW w:w="2693" w:type="dxa"/>
          </w:tcPr>
          <w:p w14:paraId="018C6DBA" w14:textId="77777777" w:rsidR="00F1341F" w:rsidRPr="008340BB" w:rsidRDefault="00F1341F" w:rsidP="001B395D">
            <w:pPr>
              <w:pStyle w:val="Text1"/>
              <w:ind w:left="0"/>
              <w:jc w:val="left"/>
              <w:rPr>
                <w:sz w:val="18"/>
                <w:szCs w:val="18"/>
                <w:lang w:val="en-GB" w:eastAsia="en-GB"/>
              </w:rPr>
            </w:pPr>
            <w:r w:rsidRPr="008340BB">
              <w:rPr>
                <w:sz w:val="18"/>
                <w:szCs w:val="18"/>
                <w:lang w:val="en-GB" w:eastAsia="en-GB"/>
              </w:rPr>
              <w:t>07 Not applicable</w:t>
            </w:r>
          </w:p>
        </w:tc>
        <w:tc>
          <w:tcPr>
            <w:tcW w:w="2977" w:type="dxa"/>
          </w:tcPr>
          <w:p w14:paraId="40258106" w14:textId="459B0D2A" w:rsidR="001476E2" w:rsidRDefault="001476E2" w:rsidP="001476E2">
            <w:pPr>
              <w:pStyle w:val="Text1"/>
              <w:ind w:left="0"/>
              <w:rPr>
                <w:bCs/>
                <w:sz w:val="18"/>
                <w:szCs w:val="18"/>
              </w:rPr>
            </w:pPr>
            <w:r w:rsidRPr="00586661">
              <w:rPr>
                <w:bCs/>
                <w:sz w:val="18"/>
                <w:szCs w:val="18"/>
              </w:rPr>
              <w:t>35</w:t>
            </w:r>
            <w:r w:rsidRPr="00586661">
              <w:rPr>
                <w:bCs/>
                <w:sz w:val="18"/>
                <w:szCs w:val="18"/>
                <w:lang w:val="en-US"/>
              </w:rPr>
              <w:t>6</w:t>
            </w:r>
            <w:r w:rsidRPr="00586661">
              <w:rPr>
                <w:bCs/>
                <w:sz w:val="18"/>
                <w:szCs w:val="18"/>
              </w:rPr>
              <w:t xml:space="preserve"> 398 597,00</w:t>
            </w:r>
          </w:p>
          <w:p w14:paraId="6854EFDA" w14:textId="77777777" w:rsidR="001476E2" w:rsidRPr="001476E2" w:rsidRDefault="001476E2" w:rsidP="001476E2">
            <w:pPr>
              <w:pStyle w:val="Text1"/>
              <w:ind w:left="0"/>
              <w:rPr>
                <w:bCs/>
                <w:sz w:val="18"/>
                <w:szCs w:val="18"/>
              </w:rPr>
            </w:pPr>
          </w:p>
          <w:p w14:paraId="649B5DFD" w14:textId="1A9C5993" w:rsidR="00556F90" w:rsidRPr="00556F90" w:rsidRDefault="00556F90" w:rsidP="00556F90">
            <w:pPr>
              <w:pStyle w:val="Text1"/>
              <w:ind w:left="0"/>
              <w:jc w:val="left"/>
              <w:rPr>
                <w:bCs/>
                <w:sz w:val="18"/>
                <w:szCs w:val="18"/>
              </w:rPr>
            </w:pPr>
          </w:p>
          <w:p w14:paraId="035A2F59" w14:textId="7B25212F" w:rsidR="00F1341F" w:rsidRPr="008340BB" w:rsidRDefault="00720FE6" w:rsidP="00B70B66">
            <w:pPr>
              <w:pStyle w:val="Text1"/>
              <w:ind w:left="0"/>
              <w:jc w:val="left"/>
              <w:rPr>
                <w:sz w:val="18"/>
                <w:szCs w:val="18"/>
                <w:lang w:val="en-GB" w:eastAsia="en-GB"/>
              </w:rPr>
            </w:pPr>
            <w:r>
              <w:rPr>
                <w:sz w:val="18"/>
                <w:szCs w:val="18"/>
                <w:lang w:val="en-GB" w:eastAsia="en-GB"/>
              </w:rPr>
              <w:t xml:space="preserve">   </w:t>
            </w:r>
          </w:p>
        </w:tc>
      </w:tr>
    </w:tbl>
    <w:p w14:paraId="17343CFC" w14:textId="77777777" w:rsidR="00F1341F" w:rsidRPr="008340BB" w:rsidRDefault="00F1341F" w:rsidP="00D14C5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08251A4B" w14:textId="77777777" w:rsidTr="001B395D">
        <w:trPr>
          <w:trHeight w:val="364"/>
        </w:trPr>
        <w:tc>
          <w:tcPr>
            <w:tcW w:w="8472" w:type="dxa"/>
            <w:gridSpan w:val="4"/>
          </w:tcPr>
          <w:p w14:paraId="4A144EF0" w14:textId="77777777" w:rsidR="00F1341F" w:rsidRPr="0067246B" w:rsidRDefault="00F1341F" w:rsidP="001B395D">
            <w:pPr>
              <w:autoSpaceDE w:val="0"/>
              <w:autoSpaceDN w:val="0"/>
              <w:adjustRightInd w:val="0"/>
              <w:spacing w:after="0"/>
              <w:jc w:val="left"/>
              <w:rPr>
                <w:rFonts w:ascii="TimesNewRoman" w:cs="TimesNewRoman"/>
                <w:b/>
                <w:color w:val="000000"/>
                <w:sz w:val="20"/>
              </w:rPr>
            </w:pPr>
            <w:r w:rsidRPr="00020ADD">
              <w:rPr>
                <w:rFonts w:ascii="TimesNewRoman,Bold" w:hAnsi="TimesNewRoman,Bold" w:cs="TimesNewRoman,Bold"/>
                <w:b/>
                <w:bCs/>
                <w:color w:val="000000"/>
                <w:sz w:val="20"/>
              </w:rPr>
              <w:t>Table 11: Dimension 6 – ESF secondary theme</w:t>
            </w:r>
            <w:r w:rsidRPr="008340BB">
              <w:rPr>
                <w:rStyle w:val="FootnoteReference"/>
                <w:rFonts w:ascii="TimesNewRoman,Bold" w:hAnsi="TimesNewRoman,Bold"/>
                <w:b/>
                <w:bCs/>
                <w:color w:val="000000"/>
                <w:sz w:val="20"/>
              </w:rPr>
              <w:footnoteReference w:id="54"/>
            </w:r>
            <w:r w:rsidRPr="008340BB">
              <w:rPr>
                <w:rFonts w:ascii="TimesNewRoman" w:eastAsia="Times New Roman" w:cs="TimesNewRoman"/>
                <w:b/>
                <w:color w:val="000000"/>
                <w:sz w:val="20"/>
              </w:rPr>
              <w:t xml:space="preserve"> </w:t>
            </w:r>
            <w:r w:rsidRPr="0067246B">
              <w:rPr>
                <w:rFonts w:ascii="TimesNewRoman,Bold" w:hAnsi="TimesNewRoman,Bold" w:cs="TimesNewRoman,Bold"/>
                <w:b/>
                <w:bCs/>
                <w:color w:val="000000"/>
                <w:sz w:val="20"/>
              </w:rPr>
              <w:t>(ESF only)</w:t>
            </w:r>
          </w:p>
        </w:tc>
      </w:tr>
      <w:tr w:rsidR="00F1341F" w:rsidRPr="008340BB" w14:paraId="537C3444" w14:textId="77777777" w:rsidTr="001B395D">
        <w:trPr>
          <w:trHeight w:val="364"/>
        </w:trPr>
        <w:tc>
          <w:tcPr>
            <w:tcW w:w="2802" w:type="dxa"/>
            <w:gridSpan w:val="2"/>
          </w:tcPr>
          <w:p w14:paraId="126E5F34" w14:textId="77777777" w:rsidR="00F1341F" w:rsidRPr="008340BB" w:rsidRDefault="00F1341F" w:rsidP="001B395D">
            <w:pPr>
              <w:autoSpaceDE w:val="0"/>
              <w:autoSpaceDN w:val="0"/>
              <w:adjustRightInd w:val="0"/>
              <w:spacing w:after="0"/>
              <w:jc w:val="left"/>
              <w:rPr>
                <w:bCs/>
                <w:sz w:val="20"/>
              </w:rPr>
            </w:pPr>
            <w:r w:rsidRPr="008340BB">
              <w:rPr>
                <w:b/>
                <w:sz w:val="18"/>
                <w:szCs w:val="18"/>
              </w:rPr>
              <w:t>Priority axis</w:t>
            </w:r>
            <w:r w:rsidRPr="008340BB" w:rsidDel="00F97364">
              <w:rPr>
                <w:bCs/>
                <w:sz w:val="20"/>
              </w:rPr>
              <w:t xml:space="preserve"> </w:t>
            </w:r>
          </w:p>
        </w:tc>
        <w:tc>
          <w:tcPr>
            <w:tcW w:w="5670" w:type="dxa"/>
            <w:gridSpan w:val="2"/>
          </w:tcPr>
          <w:p w14:paraId="2F470AF5" w14:textId="77777777" w:rsidR="00F1341F" w:rsidRPr="008340BB" w:rsidRDefault="00F1341F" w:rsidP="001B395D">
            <w:pPr>
              <w:autoSpaceDE w:val="0"/>
              <w:autoSpaceDN w:val="0"/>
              <w:adjustRightInd w:val="0"/>
              <w:spacing w:after="0"/>
              <w:jc w:val="left"/>
              <w:rPr>
                <w:bCs/>
                <w:sz w:val="20"/>
              </w:rPr>
            </w:pPr>
            <w:r w:rsidRPr="008340BB">
              <w:rPr>
                <w:i/>
                <w:sz w:val="18"/>
                <w:szCs w:val="18"/>
              </w:rPr>
              <w:t>Improvement of intermodal transport services for passengers and freights and development of sustainable urban transport</w:t>
            </w:r>
            <w:r w:rsidRPr="008340BB" w:rsidDel="00F97364">
              <w:rPr>
                <w:i/>
                <w:color w:val="8DB3E2"/>
                <w:sz w:val="18"/>
                <w:szCs w:val="18"/>
              </w:rPr>
              <w:t xml:space="preserve"> </w:t>
            </w:r>
          </w:p>
        </w:tc>
      </w:tr>
      <w:tr w:rsidR="00F1341F" w:rsidRPr="008340BB" w14:paraId="23149E33" w14:textId="77777777" w:rsidTr="00E8049C">
        <w:trPr>
          <w:trHeight w:val="267"/>
        </w:trPr>
        <w:tc>
          <w:tcPr>
            <w:tcW w:w="1401" w:type="dxa"/>
          </w:tcPr>
          <w:p w14:paraId="5EEDF7AF" w14:textId="77777777" w:rsidR="00F1341F" w:rsidRPr="008340BB" w:rsidRDefault="00F1341F" w:rsidP="001B395D">
            <w:pPr>
              <w:suppressAutoHyphens/>
              <w:rPr>
                <w:i/>
                <w:color w:val="8DB3E2"/>
                <w:sz w:val="18"/>
                <w:szCs w:val="18"/>
              </w:rPr>
            </w:pPr>
            <w:r w:rsidRPr="008340BB">
              <w:rPr>
                <w:b/>
                <w:sz w:val="18"/>
                <w:szCs w:val="18"/>
              </w:rPr>
              <w:t>Fund</w:t>
            </w:r>
          </w:p>
        </w:tc>
        <w:tc>
          <w:tcPr>
            <w:tcW w:w="1401" w:type="dxa"/>
          </w:tcPr>
          <w:p w14:paraId="6A43CC63" w14:textId="77777777" w:rsidR="00F1341F" w:rsidRPr="008340BB" w:rsidRDefault="00F1341F" w:rsidP="001B395D">
            <w:pPr>
              <w:pStyle w:val="Text1"/>
              <w:ind w:left="0"/>
              <w:jc w:val="left"/>
              <w:rPr>
                <w:b/>
                <w:sz w:val="18"/>
                <w:szCs w:val="18"/>
                <w:lang w:val="en-GB" w:eastAsia="en-GB"/>
              </w:rPr>
            </w:pPr>
            <w:r w:rsidRPr="008340BB">
              <w:rPr>
                <w:b/>
                <w:sz w:val="18"/>
                <w:szCs w:val="18"/>
                <w:lang w:val="en-GB" w:eastAsia="en-GB"/>
              </w:rPr>
              <w:t>Category of region</w:t>
            </w:r>
          </w:p>
        </w:tc>
        <w:tc>
          <w:tcPr>
            <w:tcW w:w="2693" w:type="dxa"/>
          </w:tcPr>
          <w:p w14:paraId="4604EDAC" w14:textId="77777777" w:rsidR="00F1341F" w:rsidRPr="008340BB" w:rsidRDefault="00F1341F" w:rsidP="001B395D">
            <w:pPr>
              <w:jc w:val="center"/>
              <w:rPr>
                <w:sz w:val="20"/>
              </w:rPr>
            </w:pPr>
            <w:r w:rsidRPr="008340BB">
              <w:rPr>
                <w:b/>
                <w:sz w:val="18"/>
                <w:szCs w:val="18"/>
              </w:rPr>
              <w:t>Code</w:t>
            </w:r>
          </w:p>
        </w:tc>
        <w:tc>
          <w:tcPr>
            <w:tcW w:w="2977" w:type="dxa"/>
          </w:tcPr>
          <w:p w14:paraId="461EB50D" w14:textId="77777777" w:rsidR="00F1341F" w:rsidRPr="008340BB" w:rsidRDefault="00F1341F" w:rsidP="001B395D">
            <w:pPr>
              <w:jc w:val="center"/>
              <w:rPr>
                <w:sz w:val="20"/>
              </w:rPr>
            </w:pPr>
            <w:r w:rsidRPr="008340BB">
              <w:rPr>
                <w:b/>
                <w:sz w:val="18"/>
                <w:szCs w:val="18"/>
              </w:rPr>
              <w:t>Amount (EUR)</w:t>
            </w:r>
          </w:p>
        </w:tc>
      </w:tr>
      <w:tr w:rsidR="00F1341F" w:rsidRPr="008340BB" w14:paraId="7FE6C88B" w14:textId="77777777" w:rsidTr="00E8049C">
        <w:tc>
          <w:tcPr>
            <w:tcW w:w="1401" w:type="dxa"/>
          </w:tcPr>
          <w:p w14:paraId="6905C246" w14:textId="77777777" w:rsidR="00F1341F" w:rsidRPr="008340BB" w:rsidRDefault="00F1341F" w:rsidP="001B395D">
            <w:pPr>
              <w:pStyle w:val="Text1"/>
              <w:ind w:left="0"/>
              <w:jc w:val="left"/>
              <w:rPr>
                <w:sz w:val="18"/>
                <w:szCs w:val="18"/>
                <w:lang w:val="en-GB" w:eastAsia="en-GB"/>
              </w:rPr>
            </w:pPr>
            <w:r w:rsidRPr="008340BB">
              <w:rPr>
                <w:sz w:val="18"/>
                <w:szCs w:val="18"/>
                <w:lang w:val="en-GB" w:eastAsia="en-GB"/>
              </w:rPr>
              <w:t>Not applicable</w:t>
            </w:r>
          </w:p>
        </w:tc>
        <w:tc>
          <w:tcPr>
            <w:tcW w:w="1401" w:type="dxa"/>
          </w:tcPr>
          <w:p w14:paraId="1CFAD6AA" w14:textId="77777777" w:rsidR="00F1341F" w:rsidRPr="008340BB" w:rsidRDefault="00F1341F" w:rsidP="001B395D">
            <w:pPr>
              <w:pStyle w:val="Text1"/>
              <w:ind w:left="0"/>
              <w:jc w:val="left"/>
              <w:rPr>
                <w:sz w:val="18"/>
                <w:szCs w:val="18"/>
                <w:lang w:val="en-GB" w:eastAsia="en-GB"/>
              </w:rPr>
            </w:pPr>
            <w:r w:rsidRPr="008340BB">
              <w:rPr>
                <w:sz w:val="18"/>
                <w:szCs w:val="18"/>
                <w:lang w:val="en-GB" w:eastAsia="en-GB"/>
              </w:rPr>
              <w:t>Not applicable</w:t>
            </w:r>
          </w:p>
        </w:tc>
        <w:tc>
          <w:tcPr>
            <w:tcW w:w="2693" w:type="dxa"/>
          </w:tcPr>
          <w:p w14:paraId="5E0A0C6D" w14:textId="77777777" w:rsidR="00F1341F" w:rsidRPr="008340BB" w:rsidRDefault="00F1341F" w:rsidP="001B395D">
            <w:pPr>
              <w:pStyle w:val="Text1"/>
              <w:ind w:left="0"/>
              <w:jc w:val="left"/>
              <w:rPr>
                <w:sz w:val="18"/>
                <w:szCs w:val="18"/>
                <w:lang w:val="en-GB" w:eastAsia="en-GB"/>
              </w:rPr>
            </w:pPr>
            <w:r w:rsidRPr="008340BB">
              <w:rPr>
                <w:sz w:val="18"/>
                <w:szCs w:val="18"/>
                <w:lang w:val="en-GB" w:eastAsia="en-GB"/>
              </w:rPr>
              <w:t>Not applicable</w:t>
            </w:r>
          </w:p>
        </w:tc>
        <w:tc>
          <w:tcPr>
            <w:tcW w:w="2977" w:type="dxa"/>
          </w:tcPr>
          <w:p w14:paraId="428B952D" w14:textId="77777777" w:rsidR="00F1341F" w:rsidRPr="008340BB" w:rsidRDefault="00F1341F" w:rsidP="000B2ECC">
            <w:pPr>
              <w:pStyle w:val="Text1"/>
              <w:ind w:left="0"/>
              <w:jc w:val="left"/>
              <w:rPr>
                <w:sz w:val="18"/>
                <w:szCs w:val="18"/>
                <w:lang w:val="en-GB" w:eastAsia="en-GB"/>
              </w:rPr>
            </w:pPr>
            <w:r w:rsidRPr="008340BB">
              <w:rPr>
                <w:sz w:val="18"/>
                <w:szCs w:val="18"/>
                <w:lang w:val="en-GB" w:eastAsia="en-GB"/>
              </w:rPr>
              <w:t>Not applicable</w:t>
            </w:r>
          </w:p>
        </w:tc>
      </w:tr>
    </w:tbl>
    <w:p w14:paraId="53A87D99" w14:textId="77777777" w:rsidR="00F1341F" w:rsidRPr="008340BB" w:rsidRDefault="00F1341F" w:rsidP="00D14C5F"/>
    <w:p w14:paraId="01E72F3A" w14:textId="77777777" w:rsidR="00F1341F" w:rsidRPr="008340BB" w:rsidRDefault="00F1341F" w:rsidP="00D14C5F">
      <w:r w:rsidRPr="008340BB">
        <w:rPr>
          <w:b/>
        </w:rPr>
        <w:t xml:space="preserve">2.A.3.8 </w:t>
      </w:r>
      <w:r w:rsidRPr="008340BB">
        <w:rPr>
          <w:b/>
        </w:rPr>
        <w:tab/>
        <w:t xml:space="preserve">Summary of the planned use of technical assistance  including, where necessary, actions to reinforce the administrative capacity of authorities involved in the management and control of the programmes and beneficiaries </w:t>
      </w:r>
      <w:r w:rsidRPr="008340BB" w:rsidDel="00A44429">
        <w:t xml:space="preserve"> </w:t>
      </w:r>
      <w:r w:rsidRPr="008340BB">
        <w:t>(where appropriate)</w:t>
      </w:r>
    </w:p>
    <w:p w14:paraId="1D0B72FA" w14:textId="77777777" w:rsidR="00F1341F" w:rsidRPr="008340BB" w:rsidRDefault="00F1341F" w:rsidP="00D14C5F">
      <w:r w:rsidRPr="008340BB">
        <w:t>(by priority axis)</w:t>
      </w:r>
    </w:p>
    <w:p w14:paraId="5B46AF6C" w14:textId="77777777" w:rsidR="00F1341F" w:rsidRPr="008340BB" w:rsidRDefault="00F1341F" w:rsidP="00D14C5F">
      <w:r w:rsidRPr="008340BB">
        <w:t>(Reference: point (b)(vii) of Article 96(2) of Regulation (EU) No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7567E6EB" w14:textId="77777777" w:rsidTr="001B395D">
        <w:trPr>
          <w:trHeight w:val="518"/>
        </w:trPr>
        <w:tc>
          <w:tcPr>
            <w:tcW w:w="2235" w:type="dxa"/>
          </w:tcPr>
          <w:p w14:paraId="41C4A178" w14:textId="77777777" w:rsidR="00F1341F" w:rsidRPr="008340BB" w:rsidRDefault="00F1341F" w:rsidP="001B395D">
            <w:pPr>
              <w:rPr>
                <w:i/>
                <w:color w:val="8DB3E2"/>
                <w:sz w:val="18"/>
                <w:szCs w:val="18"/>
              </w:rPr>
            </w:pPr>
            <w:r w:rsidRPr="008340BB">
              <w:rPr>
                <w:i/>
              </w:rPr>
              <w:t>Priority axis</w:t>
            </w:r>
          </w:p>
        </w:tc>
        <w:tc>
          <w:tcPr>
            <w:tcW w:w="6443" w:type="dxa"/>
          </w:tcPr>
          <w:p w14:paraId="2F734D44" w14:textId="77777777" w:rsidR="00F1341F" w:rsidRPr="008340BB" w:rsidRDefault="00F1341F" w:rsidP="001B395D">
            <w:pPr>
              <w:rPr>
                <w:i/>
                <w:color w:val="8DB3E2"/>
                <w:sz w:val="18"/>
                <w:szCs w:val="18"/>
              </w:rPr>
            </w:pPr>
            <w:r w:rsidRPr="008340BB">
              <w:rPr>
                <w:i/>
                <w:szCs w:val="24"/>
              </w:rPr>
              <w:t>3</w:t>
            </w:r>
            <w:r w:rsidRPr="008340BB">
              <w:rPr>
                <w:i/>
                <w:sz w:val="18"/>
                <w:szCs w:val="18"/>
              </w:rPr>
              <w:t xml:space="preserve"> </w:t>
            </w:r>
            <w:r w:rsidRPr="008340BB">
              <w:rPr>
                <w:i/>
                <w:szCs w:val="24"/>
              </w:rPr>
              <w:t>Improvement of intermodal transport services for passengers and freights and development of sustainable urban transport</w:t>
            </w:r>
          </w:p>
        </w:tc>
      </w:tr>
      <w:tr w:rsidR="00F1341F" w:rsidRPr="008340BB" w14:paraId="67AB37DB" w14:textId="77777777" w:rsidTr="001B395D">
        <w:trPr>
          <w:trHeight w:val="1662"/>
        </w:trPr>
        <w:tc>
          <w:tcPr>
            <w:tcW w:w="8678" w:type="dxa"/>
            <w:gridSpan w:val="2"/>
          </w:tcPr>
          <w:p w14:paraId="2E12AE92" w14:textId="77777777" w:rsidR="00F1341F" w:rsidRPr="008340BB" w:rsidRDefault="00F1341F" w:rsidP="004F7FE0">
            <w:pPr>
              <w:autoSpaceDE w:val="0"/>
              <w:autoSpaceDN w:val="0"/>
              <w:adjustRightInd w:val="0"/>
              <w:rPr>
                <w:lang w:eastAsia="bg-BG"/>
              </w:rPr>
            </w:pPr>
            <w:r w:rsidRPr="008340BB">
              <w:rPr>
                <w:lang w:eastAsia="bg-BG"/>
              </w:rPr>
              <w:t>Technical assistance is planned for preparation/completion of preparation of investment projects for development of the intermodal transport on the territory of the country including studies, cost-benefit analysis, environmental impact assessment, design, impact assessment of the programme, etc.</w:t>
            </w:r>
            <w:r w:rsidR="00975992">
              <w:t xml:space="preserve"> Technical assistance is also envisaged to prepare a study on the railway direction North-South </w:t>
            </w:r>
            <w:r w:rsidR="00975992" w:rsidRPr="00975992">
              <w:rPr>
                <w:lang w:eastAsia="bg-BG"/>
              </w:rPr>
              <w:t>development</w:t>
            </w:r>
            <w:r w:rsidR="00975992">
              <w:rPr>
                <w:lang w:eastAsia="bg-BG"/>
              </w:rPr>
              <w:t xml:space="preserve"> identifying the necessary intermodal terminals network</w:t>
            </w:r>
            <w:r w:rsidR="00975992" w:rsidRPr="00975992">
              <w:rPr>
                <w:lang w:eastAsia="bg-BG"/>
              </w:rPr>
              <w:t>.</w:t>
            </w:r>
            <w:r w:rsidR="00975992">
              <w:rPr>
                <w:lang w:eastAsia="bg-BG"/>
              </w:rPr>
              <w:t xml:space="preserve">  </w:t>
            </w:r>
          </w:p>
          <w:p w14:paraId="1DBFF1C8" w14:textId="77777777" w:rsidR="00F1341F" w:rsidRPr="008340BB" w:rsidRDefault="00F1341F" w:rsidP="00C125EF">
            <w:pPr>
              <w:autoSpaceDE w:val="0"/>
              <w:autoSpaceDN w:val="0"/>
              <w:adjustRightInd w:val="0"/>
              <w:rPr>
                <w:i/>
                <w:sz w:val="18"/>
                <w:szCs w:val="18"/>
              </w:rPr>
            </w:pPr>
            <w:r w:rsidRPr="008340BB">
              <w:rPr>
                <w:lang w:eastAsia="bg-BG"/>
              </w:rPr>
              <w:t>Activities, related to ensuring the administrative capacity of Metropolitan EAD and National Railway Infrastructure Company will be funded under the Priority axis 5.</w:t>
            </w:r>
          </w:p>
        </w:tc>
      </w:tr>
    </w:tbl>
    <w:p w14:paraId="2E8AC139" w14:textId="77777777" w:rsidR="00F1341F" w:rsidRPr="008340BB" w:rsidRDefault="00F1341F" w:rsidP="00D14C5F"/>
    <w:p w14:paraId="1C237A6E" w14:textId="77777777" w:rsidR="00F1341F" w:rsidRPr="008340BB" w:rsidRDefault="00F1341F" w:rsidP="00D14C5F">
      <w:r w:rsidRPr="008340BB">
        <w:br w:type="page"/>
      </w:r>
      <w:r w:rsidRPr="008340BB">
        <w:rPr>
          <w:b/>
        </w:rPr>
        <w:lastRenderedPageBreak/>
        <w:t>2.А.4 Priority axis “Innovations in management and services - establishment of modern infrastructure for traffic management and transport safety improvement”</w:t>
      </w:r>
    </w:p>
    <w:p w14:paraId="181C95D2" w14:textId="77777777" w:rsidR="00F1341F" w:rsidRPr="008340BB" w:rsidRDefault="00F1341F" w:rsidP="00D14C5F"/>
    <w:p w14:paraId="1BAC542F" w14:textId="77777777" w:rsidR="00F1341F" w:rsidRPr="008340BB" w:rsidRDefault="00F1341F" w:rsidP="00C37144">
      <w:pPr>
        <w:ind w:left="1418" w:hanging="1418"/>
      </w:pPr>
      <w:r w:rsidRPr="008340BB">
        <w:rPr>
          <w:b/>
        </w:rPr>
        <w:t>2.A.4.1</w:t>
      </w:r>
      <w:r w:rsidRPr="008340BB">
        <w:rPr>
          <w:b/>
        </w:rPr>
        <w:tab/>
        <w:t xml:space="preserve">Justification for the establishment of a priority axis covering more than one category of region, thematic objective or Fund </w:t>
      </w:r>
      <w:r w:rsidRPr="008340BB">
        <w:t xml:space="preserve"> (where applicable)</w:t>
      </w:r>
    </w:p>
    <w:p w14:paraId="3D266012" w14:textId="77777777" w:rsidR="00F1341F" w:rsidRPr="008340BB" w:rsidRDefault="00F1341F" w:rsidP="00C37144">
      <w:pPr>
        <w:ind w:left="1418" w:hanging="1418"/>
      </w:pPr>
      <w:r w:rsidRPr="008340BB">
        <w:t>(Reference: Article 96(1) of Regulation (EU) No 1303/2013)</w:t>
      </w:r>
    </w:p>
    <w:p w14:paraId="044079F2" w14:textId="77777777" w:rsidR="00F1341F" w:rsidRPr="008340BB" w:rsidRDefault="00F1341F" w:rsidP="00C37144">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F1341F" w:rsidRPr="008340BB" w14:paraId="7595203E" w14:textId="77777777" w:rsidTr="001B661C">
        <w:tc>
          <w:tcPr>
            <w:tcW w:w="9286" w:type="dxa"/>
          </w:tcPr>
          <w:p w14:paraId="3892DF81" w14:textId="77777777" w:rsidR="00F1341F" w:rsidRPr="008340BB" w:rsidRDefault="00F1341F" w:rsidP="001B661C">
            <w:pPr>
              <w:pStyle w:val="Text1"/>
              <w:ind w:left="0"/>
              <w:rPr>
                <w:i/>
                <w:color w:val="4F81BD"/>
                <w:sz w:val="20"/>
                <w:lang w:val="en-GB" w:eastAsia="en-GB"/>
              </w:rPr>
            </w:pPr>
            <w:r w:rsidRPr="008340BB">
              <w:rPr>
                <w:sz w:val="24"/>
                <w:szCs w:val="24"/>
                <w:lang w:val="en-GB" w:eastAsia="en-GB"/>
              </w:rPr>
              <w:t xml:space="preserve">Priority axis does not cover more than one category of region, thematic objective or fund. </w:t>
            </w:r>
          </w:p>
        </w:tc>
      </w:tr>
    </w:tbl>
    <w:p w14:paraId="7502D631" w14:textId="77777777" w:rsidR="00F1341F" w:rsidRPr="008340BB" w:rsidRDefault="00F1341F" w:rsidP="00C37144">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4962"/>
      </w:tblGrid>
      <w:tr w:rsidR="00F1341F" w:rsidRPr="008340BB" w14:paraId="7C86936F" w14:textId="77777777" w:rsidTr="001B661C">
        <w:trPr>
          <w:trHeight w:val="491"/>
        </w:trPr>
        <w:tc>
          <w:tcPr>
            <w:tcW w:w="3510" w:type="dxa"/>
          </w:tcPr>
          <w:p w14:paraId="08E016C2" w14:textId="77777777" w:rsidR="00F1341F" w:rsidRPr="008340BB" w:rsidRDefault="00F1341F" w:rsidP="001B661C">
            <w:pPr>
              <w:rPr>
                <w:i/>
              </w:rPr>
            </w:pPr>
            <w:r w:rsidRPr="008340BB">
              <w:t>ID of the priority axis</w:t>
            </w:r>
          </w:p>
        </w:tc>
        <w:tc>
          <w:tcPr>
            <w:tcW w:w="4962" w:type="dxa"/>
          </w:tcPr>
          <w:p w14:paraId="17D5B4D2" w14:textId="77777777" w:rsidR="00F1341F" w:rsidRPr="008340BB" w:rsidRDefault="00F1341F" w:rsidP="001B661C">
            <w:pPr>
              <w:pStyle w:val="Text1"/>
              <w:ind w:left="0"/>
              <w:jc w:val="left"/>
              <w:rPr>
                <w:i/>
                <w:color w:val="8DB3E2"/>
                <w:sz w:val="18"/>
                <w:szCs w:val="18"/>
                <w:lang w:val="en-GB" w:eastAsia="en-GB"/>
              </w:rPr>
            </w:pPr>
            <w:r w:rsidRPr="008340BB">
              <w:rPr>
                <w:i/>
                <w:color w:val="8DB3E2"/>
                <w:sz w:val="18"/>
                <w:szCs w:val="18"/>
                <w:lang w:val="en-GB" w:eastAsia="en-GB"/>
              </w:rPr>
              <w:t xml:space="preserve"> </w:t>
            </w:r>
            <w:r w:rsidRPr="008340BB">
              <w:rPr>
                <w:sz w:val="24"/>
                <w:szCs w:val="24"/>
                <w:lang w:val="en-GB" w:eastAsia="en-GB"/>
              </w:rPr>
              <w:t>4</w:t>
            </w:r>
          </w:p>
        </w:tc>
      </w:tr>
      <w:tr w:rsidR="00F1341F" w:rsidRPr="008340BB" w14:paraId="3549643C" w14:textId="77777777" w:rsidTr="001B661C">
        <w:trPr>
          <w:trHeight w:val="422"/>
        </w:trPr>
        <w:tc>
          <w:tcPr>
            <w:tcW w:w="3510" w:type="dxa"/>
          </w:tcPr>
          <w:p w14:paraId="51D2FD8A" w14:textId="77777777" w:rsidR="00F1341F" w:rsidRPr="008340BB" w:rsidRDefault="00F1341F" w:rsidP="001B661C">
            <w:pPr>
              <w:rPr>
                <w:i/>
              </w:rPr>
            </w:pPr>
            <w:r w:rsidRPr="008340BB">
              <w:t>Title of the priority axis</w:t>
            </w:r>
          </w:p>
        </w:tc>
        <w:tc>
          <w:tcPr>
            <w:tcW w:w="4962" w:type="dxa"/>
          </w:tcPr>
          <w:p w14:paraId="2655667C" w14:textId="77777777" w:rsidR="00F1341F" w:rsidRPr="008340BB" w:rsidRDefault="00F1341F">
            <w:pPr>
              <w:pStyle w:val="Text1"/>
              <w:ind w:left="0"/>
              <w:rPr>
                <w:i/>
                <w:color w:val="8DB3E2"/>
                <w:sz w:val="18"/>
                <w:szCs w:val="18"/>
                <w:lang w:val="en-GB" w:eastAsia="en-GB"/>
              </w:rPr>
            </w:pPr>
            <w:r w:rsidRPr="008340BB">
              <w:rPr>
                <w:sz w:val="24"/>
                <w:lang w:val="en-GB" w:eastAsia="en-GB"/>
              </w:rPr>
              <w:t>Innovations in management and services - establishment of modern infrastructure for traffic management and transport safety improvement</w:t>
            </w:r>
          </w:p>
        </w:tc>
      </w:tr>
    </w:tbl>
    <w:p w14:paraId="5B972CAF" w14:textId="77777777" w:rsidR="00F1341F" w:rsidRPr="008340BB" w:rsidRDefault="00F1341F" w:rsidP="00C37144">
      <w:pPr>
        <w:pStyle w:val="Text3"/>
        <w:ind w:left="0"/>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6"/>
        <w:gridCol w:w="2352"/>
      </w:tblGrid>
      <w:tr w:rsidR="00F1341F" w:rsidRPr="008340BB" w14:paraId="03BDD0A0" w14:textId="77777777" w:rsidTr="001B661C">
        <w:tc>
          <w:tcPr>
            <w:tcW w:w="4986" w:type="dxa"/>
          </w:tcPr>
          <w:p w14:paraId="519A1C13" w14:textId="77777777" w:rsidR="00F1341F" w:rsidRPr="008340BB" w:rsidRDefault="009B1DD8" w:rsidP="001B661C">
            <w:pPr>
              <w:pStyle w:val="Text3"/>
              <w:ind w:left="0"/>
            </w:pPr>
            <w:r w:rsidRPr="00435AC3">
              <w:fldChar w:fldCharType="begin">
                <w:ffData>
                  <w:name w:val="Check1"/>
                  <w:enabled/>
                  <w:calcOnExit w:val="0"/>
                  <w:checkBox>
                    <w:sizeAuto/>
                    <w:default w:val="0"/>
                  </w:checkBox>
                </w:ffData>
              </w:fldChar>
            </w:r>
            <w:r w:rsidR="00F1341F" w:rsidRPr="008340BB">
              <w:instrText xml:space="preserve"> FORMCHECKBOX </w:instrText>
            </w:r>
            <w:r w:rsidR="004956FB">
              <w:fldChar w:fldCharType="separate"/>
            </w:r>
            <w:r w:rsidRPr="00435AC3">
              <w:fldChar w:fldCharType="end"/>
            </w:r>
            <w:r w:rsidR="00F1341F" w:rsidRPr="008340BB">
              <w:t xml:space="preserve">  The entire priority axis will be implemented solely through financial instruments </w:t>
            </w:r>
          </w:p>
        </w:tc>
        <w:tc>
          <w:tcPr>
            <w:tcW w:w="2352" w:type="dxa"/>
          </w:tcPr>
          <w:p w14:paraId="2033F153" w14:textId="77777777" w:rsidR="00F1341F" w:rsidRPr="008340BB" w:rsidRDefault="00F1341F" w:rsidP="001B661C">
            <w:pPr>
              <w:pStyle w:val="Text3"/>
              <w:ind w:left="0"/>
            </w:pPr>
            <w:r w:rsidRPr="008340BB">
              <w:rPr>
                <w:i/>
                <w:sz w:val="18"/>
                <w:szCs w:val="18"/>
              </w:rPr>
              <w:t>N/A</w:t>
            </w:r>
          </w:p>
        </w:tc>
      </w:tr>
      <w:tr w:rsidR="00F1341F" w:rsidRPr="008340BB" w14:paraId="3BDC3D54" w14:textId="77777777" w:rsidTr="001B661C">
        <w:tc>
          <w:tcPr>
            <w:tcW w:w="4986" w:type="dxa"/>
          </w:tcPr>
          <w:p w14:paraId="23F94AF1" w14:textId="77777777" w:rsidR="00F1341F" w:rsidRPr="008340BB" w:rsidRDefault="009B1DD8" w:rsidP="001B661C">
            <w:pPr>
              <w:pStyle w:val="Text3"/>
              <w:ind w:left="0"/>
            </w:pPr>
            <w:r w:rsidRPr="00435AC3">
              <w:fldChar w:fldCharType="begin">
                <w:ffData>
                  <w:name w:val="Check2"/>
                  <w:enabled/>
                  <w:calcOnExit w:val="0"/>
                  <w:checkBox>
                    <w:sizeAuto/>
                    <w:default w:val="0"/>
                  </w:checkBox>
                </w:ffData>
              </w:fldChar>
            </w:r>
            <w:r w:rsidR="00F1341F" w:rsidRPr="008340BB">
              <w:instrText xml:space="preserve"> FORMCHECKBOX </w:instrText>
            </w:r>
            <w:r w:rsidR="004956FB">
              <w:fldChar w:fldCharType="separate"/>
            </w:r>
            <w:r w:rsidRPr="00435AC3">
              <w:fldChar w:fldCharType="end"/>
            </w:r>
            <w:r w:rsidR="00F1341F" w:rsidRPr="008340BB">
              <w:t xml:space="preserve">  The entire priority axis will be implemented solely though financial instruments set up at Union level </w:t>
            </w:r>
          </w:p>
        </w:tc>
        <w:tc>
          <w:tcPr>
            <w:tcW w:w="2352" w:type="dxa"/>
          </w:tcPr>
          <w:p w14:paraId="2DBCB799" w14:textId="77777777" w:rsidR="00F1341F" w:rsidRPr="008340BB" w:rsidRDefault="00F1341F" w:rsidP="001B661C">
            <w:pPr>
              <w:pStyle w:val="Text3"/>
              <w:ind w:left="0"/>
            </w:pPr>
            <w:r w:rsidRPr="008340BB">
              <w:rPr>
                <w:i/>
                <w:sz w:val="18"/>
                <w:szCs w:val="18"/>
              </w:rPr>
              <w:t>N/A</w:t>
            </w:r>
          </w:p>
        </w:tc>
      </w:tr>
      <w:tr w:rsidR="00F1341F" w:rsidRPr="008340BB" w14:paraId="041D99ED" w14:textId="77777777" w:rsidTr="001B661C">
        <w:tc>
          <w:tcPr>
            <w:tcW w:w="4986" w:type="dxa"/>
          </w:tcPr>
          <w:p w14:paraId="0B2983B4" w14:textId="77777777" w:rsidR="00F1341F" w:rsidRPr="008340BB" w:rsidRDefault="009B1DD8" w:rsidP="001B661C">
            <w:pPr>
              <w:pStyle w:val="Text3"/>
              <w:ind w:left="0"/>
            </w:pPr>
            <w:r w:rsidRPr="00435AC3">
              <w:fldChar w:fldCharType="begin">
                <w:ffData>
                  <w:name w:val="Check3"/>
                  <w:enabled/>
                  <w:calcOnExit w:val="0"/>
                  <w:checkBox>
                    <w:sizeAuto/>
                    <w:default w:val="0"/>
                  </w:checkBox>
                </w:ffData>
              </w:fldChar>
            </w:r>
            <w:r w:rsidR="00F1341F" w:rsidRPr="008340BB">
              <w:instrText xml:space="preserve"> FORMCHECKBOX </w:instrText>
            </w:r>
            <w:r w:rsidR="004956FB">
              <w:fldChar w:fldCharType="separate"/>
            </w:r>
            <w:r w:rsidRPr="00435AC3">
              <w:fldChar w:fldCharType="end"/>
            </w:r>
            <w:r w:rsidR="00F1341F" w:rsidRPr="008340BB">
              <w:t xml:space="preserve"> The entire priority axis will be implemented through community-led local development</w:t>
            </w:r>
          </w:p>
        </w:tc>
        <w:tc>
          <w:tcPr>
            <w:tcW w:w="2352" w:type="dxa"/>
          </w:tcPr>
          <w:p w14:paraId="52AE4F1B" w14:textId="77777777" w:rsidR="00F1341F" w:rsidRPr="008340BB" w:rsidRDefault="00F1341F" w:rsidP="001B661C">
            <w:pPr>
              <w:pStyle w:val="Text3"/>
              <w:ind w:left="0"/>
            </w:pPr>
            <w:r w:rsidRPr="008340BB">
              <w:rPr>
                <w:i/>
                <w:sz w:val="18"/>
                <w:szCs w:val="18"/>
              </w:rPr>
              <w:t>N/A</w:t>
            </w:r>
          </w:p>
        </w:tc>
      </w:tr>
      <w:tr w:rsidR="00F1341F" w:rsidRPr="008340BB" w14:paraId="5AE63A70" w14:textId="77777777" w:rsidTr="001B661C">
        <w:tc>
          <w:tcPr>
            <w:tcW w:w="4986" w:type="dxa"/>
          </w:tcPr>
          <w:p w14:paraId="7EA6C7C6" w14:textId="77777777" w:rsidR="00F1341F" w:rsidRPr="008340BB" w:rsidRDefault="009B1DD8" w:rsidP="001B661C">
            <w:pPr>
              <w:pStyle w:val="Text3"/>
              <w:ind w:left="0"/>
            </w:pPr>
            <w:r w:rsidRPr="00435AC3">
              <w:fldChar w:fldCharType="begin">
                <w:ffData>
                  <w:name w:val="Check3"/>
                  <w:enabled/>
                  <w:calcOnExit w:val="0"/>
                  <w:checkBox>
                    <w:sizeAuto/>
                    <w:default w:val="0"/>
                  </w:checkBox>
                </w:ffData>
              </w:fldChar>
            </w:r>
            <w:r w:rsidR="00F1341F" w:rsidRPr="008340BB">
              <w:instrText xml:space="preserve"> FORMCHECKBOX </w:instrText>
            </w:r>
            <w:r w:rsidR="004956FB">
              <w:fldChar w:fldCharType="separate"/>
            </w:r>
            <w:r w:rsidRPr="00435AC3">
              <w:fldChar w:fldCharType="end"/>
            </w:r>
            <w:r w:rsidR="00F1341F" w:rsidRPr="008340BB">
              <w:t xml:space="preserve"> For the ESF: The entire priority axis is dedicated to social innovation or to transnational cooperation, or both</w:t>
            </w:r>
            <w:r w:rsidR="00F1341F" w:rsidRPr="008340BB">
              <w:rPr>
                <w:i/>
              </w:rPr>
              <w:t xml:space="preserve"> </w:t>
            </w:r>
          </w:p>
        </w:tc>
        <w:tc>
          <w:tcPr>
            <w:tcW w:w="2352" w:type="dxa"/>
          </w:tcPr>
          <w:p w14:paraId="5F4AFD59" w14:textId="77777777" w:rsidR="00F1341F" w:rsidRPr="008340BB" w:rsidRDefault="00F1341F" w:rsidP="001B661C">
            <w:pPr>
              <w:pStyle w:val="Text3"/>
              <w:ind w:left="0"/>
            </w:pPr>
            <w:r w:rsidRPr="008340BB">
              <w:rPr>
                <w:i/>
                <w:sz w:val="18"/>
                <w:szCs w:val="18"/>
              </w:rPr>
              <w:t>N/A</w:t>
            </w:r>
          </w:p>
        </w:tc>
      </w:tr>
    </w:tbl>
    <w:p w14:paraId="4D5CC53C" w14:textId="77777777" w:rsidR="00F1341F" w:rsidRPr="008340BB" w:rsidRDefault="00F1341F" w:rsidP="00C37144"/>
    <w:p w14:paraId="7B0773DF" w14:textId="77777777" w:rsidR="00F1341F" w:rsidRPr="008340BB" w:rsidRDefault="00F1341F" w:rsidP="00C37144">
      <w:pPr>
        <w:rPr>
          <w:b/>
        </w:rPr>
      </w:pPr>
      <w:r w:rsidRPr="008340BB">
        <w:rPr>
          <w:b/>
        </w:rPr>
        <w:t>2.A.4.2 Fund,  category of region and calculation basis for Union support</w:t>
      </w:r>
    </w:p>
    <w:p w14:paraId="67F5337C" w14:textId="77777777" w:rsidR="00F1341F" w:rsidRPr="008340BB" w:rsidRDefault="00F1341F" w:rsidP="00C37144">
      <w:pPr>
        <w:rPr>
          <w:b/>
        </w:rPr>
      </w:pPr>
      <w:r w:rsidRPr="008340BB">
        <w:t>(Repeated for each combination under a priority axis)</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4962"/>
      </w:tblGrid>
      <w:tr w:rsidR="00F1341F" w:rsidRPr="008340BB" w14:paraId="1C988220" w14:textId="77777777" w:rsidTr="001B661C">
        <w:tc>
          <w:tcPr>
            <w:tcW w:w="3544" w:type="dxa"/>
          </w:tcPr>
          <w:p w14:paraId="44C51774" w14:textId="77777777" w:rsidR="00F1341F" w:rsidRPr="008340BB" w:rsidRDefault="00F1341F" w:rsidP="001B661C">
            <w:pPr>
              <w:rPr>
                <w:i/>
              </w:rPr>
            </w:pPr>
            <w:r w:rsidRPr="008340BB">
              <w:rPr>
                <w:i/>
              </w:rPr>
              <w:t>Fund</w:t>
            </w:r>
          </w:p>
        </w:tc>
        <w:tc>
          <w:tcPr>
            <w:tcW w:w="4962" w:type="dxa"/>
          </w:tcPr>
          <w:p w14:paraId="58219D33" w14:textId="77777777" w:rsidR="00F1341F" w:rsidRPr="008340BB" w:rsidRDefault="00F1341F" w:rsidP="001B661C">
            <w:pPr>
              <w:jc w:val="left"/>
              <w:rPr>
                <w:i/>
                <w:color w:val="8DB3E2"/>
                <w:sz w:val="18"/>
                <w:szCs w:val="18"/>
              </w:rPr>
            </w:pPr>
            <w:r w:rsidRPr="008340BB">
              <w:rPr>
                <w:i/>
                <w:szCs w:val="24"/>
              </w:rPr>
              <w:t>European Regional Development Fund</w:t>
            </w:r>
          </w:p>
        </w:tc>
      </w:tr>
      <w:tr w:rsidR="00F1341F" w:rsidRPr="008340BB" w14:paraId="2285623F" w14:textId="77777777" w:rsidTr="001B661C">
        <w:tc>
          <w:tcPr>
            <w:tcW w:w="3544" w:type="dxa"/>
          </w:tcPr>
          <w:p w14:paraId="21C4BBE0" w14:textId="77777777" w:rsidR="00F1341F" w:rsidRPr="008340BB" w:rsidRDefault="00F1341F" w:rsidP="001B661C">
            <w:pPr>
              <w:rPr>
                <w:i/>
              </w:rPr>
            </w:pPr>
            <w:r w:rsidRPr="008340BB">
              <w:rPr>
                <w:i/>
              </w:rPr>
              <w:t>Category of region</w:t>
            </w:r>
          </w:p>
        </w:tc>
        <w:tc>
          <w:tcPr>
            <w:tcW w:w="4962" w:type="dxa"/>
          </w:tcPr>
          <w:p w14:paraId="13684756" w14:textId="77777777" w:rsidR="00F1341F" w:rsidRPr="008340BB" w:rsidRDefault="00F1341F" w:rsidP="001B661C">
            <w:pPr>
              <w:jc w:val="left"/>
              <w:rPr>
                <w:i/>
                <w:color w:val="8DB3E2"/>
                <w:sz w:val="18"/>
                <w:szCs w:val="18"/>
              </w:rPr>
            </w:pPr>
            <w:r w:rsidRPr="008340BB">
              <w:rPr>
                <w:i/>
                <w:szCs w:val="24"/>
              </w:rPr>
              <w:t>Less developed</w:t>
            </w:r>
            <w:r w:rsidRPr="008340BB">
              <w:rPr>
                <w:i/>
                <w:color w:val="8DB3E2"/>
                <w:sz w:val="18"/>
                <w:szCs w:val="18"/>
              </w:rPr>
              <w:t xml:space="preserve"> </w:t>
            </w:r>
          </w:p>
        </w:tc>
      </w:tr>
      <w:tr w:rsidR="00F1341F" w:rsidRPr="008340BB" w14:paraId="78DE159C" w14:textId="77777777" w:rsidTr="001B661C">
        <w:tc>
          <w:tcPr>
            <w:tcW w:w="3544" w:type="dxa"/>
          </w:tcPr>
          <w:p w14:paraId="7216C09C" w14:textId="77777777" w:rsidR="00F1341F" w:rsidRPr="008340BB" w:rsidRDefault="00F1341F" w:rsidP="001B661C">
            <w:pPr>
              <w:rPr>
                <w:i/>
              </w:rPr>
            </w:pPr>
            <w:r w:rsidRPr="008340BB">
              <w:rPr>
                <w:i/>
              </w:rPr>
              <w:t>Calculation basis (public or total)</w:t>
            </w:r>
          </w:p>
        </w:tc>
        <w:tc>
          <w:tcPr>
            <w:tcW w:w="4962" w:type="dxa"/>
          </w:tcPr>
          <w:p w14:paraId="6DE80393" w14:textId="77777777" w:rsidR="00F1341F" w:rsidRPr="008340BB" w:rsidRDefault="00F1341F" w:rsidP="001B661C">
            <w:pPr>
              <w:jc w:val="left"/>
              <w:rPr>
                <w:i/>
                <w:color w:val="8DB3E2"/>
                <w:sz w:val="18"/>
                <w:szCs w:val="18"/>
              </w:rPr>
            </w:pPr>
            <w:r w:rsidRPr="008340BB">
              <w:rPr>
                <w:i/>
                <w:szCs w:val="24"/>
              </w:rPr>
              <w:t xml:space="preserve">public </w:t>
            </w:r>
          </w:p>
        </w:tc>
      </w:tr>
      <w:tr w:rsidR="00F1341F" w:rsidRPr="008340BB" w14:paraId="1AB19E22" w14:textId="77777777" w:rsidTr="001B661C">
        <w:tc>
          <w:tcPr>
            <w:tcW w:w="3544" w:type="dxa"/>
          </w:tcPr>
          <w:p w14:paraId="7AF00192" w14:textId="77777777" w:rsidR="00F1341F" w:rsidRPr="008340BB" w:rsidRDefault="00F1341F" w:rsidP="001B661C">
            <w:pPr>
              <w:rPr>
                <w:i/>
              </w:rPr>
            </w:pPr>
            <w:r w:rsidRPr="008340BB">
              <w:rPr>
                <w:i/>
              </w:rPr>
              <w:t>Category of region for outermost regions and northern sparsely populated</w:t>
            </w:r>
            <w:r w:rsidRPr="008340BB" w:rsidDel="00337CA8">
              <w:rPr>
                <w:i/>
              </w:rPr>
              <w:t xml:space="preserve"> </w:t>
            </w:r>
            <w:r w:rsidRPr="008340BB">
              <w:rPr>
                <w:i/>
              </w:rPr>
              <w:t xml:space="preserve"> regions (where applicable)</w:t>
            </w:r>
          </w:p>
        </w:tc>
        <w:tc>
          <w:tcPr>
            <w:tcW w:w="4962" w:type="dxa"/>
          </w:tcPr>
          <w:p w14:paraId="647940A3" w14:textId="77777777" w:rsidR="00F1341F" w:rsidRPr="008340BB" w:rsidRDefault="00F1341F" w:rsidP="001B661C">
            <w:pPr>
              <w:jc w:val="left"/>
              <w:rPr>
                <w:i/>
                <w:color w:val="8DB3E2"/>
                <w:sz w:val="18"/>
                <w:szCs w:val="18"/>
              </w:rPr>
            </w:pPr>
            <w:r w:rsidRPr="008340BB">
              <w:rPr>
                <w:i/>
                <w:szCs w:val="24"/>
              </w:rPr>
              <w:t>N/A</w:t>
            </w:r>
          </w:p>
        </w:tc>
      </w:tr>
    </w:tbl>
    <w:p w14:paraId="2B0C4DED" w14:textId="77777777" w:rsidR="00F1341F" w:rsidRPr="008340BB" w:rsidRDefault="00F1341F" w:rsidP="00C37144">
      <w:pPr>
        <w:rPr>
          <w:i/>
        </w:rPr>
      </w:pPr>
    </w:p>
    <w:p w14:paraId="12165332" w14:textId="77777777" w:rsidR="00F1341F" w:rsidRPr="008340BB" w:rsidRDefault="00F1341F" w:rsidP="00C37144">
      <w:r w:rsidRPr="008340BB">
        <w:rPr>
          <w:b/>
        </w:rPr>
        <w:t>2.A.4.3 Investment priority</w:t>
      </w:r>
      <w:r w:rsidRPr="008340BB">
        <w:t xml:space="preserve"> </w:t>
      </w:r>
    </w:p>
    <w:p w14:paraId="7D824D52" w14:textId="77777777" w:rsidR="00F1341F" w:rsidRPr="008340BB" w:rsidRDefault="00F1341F" w:rsidP="00C37144">
      <w:r w:rsidRPr="008340BB">
        <w:t xml:space="preserve"> (Repeated for each investment priority under the priority axis)</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4962"/>
      </w:tblGrid>
      <w:tr w:rsidR="00F1341F" w:rsidRPr="008340BB" w14:paraId="6C24A80E" w14:textId="77777777" w:rsidTr="001B661C">
        <w:tc>
          <w:tcPr>
            <w:tcW w:w="3544" w:type="dxa"/>
          </w:tcPr>
          <w:p w14:paraId="0ADD50C8" w14:textId="77777777" w:rsidR="00F1341F" w:rsidRPr="008340BB" w:rsidRDefault="00F1341F" w:rsidP="001B661C">
            <w:pPr>
              <w:rPr>
                <w:i/>
              </w:rPr>
            </w:pPr>
            <w:r w:rsidRPr="008340BB">
              <w:rPr>
                <w:i/>
              </w:rPr>
              <w:t>ID of the investment priority</w:t>
            </w:r>
          </w:p>
        </w:tc>
        <w:tc>
          <w:tcPr>
            <w:tcW w:w="4962" w:type="dxa"/>
          </w:tcPr>
          <w:p w14:paraId="6770C439" w14:textId="77777777" w:rsidR="00F1341F" w:rsidRPr="008340BB" w:rsidRDefault="00F1341F" w:rsidP="00B16D64">
            <w:pPr>
              <w:pStyle w:val="Text1"/>
              <w:ind w:left="0"/>
              <w:rPr>
                <w:i/>
                <w:sz w:val="24"/>
                <w:szCs w:val="24"/>
                <w:lang w:val="en-GB" w:eastAsia="en-GB"/>
              </w:rPr>
            </w:pPr>
            <w:r w:rsidRPr="008340BB">
              <w:rPr>
                <w:i/>
                <w:sz w:val="24"/>
                <w:szCs w:val="24"/>
                <w:lang w:val="en-GB" w:eastAsia="en-GB"/>
              </w:rPr>
              <w:t>7c</w:t>
            </w:r>
          </w:p>
        </w:tc>
      </w:tr>
      <w:tr w:rsidR="00F1341F" w:rsidRPr="008340BB" w14:paraId="002D502F" w14:textId="77777777" w:rsidTr="001B661C">
        <w:tc>
          <w:tcPr>
            <w:tcW w:w="3544" w:type="dxa"/>
          </w:tcPr>
          <w:p w14:paraId="555009C3" w14:textId="77777777" w:rsidR="00F1341F" w:rsidRPr="008340BB" w:rsidRDefault="00F1341F" w:rsidP="001B661C">
            <w:pPr>
              <w:rPr>
                <w:i/>
              </w:rPr>
            </w:pPr>
            <w:r w:rsidRPr="008340BB">
              <w:rPr>
                <w:i/>
              </w:rPr>
              <w:t>Investment priority</w:t>
            </w:r>
          </w:p>
        </w:tc>
        <w:tc>
          <w:tcPr>
            <w:tcW w:w="4962" w:type="dxa"/>
          </w:tcPr>
          <w:p w14:paraId="7A934E3C" w14:textId="77777777" w:rsidR="00F1341F" w:rsidRPr="008340BB" w:rsidRDefault="00F1341F">
            <w:pPr>
              <w:pStyle w:val="Text1"/>
              <w:ind w:left="0"/>
              <w:rPr>
                <w:i/>
                <w:color w:val="8DB3E2"/>
                <w:sz w:val="18"/>
                <w:szCs w:val="18"/>
                <w:lang w:val="en-GB" w:eastAsia="en-GB"/>
              </w:rPr>
            </w:pPr>
            <w:r w:rsidRPr="008340BB">
              <w:rPr>
                <w:i/>
                <w:sz w:val="24"/>
                <w:lang w:val="en-GB" w:eastAsia="en-GB"/>
              </w:rPr>
              <w:t>Developing and improving environmentally-friendly including low-noise and low-carbon transport systems including inland waterways and maritime transport, ports, multimodal links and airport infrastructure, in order to promote sustainable regional and local mobility</w:t>
            </w:r>
          </w:p>
        </w:tc>
      </w:tr>
    </w:tbl>
    <w:p w14:paraId="6569BC44" w14:textId="77777777" w:rsidR="00F1341F" w:rsidRPr="008340BB" w:rsidRDefault="00F1341F" w:rsidP="00C37144">
      <w:pPr>
        <w:rPr>
          <w:i/>
        </w:rPr>
      </w:pPr>
    </w:p>
    <w:p w14:paraId="24686874" w14:textId="77777777" w:rsidR="00F1341F" w:rsidRPr="008340BB" w:rsidRDefault="00F1341F" w:rsidP="00C37144">
      <w:pPr>
        <w:rPr>
          <w:b/>
        </w:rPr>
      </w:pPr>
      <w:r w:rsidRPr="008340BB">
        <w:rPr>
          <w:b/>
        </w:rPr>
        <w:t xml:space="preserve">2.A.4.3.1 Specific objectives corresponding to the investment priority and expected results </w:t>
      </w:r>
    </w:p>
    <w:p w14:paraId="547BF3A5" w14:textId="77777777" w:rsidR="00F1341F" w:rsidRPr="008340BB" w:rsidRDefault="00F1341F" w:rsidP="00C37144">
      <w:r w:rsidRPr="008340BB">
        <w:t>(Repeated for each specific objective under the investment priority)</w:t>
      </w:r>
    </w:p>
    <w:p w14:paraId="323EE20D" w14:textId="77777777" w:rsidR="00F1341F" w:rsidRPr="008340BB" w:rsidRDefault="00F1341F" w:rsidP="00C37144">
      <w:r w:rsidRPr="008340BB">
        <w:t xml:space="preserve"> (Reference: points (b)(i) and (ii) of the first subparagraph of Article 96(2) of Regulation (EU) No 1303/2013)</w:t>
      </w:r>
    </w:p>
    <w:p w14:paraId="3172CFC9" w14:textId="77777777" w:rsidR="00F1341F" w:rsidRPr="008340BB" w:rsidRDefault="00F1341F" w:rsidP="00C371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5103"/>
      </w:tblGrid>
      <w:tr w:rsidR="00F1341F" w:rsidRPr="008340BB" w14:paraId="6F9CFEC5" w14:textId="77777777" w:rsidTr="001B661C">
        <w:trPr>
          <w:trHeight w:val="491"/>
        </w:trPr>
        <w:tc>
          <w:tcPr>
            <w:tcW w:w="3510" w:type="dxa"/>
          </w:tcPr>
          <w:p w14:paraId="1C9A1B4D" w14:textId="77777777" w:rsidR="00F1341F" w:rsidRPr="008340BB" w:rsidRDefault="00F1341F" w:rsidP="001B661C">
            <w:pPr>
              <w:rPr>
                <w:i/>
              </w:rPr>
            </w:pPr>
            <w:r w:rsidRPr="008340BB">
              <w:rPr>
                <w:i/>
              </w:rPr>
              <w:t>ID</w:t>
            </w:r>
          </w:p>
        </w:tc>
        <w:tc>
          <w:tcPr>
            <w:tcW w:w="5103" w:type="dxa"/>
          </w:tcPr>
          <w:p w14:paraId="5F16252C" w14:textId="77777777" w:rsidR="00F1341F" w:rsidRPr="008340BB" w:rsidRDefault="00F1341F" w:rsidP="001B661C">
            <w:pPr>
              <w:pStyle w:val="Text1"/>
              <w:ind w:left="0"/>
              <w:jc w:val="left"/>
              <w:rPr>
                <w:i/>
                <w:sz w:val="18"/>
                <w:szCs w:val="18"/>
                <w:lang w:val="en-GB" w:eastAsia="en-GB"/>
              </w:rPr>
            </w:pPr>
            <w:r w:rsidRPr="008340BB">
              <w:rPr>
                <w:i/>
                <w:sz w:val="24"/>
                <w:szCs w:val="24"/>
                <w:lang w:val="en-GB" w:eastAsia="en-GB"/>
              </w:rPr>
              <w:t>1</w:t>
            </w:r>
          </w:p>
        </w:tc>
      </w:tr>
      <w:tr w:rsidR="00F1341F" w:rsidRPr="008340BB" w14:paraId="3B8F3D4D" w14:textId="77777777" w:rsidTr="001B661C">
        <w:trPr>
          <w:trHeight w:val="360"/>
        </w:trPr>
        <w:tc>
          <w:tcPr>
            <w:tcW w:w="3510" w:type="dxa"/>
          </w:tcPr>
          <w:p w14:paraId="74E6BA15" w14:textId="77777777" w:rsidR="00F1341F" w:rsidRPr="008340BB" w:rsidRDefault="00F1341F" w:rsidP="001B661C">
            <w:pPr>
              <w:rPr>
                <w:i/>
              </w:rPr>
            </w:pPr>
            <w:r w:rsidRPr="008340BB">
              <w:rPr>
                <w:i/>
              </w:rPr>
              <w:t xml:space="preserve">Specific objective </w:t>
            </w:r>
          </w:p>
        </w:tc>
        <w:tc>
          <w:tcPr>
            <w:tcW w:w="5103" w:type="dxa"/>
          </w:tcPr>
          <w:p w14:paraId="527DB4D5" w14:textId="77777777" w:rsidR="00F1341F" w:rsidRPr="00B13FA5" w:rsidRDefault="002065C2" w:rsidP="004D6F88">
            <w:pPr>
              <w:pStyle w:val="Text1"/>
              <w:ind w:left="0"/>
              <w:rPr>
                <w:i/>
                <w:sz w:val="24"/>
                <w:szCs w:val="24"/>
                <w:lang w:val="en-GB" w:eastAsia="en-GB"/>
              </w:rPr>
            </w:pPr>
            <w:r w:rsidRPr="00B13FA5">
              <w:rPr>
                <w:i/>
                <w:sz w:val="24"/>
                <w:szCs w:val="24"/>
                <w:lang w:val="en-GB"/>
              </w:rPr>
              <w:t>Improved transport management through introduction of innovative systems</w:t>
            </w:r>
          </w:p>
        </w:tc>
      </w:tr>
      <w:tr w:rsidR="00F1341F" w:rsidRPr="008340BB" w14:paraId="04352A77" w14:textId="77777777" w:rsidTr="001B661C">
        <w:trPr>
          <w:trHeight w:val="360"/>
        </w:trPr>
        <w:tc>
          <w:tcPr>
            <w:tcW w:w="3510" w:type="dxa"/>
          </w:tcPr>
          <w:p w14:paraId="012F785C" w14:textId="77777777" w:rsidR="00F1341F" w:rsidRPr="00CD1188" w:rsidRDefault="00F1341F" w:rsidP="001B661C">
            <w:pPr>
              <w:rPr>
                <w:i/>
              </w:rPr>
            </w:pPr>
            <w:r w:rsidRPr="00CD1188">
              <w:rPr>
                <w:i/>
              </w:rPr>
              <w:t>The results that the Member State seeks to achieve with EU support</w:t>
            </w:r>
          </w:p>
          <w:p w14:paraId="15291C8B" w14:textId="77777777" w:rsidR="006409CA" w:rsidRPr="008340BB" w:rsidRDefault="006409CA">
            <w:pPr>
              <w:rPr>
                <w:i/>
              </w:rPr>
            </w:pPr>
          </w:p>
        </w:tc>
        <w:tc>
          <w:tcPr>
            <w:tcW w:w="5103" w:type="dxa"/>
          </w:tcPr>
          <w:p w14:paraId="6538C009" w14:textId="77777777" w:rsidR="00F1341F" w:rsidRPr="008340BB" w:rsidRDefault="00F1341F" w:rsidP="00FF1571">
            <w:pPr>
              <w:numPr>
                <w:ilvl w:val="0"/>
                <w:numId w:val="90"/>
              </w:numPr>
              <w:autoSpaceDE w:val="0"/>
              <w:autoSpaceDN w:val="0"/>
              <w:adjustRightInd w:val="0"/>
              <w:spacing w:before="0" w:after="0"/>
              <w:ind w:left="318" w:hanging="318"/>
              <w:rPr>
                <w:rFonts w:cs="Arial"/>
                <w:i/>
                <w:lang w:eastAsia="bg-BG"/>
              </w:rPr>
            </w:pPr>
            <w:r w:rsidRPr="008340BB">
              <w:rPr>
                <w:rFonts w:cs="Arial"/>
                <w:i/>
                <w:lang w:eastAsia="bg-BG"/>
              </w:rPr>
              <w:t>Improved navigation conditions in the Danube waterway;</w:t>
            </w:r>
          </w:p>
          <w:p w14:paraId="4D2BFFCF" w14:textId="77777777" w:rsidR="00F1341F" w:rsidRPr="008340BB" w:rsidRDefault="00F1341F" w:rsidP="00FF1571">
            <w:pPr>
              <w:numPr>
                <w:ilvl w:val="0"/>
                <w:numId w:val="90"/>
              </w:numPr>
              <w:autoSpaceDE w:val="0"/>
              <w:autoSpaceDN w:val="0"/>
              <w:adjustRightInd w:val="0"/>
              <w:spacing w:before="0" w:after="0"/>
              <w:ind w:left="318" w:hanging="318"/>
              <w:rPr>
                <w:rFonts w:cs="Arial"/>
                <w:i/>
                <w:lang w:eastAsia="bg-BG"/>
              </w:rPr>
            </w:pPr>
            <w:r w:rsidRPr="008340BB">
              <w:rPr>
                <w:rFonts w:cs="Arial"/>
                <w:i/>
                <w:lang w:eastAsia="bg-BG"/>
              </w:rPr>
              <w:t>Improved access to Bulgarian ports of “core” and “comprehensive” Trans-European transport network;</w:t>
            </w:r>
          </w:p>
          <w:p w14:paraId="2C0184F6" w14:textId="5AD176D0" w:rsidR="00F1341F" w:rsidRPr="008340BB" w:rsidRDefault="00F1341F" w:rsidP="00FF1571">
            <w:pPr>
              <w:numPr>
                <w:ilvl w:val="0"/>
                <w:numId w:val="90"/>
              </w:numPr>
              <w:autoSpaceDE w:val="0"/>
              <w:autoSpaceDN w:val="0"/>
              <w:adjustRightInd w:val="0"/>
              <w:spacing w:before="0" w:after="0"/>
              <w:ind w:left="318" w:hanging="318"/>
              <w:rPr>
                <w:i/>
              </w:rPr>
            </w:pPr>
            <w:r w:rsidRPr="008340BB">
              <w:rPr>
                <w:i/>
              </w:rPr>
              <w:t>Improved environmental management in the area of water transport</w:t>
            </w:r>
            <w:r w:rsidR="00F53B2D">
              <w:rPr>
                <w:i/>
              </w:rPr>
              <w:t>;</w:t>
            </w:r>
          </w:p>
          <w:p w14:paraId="5C34E05B" w14:textId="28121864" w:rsidR="00F53B2D" w:rsidRDefault="00F1341F" w:rsidP="00F53B2D">
            <w:pPr>
              <w:numPr>
                <w:ilvl w:val="0"/>
                <w:numId w:val="90"/>
              </w:numPr>
              <w:autoSpaceDE w:val="0"/>
              <w:autoSpaceDN w:val="0"/>
              <w:adjustRightInd w:val="0"/>
              <w:spacing w:before="0" w:after="0"/>
              <w:ind w:left="318" w:hanging="318"/>
              <w:rPr>
                <w:rStyle w:val="hps"/>
                <w:i/>
              </w:rPr>
            </w:pPr>
            <w:r w:rsidRPr="008340BB">
              <w:rPr>
                <w:rStyle w:val="hps"/>
                <w:i/>
              </w:rPr>
              <w:t>Availability of</w:t>
            </w:r>
            <w:r w:rsidRPr="008340BB">
              <w:rPr>
                <w:i/>
              </w:rPr>
              <w:t xml:space="preserve"> a </w:t>
            </w:r>
            <w:r w:rsidRPr="008340BB">
              <w:rPr>
                <w:rStyle w:val="hps"/>
                <w:i/>
              </w:rPr>
              <w:t>system</w:t>
            </w:r>
            <w:r w:rsidRPr="008340BB">
              <w:rPr>
                <w:i/>
              </w:rPr>
              <w:t xml:space="preserve"> for </w:t>
            </w:r>
            <w:r w:rsidRPr="008340BB">
              <w:rPr>
                <w:rStyle w:val="hps"/>
                <w:i/>
              </w:rPr>
              <w:t>analysis and assessment of</w:t>
            </w:r>
            <w:r w:rsidRPr="008340BB">
              <w:rPr>
                <w:i/>
              </w:rPr>
              <w:t xml:space="preserve"> </w:t>
            </w:r>
            <w:r w:rsidRPr="008340BB">
              <w:rPr>
                <w:rStyle w:val="hps"/>
                <w:i/>
              </w:rPr>
              <w:t>traffic on</w:t>
            </w:r>
            <w:r w:rsidRPr="008340BB">
              <w:rPr>
                <w:i/>
              </w:rPr>
              <w:t xml:space="preserve"> </w:t>
            </w:r>
            <w:r w:rsidRPr="008340BB">
              <w:rPr>
                <w:rStyle w:val="hps"/>
                <w:i/>
              </w:rPr>
              <w:t>motorways and</w:t>
            </w:r>
            <w:r w:rsidRPr="008340BB">
              <w:rPr>
                <w:i/>
              </w:rPr>
              <w:t xml:space="preserve"> </w:t>
            </w:r>
            <w:r w:rsidRPr="008340BB">
              <w:rPr>
                <w:rStyle w:val="hps"/>
                <w:i/>
              </w:rPr>
              <w:t>first class roads</w:t>
            </w:r>
            <w:r w:rsidRPr="008340BB">
              <w:rPr>
                <w:i/>
              </w:rPr>
              <w:t xml:space="preserve"> </w:t>
            </w:r>
            <w:r w:rsidRPr="008340BB">
              <w:rPr>
                <w:rStyle w:val="hps"/>
                <w:i/>
              </w:rPr>
              <w:t>in the Republic of</w:t>
            </w:r>
            <w:r w:rsidRPr="008340BB">
              <w:rPr>
                <w:i/>
              </w:rPr>
              <w:t xml:space="preserve"> </w:t>
            </w:r>
            <w:r w:rsidRPr="008340BB">
              <w:rPr>
                <w:rStyle w:val="hps"/>
                <w:i/>
              </w:rPr>
              <w:t>Bulgaria</w:t>
            </w:r>
            <w:r w:rsidRPr="008340BB">
              <w:rPr>
                <w:i/>
              </w:rPr>
              <w:t xml:space="preserve"> </w:t>
            </w:r>
            <w:r w:rsidRPr="008340BB">
              <w:rPr>
                <w:rStyle w:val="hps"/>
                <w:i/>
              </w:rPr>
              <w:t>as part of the</w:t>
            </w:r>
            <w:r w:rsidRPr="008340BB">
              <w:rPr>
                <w:i/>
              </w:rPr>
              <w:t xml:space="preserve"> </w:t>
            </w:r>
            <w:r w:rsidRPr="008340BB">
              <w:rPr>
                <w:rStyle w:val="hps"/>
                <w:i/>
              </w:rPr>
              <w:t>TEN-T</w:t>
            </w:r>
            <w:r w:rsidRPr="008340BB">
              <w:rPr>
                <w:i/>
              </w:rPr>
              <w:t xml:space="preserve"> </w:t>
            </w:r>
            <w:r w:rsidRPr="008340BB">
              <w:rPr>
                <w:rStyle w:val="hps"/>
                <w:i/>
              </w:rPr>
              <w:t>networks</w:t>
            </w:r>
            <w:r w:rsidR="00F53B2D">
              <w:rPr>
                <w:rStyle w:val="hps"/>
                <w:i/>
              </w:rPr>
              <w:t>;</w:t>
            </w:r>
          </w:p>
          <w:p w14:paraId="593E8B65" w14:textId="6022FCEF" w:rsidR="00014534" w:rsidRPr="00F53B2D" w:rsidRDefault="00014534" w:rsidP="00F53B2D">
            <w:pPr>
              <w:numPr>
                <w:ilvl w:val="0"/>
                <w:numId w:val="90"/>
              </w:numPr>
              <w:autoSpaceDE w:val="0"/>
              <w:autoSpaceDN w:val="0"/>
              <w:adjustRightInd w:val="0"/>
              <w:spacing w:before="0" w:after="0"/>
              <w:ind w:left="318" w:hanging="318"/>
              <w:rPr>
                <w:rStyle w:val="hps"/>
                <w:i/>
              </w:rPr>
            </w:pPr>
            <w:r>
              <w:rPr>
                <w:rStyle w:val="hps"/>
                <w:i/>
              </w:rPr>
              <w:t xml:space="preserve">Availability of </w:t>
            </w:r>
            <w:r w:rsidR="00FD4C0A">
              <w:rPr>
                <w:rStyle w:val="hps"/>
                <w:i/>
              </w:rPr>
              <w:t xml:space="preserve">a train management system;  </w:t>
            </w:r>
          </w:p>
          <w:p w14:paraId="5156A643" w14:textId="2A65F40F" w:rsidR="00F1341F" w:rsidRPr="008340BB" w:rsidRDefault="00F53B2D" w:rsidP="00F53B2D">
            <w:pPr>
              <w:numPr>
                <w:ilvl w:val="0"/>
                <w:numId w:val="90"/>
              </w:numPr>
              <w:autoSpaceDE w:val="0"/>
              <w:autoSpaceDN w:val="0"/>
              <w:adjustRightInd w:val="0"/>
              <w:spacing w:before="0" w:after="0"/>
              <w:ind w:left="318" w:hanging="318"/>
              <w:rPr>
                <w:i/>
                <w:sz w:val="18"/>
                <w:szCs w:val="18"/>
              </w:rPr>
            </w:pPr>
            <w:r>
              <w:rPr>
                <w:rStyle w:val="hps"/>
                <w:i/>
              </w:rPr>
              <w:t xml:space="preserve">Improved </w:t>
            </w:r>
            <w:r w:rsidR="00F0041A">
              <w:rPr>
                <w:rStyle w:val="hps"/>
                <w:i/>
              </w:rPr>
              <w:t>metro stations safety.</w:t>
            </w:r>
            <w:r>
              <w:rPr>
                <w:rStyle w:val="hps"/>
                <w:i/>
              </w:rPr>
              <w:t xml:space="preserve"> </w:t>
            </w:r>
            <w:r w:rsidR="00F1341F" w:rsidRPr="008340BB">
              <w:rPr>
                <w:rStyle w:val="hps"/>
                <w:i/>
              </w:rPr>
              <w:t xml:space="preserve"> </w:t>
            </w:r>
          </w:p>
        </w:tc>
      </w:tr>
    </w:tbl>
    <w:p w14:paraId="06AACDB5" w14:textId="77777777" w:rsidR="00F1341F" w:rsidRPr="008340BB" w:rsidRDefault="00F1341F" w:rsidP="00C37144"/>
    <w:p w14:paraId="61A24E40" w14:textId="77777777" w:rsidR="00F1341F" w:rsidRPr="008340BB" w:rsidRDefault="00F1341F" w:rsidP="00C37144">
      <w:pPr>
        <w:sectPr w:rsidR="00F1341F" w:rsidRPr="008340BB" w:rsidSect="001E1D6F">
          <w:headerReference w:type="default" r:id="rId69"/>
          <w:footerReference w:type="default" r:id="rId70"/>
          <w:headerReference w:type="first" r:id="rId71"/>
          <w:footerReference w:type="first" r:id="rId72"/>
          <w:pgSz w:w="11906" w:h="16838"/>
          <w:pgMar w:top="1021" w:right="1418" w:bottom="1021" w:left="1418" w:header="601" w:footer="1077" w:gutter="0"/>
          <w:cols w:space="708"/>
          <w:docGrid w:linePitch="326"/>
        </w:sectPr>
      </w:pPr>
    </w:p>
    <w:p w14:paraId="2AA0E19E" w14:textId="77777777" w:rsidR="00F1341F" w:rsidRPr="008340BB" w:rsidRDefault="00F1341F" w:rsidP="00C37144">
      <w:r w:rsidRPr="008340BB">
        <w:rPr>
          <w:b/>
        </w:rPr>
        <w:lastRenderedPageBreak/>
        <w:t xml:space="preserve">Table 3: </w:t>
      </w:r>
      <w:r w:rsidRPr="008340BB">
        <w:rPr>
          <w:b/>
        </w:rPr>
        <w:tab/>
        <w:t xml:space="preserve">Programme-specific result indicators, by specific objective </w:t>
      </w:r>
      <w:r w:rsidRPr="008340BB">
        <w:t>(for the ERDF and the Cohesion Fund)</w:t>
      </w:r>
    </w:p>
    <w:p w14:paraId="78FC213E" w14:textId="77777777" w:rsidR="00F1341F" w:rsidRPr="008340BB" w:rsidRDefault="00F1341F" w:rsidP="00C37144">
      <w:pPr>
        <w:rPr>
          <w:b/>
        </w:rPr>
      </w:pPr>
    </w:p>
    <w:p w14:paraId="7B944639" w14:textId="77777777" w:rsidR="00F1341F" w:rsidRPr="008340BB" w:rsidRDefault="00F1341F" w:rsidP="00C37144">
      <w:pPr>
        <w:rPr>
          <w:szCs w:val="24"/>
        </w:rPr>
      </w:pPr>
      <w:r w:rsidRPr="008340BB">
        <w:rPr>
          <w:szCs w:val="24"/>
        </w:rPr>
        <w:t>(Reference: point (b)(ii) of the first subparagraph of Article 96(2) of Regulation (EU) No 1303/2013</w:t>
      </w:r>
    </w:p>
    <w:p w14:paraId="0256FEE8" w14:textId="77777777" w:rsidR="00F1341F" w:rsidRPr="008340BB" w:rsidRDefault="00F1341F" w:rsidP="00C37144"/>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12"/>
        <w:gridCol w:w="2251"/>
        <w:gridCol w:w="1881"/>
        <w:gridCol w:w="1556"/>
        <w:gridCol w:w="1649"/>
        <w:gridCol w:w="1375"/>
        <w:gridCol w:w="2091"/>
        <w:gridCol w:w="1673"/>
        <w:gridCol w:w="1258"/>
      </w:tblGrid>
      <w:tr w:rsidR="004D6F88" w:rsidRPr="008340BB" w14:paraId="5E80B144" w14:textId="77777777" w:rsidTr="004D6F88">
        <w:trPr>
          <w:trHeight w:val="531"/>
        </w:trPr>
        <w:tc>
          <w:tcPr>
            <w:tcW w:w="1184" w:type="pct"/>
            <w:gridSpan w:val="2"/>
          </w:tcPr>
          <w:p w14:paraId="5E7DCA0B" w14:textId="77777777" w:rsidR="004D6F88" w:rsidRPr="008340BB" w:rsidRDefault="004D6F88" w:rsidP="001B661C">
            <w:pPr>
              <w:pStyle w:val="ListBullet"/>
              <w:tabs>
                <w:tab w:val="clear" w:pos="360"/>
                <w:tab w:val="left" w:pos="720"/>
              </w:tabs>
              <w:ind w:left="0" w:firstLine="0"/>
              <w:rPr>
                <w:b/>
                <w:i/>
                <w:sz w:val="18"/>
                <w:szCs w:val="18"/>
              </w:rPr>
            </w:pPr>
            <w:r>
              <w:rPr>
                <w:b/>
                <w:i/>
                <w:sz w:val="18"/>
                <w:szCs w:val="18"/>
              </w:rPr>
              <w:t xml:space="preserve">Specific objective </w:t>
            </w:r>
          </w:p>
        </w:tc>
        <w:tc>
          <w:tcPr>
            <w:tcW w:w="3816" w:type="pct"/>
            <w:gridSpan w:val="7"/>
          </w:tcPr>
          <w:p w14:paraId="1ABCF7F2" w14:textId="77777777" w:rsidR="004D6F88" w:rsidRPr="008340BB" w:rsidRDefault="002065C2" w:rsidP="001B661C">
            <w:pPr>
              <w:pStyle w:val="ListBullet"/>
              <w:tabs>
                <w:tab w:val="clear" w:pos="360"/>
                <w:tab w:val="left" w:pos="720"/>
              </w:tabs>
              <w:ind w:left="0" w:firstLine="0"/>
              <w:rPr>
                <w:b/>
                <w:i/>
                <w:sz w:val="18"/>
                <w:szCs w:val="18"/>
              </w:rPr>
            </w:pPr>
            <w:r w:rsidRPr="002065C2">
              <w:rPr>
                <w:b/>
                <w:i/>
                <w:sz w:val="18"/>
                <w:szCs w:val="18"/>
              </w:rPr>
              <w:t>Improved transport management through introduction of innovative systems</w:t>
            </w:r>
          </w:p>
        </w:tc>
      </w:tr>
      <w:tr w:rsidR="00F1341F" w:rsidRPr="008340BB" w14:paraId="641F2AC2" w14:textId="77777777" w:rsidTr="001B661C">
        <w:trPr>
          <w:trHeight w:val="531"/>
        </w:trPr>
        <w:tc>
          <w:tcPr>
            <w:tcW w:w="436" w:type="pct"/>
          </w:tcPr>
          <w:p w14:paraId="0A1D59F2" w14:textId="77777777" w:rsidR="00F1341F" w:rsidRPr="008340BB" w:rsidRDefault="00F1341F" w:rsidP="001B661C">
            <w:pPr>
              <w:pStyle w:val="ListBullet"/>
              <w:tabs>
                <w:tab w:val="clear" w:pos="360"/>
                <w:tab w:val="left" w:pos="720"/>
              </w:tabs>
              <w:ind w:left="0" w:firstLine="0"/>
              <w:rPr>
                <w:b/>
                <w:i/>
                <w:sz w:val="18"/>
                <w:szCs w:val="18"/>
              </w:rPr>
            </w:pPr>
            <w:r w:rsidRPr="008340BB">
              <w:rPr>
                <w:b/>
                <w:i/>
                <w:sz w:val="18"/>
                <w:szCs w:val="18"/>
              </w:rPr>
              <w:t>ID</w:t>
            </w:r>
          </w:p>
        </w:tc>
        <w:tc>
          <w:tcPr>
            <w:tcW w:w="748" w:type="pct"/>
          </w:tcPr>
          <w:p w14:paraId="23103D08" w14:textId="77777777" w:rsidR="00F1341F" w:rsidRPr="008340BB" w:rsidRDefault="00F1341F" w:rsidP="001B661C">
            <w:pPr>
              <w:pStyle w:val="ListBullet"/>
              <w:tabs>
                <w:tab w:val="clear" w:pos="360"/>
                <w:tab w:val="left" w:pos="720"/>
              </w:tabs>
              <w:ind w:left="0" w:firstLine="0"/>
              <w:rPr>
                <w:b/>
                <w:i/>
                <w:sz w:val="18"/>
                <w:szCs w:val="18"/>
              </w:rPr>
            </w:pPr>
            <w:r w:rsidRPr="008340BB">
              <w:rPr>
                <w:b/>
                <w:i/>
                <w:sz w:val="18"/>
                <w:szCs w:val="18"/>
              </w:rPr>
              <w:t xml:space="preserve">Indicator </w:t>
            </w:r>
          </w:p>
        </w:tc>
        <w:tc>
          <w:tcPr>
            <w:tcW w:w="625" w:type="pct"/>
          </w:tcPr>
          <w:p w14:paraId="41022483" w14:textId="77777777" w:rsidR="00F1341F" w:rsidRPr="008340BB" w:rsidRDefault="00F1341F" w:rsidP="001B661C">
            <w:pPr>
              <w:snapToGrid w:val="0"/>
              <w:rPr>
                <w:b/>
                <w:i/>
                <w:sz w:val="18"/>
                <w:szCs w:val="18"/>
              </w:rPr>
            </w:pPr>
            <w:r w:rsidRPr="008340BB">
              <w:rPr>
                <w:b/>
                <w:i/>
                <w:sz w:val="18"/>
                <w:szCs w:val="18"/>
              </w:rPr>
              <w:t>Measurement unit</w:t>
            </w:r>
          </w:p>
        </w:tc>
        <w:tc>
          <w:tcPr>
            <w:tcW w:w="517" w:type="pct"/>
          </w:tcPr>
          <w:p w14:paraId="0A3F8FCF" w14:textId="77777777" w:rsidR="00F1341F" w:rsidRPr="008340BB" w:rsidRDefault="00F1341F" w:rsidP="001B661C">
            <w:pPr>
              <w:pStyle w:val="ListBullet"/>
              <w:tabs>
                <w:tab w:val="clear" w:pos="360"/>
                <w:tab w:val="left" w:pos="720"/>
              </w:tabs>
              <w:ind w:left="0" w:firstLine="0"/>
              <w:rPr>
                <w:b/>
                <w:i/>
                <w:sz w:val="18"/>
                <w:szCs w:val="18"/>
              </w:rPr>
            </w:pPr>
            <w:r w:rsidRPr="008340BB">
              <w:rPr>
                <w:b/>
                <w:i/>
                <w:sz w:val="18"/>
                <w:szCs w:val="18"/>
              </w:rPr>
              <w:t>Category of region (where relevant)</w:t>
            </w:r>
          </w:p>
        </w:tc>
        <w:tc>
          <w:tcPr>
            <w:tcW w:w="548" w:type="pct"/>
          </w:tcPr>
          <w:p w14:paraId="437C9FFC" w14:textId="77777777" w:rsidR="00F1341F" w:rsidRPr="008340BB" w:rsidRDefault="00F1341F" w:rsidP="001B661C">
            <w:pPr>
              <w:pStyle w:val="ListBullet"/>
              <w:tabs>
                <w:tab w:val="clear" w:pos="360"/>
                <w:tab w:val="left" w:pos="720"/>
              </w:tabs>
              <w:ind w:left="0" w:firstLine="0"/>
              <w:rPr>
                <w:b/>
                <w:i/>
                <w:sz w:val="18"/>
                <w:szCs w:val="18"/>
              </w:rPr>
            </w:pPr>
            <w:r w:rsidRPr="00E30794">
              <w:rPr>
                <w:b/>
                <w:i/>
                <w:sz w:val="18"/>
                <w:szCs w:val="18"/>
              </w:rPr>
              <w:t>Baseline value</w:t>
            </w:r>
            <w:r w:rsidRPr="008340BB">
              <w:rPr>
                <w:b/>
                <w:i/>
                <w:sz w:val="18"/>
                <w:szCs w:val="18"/>
              </w:rPr>
              <w:t xml:space="preserve"> </w:t>
            </w:r>
          </w:p>
        </w:tc>
        <w:tc>
          <w:tcPr>
            <w:tcW w:w="457" w:type="pct"/>
          </w:tcPr>
          <w:p w14:paraId="1F1271B2" w14:textId="77777777" w:rsidR="00F1341F" w:rsidRPr="008340BB" w:rsidRDefault="00F1341F" w:rsidP="001B661C">
            <w:pPr>
              <w:snapToGrid w:val="0"/>
              <w:rPr>
                <w:b/>
                <w:i/>
                <w:sz w:val="18"/>
                <w:szCs w:val="18"/>
              </w:rPr>
            </w:pPr>
            <w:r w:rsidRPr="008340BB">
              <w:rPr>
                <w:b/>
                <w:i/>
                <w:sz w:val="18"/>
                <w:szCs w:val="18"/>
              </w:rPr>
              <w:t>Baseline year</w:t>
            </w:r>
          </w:p>
        </w:tc>
        <w:tc>
          <w:tcPr>
            <w:tcW w:w="695" w:type="pct"/>
          </w:tcPr>
          <w:p w14:paraId="21A089C4" w14:textId="77777777" w:rsidR="00F1341F" w:rsidRPr="008340BB" w:rsidRDefault="00F1341F" w:rsidP="001B661C">
            <w:pPr>
              <w:pStyle w:val="ListBullet"/>
              <w:tabs>
                <w:tab w:val="clear" w:pos="360"/>
                <w:tab w:val="left" w:pos="720"/>
              </w:tabs>
              <w:ind w:left="0" w:firstLine="0"/>
              <w:rPr>
                <w:b/>
                <w:i/>
                <w:sz w:val="18"/>
                <w:szCs w:val="18"/>
              </w:rPr>
            </w:pPr>
            <w:r w:rsidRPr="00E30794">
              <w:rPr>
                <w:b/>
                <w:i/>
                <w:sz w:val="18"/>
                <w:szCs w:val="18"/>
              </w:rPr>
              <w:t>Target value</w:t>
            </w:r>
            <w:r w:rsidRPr="00E30794">
              <w:rPr>
                <w:rStyle w:val="FootnoteReference"/>
                <w:b/>
                <w:i/>
                <w:sz w:val="18"/>
                <w:szCs w:val="18"/>
              </w:rPr>
              <w:footnoteReference w:id="55"/>
            </w:r>
            <w:r w:rsidRPr="00E30794">
              <w:rPr>
                <w:b/>
                <w:i/>
                <w:sz w:val="18"/>
                <w:szCs w:val="18"/>
              </w:rPr>
              <w:t xml:space="preserve"> (2023)</w:t>
            </w:r>
            <w:r w:rsidRPr="008340BB">
              <w:rPr>
                <w:b/>
                <w:i/>
                <w:sz w:val="18"/>
                <w:szCs w:val="18"/>
              </w:rPr>
              <w:t xml:space="preserve"> </w:t>
            </w:r>
          </w:p>
        </w:tc>
        <w:tc>
          <w:tcPr>
            <w:tcW w:w="556" w:type="pct"/>
          </w:tcPr>
          <w:p w14:paraId="26D1DE59" w14:textId="77777777" w:rsidR="00F1341F" w:rsidRPr="008340BB" w:rsidRDefault="00F1341F" w:rsidP="001B661C">
            <w:pPr>
              <w:pStyle w:val="ListBullet"/>
              <w:tabs>
                <w:tab w:val="clear" w:pos="360"/>
                <w:tab w:val="left" w:pos="720"/>
              </w:tabs>
              <w:ind w:left="0" w:firstLine="0"/>
              <w:rPr>
                <w:b/>
                <w:i/>
                <w:sz w:val="18"/>
                <w:szCs w:val="18"/>
              </w:rPr>
            </w:pPr>
            <w:r w:rsidRPr="008340BB">
              <w:rPr>
                <w:b/>
                <w:i/>
                <w:sz w:val="18"/>
                <w:szCs w:val="18"/>
              </w:rPr>
              <w:t>Source of data</w:t>
            </w:r>
          </w:p>
        </w:tc>
        <w:tc>
          <w:tcPr>
            <w:tcW w:w="418" w:type="pct"/>
          </w:tcPr>
          <w:p w14:paraId="5C4BD45F" w14:textId="77777777" w:rsidR="00F1341F" w:rsidRPr="008340BB" w:rsidRDefault="00F1341F" w:rsidP="001B661C">
            <w:pPr>
              <w:pStyle w:val="ListBullet"/>
              <w:tabs>
                <w:tab w:val="clear" w:pos="360"/>
                <w:tab w:val="left" w:pos="720"/>
              </w:tabs>
              <w:ind w:left="0" w:firstLine="0"/>
              <w:rPr>
                <w:b/>
                <w:i/>
                <w:sz w:val="18"/>
                <w:szCs w:val="18"/>
              </w:rPr>
            </w:pPr>
            <w:r w:rsidRPr="008340BB">
              <w:rPr>
                <w:b/>
                <w:i/>
                <w:sz w:val="18"/>
                <w:szCs w:val="18"/>
              </w:rPr>
              <w:t>Frequency of reporting</w:t>
            </w:r>
          </w:p>
        </w:tc>
      </w:tr>
      <w:tr w:rsidR="00970A0A" w:rsidRPr="008340BB" w14:paraId="56B588B5" w14:textId="77777777" w:rsidTr="001B661C">
        <w:trPr>
          <w:trHeight w:val="1729"/>
        </w:trPr>
        <w:tc>
          <w:tcPr>
            <w:tcW w:w="436" w:type="pct"/>
          </w:tcPr>
          <w:p w14:paraId="1AB8440C" w14:textId="77777777" w:rsidR="00970A0A" w:rsidRPr="008340BB" w:rsidRDefault="00DA74CA" w:rsidP="001B661C">
            <w:pPr>
              <w:pStyle w:val="Text1"/>
              <w:ind w:left="0"/>
              <w:jc w:val="left"/>
              <w:rPr>
                <w:sz w:val="18"/>
                <w:szCs w:val="18"/>
                <w:lang w:val="en-GB" w:eastAsia="en-GB"/>
              </w:rPr>
            </w:pPr>
            <w:r>
              <w:rPr>
                <w:sz w:val="18"/>
                <w:szCs w:val="18"/>
                <w:lang w:val="en-GB" w:eastAsia="en-GB"/>
              </w:rPr>
              <w:t>1</w:t>
            </w:r>
          </w:p>
        </w:tc>
        <w:tc>
          <w:tcPr>
            <w:tcW w:w="748" w:type="pct"/>
          </w:tcPr>
          <w:p w14:paraId="2A174598" w14:textId="166F3433" w:rsidR="00970A0A" w:rsidRDefault="00970A0A" w:rsidP="001B661C">
            <w:pPr>
              <w:pStyle w:val="Text1"/>
              <w:spacing w:after="0"/>
              <w:ind w:left="0"/>
              <w:jc w:val="left"/>
              <w:rPr>
                <w:sz w:val="18"/>
                <w:szCs w:val="18"/>
                <w:lang w:val="en-GB" w:eastAsia="en-GB"/>
              </w:rPr>
            </w:pPr>
          </w:p>
          <w:p w14:paraId="59D5ABC3" w14:textId="77777777" w:rsidR="008A2FBB" w:rsidRPr="009D3317" w:rsidRDefault="008A2FBB" w:rsidP="001B661C">
            <w:pPr>
              <w:pStyle w:val="Text1"/>
              <w:spacing w:after="0"/>
              <w:ind w:left="0"/>
              <w:jc w:val="left"/>
              <w:rPr>
                <w:sz w:val="18"/>
                <w:szCs w:val="18"/>
                <w:lang w:val="en-GB" w:eastAsia="en-GB"/>
              </w:rPr>
            </w:pPr>
            <w:r w:rsidRPr="009D3317">
              <w:rPr>
                <w:sz w:val="18"/>
                <w:szCs w:val="18"/>
                <w:lang w:val="en-GB" w:eastAsia="en-GB"/>
              </w:rPr>
              <w:t>Average multiannual number of days with bottlenecks at water levels above LNWL</w:t>
            </w:r>
          </w:p>
        </w:tc>
        <w:tc>
          <w:tcPr>
            <w:tcW w:w="625" w:type="pct"/>
          </w:tcPr>
          <w:p w14:paraId="752B45FB" w14:textId="4332437F" w:rsidR="00970A0A" w:rsidRDefault="00970A0A" w:rsidP="001B661C">
            <w:pPr>
              <w:snapToGrid w:val="0"/>
              <w:rPr>
                <w:sz w:val="18"/>
                <w:szCs w:val="18"/>
              </w:rPr>
            </w:pPr>
          </w:p>
          <w:p w14:paraId="1828AED7" w14:textId="77777777" w:rsidR="008A2FBB" w:rsidRPr="009D3317" w:rsidRDefault="008A2FBB" w:rsidP="001B661C">
            <w:pPr>
              <w:snapToGrid w:val="0"/>
              <w:rPr>
                <w:sz w:val="18"/>
                <w:szCs w:val="18"/>
                <w:lang w:val="bg-BG"/>
              </w:rPr>
            </w:pPr>
            <w:r w:rsidRPr="009D3317">
              <w:rPr>
                <w:sz w:val="18"/>
                <w:szCs w:val="18"/>
                <w:lang w:val="bg-BG"/>
              </w:rPr>
              <w:t>%</w:t>
            </w:r>
          </w:p>
        </w:tc>
        <w:tc>
          <w:tcPr>
            <w:tcW w:w="517" w:type="pct"/>
          </w:tcPr>
          <w:p w14:paraId="6BC81CEF" w14:textId="77777777" w:rsidR="00970A0A" w:rsidRPr="008340BB" w:rsidRDefault="00970A0A" w:rsidP="001B661C">
            <w:pPr>
              <w:pStyle w:val="ListBullet"/>
              <w:tabs>
                <w:tab w:val="clear" w:pos="360"/>
                <w:tab w:val="left" w:pos="720"/>
              </w:tabs>
              <w:ind w:left="0" w:firstLine="0"/>
              <w:jc w:val="left"/>
              <w:rPr>
                <w:sz w:val="18"/>
                <w:szCs w:val="18"/>
              </w:rPr>
            </w:pPr>
            <w:r w:rsidRPr="00970A0A">
              <w:rPr>
                <w:sz w:val="18"/>
                <w:szCs w:val="18"/>
              </w:rPr>
              <w:t>Less developed</w:t>
            </w:r>
          </w:p>
        </w:tc>
        <w:tc>
          <w:tcPr>
            <w:tcW w:w="548" w:type="pct"/>
          </w:tcPr>
          <w:p w14:paraId="770AEAD1" w14:textId="0BD2C3BB" w:rsidR="00970A0A" w:rsidRDefault="00970A0A" w:rsidP="00C362DA">
            <w:pPr>
              <w:pStyle w:val="ListBullet"/>
              <w:tabs>
                <w:tab w:val="clear" w:pos="360"/>
                <w:tab w:val="left" w:pos="720"/>
              </w:tabs>
              <w:spacing w:after="0"/>
              <w:ind w:left="0" w:firstLine="0"/>
              <w:contextualSpacing w:val="0"/>
              <w:jc w:val="left"/>
              <w:rPr>
                <w:sz w:val="18"/>
                <w:szCs w:val="18"/>
                <w:lang w:val="en-US"/>
              </w:rPr>
            </w:pPr>
          </w:p>
          <w:p w14:paraId="78DF46A3" w14:textId="77777777" w:rsidR="003D4915" w:rsidRDefault="003D4915" w:rsidP="00C362DA">
            <w:pPr>
              <w:pStyle w:val="ListBullet"/>
              <w:tabs>
                <w:tab w:val="clear" w:pos="360"/>
                <w:tab w:val="left" w:pos="720"/>
              </w:tabs>
              <w:spacing w:after="0"/>
              <w:ind w:left="0" w:firstLine="0"/>
              <w:contextualSpacing w:val="0"/>
              <w:jc w:val="left"/>
              <w:rPr>
                <w:sz w:val="18"/>
                <w:szCs w:val="18"/>
                <w:lang w:val="en-US"/>
              </w:rPr>
            </w:pPr>
          </w:p>
          <w:p w14:paraId="28A5DF04" w14:textId="34E38A1B" w:rsidR="003D4915" w:rsidRPr="008340BB" w:rsidRDefault="00D63B81" w:rsidP="00C362DA">
            <w:pPr>
              <w:pStyle w:val="ListBullet"/>
              <w:tabs>
                <w:tab w:val="clear" w:pos="360"/>
                <w:tab w:val="left" w:pos="720"/>
              </w:tabs>
              <w:spacing w:after="0"/>
              <w:ind w:left="0" w:firstLine="0"/>
              <w:contextualSpacing w:val="0"/>
              <w:jc w:val="left"/>
              <w:rPr>
                <w:sz w:val="18"/>
                <w:szCs w:val="18"/>
              </w:rPr>
            </w:pPr>
            <w:r>
              <w:rPr>
                <w:sz w:val="18"/>
                <w:szCs w:val="18"/>
                <w:lang w:val="en-US"/>
              </w:rPr>
              <w:t xml:space="preserve">26.34 </w:t>
            </w:r>
          </w:p>
        </w:tc>
        <w:tc>
          <w:tcPr>
            <w:tcW w:w="457" w:type="pct"/>
          </w:tcPr>
          <w:p w14:paraId="7E696368" w14:textId="2FAB83F9" w:rsidR="00970A0A" w:rsidRDefault="00970A0A" w:rsidP="001B661C">
            <w:pPr>
              <w:snapToGrid w:val="0"/>
              <w:rPr>
                <w:sz w:val="18"/>
                <w:szCs w:val="18"/>
              </w:rPr>
            </w:pPr>
          </w:p>
          <w:p w14:paraId="2C178D82" w14:textId="77777777" w:rsidR="003D4915" w:rsidRDefault="003D4915" w:rsidP="001B661C">
            <w:pPr>
              <w:snapToGrid w:val="0"/>
              <w:rPr>
                <w:sz w:val="18"/>
                <w:szCs w:val="18"/>
              </w:rPr>
            </w:pPr>
          </w:p>
          <w:p w14:paraId="1E9C9077" w14:textId="77777777" w:rsidR="003D4915" w:rsidRPr="008340BB" w:rsidRDefault="003D4915" w:rsidP="001B661C">
            <w:pPr>
              <w:snapToGrid w:val="0"/>
              <w:rPr>
                <w:sz w:val="18"/>
                <w:szCs w:val="18"/>
              </w:rPr>
            </w:pPr>
            <w:r>
              <w:rPr>
                <w:sz w:val="18"/>
                <w:szCs w:val="18"/>
              </w:rPr>
              <w:t>2013</w:t>
            </w:r>
          </w:p>
        </w:tc>
        <w:tc>
          <w:tcPr>
            <w:tcW w:w="695" w:type="pct"/>
          </w:tcPr>
          <w:p w14:paraId="775EEFB5" w14:textId="61F2B348" w:rsidR="00970A0A" w:rsidRDefault="00970A0A" w:rsidP="005753A0">
            <w:pPr>
              <w:pStyle w:val="ListBullet"/>
              <w:tabs>
                <w:tab w:val="clear" w:pos="360"/>
                <w:tab w:val="left" w:pos="720"/>
              </w:tabs>
              <w:ind w:left="0" w:firstLine="0"/>
              <w:jc w:val="left"/>
              <w:rPr>
                <w:sz w:val="18"/>
                <w:szCs w:val="18"/>
              </w:rPr>
            </w:pPr>
          </w:p>
          <w:p w14:paraId="101EE1BA" w14:textId="77777777" w:rsidR="003D4915" w:rsidRDefault="003D4915" w:rsidP="005753A0">
            <w:pPr>
              <w:pStyle w:val="ListBullet"/>
              <w:tabs>
                <w:tab w:val="clear" w:pos="360"/>
                <w:tab w:val="left" w:pos="720"/>
              </w:tabs>
              <w:ind w:left="0" w:firstLine="0"/>
              <w:jc w:val="left"/>
              <w:rPr>
                <w:sz w:val="18"/>
                <w:szCs w:val="18"/>
              </w:rPr>
            </w:pPr>
          </w:p>
          <w:p w14:paraId="0BC65080" w14:textId="77777777" w:rsidR="003D4915" w:rsidRDefault="003D4915" w:rsidP="005753A0">
            <w:pPr>
              <w:pStyle w:val="ListBullet"/>
              <w:tabs>
                <w:tab w:val="clear" w:pos="360"/>
                <w:tab w:val="left" w:pos="720"/>
              </w:tabs>
              <w:ind w:left="0" w:firstLine="0"/>
              <w:jc w:val="left"/>
              <w:rPr>
                <w:sz w:val="18"/>
                <w:szCs w:val="18"/>
              </w:rPr>
            </w:pPr>
          </w:p>
          <w:p w14:paraId="520AED41" w14:textId="1835FD76" w:rsidR="003D4915" w:rsidRPr="008340BB" w:rsidRDefault="00D63B81" w:rsidP="005753A0">
            <w:pPr>
              <w:pStyle w:val="ListBullet"/>
              <w:tabs>
                <w:tab w:val="clear" w:pos="360"/>
                <w:tab w:val="left" w:pos="720"/>
              </w:tabs>
              <w:ind w:left="0" w:firstLine="0"/>
              <w:jc w:val="left"/>
              <w:rPr>
                <w:sz w:val="18"/>
                <w:szCs w:val="18"/>
              </w:rPr>
            </w:pPr>
            <w:r>
              <w:rPr>
                <w:sz w:val="18"/>
                <w:szCs w:val="18"/>
              </w:rPr>
              <w:t xml:space="preserve">23.49 </w:t>
            </w:r>
          </w:p>
        </w:tc>
        <w:tc>
          <w:tcPr>
            <w:tcW w:w="556" w:type="pct"/>
          </w:tcPr>
          <w:p w14:paraId="083CBDA5" w14:textId="77777777" w:rsidR="00970A0A" w:rsidRPr="008340BB" w:rsidRDefault="00970A0A" w:rsidP="00A0069D">
            <w:pPr>
              <w:pStyle w:val="ListBullet"/>
              <w:tabs>
                <w:tab w:val="clear" w:pos="360"/>
                <w:tab w:val="left" w:pos="720"/>
              </w:tabs>
              <w:ind w:left="0" w:firstLine="0"/>
              <w:jc w:val="left"/>
              <w:rPr>
                <w:sz w:val="18"/>
                <w:szCs w:val="18"/>
              </w:rPr>
            </w:pPr>
            <w:r w:rsidRPr="00970A0A">
              <w:rPr>
                <w:sz w:val="18"/>
                <w:szCs w:val="18"/>
              </w:rPr>
              <w:t>Executive Agency for Exploration and Maintenance of the Danube River</w:t>
            </w:r>
          </w:p>
        </w:tc>
        <w:tc>
          <w:tcPr>
            <w:tcW w:w="418" w:type="pct"/>
          </w:tcPr>
          <w:p w14:paraId="1D440D0E" w14:textId="77777777" w:rsidR="00970A0A" w:rsidRPr="004F2F5A" w:rsidRDefault="00970A0A" w:rsidP="001B661C">
            <w:pPr>
              <w:pStyle w:val="ListBullet"/>
              <w:tabs>
                <w:tab w:val="clear" w:pos="360"/>
                <w:tab w:val="left" w:pos="720"/>
              </w:tabs>
              <w:ind w:left="0" w:firstLine="0"/>
              <w:jc w:val="left"/>
              <w:rPr>
                <w:sz w:val="18"/>
                <w:szCs w:val="18"/>
              </w:rPr>
            </w:pPr>
            <w:r w:rsidRPr="00970A0A">
              <w:rPr>
                <w:sz w:val="18"/>
                <w:szCs w:val="18"/>
              </w:rPr>
              <w:t>annually</w:t>
            </w:r>
          </w:p>
        </w:tc>
      </w:tr>
      <w:tr w:rsidR="00C51854" w:rsidRPr="008340BB" w14:paraId="5CF4DD77" w14:textId="77777777" w:rsidTr="001B661C">
        <w:trPr>
          <w:trHeight w:val="1729"/>
        </w:trPr>
        <w:tc>
          <w:tcPr>
            <w:tcW w:w="436" w:type="pct"/>
          </w:tcPr>
          <w:p w14:paraId="0D4A718E" w14:textId="74873C85" w:rsidR="00C51854" w:rsidRPr="008340BB" w:rsidRDefault="00DA74CA" w:rsidP="001B661C">
            <w:pPr>
              <w:pStyle w:val="Text1"/>
              <w:ind w:left="0"/>
              <w:jc w:val="left"/>
              <w:rPr>
                <w:sz w:val="18"/>
                <w:szCs w:val="18"/>
                <w:lang w:val="en-GB" w:eastAsia="en-GB"/>
              </w:rPr>
            </w:pPr>
            <w:r>
              <w:rPr>
                <w:sz w:val="18"/>
                <w:szCs w:val="18"/>
                <w:lang w:val="en-GB" w:eastAsia="en-GB"/>
              </w:rPr>
              <w:t>2</w:t>
            </w:r>
          </w:p>
        </w:tc>
        <w:tc>
          <w:tcPr>
            <w:tcW w:w="748" w:type="pct"/>
          </w:tcPr>
          <w:p w14:paraId="7BF31A57" w14:textId="67A82D8E" w:rsidR="001654DE" w:rsidRPr="008340BB" w:rsidRDefault="00C51854" w:rsidP="00BA736F">
            <w:pPr>
              <w:pStyle w:val="Text1"/>
              <w:spacing w:after="0"/>
              <w:ind w:left="0"/>
              <w:jc w:val="left"/>
              <w:rPr>
                <w:sz w:val="18"/>
                <w:szCs w:val="18"/>
                <w:lang w:val="en-GB" w:eastAsia="en-GB"/>
              </w:rPr>
            </w:pPr>
            <w:r w:rsidRPr="00C51854">
              <w:rPr>
                <w:sz w:val="18"/>
                <w:szCs w:val="18"/>
                <w:lang w:val="en-US" w:eastAsia="en-GB"/>
              </w:rPr>
              <w:t>Ship-generated waste and cargo residues treated in the ports</w:t>
            </w:r>
          </w:p>
        </w:tc>
        <w:tc>
          <w:tcPr>
            <w:tcW w:w="625" w:type="pct"/>
          </w:tcPr>
          <w:p w14:paraId="7B946808" w14:textId="77777777" w:rsidR="00C51854" w:rsidRDefault="00C51854" w:rsidP="001B661C">
            <w:pPr>
              <w:snapToGrid w:val="0"/>
              <w:rPr>
                <w:sz w:val="18"/>
                <w:szCs w:val="18"/>
              </w:rPr>
            </w:pPr>
            <w:r w:rsidRPr="00C51854">
              <w:rPr>
                <w:sz w:val="18"/>
                <w:szCs w:val="18"/>
              </w:rPr>
              <w:t>m</w:t>
            </w:r>
            <w:r w:rsidRPr="00C51854">
              <w:rPr>
                <w:sz w:val="18"/>
                <w:szCs w:val="18"/>
                <w:vertAlign w:val="superscript"/>
              </w:rPr>
              <w:t>3</w:t>
            </w:r>
            <w:r w:rsidRPr="00C51854">
              <w:rPr>
                <w:sz w:val="18"/>
                <w:szCs w:val="18"/>
              </w:rPr>
              <w:t>/year</w:t>
            </w:r>
          </w:p>
          <w:p w14:paraId="4AD1AA40" w14:textId="77777777" w:rsidR="001654DE" w:rsidRDefault="001654DE" w:rsidP="001B661C">
            <w:pPr>
              <w:snapToGrid w:val="0"/>
              <w:rPr>
                <w:sz w:val="18"/>
                <w:szCs w:val="18"/>
              </w:rPr>
            </w:pPr>
          </w:p>
          <w:p w14:paraId="38467FEE" w14:textId="77F4CA67" w:rsidR="001654DE" w:rsidRPr="008340BB" w:rsidRDefault="001654DE" w:rsidP="001B661C">
            <w:pPr>
              <w:snapToGrid w:val="0"/>
              <w:rPr>
                <w:sz w:val="18"/>
                <w:szCs w:val="18"/>
              </w:rPr>
            </w:pPr>
          </w:p>
        </w:tc>
        <w:tc>
          <w:tcPr>
            <w:tcW w:w="517" w:type="pct"/>
          </w:tcPr>
          <w:p w14:paraId="03A69EE9" w14:textId="6B57B77B" w:rsidR="00C03982" w:rsidRPr="008340BB" w:rsidRDefault="00C51854" w:rsidP="001B661C">
            <w:pPr>
              <w:pStyle w:val="ListBullet"/>
              <w:tabs>
                <w:tab w:val="clear" w:pos="360"/>
                <w:tab w:val="left" w:pos="720"/>
              </w:tabs>
              <w:ind w:left="0" w:firstLine="0"/>
              <w:jc w:val="left"/>
              <w:rPr>
                <w:sz w:val="18"/>
                <w:szCs w:val="18"/>
              </w:rPr>
            </w:pPr>
            <w:r w:rsidRPr="00C51854">
              <w:rPr>
                <w:sz w:val="18"/>
                <w:szCs w:val="18"/>
              </w:rPr>
              <w:t>Less developed</w:t>
            </w:r>
          </w:p>
        </w:tc>
        <w:tc>
          <w:tcPr>
            <w:tcW w:w="548" w:type="pct"/>
          </w:tcPr>
          <w:p w14:paraId="09FF033D" w14:textId="4F6185B5" w:rsidR="006B54AB" w:rsidRDefault="00C51854" w:rsidP="00C362DA">
            <w:pPr>
              <w:pStyle w:val="ListBullet"/>
              <w:tabs>
                <w:tab w:val="clear" w:pos="360"/>
                <w:tab w:val="left" w:pos="720"/>
              </w:tabs>
              <w:spacing w:after="0"/>
              <w:ind w:left="0" w:firstLine="0"/>
              <w:contextualSpacing w:val="0"/>
              <w:jc w:val="left"/>
              <w:rPr>
                <w:sz w:val="18"/>
                <w:szCs w:val="18"/>
              </w:rPr>
            </w:pPr>
            <w:r w:rsidRPr="00C51854">
              <w:rPr>
                <w:sz w:val="18"/>
                <w:szCs w:val="18"/>
              </w:rPr>
              <w:t>0</w:t>
            </w:r>
          </w:p>
          <w:p w14:paraId="2A2B1521" w14:textId="60E630AE" w:rsidR="006B54AB" w:rsidRPr="00A16FCE" w:rsidRDefault="006B54AB" w:rsidP="00C362DA">
            <w:pPr>
              <w:pStyle w:val="ListBullet"/>
              <w:tabs>
                <w:tab w:val="clear" w:pos="360"/>
                <w:tab w:val="left" w:pos="720"/>
              </w:tabs>
              <w:spacing w:after="0"/>
              <w:ind w:left="0" w:firstLine="0"/>
              <w:contextualSpacing w:val="0"/>
              <w:jc w:val="left"/>
              <w:rPr>
                <w:sz w:val="18"/>
                <w:szCs w:val="18"/>
              </w:rPr>
            </w:pPr>
          </w:p>
        </w:tc>
        <w:tc>
          <w:tcPr>
            <w:tcW w:w="457" w:type="pct"/>
          </w:tcPr>
          <w:p w14:paraId="51D66D93" w14:textId="15C6F70B" w:rsidR="00C03982" w:rsidRPr="008340BB" w:rsidRDefault="00C51854" w:rsidP="001B661C">
            <w:pPr>
              <w:snapToGrid w:val="0"/>
              <w:rPr>
                <w:sz w:val="18"/>
                <w:szCs w:val="18"/>
              </w:rPr>
            </w:pPr>
            <w:r w:rsidRPr="00C51854">
              <w:rPr>
                <w:sz w:val="18"/>
                <w:szCs w:val="18"/>
              </w:rPr>
              <w:t>2013</w:t>
            </w:r>
          </w:p>
        </w:tc>
        <w:tc>
          <w:tcPr>
            <w:tcW w:w="695" w:type="pct"/>
          </w:tcPr>
          <w:p w14:paraId="605F9D18" w14:textId="5A76FE89" w:rsidR="00A16FCE" w:rsidRDefault="00D60326" w:rsidP="005753A0">
            <w:pPr>
              <w:pStyle w:val="ListBullet"/>
              <w:tabs>
                <w:tab w:val="clear" w:pos="360"/>
                <w:tab w:val="left" w:pos="720"/>
              </w:tabs>
              <w:ind w:left="0" w:firstLine="0"/>
              <w:jc w:val="left"/>
              <w:rPr>
                <w:sz w:val="18"/>
                <w:szCs w:val="18"/>
              </w:rPr>
            </w:pPr>
            <w:r>
              <w:rPr>
                <w:sz w:val="18"/>
                <w:szCs w:val="18"/>
                <w:lang w:val="bg-BG"/>
              </w:rPr>
              <w:t>1</w:t>
            </w:r>
            <w:r w:rsidR="00C51854" w:rsidRPr="00C51854">
              <w:rPr>
                <w:sz w:val="18"/>
                <w:szCs w:val="18"/>
              </w:rPr>
              <w:t>0 000</w:t>
            </w:r>
          </w:p>
          <w:p w14:paraId="557FEB70" w14:textId="77777777" w:rsidR="00A16FCE" w:rsidRDefault="00A16FCE" w:rsidP="005753A0">
            <w:pPr>
              <w:pStyle w:val="ListBullet"/>
              <w:tabs>
                <w:tab w:val="clear" w:pos="360"/>
                <w:tab w:val="left" w:pos="720"/>
              </w:tabs>
              <w:ind w:left="0" w:firstLine="0"/>
              <w:jc w:val="left"/>
              <w:rPr>
                <w:sz w:val="18"/>
                <w:szCs w:val="18"/>
              </w:rPr>
            </w:pPr>
          </w:p>
          <w:p w14:paraId="2A369165" w14:textId="7C1B28FA" w:rsidR="00A16FCE" w:rsidRPr="006D0739" w:rsidRDefault="00A16FCE" w:rsidP="005753A0">
            <w:pPr>
              <w:pStyle w:val="ListBullet"/>
              <w:tabs>
                <w:tab w:val="clear" w:pos="360"/>
                <w:tab w:val="left" w:pos="720"/>
              </w:tabs>
              <w:ind w:left="0" w:firstLine="0"/>
              <w:jc w:val="left"/>
              <w:rPr>
                <w:sz w:val="18"/>
                <w:szCs w:val="18"/>
                <w:lang w:val="bg-BG"/>
              </w:rPr>
            </w:pPr>
          </w:p>
        </w:tc>
        <w:tc>
          <w:tcPr>
            <w:tcW w:w="556" w:type="pct"/>
          </w:tcPr>
          <w:p w14:paraId="0A74A63D" w14:textId="52BC3C05" w:rsidR="00C51854" w:rsidRPr="008340BB" w:rsidRDefault="00C51854" w:rsidP="00A0069D">
            <w:pPr>
              <w:pStyle w:val="ListBullet"/>
              <w:tabs>
                <w:tab w:val="clear" w:pos="360"/>
                <w:tab w:val="left" w:pos="720"/>
              </w:tabs>
              <w:ind w:left="0" w:firstLine="0"/>
              <w:jc w:val="left"/>
              <w:rPr>
                <w:sz w:val="18"/>
                <w:szCs w:val="18"/>
              </w:rPr>
            </w:pPr>
            <w:r w:rsidRPr="00C51854">
              <w:rPr>
                <w:sz w:val="18"/>
                <w:szCs w:val="18"/>
              </w:rPr>
              <w:t>State Enterprise Port Infrastructure</w:t>
            </w:r>
          </w:p>
        </w:tc>
        <w:tc>
          <w:tcPr>
            <w:tcW w:w="418" w:type="pct"/>
          </w:tcPr>
          <w:p w14:paraId="381A1DC5" w14:textId="77E4B0CA" w:rsidR="00C03982" w:rsidRPr="004F2F5A" w:rsidRDefault="00C51854" w:rsidP="001B661C">
            <w:pPr>
              <w:pStyle w:val="ListBullet"/>
              <w:tabs>
                <w:tab w:val="clear" w:pos="360"/>
                <w:tab w:val="left" w:pos="720"/>
              </w:tabs>
              <w:ind w:left="0" w:firstLine="0"/>
              <w:jc w:val="left"/>
              <w:rPr>
                <w:sz w:val="18"/>
                <w:szCs w:val="18"/>
              </w:rPr>
            </w:pPr>
            <w:r w:rsidRPr="00970A0A">
              <w:rPr>
                <w:sz w:val="18"/>
                <w:szCs w:val="18"/>
              </w:rPr>
              <w:t>annually</w:t>
            </w:r>
          </w:p>
        </w:tc>
      </w:tr>
    </w:tbl>
    <w:p w14:paraId="5F8CC222" w14:textId="77777777" w:rsidR="00F1341F" w:rsidRPr="008340BB" w:rsidRDefault="00F1341F" w:rsidP="00C37144">
      <w:pPr>
        <w:suppressAutoHyphens/>
        <w:rPr>
          <w:b/>
        </w:rPr>
      </w:pPr>
    </w:p>
    <w:p w14:paraId="4D7C34D8" w14:textId="659D1C90" w:rsidR="00CD3953" w:rsidRPr="000E0DA5" w:rsidRDefault="00CD3953" w:rsidP="00D2262C">
      <w:pPr>
        <w:spacing w:before="0" w:after="200" w:line="276" w:lineRule="auto"/>
        <w:rPr>
          <w:sz w:val="22"/>
          <w:szCs w:val="22"/>
          <w:lang w:val="en-US" w:eastAsia="en-US"/>
        </w:rPr>
      </w:pPr>
      <w:r>
        <w:rPr>
          <w:sz w:val="22"/>
          <w:szCs w:val="22"/>
          <w:lang w:val="en-US" w:eastAsia="en-US"/>
        </w:rPr>
        <w:t>The output data for the indicator are collected</w:t>
      </w:r>
      <w:r w:rsidRPr="00CD3953">
        <w:rPr>
          <w:sz w:val="22"/>
          <w:szCs w:val="22"/>
          <w:lang w:val="en-US" w:eastAsia="en-US"/>
        </w:rPr>
        <w:t xml:space="preserve"> </w:t>
      </w:r>
      <w:r w:rsidR="001E0609">
        <w:rPr>
          <w:sz w:val="22"/>
          <w:szCs w:val="22"/>
          <w:lang w:val="en-US" w:eastAsia="en-US"/>
        </w:rPr>
        <w:t>based on</w:t>
      </w:r>
      <w:r>
        <w:rPr>
          <w:sz w:val="22"/>
          <w:szCs w:val="22"/>
          <w:lang w:val="en-US" w:eastAsia="en-US"/>
        </w:rPr>
        <w:t xml:space="preserve"> the number of days with not fulfilled requirements of the Danube Commission</w:t>
      </w:r>
      <w:r w:rsidRPr="00CD3953">
        <w:rPr>
          <w:sz w:val="22"/>
          <w:szCs w:val="22"/>
          <w:lang w:val="en-US" w:eastAsia="en-US"/>
        </w:rPr>
        <w:t xml:space="preserve">. </w:t>
      </w:r>
      <w:r>
        <w:rPr>
          <w:sz w:val="22"/>
          <w:szCs w:val="22"/>
          <w:lang w:val="en-US" w:eastAsia="en-US"/>
        </w:rPr>
        <w:t>Bulgarian section for navigation is separated on 3</w:t>
      </w:r>
      <w:r w:rsidRPr="00CD3953">
        <w:rPr>
          <w:sz w:val="22"/>
          <w:szCs w:val="22"/>
          <w:lang w:val="en-US" w:eastAsia="en-US"/>
        </w:rPr>
        <w:t xml:space="preserve"> </w:t>
      </w:r>
      <w:r>
        <w:rPr>
          <w:sz w:val="22"/>
          <w:szCs w:val="22"/>
          <w:lang w:val="en-US" w:eastAsia="en-US"/>
        </w:rPr>
        <w:t>regions</w:t>
      </w:r>
      <w:r w:rsidRPr="00CD3953">
        <w:rPr>
          <w:sz w:val="22"/>
          <w:szCs w:val="22"/>
          <w:lang w:val="en-US" w:eastAsia="en-US"/>
        </w:rPr>
        <w:t xml:space="preserve"> (</w:t>
      </w:r>
      <w:r>
        <w:rPr>
          <w:sz w:val="22"/>
          <w:szCs w:val="22"/>
          <w:lang w:val="en-US" w:eastAsia="en-US"/>
        </w:rPr>
        <w:t>Svishtov</w:t>
      </w:r>
      <w:r w:rsidRPr="00CD3953">
        <w:rPr>
          <w:sz w:val="22"/>
          <w:szCs w:val="22"/>
          <w:lang w:val="en-US" w:eastAsia="en-US"/>
        </w:rPr>
        <w:t xml:space="preserve">, </w:t>
      </w:r>
      <w:r>
        <w:rPr>
          <w:sz w:val="22"/>
          <w:szCs w:val="22"/>
          <w:lang w:val="en-US" w:eastAsia="en-US"/>
        </w:rPr>
        <w:t>Ruse</w:t>
      </w:r>
      <w:r w:rsidRPr="00CD3953">
        <w:rPr>
          <w:sz w:val="22"/>
          <w:szCs w:val="22"/>
          <w:lang w:val="en-US" w:eastAsia="en-US"/>
        </w:rPr>
        <w:t xml:space="preserve"> </w:t>
      </w:r>
      <w:r>
        <w:rPr>
          <w:sz w:val="22"/>
          <w:szCs w:val="22"/>
          <w:lang w:val="en-US" w:eastAsia="en-US"/>
        </w:rPr>
        <w:t>and</w:t>
      </w:r>
      <w:r w:rsidRPr="00CD3953">
        <w:rPr>
          <w:sz w:val="22"/>
          <w:szCs w:val="22"/>
          <w:lang w:val="en-US" w:eastAsia="en-US"/>
        </w:rPr>
        <w:t xml:space="preserve"> </w:t>
      </w:r>
      <w:r>
        <w:rPr>
          <w:sz w:val="22"/>
          <w:szCs w:val="22"/>
          <w:lang w:val="en-US" w:eastAsia="en-US"/>
        </w:rPr>
        <w:t xml:space="preserve">Silistra) and the water levels of each region are defined according to the basic water </w:t>
      </w:r>
      <w:r w:rsidRPr="00CD3953">
        <w:rPr>
          <w:sz w:val="22"/>
          <w:szCs w:val="22"/>
          <w:lang w:val="en-US" w:eastAsia="en-US"/>
        </w:rPr>
        <w:t xml:space="preserve"> </w:t>
      </w:r>
      <w:r>
        <w:rPr>
          <w:sz w:val="22"/>
          <w:szCs w:val="22"/>
          <w:lang w:val="en-US" w:eastAsia="en-US"/>
        </w:rPr>
        <w:t>pegel</w:t>
      </w:r>
      <w:r w:rsidRPr="00CD3953">
        <w:rPr>
          <w:sz w:val="22"/>
          <w:szCs w:val="22"/>
          <w:lang w:val="en-US" w:eastAsia="en-US"/>
        </w:rPr>
        <w:t xml:space="preserve">, </w:t>
      </w:r>
      <w:r w:rsidR="0071563E">
        <w:rPr>
          <w:sz w:val="22"/>
          <w:szCs w:val="22"/>
          <w:lang w:val="en-US" w:eastAsia="en-US"/>
        </w:rPr>
        <w:t>placed</w:t>
      </w:r>
      <w:r w:rsidRPr="00CD3953">
        <w:rPr>
          <w:sz w:val="22"/>
          <w:szCs w:val="22"/>
          <w:lang w:val="en-US" w:eastAsia="en-US"/>
        </w:rPr>
        <w:t xml:space="preserve"> </w:t>
      </w:r>
      <w:r w:rsidR="0071563E">
        <w:rPr>
          <w:sz w:val="22"/>
          <w:szCs w:val="22"/>
          <w:lang w:val="en-US" w:eastAsia="en-US"/>
        </w:rPr>
        <w:t>in the relevant area namely at the towns</w:t>
      </w:r>
      <w:r w:rsidRPr="00CD3953">
        <w:rPr>
          <w:sz w:val="22"/>
          <w:szCs w:val="22"/>
          <w:lang w:val="en-US" w:eastAsia="en-US"/>
        </w:rPr>
        <w:t xml:space="preserve"> </w:t>
      </w:r>
      <w:r w:rsidR="0071563E">
        <w:rPr>
          <w:sz w:val="22"/>
          <w:szCs w:val="22"/>
          <w:lang w:val="en-US" w:eastAsia="en-US"/>
        </w:rPr>
        <w:t>Svishtov</w:t>
      </w:r>
      <w:r w:rsidRPr="00CD3953">
        <w:rPr>
          <w:sz w:val="22"/>
          <w:szCs w:val="22"/>
          <w:lang w:val="en-US" w:eastAsia="en-US"/>
        </w:rPr>
        <w:t xml:space="preserve">, </w:t>
      </w:r>
      <w:r w:rsidR="0071563E">
        <w:rPr>
          <w:sz w:val="22"/>
          <w:szCs w:val="22"/>
          <w:lang w:val="en-US" w:eastAsia="en-US"/>
        </w:rPr>
        <w:t>Ruse</w:t>
      </w:r>
      <w:r w:rsidRPr="00CD3953">
        <w:rPr>
          <w:sz w:val="22"/>
          <w:szCs w:val="22"/>
          <w:lang w:val="en-US" w:eastAsia="en-US"/>
        </w:rPr>
        <w:t xml:space="preserve"> </w:t>
      </w:r>
      <w:r w:rsidR="0071563E">
        <w:rPr>
          <w:sz w:val="22"/>
          <w:szCs w:val="22"/>
          <w:lang w:val="en-US" w:eastAsia="en-US"/>
        </w:rPr>
        <w:t>and</w:t>
      </w:r>
      <w:r w:rsidRPr="00CD3953">
        <w:rPr>
          <w:sz w:val="22"/>
          <w:szCs w:val="22"/>
          <w:lang w:val="en-US" w:eastAsia="en-US"/>
        </w:rPr>
        <w:t xml:space="preserve"> </w:t>
      </w:r>
      <w:r w:rsidR="0071563E">
        <w:rPr>
          <w:sz w:val="22"/>
          <w:szCs w:val="22"/>
          <w:lang w:val="en-US" w:eastAsia="en-US"/>
        </w:rPr>
        <w:t>Silistra</w:t>
      </w:r>
      <w:r w:rsidRPr="00CD3953">
        <w:rPr>
          <w:sz w:val="22"/>
          <w:szCs w:val="22"/>
          <w:lang w:val="en-US" w:eastAsia="en-US"/>
        </w:rPr>
        <w:t xml:space="preserve">. </w:t>
      </w:r>
      <w:r w:rsidR="0071563E">
        <w:rPr>
          <w:sz w:val="22"/>
          <w:szCs w:val="22"/>
          <w:lang w:val="en-US" w:eastAsia="en-US"/>
        </w:rPr>
        <w:t xml:space="preserve">The baseline value was defined </w:t>
      </w:r>
      <w:r w:rsidR="007131B1">
        <w:rPr>
          <w:sz w:val="22"/>
          <w:szCs w:val="22"/>
          <w:lang w:val="en-US" w:eastAsia="en-US"/>
        </w:rPr>
        <w:t>according to</w:t>
      </w:r>
      <w:r w:rsidR="0071563E">
        <w:rPr>
          <w:sz w:val="22"/>
          <w:szCs w:val="22"/>
          <w:lang w:val="en-US" w:eastAsia="en-US"/>
        </w:rPr>
        <w:t xml:space="preserve"> the number of days with not fulfilled requirements of the Danube </w:t>
      </w:r>
      <w:r w:rsidR="0071563E">
        <w:rPr>
          <w:sz w:val="22"/>
          <w:szCs w:val="22"/>
          <w:lang w:val="en-US" w:eastAsia="en-US"/>
        </w:rPr>
        <w:lastRenderedPageBreak/>
        <w:t xml:space="preserve">Commission </w:t>
      </w:r>
      <w:r w:rsidR="00F837B2">
        <w:rPr>
          <w:sz w:val="22"/>
          <w:szCs w:val="22"/>
          <w:lang w:val="en-US" w:eastAsia="en-US"/>
        </w:rPr>
        <w:t>in the areas of Svishtov</w:t>
      </w:r>
      <w:r w:rsidRPr="00CD3953">
        <w:rPr>
          <w:sz w:val="22"/>
          <w:szCs w:val="22"/>
          <w:lang w:val="en-US" w:eastAsia="en-US"/>
        </w:rPr>
        <w:t xml:space="preserve">, </w:t>
      </w:r>
      <w:r w:rsidR="00F837B2">
        <w:rPr>
          <w:sz w:val="22"/>
          <w:szCs w:val="22"/>
          <w:lang w:val="en-US" w:eastAsia="en-US"/>
        </w:rPr>
        <w:t>Ruse</w:t>
      </w:r>
      <w:r w:rsidRPr="00CD3953">
        <w:rPr>
          <w:sz w:val="22"/>
          <w:szCs w:val="22"/>
          <w:lang w:val="en-US" w:eastAsia="en-US"/>
        </w:rPr>
        <w:t xml:space="preserve"> </w:t>
      </w:r>
      <w:r w:rsidR="00F837B2">
        <w:rPr>
          <w:sz w:val="22"/>
          <w:szCs w:val="22"/>
          <w:lang w:val="en-US" w:eastAsia="en-US"/>
        </w:rPr>
        <w:t>and</w:t>
      </w:r>
      <w:r w:rsidRPr="00CD3953">
        <w:rPr>
          <w:sz w:val="22"/>
          <w:szCs w:val="22"/>
          <w:lang w:val="en-US" w:eastAsia="en-US"/>
        </w:rPr>
        <w:t xml:space="preserve"> </w:t>
      </w:r>
      <w:r w:rsidR="00F837B2">
        <w:rPr>
          <w:sz w:val="22"/>
          <w:szCs w:val="22"/>
          <w:lang w:val="en-US" w:eastAsia="en-US"/>
        </w:rPr>
        <w:t>Silistra</w:t>
      </w:r>
      <w:r w:rsidRPr="00CD3953">
        <w:rPr>
          <w:sz w:val="22"/>
          <w:szCs w:val="22"/>
          <w:lang w:val="en-US" w:eastAsia="en-US"/>
        </w:rPr>
        <w:t xml:space="preserve"> </w:t>
      </w:r>
      <w:r w:rsidR="00F837B2">
        <w:rPr>
          <w:sz w:val="22"/>
          <w:szCs w:val="22"/>
          <w:lang w:val="en-US" w:eastAsia="en-US"/>
        </w:rPr>
        <w:t xml:space="preserve">collected for the past </w:t>
      </w:r>
      <w:r w:rsidRPr="00CD3953">
        <w:rPr>
          <w:sz w:val="22"/>
          <w:szCs w:val="22"/>
          <w:lang w:val="en-US" w:eastAsia="en-US"/>
        </w:rPr>
        <w:t xml:space="preserve">10 </w:t>
      </w:r>
      <w:r w:rsidR="00F837B2">
        <w:rPr>
          <w:sz w:val="22"/>
          <w:szCs w:val="22"/>
          <w:lang w:val="en-US" w:eastAsia="en-US"/>
        </w:rPr>
        <w:t>years</w:t>
      </w:r>
      <w:r w:rsidRPr="00CD3953">
        <w:rPr>
          <w:sz w:val="22"/>
          <w:szCs w:val="22"/>
          <w:lang w:val="en-US" w:eastAsia="en-US"/>
        </w:rPr>
        <w:t xml:space="preserve"> (2004-2013). </w:t>
      </w:r>
      <w:r w:rsidR="00F837B2">
        <w:rPr>
          <w:sz w:val="22"/>
          <w:szCs w:val="22"/>
          <w:lang w:val="en-US" w:eastAsia="en-US"/>
        </w:rPr>
        <w:t xml:space="preserve">Our prognosis are </w:t>
      </w:r>
      <w:r w:rsidR="00D05AD1">
        <w:rPr>
          <w:sz w:val="22"/>
          <w:szCs w:val="22"/>
          <w:lang w:val="en-US" w:eastAsia="en-US"/>
        </w:rPr>
        <w:t>to achieve decrease in</w:t>
      </w:r>
      <w:r w:rsidRPr="00CD3953">
        <w:rPr>
          <w:sz w:val="22"/>
          <w:szCs w:val="22"/>
          <w:lang w:val="en-US" w:eastAsia="en-US"/>
        </w:rPr>
        <w:t xml:space="preserve"> 2023 </w:t>
      </w:r>
      <w:r w:rsidR="00D05AD1">
        <w:rPr>
          <w:sz w:val="22"/>
          <w:szCs w:val="22"/>
          <w:lang w:val="en-US" w:eastAsia="en-US"/>
        </w:rPr>
        <w:t>from</w:t>
      </w:r>
      <w:r w:rsidR="001E0609">
        <w:rPr>
          <w:sz w:val="22"/>
          <w:szCs w:val="22"/>
          <w:lang w:val="en-US" w:eastAsia="en-US"/>
        </w:rPr>
        <w:t xml:space="preserve"> 9</w:t>
      </w:r>
      <w:r w:rsidR="00495ED3">
        <w:rPr>
          <w:sz w:val="22"/>
          <w:szCs w:val="22"/>
          <w:lang w:val="en-US" w:eastAsia="en-US"/>
        </w:rPr>
        <w:t>6.2</w:t>
      </w:r>
      <w:r w:rsidRPr="00CD3953">
        <w:rPr>
          <w:sz w:val="22"/>
          <w:szCs w:val="22"/>
          <w:lang w:val="en-US" w:eastAsia="en-US"/>
        </w:rPr>
        <w:t xml:space="preserve"> </w:t>
      </w:r>
      <w:r w:rsidR="00D05AD1">
        <w:rPr>
          <w:sz w:val="22"/>
          <w:szCs w:val="22"/>
          <w:lang w:val="en-US" w:eastAsia="en-US"/>
        </w:rPr>
        <w:t>to</w:t>
      </w:r>
      <w:r w:rsidRPr="00CD3953">
        <w:rPr>
          <w:sz w:val="22"/>
          <w:szCs w:val="22"/>
          <w:lang w:val="en-US" w:eastAsia="en-US"/>
        </w:rPr>
        <w:t xml:space="preserve"> 8</w:t>
      </w:r>
      <w:r w:rsidR="00495ED3">
        <w:rPr>
          <w:sz w:val="22"/>
          <w:szCs w:val="22"/>
          <w:lang w:val="en-US" w:eastAsia="en-US"/>
        </w:rPr>
        <w:t>5.</w:t>
      </w:r>
      <w:r w:rsidR="00C77AA2">
        <w:rPr>
          <w:sz w:val="22"/>
          <w:szCs w:val="22"/>
          <w:lang w:val="en-US" w:eastAsia="en-US"/>
        </w:rPr>
        <w:t>8</w:t>
      </w:r>
      <w:r w:rsidRPr="00CD3953">
        <w:rPr>
          <w:sz w:val="22"/>
          <w:szCs w:val="22"/>
          <w:lang w:val="en-US" w:eastAsia="en-US"/>
        </w:rPr>
        <w:t xml:space="preserve"> </w:t>
      </w:r>
      <w:r w:rsidR="00D05AD1">
        <w:rPr>
          <w:sz w:val="22"/>
          <w:szCs w:val="22"/>
          <w:lang w:val="en-US" w:eastAsia="en-US"/>
        </w:rPr>
        <w:t>a</w:t>
      </w:r>
      <w:r w:rsidR="00D05AD1" w:rsidRPr="00D05AD1">
        <w:rPr>
          <w:sz w:val="22"/>
          <w:szCs w:val="22"/>
          <w:lang w:val="en-US" w:eastAsia="en-US"/>
        </w:rPr>
        <w:t xml:space="preserve">verage multiannual number of days with bottlenecks at water levels above LNWL </w:t>
      </w:r>
      <w:r w:rsidR="00D05AD1">
        <w:rPr>
          <w:sz w:val="22"/>
          <w:szCs w:val="22"/>
          <w:lang w:val="en-US" w:eastAsia="en-US"/>
        </w:rPr>
        <w:t>in Bulgarian section</w:t>
      </w:r>
      <w:r w:rsidRPr="00CD3953">
        <w:rPr>
          <w:sz w:val="22"/>
          <w:szCs w:val="22"/>
          <w:lang w:val="en-US" w:eastAsia="en-US"/>
        </w:rPr>
        <w:t>: 8</w:t>
      </w:r>
      <w:r w:rsidR="00495ED3">
        <w:rPr>
          <w:sz w:val="22"/>
          <w:szCs w:val="22"/>
          <w:lang w:val="en-US" w:eastAsia="en-US"/>
        </w:rPr>
        <w:t>5.8</w:t>
      </w:r>
      <w:r w:rsidRPr="00CD3953">
        <w:rPr>
          <w:sz w:val="22"/>
          <w:szCs w:val="22"/>
          <w:lang w:val="en-US" w:eastAsia="en-US"/>
        </w:rPr>
        <w:t>:365,24х100 = 2</w:t>
      </w:r>
      <w:r w:rsidR="00495ED3">
        <w:rPr>
          <w:sz w:val="22"/>
          <w:szCs w:val="22"/>
          <w:lang w:val="en-US" w:eastAsia="en-US"/>
        </w:rPr>
        <w:t>3</w:t>
      </w:r>
      <w:r w:rsidRPr="00CD3953">
        <w:rPr>
          <w:sz w:val="22"/>
          <w:szCs w:val="22"/>
          <w:lang w:val="en-US" w:eastAsia="en-US"/>
        </w:rPr>
        <w:t>.</w:t>
      </w:r>
      <w:r w:rsidR="00495ED3">
        <w:rPr>
          <w:sz w:val="22"/>
          <w:szCs w:val="22"/>
          <w:lang w:val="en-US" w:eastAsia="en-US"/>
        </w:rPr>
        <w:t>4</w:t>
      </w:r>
      <w:r w:rsidRPr="00CD3953">
        <w:rPr>
          <w:sz w:val="22"/>
          <w:szCs w:val="22"/>
          <w:lang w:val="en-US" w:eastAsia="en-US"/>
        </w:rPr>
        <w:t>9 %.</w:t>
      </w:r>
    </w:p>
    <w:p w14:paraId="3104333D" w14:textId="59D593E5" w:rsidR="000E0DA5" w:rsidRDefault="000E0DA5" w:rsidP="000E0DA5">
      <w:pPr>
        <w:spacing w:before="0" w:after="200" w:line="276" w:lineRule="auto"/>
        <w:rPr>
          <w:sz w:val="22"/>
          <w:szCs w:val="22"/>
          <w:lang w:val="en-US" w:eastAsia="en-US"/>
        </w:rPr>
      </w:pPr>
      <w:r w:rsidRPr="000E0DA5">
        <w:rPr>
          <w:sz w:val="22"/>
          <w:szCs w:val="22"/>
          <w:lang w:val="en-US" w:eastAsia="en-US"/>
        </w:rPr>
        <w:t xml:space="preserve">The base value for the indicator regarding the ship-generated wastes and cargo residuals is set based on the statistics for wastes delivered for treatment in the two maritime ports in 2013. The target value </w:t>
      </w:r>
      <w:r w:rsidR="007515DD">
        <w:rPr>
          <w:sz w:val="22"/>
          <w:szCs w:val="22"/>
          <w:lang w:val="en-US" w:eastAsia="en-US"/>
        </w:rPr>
        <w:t>was</w:t>
      </w:r>
      <w:r w:rsidRPr="000E0DA5">
        <w:rPr>
          <w:sz w:val="22"/>
          <w:szCs w:val="22"/>
          <w:lang w:val="en-US" w:eastAsia="en-US"/>
        </w:rPr>
        <w:t xml:space="preserve"> </w:t>
      </w:r>
      <w:r w:rsidR="00C73CE9">
        <w:rPr>
          <w:sz w:val="22"/>
          <w:szCs w:val="22"/>
          <w:lang w:val="en-US" w:eastAsia="en-US"/>
        </w:rPr>
        <w:t xml:space="preserve">initially </w:t>
      </w:r>
      <w:r w:rsidRPr="000E0DA5">
        <w:rPr>
          <w:sz w:val="22"/>
          <w:szCs w:val="22"/>
          <w:lang w:val="en-US" w:eastAsia="en-US"/>
        </w:rPr>
        <w:t>set assuming annual growth rate of 10%, which sh</w:t>
      </w:r>
      <w:r w:rsidR="007515DD">
        <w:rPr>
          <w:sz w:val="22"/>
          <w:szCs w:val="22"/>
          <w:lang w:val="en-US" w:eastAsia="en-US"/>
        </w:rPr>
        <w:t>ould</w:t>
      </w:r>
      <w:r w:rsidRPr="000E0DA5">
        <w:rPr>
          <w:sz w:val="22"/>
          <w:szCs w:val="22"/>
          <w:lang w:val="en-US" w:eastAsia="en-US"/>
        </w:rPr>
        <w:t xml:space="preserve"> include also the quantities to be delivered at Danube ports.</w:t>
      </w:r>
      <w:r w:rsidR="00C73CE9" w:rsidRPr="00C73CE9">
        <w:t xml:space="preserve"> </w:t>
      </w:r>
      <w:r w:rsidR="00C73CE9" w:rsidRPr="00C73CE9">
        <w:rPr>
          <w:sz w:val="22"/>
          <w:szCs w:val="22"/>
          <w:lang w:val="en-US" w:eastAsia="en-US"/>
        </w:rPr>
        <w:t xml:space="preserve">The target value of the result indicator "Ship-generated waste and cargo residues treated in the ports" </w:t>
      </w:r>
      <w:r w:rsidR="00C73CE9">
        <w:rPr>
          <w:sz w:val="22"/>
          <w:szCs w:val="22"/>
          <w:lang w:val="en-US" w:eastAsia="en-US"/>
        </w:rPr>
        <w:t>was</w:t>
      </w:r>
      <w:r w:rsidR="00C73CE9" w:rsidRPr="00C73CE9">
        <w:rPr>
          <w:sz w:val="22"/>
          <w:szCs w:val="22"/>
          <w:lang w:val="en-US" w:eastAsia="en-US"/>
        </w:rPr>
        <w:t xml:space="preserve"> redefined in accordance with the observed trends in the amount of waste generated in the period 2014 - 2022. It is evident from the reported data submi</w:t>
      </w:r>
      <w:r w:rsidR="00C73CE9">
        <w:rPr>
          <w:sz w:val="22"/>
          <w:szCs w:val="22"/>
          <w:lang w:val="en-US" w:eastAsia="en-US"/>
        </w:rPr>
        <w:t>tted</w:t>
      </w:r>
      <w:r w:rsidR="00C73CE9" w:rsidRPr="00C73CE9">
        <w:rPr>
          <w:sz w:val="22"/>
          <w:szCs w:val="22"/>
          <w:lang w:val="en-US" w:eastAsia="en-US"/>
        </w:rPr>
        <w:t xml:space="preserve"> to EC </w:t>
      </w:r>
      <w:r w:rsidR="00C73CE9">
        <w:rPr>
          <w:sz w:val="22"/>
          <w:szCs w:val="22"/>
          <w:lang w:val="en-US" w:eastAsia="en-US"/>
        </w:rPr>
        <w:t xml:space="preserve">in the </w:t>
      </w:r>
      <w:r w:rsidR="00C73CE9" w:rsidRPr="00C73CE9">
        <w:rPr>
          <w:sz w:val="22"/>
          <w:szCs w:val="22"/>
          <w:lang w:val="en-US" w:eastAsia="en-US"/>
        </w:rPr>
        <w:t>Annual Reports that there is a trend of reduction in the amount of delivered waste in cubic meters in the area of ​​Bulgarian ports. The main reasons for this in the period 2014 - 2022 are: a decrease in the number of vessel visits in the area of ​​Bulgarian ports; reduction of the carrying capacity of the vessels that visited the Bulgarian ports; increase in the number of visits to the area of ​​Bulgarian ports by newly built ships that are equipped with new technologies and engines, leading to a reduction in the amount of delivered waste; reduction of the number of crew of the vessels that visited the Bulgarian ports, which also reduces the volume of generated waste; increasing the requirements of the member states of the European Union regarding the delivery of waste from shipping activities in the ports, which is why the delivery of waste is carried out in previous ports, which significantly reduces its volume until it arrives in the Bulgarian ports; strengthening of inspections by the control authorities, which also reduces abuses when declaring the volume of the actually delivered quantities of waste in the area of ​​the Bulgarian ports. Given the above, the initially set target value of the i</w:t>
      </w:r>
      <w:r w:rsidR="00EB4A3F">
        <w:rPr>
          <w:sz w:val="22"/>
          <w:szCs w:val="22"/>
          <w:lang w:val="en-US" w:eastAsia="en-US"/>
        </w:rPr>
        <w:t>ndicator of 20,000 cubic meters</w:t>
      </w:r>
      <w:r w:rsidR="00C73CE9" w:rsidRPr="00C73CE9">
        <w:rPr>
          <w:sz w:val="22"/>
          <w:szCs w:val="22"/>
          <w:lang w:val="en-US" w:eastAsia="en-US"/>
        </w:rPr>
        <w:t xml:space="preserve"> for 2023, should be revised to 10,000 cubic meters.</w:t>
      </w:r>
      <w:r w:rsidR="00C73CE9">
        <w:rPr>
          <w:sz w:val="22"/>
          <w:szCs w:val="22"/>
          <w:lang w:val="en-US" w:eastAsia="en-US"/>
        </w:rPr>
        <w:t xml:space="preserve"> </w:t>
      </w:r>
      <w:r w:rsidR="001005E2">
        <w:rPr>
          <w:sz w:val="22"/>
          <w:szCs w:val="22"/>
          <w:lang w:val="en-US" w:eastAsia="en-US"/>
        </w:rPr>
        <w:t xml:space="preserve"> </w:t>
      </w:r>
    </w:p>
    <w:p w14:paraId="6340F669" w14:textId="77777777" w:rsidR="0043577E" w:rsidRPr="008340BB" w:rsidRDefault="0043577E" w:rsidP="00C37144">
      <w:pPr>
        <w:suppressAutoHyphens/>
        <w:rPr>
          <w:b/>
        </w:rPr>
        <w:sectPr w:rsidR="0043577E" w:rsidRPr="008340BB" w:rsidSect="001E1D6F">
          <w:headerReference w:type="default" r:id="rId73"/>
          <w:footerReference w:type="default" r:id="rId74"/>
          <w:headerReference w:type="first" r:id="rId75"/>
          <w:footerReference w:type="first" r:id="rId76"/>
          <w:pgSz w:w="16838" w:h="11906" w:orient="landscape"/>
          <w:pgMar w:top="1418" w:right="1021" w:bottom="1418" w:left="1021" w:header="601" w:footer="1077" w:gutter="0"/>
          <w:cols w:space="708"/>
          <w:docGrid w:linePitch="326"/>
        </w:sectPr>
      </w:pPr>
    </w:p>
    <w:p w14:paraId="7BB45F30" w14:textId="77777777" w:rsidR="00F1341F" w:rsidRPr="008340BB" w:rsidRDefault="00F1341F" w:rsidP="00C37144">
      <w:pPr>
        <w:ind w:left="1418" w:hanging="1418"/>
      </w:pPr>
      <w:r w:rsidRPr="008340BB">
        <w:rPr>
          <w:b/>
        </w:rPr>
        <w:lastRenderedPageBreak/>
        <w:t xml:space="preserve">Table 4: </w:t>
      </w:r>
      <w:r w:rsidRPr="008340BB">
        <w:rPr>
          <w:b/>
        </w:rPr>
        <w:tab/>
        <w:t xml:space="preserve">Common result indicators for which a target value has been set and programme specific result indicators corresponding to the specific objective (by investment priority and category of region) </w:t>
      </w:r>
      <w:r w:rsidRPr="008340BB">
        <w:t>(for the ESF)</w:t>
      </w:r>
    </w:p>
    <w:p w14:paraId="51B4A31B" w14:textId="77777777" w:rsidR="00F1341F" w:rsidRPr="008340BB" w:rsidRDefault="00F1341F" w:rsidP="00C37144">
      <w:pPr>
        <w:rPr>
          <w:b/>
        </w:rPr>
      </w:pPr>
    </w:p>
    <w:p w14:paraId="19E22797" w14:textId="77777777" w:rsidR="00F1341F" w:rsidRPr="008340BB" w:rsidRDefault="00F1341F" w:rsidP="00C37144">
      <w:r w:rsidRPr="008340BB">
        <w:t>(Reference: point (b)(ii) of the first subparagraph of Article 96(2) of Regulation (EU) No 1303/2013)</w:t>
      </w:r>
    </w:p>
    <w:p w14:paraId="14158B19" w14:textId="77777777" w:rsidR="00F1341F" w:rsidRPr="008340BB" w:rsidRDefault="00F1341F" w:rsidP="00C37144">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6"/>
        <w:gridCol w:w="2149"/>
        <w:gridCol w:w="1395"/>
        <w:gridCol w:w="1398"/>
        <w:gridCol w:w="1535"/>
        <w:gridCol w:w="326"/>
        <w:gridCol w:w="326"/>
        <w:gridCol w:w="326"/>
        <w:gridCol w:w="1255"/>
        <w:gridCol w:w="903"/>
        <w:gridCol w:w="530"/>
        <w:gridCol w:w="9"/>
        <w:gridCol w:w="466"/>
        <w:gridCol w:w="469"/>
        <w:gridCol w:w="976"/>
        <w:gridCol w:w="1191"/>
      </w:tblGrid>
      <w:tr w:rsidR="00F1341F" w:rsidRPr="008340BB" w14:paraId="520B1F15" w14:textId="77777777" w:rsidTr="0076386E">
        <w:trPr>
          <w:trHeight w:val="620"/>
        </w:trPr>
        <w:tc>
          <w:tcPr>
            <w:tcW w:w="449" w:type="pct"/>
            <w:vMerge w:val="restart"/>
          </w:tcPr>
          <w:p w14:paraId="1985FD40" w14:textId="77777777" w:rsidR="00F1341F" w:rsidRPr="008340BB" w:rsidRDefault="00F1341F" w:rsidP="001B661C">
            <w:pPr>
              <w:pStyle w:val="ListBullet"/>
              <w:tabs>
                <w:tab w:val="clear" w:pos="360"/>
                <w:tab w:val="left" w:pos="720"/>
              </w:tabs>
              <w:spacing w:before="60" w:after="60"/>
              <w:ind w:left="0" w:firstLine="0"/>
              <w:rPr>
                <w:b/>
                <w:i/>
                <w:sz w:val="16"/>
                <w:szCs w:val="16"/>
              </w:rPr>
            </w:pPr>
            <w:r w:rsidRPr="008340BB">
              <w:rPr>
                <w:b/>
                <w:i/>
                <w:sz w:val="16"/>
                <w:szCs w:val="16"/>
              </w:rPr>
              <w:t>ID</w:t>
            </w:r>
          </w:p>
        </w:tc>
        <w:tc>
          <w:tcPr>
            <w:tcW w:w="738" w:type="pct"/>
            <w:vMerge w:val="restart"/>
          </w:tcPr>
          <w:p w14:paraId="44513872" w14:textId="77777777" w:rsidR="00F1341F" w:rsidRPr="008340BB" w:rsidRDefault="00F1341F" w:rsidP="001B661C">
            <w:pPr>
              <w:pStyle w:val="ListBullet"/>
              <w:tabs>
                <w:tab w:val="clear" w:pos="360"/>
                <w:tab w:val="left" w:pos="720"/>
              </w:tabs>
              <w:spacing w:before="60" w:after="60"/>
              <w:ind w:left="0" w:firstLine="0"/>
              <w:rPr>
                <w:b/>
                <w:i/>
                <w:sz w:val="16"/>
                <w:szCs w:val="16"/>
              </w:rPr>
            </w:pPr>
            <w:r w:rsidRPr="008340BB">
              <w:rPr>
                <w:b/>
                <w:i/>
                <w:sz w:val="16"/>
                <w:szCs w:val="16"/>
              </w:rPr>
              <w:t xml:space="preserve">Indicator </w:t>
            </w:r>
          </w:p>
        </w:tc>
        <w:tc>
          <w:tcPr>
            <w:tcW w:w="479" w:type="pct"/>
            <w:vMerge w:val="restart"/>
          </w:tcPr>
          <w:p w14:paraId="7AEF5017" w14:textId="77777777" w:rsidR="00F1341F" w:rsidRPr="008340BB" w:rsidRDefault="00F1341F" w:rsidP="001B661C">
            <w:pPr>
              <w:pStyle w:val="ListBullet"/>
              <w:tabs>
                <w:tab w:val="clear" w:pos="360"/>
                <w:tab w:val="left" w:pos="720"/>
              </w:tabs>
              <w:spacing w:before="60" w:after="60"/>
              <w:ind w:left="0" w:firstLine="0"/>
              <w:rPr>
                <w:b/>
                <w:i/>
                <w:sz w:val="16"/>
                <w:szCs w:val="16"/>
              </w:rPr>
            </w:pPr>
            <w:r w:rsidRPr="008340BB">
              <w:rPr>
                <w:b/>
                <w:i/>
                <w:sz w:val="16"/>
                <w:szCs w:val="16"/>
              </w:rPr>
              <w:t xml:space="preserve">Category of region </w:t>
            </w:r>
          </w:p>
        </w:tc>
        <w:tc>
          <w:tcPr>
            <w:tcW w:w="480" w:type="pct"/>
            <w:vMerge w:val="restart"/>
          </w:tcPr>
          <w:p w14:paraId="49E08B06" w14:textId="77777777" w:rsidR="00F1341F" w:rsidRPr="008340BB" w:rsidRDefault="00F1341F" w:rsidP="001B661C">
            <w:pPr>
              <w:pStyle w:val="ListBullet"/>
              <w:tabs>
                <w:tab w:val="clear" w:pos="360"/>
                <w:tab w:val="left" w:pos="720"/>
              </w:tabs>
              <w:spacing w:before="60" w:after="60"/>
              <w:ind w:left="0" w:firstLine="0"/>
              <w:rPr>
                <w:b/>
                <w:i/>
                <w:sz w:val="16"/>
                <w:szCs w:val="16"/>
              </w:rPr>
            </w:pPr>
            <w:r w:rsidRPr="008340BB">
              <w:rPr>
                <w:b/>
                <w:i/>
                <w:sz w:val="16"/>
                <w:szCs w:val="16"/>
              </w:rPr>
              <w:t>Measurement unit for indicator</w:t>
            </w:r>
          </w:p>
        </w:tc>
        <w:tc>
          <w:tcPr>
            <w:tcW w:w="527" w:type="pct"/>
            <w:vMerge w:val="restart"/>
          </w:tcPr>
          <w:p w14:paraId="46424B02" w14:textId="77777777" w:rsidR="00F1341F" w:rsidRPr="008340BB" w:rsidRDefault="00F1341F" w:rsidP="001B661C">
            <w:pPr>
              <w:snapToGrid w:val="0"/>
              <w:spacing w:before="60" w:after="60"/>
              <w:rPr>
                <w:b/>
                <w:i/>
                <w:sz w:val="16"/>
                <w:szCs w:val="16"/>
              </w:rPr>
            </w:pPr>
            <w:r w:rsidRPr="008340BB">
              <w:rPr>
                <w:b/>
                <w:i/>
                <w:sz w:val="16"/>
                <w:szCs w:val="16"/>
              </w:rPr>
              <w:t>Common output indicator used as basis for target setting</w:t>
            </w:r>
          </w:p>
        </w:tc>
        <w:tc>
          <w:tcPr>
            <w:tcW w:w="336" w:type="pct"/>
            <w:gridSpan w:val="3"/>
          </w:tcPr>
          <w:p w14:paraId="78445FCB" w14:textId="77777777" w:rsidR="00F1341F" w:rsidRPr="008340BB" w:rsidRDefault="00F1341F" w:rsidP="001B661C">
            <w:pPr>
              <w:pStyle w:val="ListBullet"/>
              <w:tabs>
                <w:tab w:val="clear" w:pos="360"/>
                <w:tab w:val="left" w:pos="720"/>
              </w:tabs>
              <w:spacing w:before="60" w:after="60"/>
              <w:ind w:left="0" w:firstLine="0"/>
              <w:rPr>
                <w:b/>
                <w:i/>
                <w:sz w:val="16"/>
                <w:szCs w:val="16"/>
              </w:rPr>
            </w:pPr>
            <w:r w:rsidRPr="008340BB">
              <w:rPr>
                <w:b/>
                <w:i/>
                <w:sz w:val="16"/>
                <w:szCs w:val="16"/>
              </w:rPr>
              <w:t xml:space="preserve">Baseline value </w:t>
            </w:r>
          </w:p>
        </w:tc>
        <w:tc>
          <w:tcPr>
            <w:tcW w:w="431" w:type="pct"/>
            <w:vMerge w:val="restart"/>
          </w:tcPr>
          <w:p w14:paraId="721BE74E" w14:textId="77777777" w:rsidR="00F1341F" w:rsidRPr="008340BB" w:rsidRDefault="00F1341F" w:rsidP="001B661C">
            <w:pPr>
              <w:pStyle w:val="ListBullet"/>
              <w:tabs>
                <w:tab w:val="clear" w:pos="360"/>
                <w:tab w:val="left" w:pos="720"/>
              </w:tabs>
              <w:spacing w:before="60" w:after="60"/>
              <w:ind w:left="0" w:firstLine="0"/>
              <w:rPr>
                <w:b/>
                <w:i/>
                <w:sz w:val="16"/>
                <w:szCs w:val="16"/>
              </w:rPr>
            </w:pPr>
            <w:r w:rsidRPr="008340BB">
              <w:rPr>
                <w:b/>
                <w:i/>
                <w:sz w:val="16"/>
                <w:szCs w:val="16"/>
              </w:rPr>
              <w:t>Measurement unit for baseline and target</w:t>
            </w:r>
          </w:p>
        </w:tc>
        <w:tc>
          <w:tcPr>
            <w:tcW w:w="310" w:type="pct"/>
            <w:vMerge w:val="restart"/>
          </w:tcPr>
          <w:p w14:paraId="33857F37" w14:textId="77777777" w:rsidR="00F1341F" w:rsidRPr="008340BB" w:rsidRDefault="00F1341F" w:rsidP="001B661C">
            <w:pPr>
              <w:pStyle w:val="ListBullet"/>
              <w:tabs>
                <w:tab w:val="clear" w:pos="360"/>
                <w:tab w:val="left" w:pos="720"/>
              </w:tabs>
              <w:spacing w:before="60" w:after="60"/>
              <w:ind w:left="0" w:firstLine="0"/>
              <w:rPr>
                <w:b/>
                <w:i/>
                <w:sz w:val="16"/>
                <w:szCs w:val="16"/>
              </w:rPr>
            </w:pPr>
            <w:r w:rsidRPr="008340BB">
              <w:rPr>
                <w:b/>
                <w:i/>
                <w:sz w:val="16"/>
                <w:szCs w:val="16"/>
              </w:rPr>
              <w:t>Baseline year</w:t>
            </w:r>
          </w:p>
        </w:tc>
        <w:tc>
          <w:tcPr>
            <w:tcW w:w="506" w:type="pct"/>
            <w:gridSpan w:val="4"/>
          </w:tcPr>
          <w:p w14:paraId="236E3FC4" w14:textId="77777777" w:rsidR="00F1341F" w:rsidRPr="008340BB" w:rsidRDefault="00F1341F" w:rsidP="001B661C">
            <w:pPr>
              <w:snapToGrid w:val="0"/>
              <w:spacing w:before="60" w:after="60"/>
              <w:rPr>
                <w:b/>
                <w:i/>
                <w:sz w:val="16"/>
                <w:szCs w:val="16"/>
              </w:rPr>
            </w:pPr>
            <w:r w:rsidRPr="008340BB">
              <w:rPr>
                <w:b/>
                <w:i/>
                <w:sz w:val="16"/>
                <w:szCs w:val="16"/>
              </w:rPr>
              <w:t>Target value</w:t>
            </w:r>
            <w:r w:rsidRPr="008340BB">
              <w:rPr>
                <w:rStyle w:val="FootnoteReference"/>
                <w:b/>
                <w:i/>
                <w:sz w:val="16"/>
                <w:szCs w:val="16"/>
              </w:rPr>
              <w:footnoteReference w:id="56"/>
            </w:r>
            <w:r w:rsidRPr="008340BB">
              <w:rPr>
                <w:b/>
                <w:i/>
                <w:sz w:val="16"/>
                <w:szCs w:val="16"/>
              </w:rPr>
              <w:t xml:space="preserve"> (2023)</w:t>
            </w:r>
          </w:p>
        </w:tc>
        <w:tc>
          <w:tcPr>
            <w:tcW w:w="335" w:type="pct"/>
            <w:vMerge w:val="restart"/>
          </w:tcPr>
          <w:p w14:paraId="5791136D" w14:textId="77777777" w:rsidR="00F1341F" w:rsidRPr="00020ADD" w:rsidRDefault="00F1341F" w:rsidP="001B661C">
            <w:pPr>
              <w:pStyle w:val="ListBullet"/>
              <w:tabs>
                <w:tab w:val="clear" w:pos="360"/>
                <w:tab w:val="left" w:pos="720"/>
              </w:tabs>
              <w:spacing w:before="60" w:after="60"/>
              <w:ind w:left="0" w:firstLine="0"/>
              <w:rPr>
                <w:b/>
                <w:i/>
                <w:sz w:val="16"/>
                <w:szCs w:val="16"/>
              </w:rPr>
            </w:pPr>
            <w:r w:rsidRPr="0067246B">
              <w:rPr>
                <w:b/>
                <w:i/>
                <w:sz w:val="16"/>
                <w:szCs w:val="16"/>
              </w:rPr>
              <w:t>Source of dat</w:t>
            </w:r>
            <w:r w:rsidRPr="00020ADD">
              <w:rPr>
                <w:b/>
                <w:i/>
                <w:sz w:val="16"/>
                <w:szCs w:val="16"/>
              </w:rPr>
              <w:t>a</w:t>
            </w:r>
          </w:p>
        </w:tc>
        <w:tc>
          <w:tcPr>
            <w:tcW w:w="409" w:type="pct"/>
            <w:vMerge w:val="restart"/>
          </w:tcPr>
          <w:p w14:paraId="73A3128A" w14:textId="77777777" w:rsidR="00F1341F" w:rsidRPr="00020ADD" w:rsidRDefault="00F1341F" w:rsidP="001B661C">
            <w:pPr>
              <w:pStyle w:val="ListBullet"/>
              <w:tabs>
                <w:tab w:val="clear" w:pos="360"/>
                <w:tab w:val="left" w:pos="720"/>
              </w:tabs>
              <w:spacing w:before="60" w:after="60"/>
              <w:ind w:left="0" w:firstLine="0"/>
              <w:rPr>
                <w:b/>
                <w:i/>
                <w:sz w:val="16"/>
                <w:szCs w:val="16"/>
              </w:rPr>
            </w:pPr>
            <w:r w:rsidRPr="00020ADD">
              <w:rPr>
                <w:b/>
                <w:i/>
                <w:sz w:val="16"/>
                <w:szCs w:val="16"/>
              </w:rPr>
              <w:t>Frequency of reporting</w:t>
            </w:r>
          </w:p>
        </w:tc>
      </w:tr>
      <w:tr w:rsidR="00F1341F" w:rsidRPr="008340BB" w14:paraId="44220C1D" w14:textId="77777777" w:rsidTr="0076386E">
        <w:trPr>
          <w:trHeight w:val="619"/>
        </w:trPr>
        <w:tc>
          <w:tcPr>
            <w:tcW w:w="449" w:type="pct"/>
            <w:vMerge/>
          </w:tcPr>
          <w:p w14:paraId="0FB458A6" w14:textId="77777777" w:rsidR="00F1341F" w:rsidRPr="008340BB" w:rsidRDefault="00F1341F" w:rsidP="001B661C">
            <w:pPr>
              <w:pStyle w:val="ListBullet"/>
              <w:tabs>
                <w:tab w:val="clear" w:pos="360"/>
                <w:tab w:val="left" w:pos="720"/>
              </w:tabs>
              <w:spacing w:before="60" w:after="60"/>
              <w:ind w:left="0" w:firstLine="0"/>
              <w:rPr>
                <w:b/>
                <w:i/>
                <w:sz w:val="16"/>
                <w:szCs w:val="16"/>
              </w:rPr>
            </w:pPr>
          </w:p>
        </w:tc>
        <w:tc>
          <w:tcPr>
            <w:tcW w:w="738" w:type="pct"/>
            <w:vMerge/>
          </w:tcPr>
          <w:p w14:paraId="14B9A0FD" w14:textId="77777777" w:rsidR="00F1341F" w:rsidRPr="008340BB" w:rsidRDefault="00F1341F" w:rsidP="001B661C">
            <w:pPr>
              <w:pStyle w:val="ListBullet"/>
              <w:tabs>
                <w:tab w:val="clear" w:pos="360"/>
                <w:tab w:val="left" w:pos="720"/>
              </w:tabs>
              <w:spacing w:before="60" w:after="60"/>
              <w:ind w:left="0" w:firstLine="0"/>
              <w:rPr>
                <w:b/>
                <w:i/>
                <w:sz w:val="16"/>
                <w:szCs w:val="16"/>
              </w:rPr>
            </w:pPr>
          </w:p>
        </w:tc>
        <w:tc>
          <w:tcPr>
            <w:tcW w:w="479" w:type="pct"/>
            <w:vMerge/>
          </w:tcPr>
          <w:p w14:paraId="3061C4BB" w14:textId="77777777" w:rsidR="00F1341F" w:rsidRPr="008340BB" w:rsidRDefault="00F1341F" w:rsidP="001B661C">
            <w:pPr>
              <w:pStyle w:val="ListBullet"/>
              <w:tabs>
                <w:tab w:val="clear" w:pos="360"/>
                <w:tab w:val="left" w:pos="720"/>
              </w:tabs>
              <w:spacing w:before="60" w:after="60"/>
              <w:ind w:left="0" w:firstLine="0"/>
              <w:rPr>
                <w:b/>
                <w:i/>
                <w:sz w:val="16"/>
                <w:szCs w:val="16"/>
              </w:rPr>
            </w:pPr>
          </w:p>
        </w:tc>
        <w:tc>
          <w:tcPr>
            <w:tcW w:w="480" w:type="pct"/>
            <w:vMerge/>
          </w:tcPr>
          <w:p w14:paraId="31C503F7" w14:textId="77777777" w:rsidR="00F1341F" w:rsidRPr="008340BB" w:rsidRDefault="00F1341F" w:rsidP="001B661C">
            <w:pPr>
              <w:pStyle w:val="ListBullet"/>
              <w:tabs>
                <w:tab w:val="clear" w:pos="360"/>
                <w:tab w:val="left" w:pos="720"/>
              </w:tabs>
              <w:spacing w:before="60" w:after="60"/>
              <w:ind w:left="0" w:firstLine="0"/>
              <w:rPr>
                <w:b/>
                <w:i/>
                <w:sz w:val="16"/>
                <w:szCs w:val="16"/>
              </w:rPr>
            </w:pPr>
          </w:p>
        </w:tc>
        <w:tc>
          <w:tcPr>
            <w:tcW w:w="527" w:type="pct"/>
            <w:vMerge/>
          </w:tcPr>
          <w:p w14:paraId="6E35DFE3" w14:textId="77777777" w:rsidR="00F1341F" w:rsidRPr="008340BB" w:rsidRDefault="00F1341F" w:rsidP="001B661C">
            <w:pPr>
              <w:snapToGrid w:val="0"/>
              <w:spacing w:before="60" w:after="60"/>
              <w:rPr>
                <w:b/>
                <w:i/>
                <w:sz w:val="16"/>
                <w:szCs w:val="16"/>
              </w:rPr>
            </w:pPr>
          </w:p>
        </w:tc>
        <w:tc>
          <w:tcPr>
            <w:tcW w:w="112" w:type="pct"/>
          </w:tcPr>
          <w:p w14:paraId="23DAFA68" w14:textId="77777777" w:rsidR="00F1341F" w:rsidRPr="008340BB" w:rsidRDefault="00F1341F" w:rsidP="001B661C">
            <w:pPr>
              <w:pStyle w:val="ListBullet"/>
              <w:tabs>
                <w:tab w:val="clear" w:pos="360"/>
                <w:tab w:val="left" w:pos="720"/>
              </w:tabs>
              <w:spacing w:before="60" w:after="60"/>
              <w:ind w:left="0" w:firstLine="0"/>
              <w:rPr>
                <w:b/>
                <w:i/>
                <w:sz w:val="16"/>
                <w:szCs w:val="16"/>
              </w:rPr>
            </w:pPr>
            <w:r w:rsidRPr="008340BB">
              <w:rPr>
                <w:sz w:val="16"/>
                <w:szCs w:val="16"/>
              </w:rPr>
              <w:t>M</w:t>
            </w:r>
          </w:p>
        </w:tc>
        <w:tc>
          <w:tcPr>
            <w:tcW w:w="112" w:type="pct"/>
          </w:tcPr>
          <w:p w14:paraId="22C533D6" w14:textId="77777777" w:rsidR="00F1341F" w:rsidRPr="008340BB" w:rsidRDefault="00F1341F" w:rsidP="001B661C">
            <w:pPr>
              <w:pStyle w:val="ListBullet"/>
              <w:tabs>
                <w:tab w:val="clear" w:pos="360"/>
                <w:tab w:val="left" w:pos="720"/>
              </w:tabs>
              <w:spacing w:before="60" w:after="60"/>
              <w:ind w:left="0" w:firstLine="0"/>
              <w:rPr>
                <w:b/>
                <w:i/>
                <w:sz w:val="16"/>
                <w:szCs w:val="16"/>
              </w:rPr>
            </w:pPr>
            <w:r w:rsidRPr="008340BB">
              <w:rPr>
                <w:sz w:val="16"/>
                <w:szCs w:val="16"/>
              </w:rPr>
              <w:t>W</w:t>
            </w:r>
          </w:p>
        </w:tc>
        <w:tc>
          <w:tcPr>
            <w:tcW w:w="112" w:type="pct"/>
          </w:tcPr>
          <w:p w14:paraId="02625A3C" w14:textId="77777777" w:rsidR="00F1341F" w:rsidRPr="008340BB" w:rsidRDefault="00F1341F" w:rsidP="001B661C">
            <w:pPr>
              <w:pStyle w:val="ListBullet"/>
              <w:tabs>
                <w:tab w:val="clear" w:pos="360"/>
                <w:tab w:val="left" w:pos="720"/>
              </w:tabs>
              <w:spacing w:before="60" w:after="60"/>
              <w:ind w:left="0" w:firstLine="0"/>
              <w:rPr>
                <w:b/>
                <w:i/>
                <w:sz w:val="16"/>
                <w:szCs w:val="16"/>
              </w:rPr>
            </w:pPr>
            <w:r w:rsidRPr="008340BB">
              <w:rPr>
                <w:sz w:val="16"/>
                <w:szCs w:val="16"/>
              </w:rPr>
              <w:t>T</w:t>
            </w:r>
          </w:p>
        </w:tc>
        <w:tc>
          <w:tcPr>
            <w:tcW w:w="431" w:type="pct"/>
            <w:vMerge/>
          </w:tcPr>
          <w:p w14:paraId="122C59D6" w14:textId="77777777" w:rsidR="00F1341F" w:rsidRPr="008340BB" w:rsidRDefault="00F1341F" w:rsidP="001B661C">
            <w:pPr>
              <w:pStyle w:val="ListBullet"/>
              <w:tabs>
                <w:tab w:val="clear" w:pos="360"/>
                <w:tab w:val="left" w:pos="720"/>
              </w:tabs>
              <w:spacing w:before="60" w:after="60"/>
              <w:ind w:left="0" w:firstLine="0"/>
              <w:rPr>
                <w:b/>
                <w:i/>
                <w:sz w:val="16"/>
                <w:szCs w:val="16"/>
              </w:rPr>
            </w:pPr>
          </w:p>
        </w:tc>
        <w:tc>
          <w:tcPr>
            <w:tcW w:w="310" w:type="pct"/>
            <w:vMerge/>
          </w:tcPr>
          <w:p w14:paraId="4A7F1666" w14:textId="77777777" w:rsidR="00F1341F" w:rsidRPr="008340BB" w:rsidRDefault="00F1341F" w:rsidP="001B661C">
            <w:pPr>
              <w:pStyle w:val="ListBullet"/>
              <w:tabs>
                <w:tab w:val="clear" w:pos="360"/>
                <w:tab w:val="left" w:pos="720"/>
              </w:tabs>
              <w:spacing w:before="60" w:after="60"/>
              <w:ind w:left="0" w:firstLine="0"/>
              <w:rPr>
                <w:b/>
                <w:i/>
                <w:sz w:val="16"/>
                <w:szCs w:val="16"/>
              </w:rPr>
            </w:pPr>
          </w:p>
        </w:tc>
        <w:tc>
          <w:tcPr>
            <w:tcW w:w="185" w:type="pct"/>
            <w:gridSpan w:val="2"/>
          </w:tcPr>
          <w:p w14:paraId="088B259E" w14:textId="77777777" w:rsidR="00F1341F" w:rsidRPr="008340BB" w:rsidRDefault="00F1341F" w:rsidP="001B661C">
            <w:pPr>
              <w:snapToGrid w:val="0"/>
              <w:spacing w:before="60" w:after="60"/>
              <w:rPr>
                <w:b/>
                <w:i/>
                <w:sz w:val="16"/>
                <w:szCs w:val="16"/>
              </w:rPr>
            </w:pPr>
            <w:r w:rsidRPr="008340BB">
              <w:rPr>
                <w:sz w:val="16"/>
                <w:szCs w:val="16"/>
              </w:rPr>
              <w:t>M</w:t>
            </w:r>
          </w:p>
        </w:tc>
        <w:tc>
          <w:tcPr>
            <w:tcW w:w="160" w:type="pct"/>
          </w:tcPr>
          <w:p w14:paraId="5D2EDAB7" w14:textId="77777777" w:rsidR="00F1341F" w:rsidRPr="008340BB" w:rsidRDefault="00F1341F" w:rsidP="001B661C">
            <w:pPr>
              <w:snapToGrid w:val="0"/>
              <w:spacing w:before="60" w:after="60"/>
              <w:rPr>
                <w:b/>
                <w:i/>
                <w:sz w:val="16"/>
                <w:szCs w:val="16"/>
              </w:rPr>
            </w:pPr>
            <w:r w:rsidRPr="008340BB">
              <w:rPr>
                <w:sz w:val="16"/>
                <w:szCs w:val="16"/>
              </w:rPr>
              <w:t>W</w:t>
            </w:r>
          </w:p>
        </w:tc>
        <w:tc>
          <w:tcPr>
            <w:tcW w:w="161" w:type="pct"/>
          </w:tcPr>
          <w:p w14:paraId="698980C9" w14:textId="77777777" w:rsidR="00F1341F" w:rsidRPr="008340BB" w:rsidRDefault="00F1341F" w:rsidP="001B661C">
            <w:pPr>
              <w:snapToGrid w:val="0"/>
              <w:spacing w:before="60" w:after="60"/>
              <w:rPr>
                <w:b/>
                <w:i/>
                <w:sz w:val="16"/>
                <w:szCs w:val="16"/>
              </w:rPr>
            </w:pPr>
            <w:r w:rsidRPr="008340BB">
              <w:rPr>
                <w:sz w:val="16"/>
                <w:szCs w:val="16"/>
              </w:rPr>
              <w:t>T</w:t>
            </w:r>
          </w:p>
        </w:tc>
        <w:tc>
          <w:tcPr>
            <w:tcW w:w="335" w:type="pct"/>
            <w:vMerge/>
          </w:tcPr>
          <w:p w14:paraId="5B1E84D9" w14:textId="77777777" w:rsidR="00F1341F" w:rsidRPr="008340BB" w:rsidRDefault="00F1341F" w:rsidP="001B661C">
            <w:pPr>
              <w:pStyle w:val="ListBullet"/>
              <w:tabs>
                <w:tab w:val="clear" w:pos="360"/>
                <w:tab w:val="left" w:pos="720"/>
              </w:tabs>
              <w:spacing w:before="60" w:after="60"/>
              <w:ind w:left="0" w:firstLine="0"/>
              <w:rPr>
                <w:b/>
                <w:i/>
                <w:sz w:val="16"/>
                <w:szCs w:val="16"/>
              </w:rPr>
            </w:pPr>
          </w:p>
        </w:tc>
        <w:tc>
          <w:tcPr>
            <w:tcW w:w="409" w:type="pct"/>
            <w:vMerge/>
          </w:tcPr>
          <w:p w14:paraId="3CDB4CE7" w14:textId="77777777" w:rsidR="00F1341F" w:rsidRPr="008340BB" w:rsidRDefault="00F1341F" w:rsidP="001B661C">
            <w:pPr>
              <w:pStyle w:val="ListBullet"/>
              <w:tabs>
                <w:tab w:val="clear" w:pos="360"/>
                <w:tab w:val="left" w:pos="720"/>
              </w:tabs>
              <w:spacing w:before="60" w:after="60"/>
              <w:ind w:left="0" w:firstLine="0"/>
              <w:rPr>
                <w:b/>
                <w:sz w:val="16"/>
                <w:szCs w:val="16"/>
              </w:rPr>
            </w:pPr>
          </w:p>
        </w:tc>
      </w:tr>
      <w:tr w:rsidR="00F1341F" w:rsidRPr="008340BB" w14:paraId="0D2AE851" w14:textId="77777777" w:rsidTr="0076386E">
        <w:trPr>
          <w:trHeight w:val="652"/>
        </w:trPr>
        <w:tc>
          <w:tcPr>
            <w:tcW w:w="449" w:type="pct"/>
          </w:tcPr>
          <w:p w14:paraId="69379856" w14:textId="77777777" w:rsidR="00F1341F" w:rsidRPr="008340BB" w:rsidRDefault="00F1341F" w:rsidP="001B661C">
            <w:pPr>
              <w:pStyle w:val="Text1"/>
              <w:spacing w:before="60" w:after="60"/>
              <w:ind w:left="0"/>
              <w:jc w:val="left"/>
              <w:rPr>
                <w:i/>
                <w:sz w:val="16"/>
                <w:szCs w:val="16"/>
                <w:lang w:val="en-GB" w:eastAsia="en-GB"/>
              </w:rPr>
            </w:pPr>
            <w:r w:rsidRPr="008340BB">
              <w:rPr>
                <w:i/>
                <w:sz w:val="16"/>
                <w:szCs w:val="16"/>
                <w:lang w:val="en-GB" w:eastAsia="en-GB"/>
              </w:rPr>
              <w:t>N/A</w:t>
            </w:r>
          </w:p>
        </w:tc>
        <w:tc>
          <w:tcPr>
            <w:tcW w:w="738" w:type="pct"/>
          </w:tcPr>
          <w:p w14:paraId="14DC1959" w14:textId="77777777" w:rsidR="00F1341F" w:rsidRPr="008340BB" w:rsidRDefault="00F1341F">
            <w:r w:rsidRPr="008340BB">
              <w:rPr>
                <w:i/>
                <w:sz w:val="16"/>
                <w:szCs w:val="16"/>
              </w:rPr>
              <w:t>N/A</w:t>
            </w:r>
          </w:p>
        </w:tc>
        <w:tc>
          <w:tcPr>
            <w:tcW w:w="479" w:type="pct"/>
          </w:tcPr>
          <w:p w14:paraId="5AC539B5" w14:textId="77777777" w:rsidR="00F1341F" w:rsidRPr="008340BB" w:rsidRDefault="00F1341F">
            <w:r w:rsidRPr="008340BB">
              <w:rPr>
                <w:i/>
                <w:sz w:val="16"/>
                <w:szCs w:val="16"/>
              </w:rPr>
              <w:t>N/A</w:t>
            </w:r>
          </w:p>
        </w:tc>
        <w:tc>
          <w:tcPr>
            <w:tcW w:w="480" w:type="pct"/>
          </w:tcPr>
          <w:p w14:paraId="5B43AE71" w14:textId="77777777" w:rsidR="00F1341F" w:rsidRPr="008340BB" w:rsidRDefault="00F1341F">
            <w:r w:rsidRPr="008340BB">
              <w:rPr>
                <w:i/>
                <w:sz w:val="16"/>
                <w:szCs w:val="16"/>
              </w:rPr>
              <w:t>N/A</w:t>
            </w:r>
          </w:p>
        </w:tc>
        <w:tc>
          <w:tcPr>
            <w:tcW w:w="527" w:type="pct"/>
          </w:tcPr>
          <w:p w14:paraId="4E880F26" w14:textId="77777777" w:rsidR="00F1341F" w:rsidRPr="008340BB" w:rsidRDefault="00F1341F">
            <w:r w:rsidRPr="008340BB">
              <w:rPr>
                <w:i/>
                <w:sz w:val="16"/>
                <w:szCs w:val="16"/>
              </w:rPr>
              <w:t>N/A</w:t>
            </w:r>
          </w:p>
        </w:tc>
        <w:tc>
          <w:tcPr>
            <w:tcW w:w="112" w:type="pct"/>
          </w:tcPr>
          <w:p w14:paraId="54BA066F" w14:textId="77777777" w:rsidR="00F1341F" w:rsidRPr="008340BB" w:rsidRDefault="00F1341F">
            <w:r w:rsidRPr="008340BB">
              <w:rPr>
                <w:i/>
                <w:sz w:val="16"/>
                <w:szCs w:val="16"/>
              </w:rPr>
              <w:t>N/A</w:t>
            </w:r>
          </w:p>
        </w:tc>
        <w:tc>
          <w:tcPr>
            <w:tcW w:w="112" w:type="pct"/>
          </w:tcPr>
          <w:p w14:paraId="7F95C429" w14:textId="77777777" w:rsidR="00F1341F" w:rsidRPr="008340BB" w:rsidRDefault="00F1341F">
            <w:r w:rsidRPr="008340BB">
              <w:rPr>
                <w:i/>
                <w:sz w:val="16"/>
                <w:szCs w:val="16"/>
              </w:rPr>
              <w:t>N/A</w:t>
            </w:r>
          </w:p>
        </w:tc>
        <w:tc>
          <w:tcPr>
            <w:tcW w:w="112" w:type="pct"/>
          </w:tcPr>
          <w:p w14:paraId="2F93520E" w14:textId="77777777" w:rsidR="00F1341F" w:rsidRPr="008340BB" w:rsidRDefault="00F1341F">
            <w:r w:rsidRPr="008340BB">
              <w:rPr>
                <w:i/>
                <w:sz w:val="16"/>
                <w:szCs w:val="16"/>
              </w:rPr>
              <w:t>N/A</w:t>
            </w:r>
          </w:p>
        </w:tc>
        <w:tc>
          <w:tcPr>
            <w:tcW w:w="431" w:type="pct"/>
          </w:tcPr>
          <w:p w14:paraId="41BFB1FC" w14:textId="77777777" w:rsidR="00F1341F" w:rsidRPr="008340BB" w:rsidRDefault="00F1341F">
            <w:r w:rsidRPr="008340BB">
              <w:rPr>
                <w:i/>
                <w:sz w:val="16"/>
                <w:szCs w:val="16"/>
              </w:rPr>
              <w:t>N/A</w:t>
            </w:r>
          </w:p>
        </w:tc>
        <w:tc>
          <w:tcPr>
            <w:tcW w:w="310" w:type="pct"/>
          </w:tcPr>
          <w:p w14:paraId="721BF4A6" w14:textId="77777777" w:rsidR="00F1341F" w:rsidRPr="008340BB" w:rsidRDefault="00F1341F">
            <w:r w:rsidRPr="008340BB">
              <w:rPr>
                <w:i/>
                <w:sz w:val="16"/>
                <w:szCs w:val="16"/>
              </w:rPr>
              <w:t>N/A</w:t>
            </w:r>
          </w:p>
        </w:tc>
        <w:tc>
          <w:tcPr>
            <w:tcW w:w="182" w:type="pct"/>
          </w:tcPr>
          <w:p w14:paraId="358577EC" w14:textId="77777777" w:rsidR="00F1341F" w:rsidRPr="008340BB" w:rsidRDefault="00F1341F">
            <w:r w:rsidRPr="008340BB">
              <w:rPr>
                <w:i/>
                <w:sz w:val="16"/>
                <w:szCs w:val="16"/>
              </w:rPr>
              <w:t>N/A</w:t>
            </w:r>
          </w:p>
        </w:tc>
        <w:tc>
          <w:tcPr>
            <w:tcW w:w="163" w:type="pct"/>
            <w:gridSpan w:val="2"/>
          </w:tcPr>
          <w:p w14:paraId="5C5656B3" w14:textId="77777777" w:rsidR="00F1341F" w:rsidRPr="008340BB" w:rsidRDefault="00F1341F">
            <w:r w:rsidRPr="008340BB">
              <w:rPr>
                <w:i/>
                <w:sz w:val="16"/>
                <w:szCs w:val="16"/>
              </w:rPr>
              <w:t>N/A</w:t>
            </w:r>
          </w:p>
        </w:tc>
        <w:tc>
          <w:tcPr>
            <w:tcW w:w="161" w:type="pct"/>
          </w:tcPr>
          <w:p w14:paraId="7748F32E" w14:textId="77777777" w:rsidR="00F1341F" w:rsidRPr="008340BB" w:rsidRDefault="00F1341F">
            <w:r w:rsidRPr="008340BB">
              <w:rPr>
                <w:i/>
                <w:sz w:val="16"/>
                <w:szCs w:val="16"/>
              </w:rPr>
              <w:t>N/A</w:t>
            </w:r>
          </w:p>
        </w:tc>
        <w:tc>
          <w:tcPr>
            <w:tcW w:w="335" w:type="pct"/>
          </w:tcPr>
          <w:p w14:paraId="44A629F7" w14:textId="77777777" w:rsidR="00F1341F" w:rsidRPr="008340BB" w:rsidRDefault="00F1341F">
            <w:r w:rsidRPr="008340BB">
              <w:rPr>
                <w:i/>
                <w:sz w:val="16"/>
                <w:szCs w:val="16"/>
              </w:rPr>
              <w:t>N/A</w:t>
            </w:r>
          </w:p>
        </w:tc>
        <w:tc>
          <w:tcPr>
            <w:tcW w:w="409" w:type="pct"/>
          </w:tcPr>
          <w:p w14:paraId="35A4C51E" w14:textId="77777777" w:rsidR="00F1341F" w:rsidRPr="008340BB" w:rsidRDefault="00F1341F">
            <w:r w:rsidRPr="008340BB">
              <w:rPr>
                <w:i/>
                <w:sz w:val="16"/>
                <w:szCs w:val="16"/>
              </w:rPr>
              <w:t>N/A</w:t>
            </w:r>
          </w:p>
        </w:tc>
      </w:tr>
      <w:tr w:rsidR="00F1341F" w:rsidRPr="008340BB" w14:paraId="625BA4A8" w14:textId="77777777" w:rsidTr="0076386E">
        <w:trPr>
          <w:trHeight w:val="665"/>
        </w:trPr>
        <w:tc>
          <w:tcPr>
            <w:tcW w:w="449" w:type="pct"/>
          </w:tcPr>
          <w:p w14:paraId="421F2BCA" w14:textId="77777777" w:rsidR="00F1341F" w:rsidRPr="008340BB" w:rsidRDefault="00F1341F">
            <w:r w:rsidRPr="008340BB">
              <w:rPr>
                <w:i/>
                <w:sz w:val="16"/>
                <w:szCs w:val="16"/>
              </w:rPr>
              <w:t>N/A</w:t>
            </w:r>
          </w:p>
        </w:tc>
        <w:tc>
          <w:tcPr>
            <w:tcW w:w="738" w:type="pct"/>
          </w:tcPr>
          <w:p w14:paraId="40DFBF59" w14:textId="77777777" w:rsidR="00F1341F" w:rsidRPr="008340BB" w:rsidRDefault="00F1341F">
            <w:r w:rsidRPr="008340BB">
              <w:rPr>
                <w:i/>
                <w:sz w:val="16"/>
                <w:szCs w:val="16"/>
              </w:rPr>
              <w:t>N/A</w:t>
            </w:r>
          </w:p>
        </w:tc>
        <w:tc>
          <w:tcPr>
            <w:tcW w:w="479" w:type="pct"/>
          </w:tcPr>
          <w:p w14:paraId="62BC8070" w14:textId="77777777" w:rsidR="00F1341F" w:rsidRPr="008340BB" w:rsidRDefault="00F1341F">
            <w:r w:rsidRPr="008340BB">
              <w:rPr>
                <w:i/>
                <w:sz w:val="16"/>
                <w:szCs w:val="16"/>
              </w:rPr>
              <w:t>N/A</w:t>
            </w:r>
          </w:p>
        </w:tc>
        <w:tc>
          <w:tcPr>
            <w:tcW w:w="480" w:type="pct"/>
          </w:tcPr>
          <w:p w14:paraId="749830FC" w14:textId="77777777" w:rsidR="00F1341F" w:rsidRPr="008340BB" w:rsidRDefault="00F1341F">
            <w:r w:rsidRPr="008340BB">
              <w:rPr>
                <w:i/>
                <w:sz w:val="16"/>
                <w:szCs w:val="16"/>
              </w:rPr>
              <w:t>N/A</w:t>
            </w:r>
          </w:p>
        </w:tc>
        <w:tc>
          <w:tcPr>
            <w:tcW w:w="527" w:type="pct"/>
          </w:tcPr>
          <w:p w14:paraId="0D9C2DC2" w14:textId="77777777" w:rsidR="00F1341F" w:rsidRPr="008340BB" w:rsidRDefault="00F1341F">
            <w:r w:rsidRPr="008340BB">
              <w:rPr>
                <w:i/>
                <w:sz w:val="16"/>
                <w:szCs w:val="16"/>
              </w:rPr>
              <w:t>N/A</w:t>
            </w:r>
          </w:p>
        </w:tc>
        <w:tc>
          <w:tcPr>
            <w:tcW w:w="112" w:type="pct"/>
          </w:tcPr>
          <w:p w14:paraId="3B9428D8" w14:textId="77777777" w:rsidR="00F1341F" w:rsidRPr="008340BB" w:rsidRDefault="00F1341F">
            <w:r w:rsidRPr="008340BB">
              <w:rPr>
                <w:i/>
                <w:sz w:val="16"/>
                <w:szCs w:val="16"/>
              </w:rPr>
              <w:t>N/A</w:t>
            </w:r>
          </w:p>
        </w:tc>
        <w:tc>
          <w:tcPr>
            <w:tcW w:w="112" w:type="pct"/>
          </w:tcPr>
          <w:p w14:paraId="3DEFB73E" w14:textId="77777777" w:rsidR="00F1341F" w:rsidRPr="008340BB" w:rsidRDefault="00F1341F">
            <w:r w:rsidRPr="008340BB">
              <w:rPr>
                <w:i/>
                <w:sz w:val="16"/>
                <w:szCs w:val="16"/>
              </w:rPr>
              <w:t>N/A</w:t>
            </w:r>
          </w:p>
        </w:tc>
        <w:tc>
          <w:tcPr>
            <w:tcW w:w="112" w:type="pct"/>
          </w:tcPr>
          <w:p w14:paraId="30559805" w14:textId="77777777" w:rsidR="00F1341F" w:rsidRPr="008340BB" w:rsidRDefault="00F1341F">
            <w:r w:rsidRPr="008340BB">
              <w:rPr>
                <w:i/>
                <w:sz w:val="16"/>
                <w:szCs w:val="16"/>
              </w:rPr>
              <w:t>N/A</w:t>
            </w:r>
          </w:p>
        </w:tc>
        <w:tc>
          <w:tcPr>
            <w:tcW w:w="431" w:type="pct"/>
          </w:tcPr>
          <w:p w14:paraId="5EB5D121" w14:textId="77777777" w:rsidR="00F1341F" w:rsidRPr="008340BB" w:rsidRDefault="00F1341F">
            <w:r w:rsidRPr="008340BB">
              <w:rPr>
                <w:i/>
                <w:sz w:val="16"/>
                <w:szCs w:val="16"/>
              </w:rPr>
              <w:t>N/A</w:t>
            </w:r>
          </w:p>
        </w:tc>
        <w:tc>
          <w:tcPr>
            <w:tcW w:w="310" w:type="pct"/>
          </w:tcPr>
          <w:p w14:paraId="0024CC9D" w14:textId="77777777" w:rsidR="00F1341F" w:rsidRPr="008340BB" w:rsidRDefault="00F1341F">
            <w:r w:rsidRPr="008340BB">
              <w:rPr>
                <w:i/>
                <w:sz w:val="16"/>
                <w:szCs w:val="16"/>
              </w:rPr>
              <w:t>N/A</w:t>
            </w:r>
          </w:p>
        </w:tc>
        <w:tc>
          <w:tcPr>
            <w:tcW w:w="182" w:type="pct"/>
          </w:tcPr>
          <w:p w14:paraId="1ECA4C8C" w14:textId="77777777" w:rsidR="00F1341F" w:rsidRPr="008340BB" w:rsidRDefault="00F1341F">
            <w:r w:rsidRPr="008340BB">
              <w:rPr>
                <w:i/>
                <w:sz w:val="16"/>
                <w:szCs w:val="16"/>
              </w:rPr>
              <w:t>N/A</w:t>
            </w:r>
          </w:p>
        </w:tc>
        <w:tc>
          <w:tcPr>
            <w:tcW w:w="163" w:type="pct"/>
            <w:gridSpan w:val="2"/>
          </w:tcPr>
          <w:p w14:paraId="51E76276" w14:textId="77777777" w:rsidR="00F1341F" w:rsidRPr="008340BB" w:rsidRDefault="00F1341F">
            <w:r w:rsidRPr="008340BB">
              <w:rPr>
                <w:i/>
                <w:sz w:val="16"/>
                <w:szCs w:val="16"/>
              </w:rPr>
              <w:t>N/A</w:t>
            </w:r>
          </w:p>
        </w:tc>
        <w:tc>
          <w:tcPr>
            <w:tcW w:w="161" w:type="pct"/>
          </w:tcPr>
          <w:p w14:paraId="34B93BA9" w14:textId="77777777" w:rsidR="00F1341F" w:rsidRPr="008340BB" w:rsidRDefault="00F1341F">
            <w:r w:rsidRPr="008340BB">
              <w:rPr>
                <w:i/>
                <w:sz w:val="16"/>
                <w:szCs w:val="16"/>
              </w:rPr>
              <w:t>N/A</w:t>
            </w:r>
          </w:p>
        </w:tc>
        <w:tc>
          <w:tcPr>
            <w:tcW w:w="335" w:type="pct"/>
          </w:tcPr>
          <w:p w14:paraId="4132805C" w14:textId="77777777" w:rsidR="00F1341F" w:rsidRPr="008340BB" w:rsidRDefault="00F1341F" w:rsidP="001B661C">
            <w:r w:rsidRPr="008340BB">
              <w:rPr>
                <w:i/>
                <w:sz w:val="16"/>
                <w:szCs w:val="16"/>
              </w:rPr>
              <w:t>N/A</w:t>
            </w:r>
          </w:p>
        </w:tc>
        <w:tc>
          <w:tcPr>
            <w:tcW w:w="409" w:type="pct"/>
          </w:tcPr>
          <w:p w14:paraId="49732B94" w14:textId="77777777" w:rsidR="00F1341F" w:rsidRPr="008340BB" w:rsidRDefault="00F1341F" w:rsidP="001B661C">
            <w:r w:rsidRPr="008340BB">
              <w:rPr>
                <w:i/>
                <w:sz w:val="16"/>
                <w:szCs w:val="16"/>
              </w:rPr>
              <w:t>N/A</w:t>
            </w:r>
          </w:p>
        </w:tc>
      </w:tr>
    </w:tbl>
    <w:p w14:paraId="70C89D57" w14:textId="77777777" w:rsidR="00F1341F" w:rsidRPr="008340BB" w:rsidRDefault="00F1341F" w:rsidP="00C37144">
      <w:pPr>
        <w:tabs>
          <w:tab w:val="left" w:pos="720"/>
        </w:tabs>
        <w:spacing w:before="0" w:after="240"/>
        <w:jc w:val="center"/>
        <w:rPr>
          <w:b/>
          <w:lang w:eastAsia="en-US"/>
        </w:rPr>
      </w:pPr>
    </w:p>
    <w:p w14:paraId="5B490A6A" w14:textId="77777777" w:rsidR="00F1341F" w:rsidRPr="008340BB" w:rsidRDefault="00F1341F" w:rsidP="00C37144">
      <w:pPr>
        <w:tabs>
          <w:tab w:val="left" w:pos="720"/>
        </w:tabs>
        <w:spacing w:before="0" w:after="240"/>
        <w:jc w:val="left"/>
        <w:rPr>
          <w:b/>
          <w:lang w:eastAsia="en-US"/>
        </w:rPr>
      </w:pPr>
      <w:r w:rsidRPr="008340BB">
        <w:rPr>
          <w:b/>
          <w:lang w:eastAsia="en-US"/>
        </w:rPr>
        <w:br w:type="page"/>
      </w:r>
      <w:r w:rsidRPr="008340BB">
        <w:rPr>
          <w:b/>
          <w:lang w:eastAsia="en-US"/>
        </w:rPr>
        <w:lastRenderedPageBreak/>
        <w:t xml:space="preserve">Table 4a: </w:t>
      </w:r>
      <w:r w:rsidRPr="008340BB">
        <w:rPr>
          <w:b/>
          <w:lang w:eastAsia="en-US"/>
        </w:rPr>
        <w:tab/>
        <w:t xml:space="preserve">YEI result indicators and programme-specific result indicators corresponding to the specific objective </w:t>
      </w:r>
    </w:p>
    <w:p w14:paraId="1C216F6F" w14:textId="77777777" w:rsidR="00F1341F" w:rsidRPr="008340BB" w:rsidRDefault="00F1341F" w:rsidP="00C37144">
      <w:pPr>
        <w:tabs>
          <w:tab w:val="left" w:pos="720"/>
        </w:tabs>
        <w:spacing w:before="0" w:after="240"/>
        <w:jc w:val="left"/>
        <w:rPr>
          <w:lang w:eastAsia="en-US"/>
        </w:rPr>
      </w:pPr>
      <w:r w:rsidRPr="008340BB">
        <w:rPr>
          <w:lang w:eastAsia="en-US"/>
        </w:rPr>
        <w:t xml:space="preserve">(by priority axis or by part of a priority axis) </w:t>
      </w:r>
    </w:p>
    <w:p w14:paraId="49BCB084" w14:textId="77777777" w:rsidR="00F1341F" w:rsidRPr="008340BB" w:rsidRDefault="00F1341F" w:rsidP="00C37144">
      <w:pPr>
        <w:tabs>
          <w:tab w:val="left" w:pos="720"/>
        </w:tabs>
        <w:spacing w:before="0" w:after="240"/>
        <w:jc w:val="left"/>
        <w:rPr>
          <w:lang w:eastAsia="en-US"/>
        </w:rPr>
      </w:pPr>
      <w:r w:rsidRPr="008340BB">
        <w:rPr>
          <w:lang w:eastAsia="en-US"/>
        </w:rPr>
        <w:t xml:space="preserve"> (</w:t>
      </w:r>
      <w:r w:rsidRPr="008340BB">
        <w:rPr>
          <w:szCs w:val="24"/>
          <w:lang w:eastAsia="en-US"/>
        </w:rPr>
        <w:t xml:space="preserve">Reference: Article 19(3) of Regulation (EU) No </w:t>
      </w:r>
      <w:r w:rsidRPr="008340BB">
        <w:rPr>
          <w:szCs w:val="24"/>
        </w:rPr>
        <w:t>1304/2013 of the European Parliament and of the Council</w:t>
      </w:r>
      <w:r w:rsidRPr="008340BB">
        <w:rPr>
          <w:rStyle w:val="FootnoteReference"/>
          <w:lang w:eastAsia="en-US"/>
        </w:rPr>
        <w:footnoteReference w:id="57"/>
      </w:r>
      <w:r w:rsidRPr="008340BB">
        <w:rPr>
          <w:lang w:eastAsia="en-US"/>
        </w:rPr>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10"/>
        <w:gridCol w:w="2149"/>
        <w:gridCol w:w="1398"/>
        <w:gridCol w:w="1535"/>
        <w:gridCol w:w="326"/>
        <w:gridCol w:w="326"/>
        <w:gridCol w:w="326"/>
        <w:gridCol w:w="1256"/>
        <w:gridCol w:w="874"/>
        <w:gridCol w:w="532"/>
        <w:gridCol w:w="37"/>
        <w:gridCol w:w="466"/>
        <w:gridCol w:w="466"/>
        <w:gridCol w:w="977"/>
        <w:gridCol w:w="1187"/>
      </w:tblGrid>
      <w:tr w:rsidR="00F1341F" w:rsidRPr="008340BB" w14:paraId="476917A8" w14:textId="77777777" w:rsidTr="0061331E">
        <w:trPr>
          <w:trHeight w:val="620"/>
        </w:trPr>
        <w:tc>
          <w:tcPr>
            <w:tcW w:w="497" w:type="pct"/>
            <w:vMerge w:val="restart"/>
          </w:tcPr>
          <w:p w14:paraId="66CCA4D2" w14:textId="77777777" w:rsidR="00F1341F" w:rsidRPr="0067246B" w:rsidRDefault="00F1341F" w:rsidP="001B661C">
            <w:pPr>
              <w:tabs>
                <w:tab w:val="left" w:pos="720"/>
              </w:tabs>
              <w:spacing w:before="60" w:after="60"/>
              <w:rPr>
                <w:b/>
                <w:i/>
                <w:sz w:val="16"/>
                <w:szCs w:val="16"/>
                <w:lang w:eastAsia="en-US"/>
              </w:rPr>
            </w:pPr>
            <w:r w:rsidRPr="0067246B" w:rsidDel="00496ED7">
              <w:rPr>
                <w:lang w:eastAsia="en-US"/>
              </w:rPr>
              <w:t xml:space="preserve"> </w:t>
            </w:r>
            <w:r w:rsidRPr="0067246B">
              <w:rPr>
                <w:b/>
                <w:i/>
                <w:sz w:val="16"/>
                <w:szCs w:val="16"/>
                <w:lang w:eastAsia="en-US"/>
              </w:rPr>
              <w:t>ID</w:t>
            </w:r>
          </w:p>
        </w:tc>
        <w:tc>
          <w:tcPr>
            <w:tcW w:w="816" w:type="pct"/>
            <w:vMerge w:val="restart"/>
          </w:tcPr>
          <w:p w14:paraId="53DC0991" w14:textId="77777777" w:rsidR="00F1341F" w:rsidRPr="00020ADD" w:rsidRDefault="00F1341F" w:rsidP="001B661C">
            <w:pPr>
              <w:tabs>
                <w:tab w:val="left" w:pos="720"/>
              </w:tabs>
              <w:spacing w:before="60" w:after="60"/>
              <w:rPr>
                <w:b/>
                <w:i/>
                <w:sz w:val="16"/>
                <w:szCs w:val="16"/>
                <w:lang w:eastAsia="en-US"/>
              </w:rPr>
            </w:pPr>
            <w:r w:rsidRPr="00020ADD">
              <w:rPr>
                <w:b/>
                <w:i/>
                <w:sz w:val="16"/>
                <w:szCs w:val="16"/>
                <w:lang w:eastAsia="en-US"/>
              </w:rPr>
              <w:t xml:space="preserve">Indicator </w:t>
            </w:r>
          </w:p>
        </w:tc>
        <w:tc>
          <w:tcPr>
            <w:tcW w:w="531" w:type="pct"/>
            <w:vMerge w:val="restart"/>
          </w:tcPr>
          <w:p w14:paraId="3B67F47D" w14:textId="77777777" w:rsidR="00F1341F" w:rsidRPr="00020ADD" w:rsidRDefault="00F1341F" w:rsidP="001B661C">
            <w:pPr>
              <w:tabs>
                <w:tab w:val="left" w:pos="720"/>
              </w:tabs>
              <w:spacing w:before="60" w:after="60"/>
              <w:rPr>
                <w:b/>
                <w:i/>
                <w:sz w:val="16"/>
                <w:szCs w:val="16"/>
                <w:lang w:eastAsia="en-US"/>
              </w:rPr>
            </w:pPr>
            <w:r w:rsidRPr="00020ADD">
              <w:rPr>
                <w:b/>
                <w:i/>
                <w:sz w:val="16"/>
                <w:szCs w:val="16"/>
                <w:lang w:eastAsia="en-US"/>
              </w:rPr>
              <w:t>Measurement unit for indicator</w:t>
            </w:r>
          </w:p>
        </w:tc>
        <w:tc>
          <w:tcPr>
            <w:tcW w:w="583" w:type="pct"/>
            <w:vMerge w:val="restart"/>
          </w:tcPr>
          <w:p w14:paraId="1E1B4012" w14:textId="77777777" w:rsidR="00F1341F" w:rsidRPr="00DC0475" w:rsidRDefault="00F1341F" w:rsidP="001B661C">
            <w:pPr>
              <w:snapToGrid w:val="0"/>
              <w:spacing w:before="60" w:after="60"/>
              <w:rPr>
                <w:b/>
                <w:i/>
                <w:sz w:val="16"/>
                <w:szCs w:val="16"/>
                <w:lang w:eastAsia="en-US"/>
              </w:rPr>
            </w:pPr>
            <w:r w:rsidRPr="00020ADD">
              <w:rPr>
                <w:b/>
                <w:i/>
                <w:sz w:val="16"/>
                <w:szCs w:val="16"/>
                <w:lang w:eastAsia="en-US"/>
              </w:rPr>
              <w:t>Common output indicato</w:t>
            </w:r>
            <w:r w:rsidRPr="00DC0475">
              <w:rPr>
                <w:b/>
                <w:i/>
                <w:sz w:val="16"/>
                <w:szCs w:val="16"/>
                <w:lang w:eastAsia="en-US"/>
              </w:rPr>
              <w:t>r used as basis for target setting</w:t>
            </w:r>
          </w:p>
        </w:tc>
        <w:tc>
          <w:tcPr>
            <w:tcW w:w="372" w:type="pct"/>
            <w:gridSpan w:val="3"/>
          </w:tcPr>
          <w:p w14:paraId="1675B228" w14:textId="77777777" w:rsidR="00F1341F" w:rsidRPr="00B5130A" w:rsidRDefault="00F1341F" w:rsidP="001B661C">
            <w:pPr>
              <w:tabs>
                <w:tab w:val="left" w:pos="720"/>
              </w:tabs>
              <w:spacing w:before="60" w:after="60"/>
              <w:rPr>
                <w:b/>
                <w:i/>
                <w:sz w:val="16"/>
                <w:szCs w:val="16"/>
                <w:lang w:eastAsia="en-US"/>
              </w:rPr>
            </w:pPr>
            <w:r w:rsidRPr="00B5130A">
              <w:rPr>
                <w:b/>
                <w:i/>
                <w:sz w:val="16"/>
                <w:szCs w:val="16"/>
                <w:lang w:eastAsia="en-US"/>
              </w:rPr>
              <w:t xml:space="preserve">Baseline value </w:t>
            </w:r>
          </w:p>
        </w:tc>
        <w:tc>
          <w:tcPr>
            <w:tcW w:w="477" w:type="pct"/>
            <w:vMerge w:val="restart"/>
          </w:tcPr>
          <w:p w14:paraId="3C40642D" w14:textId="77777777" w:rsidR="00F1341F" w:rsidRPr="00A828C5" w:rsidRDefault="00F1341F" w:rsidP="001B661C">
            <w:pPr>
              <w:tabs>
                <w:tab w:val="left" w:pos="720"/>
              </w:tabs>
              <w:spacing w:before="60" w:after="60"/>
              <w:rPr>
                <w:b/>
                <w:i/>
                <w:sz w:val="16"/>
                <w:szCs w:val="16"/>
                <w:lang w:eastAsia="en-US"/>
              </w:rPr>
            </w:pPr>
            <w:r w:rsidRPr="00A828C5">
              <w:rPr>
                <w:b/>
                <w:i/>
                <w:sz w:val="16"/>
                <w:szCs w:val="16"/>
                <w:lang w:eastAsia="en-US"/>
              </w:rPr>
              <w:t>Measurement unit for baseline and target</w:t>
            </w:r>
          </w:p>
        </w:tc>
        <w:tc>
          <w:tcPr>
            <w:tcW w:w="332" w:type="pct"/>
            <w:vMerge w:val="restart"/>
          </w:tcPr>
          <w:p w14:paraId="0D4FDC4E" w14:textId="77777777" w:rsidR="00F1341F" w:rsidRPr="008340BB" w:rsidRDefault="00F1341F" w:rsidP="001B661C">
            <w:pPr>
              <w:tabs>
                <w:tab w:val="left" w:pos="720"/>
              </w:tabs>
              <w:spacing w:before="60" w:after="60"/>
              <w:rPr>
                <w:b/>
                <w:i/>
                <w:sz w:val="16"/>
                <w:szCs w:val="16"/>
                <w:lang w:eastAsia="en-US"/>
              </w:rPr>
            </w:pPr>
            <w:r w:rsidRPr="008340BB">
              <w:rPr>
                <w:b/>
                <w:i/>
                <w:sz w:val="16"/>
                <w:szCs w:val="16"/>
                <w:lang w:eastAsia="en-US"/>
              </w:rPr>
              <w:t>Baseline year</w:t>
            </w:r>
          </w:p>
        </w:tc>
        <w:tc>
          <w:tcPr>
            <w:tcW w:w="570" w:type="pct"/>
            <w:gridSpan w:val="4"/>
          </w:tcPr>
          <w:p w14:paraId="4BC35A87" w14:textId="77777777" w:rsidR="00F1341F" w:rsidRPr="008340BB" w:rsidRDefault="00F1341F" w:rsidP="001B661C">
            <w:pPr>
              <w:snapToGrid w:val="0"/>
              <w:spacing w:before="60" w:after="60"/>
              <w:rPr>
                <w:b/>
                <w:i/>
                <w:sz w:val="16"/>
                <w:szCs w:val="16"/>
                <w:lang w:eastAsia="en-US"/>
              </w:rPr>
            </w:pPr>
            <w:r w:rsidRPr="008340BB">
              <w:rPr>
                <w:b/>
                <w:i/>
                <w:sz w:val="16"/>
                <w:szCs w:val="16"/>
                <w:lang w:eastAsia="en-US"/>
              </w:rPr>
              <w:t>Target value</w:t>
            </w:r>
            <w:r w:rsidRPr="008340BB">
              <w:rPr>
                <w:rStyle w:val="FootnoteReference"/>
              </w:rPr>
              <w:footnoteReference w:id="58"/>
            </w:r>
            <w:r w:rsidRPr="008340BB">
              <w:rPr>
                <w:b/>
                <w:i/>
                <w:sz w:val="16"/>
                <w:szCs w:val="16"/>
                <w:lang w:eastAsia="en-US"/>
              </w:rPr>
              <w:t xml:space="preserve"> (2023)</w:t>
            </w:r>
          </w:p>
        </w:tc>
        <w:tc>
          <w:tcPr>
            <w:tcW w:w="371" w:type="pct"/>
            <w:vMerge w:val="restart"/>
          </w:tcPr>
          <w:p w14:paraId="2074BDBE" w14:textId="77777777" w:rsidR="00F1341F" w:rsidRPr="0067246B" w:rsidRDefault="00F1341F" w:rsidP="001B661C">
            <w:pPr>
              <w:tabs>
                <w:tab w:val="left" w:pos="720"/>
              </w:tabs>
              <w:spacing w:before="60" w:after="60"/>
              <w:rPr>
                <w:b/>
                <w:i/>
                <w:sz w:val="16"/>
                <w:szCs w:val="16"/>
                <w:lang w:eastAsia="en-US"/>
              </w:rPr>
            </w:pPr>
            <w:r w:rsidRPr="0067246B">
              <w:rPr>
                <w:b/>
                <w:i/>
                <w:sz w:val="16"/>
                <w:szCs w:val="16"/>
                <w:lang w:eastAsia="en-US"/>
              </w:rPr>
              <w:t>Source of data</w:t>
            </w:r>
          </w:p>
        </w:tc>
        <w:tc>
          <w:tcPr>
            <w:tcW w:w="451" w:type="pct"/>
            <w:vMerge w:val="restart"/>
          </w:tcPr>
          <w:p w14:paraId="399FED8D" w14:textId="77777777" w:rsidR="00F1341F" w:rsidRPr="00020ADD" w:rsidRDefault="00F1341F" w:rsidP="001B661C">
            <w:pPr>
              <w:tabs>
                <w:tab w:val="left" w:pos="720"/>
              </w:tabs>
              <w:spacing w:before="60" w:after="60"/>
              <w:rPr>
                <w:b/>
                <w:i/>
                <w:sz w:val="16"/>
                <w:szCs w:val="16"/>
                <w:lang w:eastAsia="en-US"/>
              </w:rPr>
            </w:pPr>
            <w:r w:rsidRPr="00020ADD">
              <w:rPr>
                <w:b/>
                <w:i/>
                <w:sz w:val="16"/>
                <w:szCs w:val="16"/>
                <w:lang w:eastAsia="en-US"/>
              </w:rPr>
              <w:t>Frequency of reporting</w:t>
            </w:r>
          </w:p>
        </w:tc>
      </w:tr>
      <w:tr w:rsidR="00F1341F" w:rsidRPr="008340BB" w14:paraId="08DC1204" w14:textId="77777777" w:rsidTr="0061331E">
        <w:trPr>
          <w:trHeight w:val="619"/>
        </w:trPr>
        <w:tc>
          <w:tcPr>
            <w:tcW w:w="497" w:type="pct"/>
            <w:vMerge/>
          </w:tcPr>
          <w:p w14:paraId="25BD7547" w14:textId="77777777" w:rsidR="00F1341F" w:rsidRPr="008340BB" w:rsidRDefault="00F1341F" w:rsidP="001B661C">
            <w:pPr>
              <w:tabs>
                <w:tab w:val="left" w:pos="720"/>
              </w:tabs>
              <w:spacing w:before="60" w:after="60"/>
              <w:rPr>
                <w:b/>
                <w:i/>
                <w:sz w:val="16"/>
                <w:szCs w:val="16"/>
                <w:lang w:eastAsia="en-US"/>
              </w:rPr>
            </w:pPr>
          </w:p>
        </w:tc>
        <w:tc>
          <w:tcPr>
            <w:tcW w:w="816" w:type="pct"/>
            <w:vMerge/>
          </w:tcPr>
          <w:p w14:paraId="7048F82F" w14:textId="77777777" w:rsidR="00F1341F" w:rsidRPr="008340BB" w:rsidRDefault="00F1341F" w:rsidP="001B661C">
            <w:pPr>
              <w:tabs>
                <w:tab w:val="left" w:pos="720"/>
              </w:tabs>
              <w:spacing w:before="60" w:after="60"/>
              <w:rPr>
                <w:b/>
                <w:i/>
                <w:sz w:val="16"/>
                <w:szCs w:val="16"/>
                <w:lang w:eastAsia="en-US"/>
              </w:rPr>
            </w:pPr>
          </w:p>
        </w:tc>
        <w:tc>
          <w:tcPr>
            <w:tcW w:w="531" w:type="pct"/>
            <w:vMerge/>
          </w:tcPr>
          <w:p w14:paraId="3A6629A5" w14:textId="77777777" w:rsidR="00F1341F" w:rsidRPr="008340BB" w:rsidRDefault="00F1341F" w:rsidP="001B661C">
            <w:pPr>
              <w:tabs>
                <w:tab w:val="left" w:pos="720"/>
              </w:tabs>
              <w:spacing w:before="60" w:after="60"/>
              <w:rPr>
                <w:b/>
                <w:i/>
                <w:sz w:val="16"/>
                <w:szCs w:val="16"/>
                <w:lang w:eastAsia="en-US"/>
              </w:rPr>
            </w:pPr>
          </w:p>
        </w:tc>
        <w:tc>
          <w:tcPr>
            <w:tcW w:w="583" w:type="pct"/>
            <w:vMerge/>
          </w:tcPr>
          <w:p w14:paraId="7C588178" w14:textId="77777777" w:rsidR="00F1341F" w:rsidRPr="008340BB" w:rsidRDefault="00F1341F" w:rsidP="001B661C">
            <w:pPr>
              <w:snapToGrid w:val="0"/>
              <w:spacing w:before="60" w:after="60"/>
              <w:rPr>
                <w:b/>
                <w:i/>
                <w:sz w:val="16"/>
                <w:szCs w:val="16"/>
                <w:lang w:eastAsia="en-US"/>
              </w:rPr>
            </w:pPr>
          </w:p>
        </w:tc>
        <w:tc>
          <w:tcPr>
            <w:tcW w:w="124" w:type="pct"/>
          </w:tcPr>
          <w:p w14:paraId="6A6BD353" w14:textId="77777777" w:rsidR="00F1341F" w:rsidRPr="008340BB" w:rsidRDefault="00F1341F" w:rsidP="001B661C">
            <w:pPr>
              <w:tabs>
                <w:tab w:val="left" w:pos="720"/>
              </w:tabs>
              <w:spacing w:before="60" w:after="60"/>
              <w:rPr>
                <w:b/>
                <w:i/>
                <w:sz w:val="16"/>
                <w:szCs w:val="16"/>
                <w:lang w:eastAsia="en-US"/>
              </w:rPr>
            </w:pPr>
            <w:r w:rsidRPr="008340BB">
              <w:rPr>
                <w:sz w:val="16"/>
                <w:szCs w:val="16"/>
                <w:lang w:eastAsia="en-US"/>
              </w:rPr>
              <w:t>M</w:t>
            </w:r>
          </w:p>
        </w:tc>
        <w:tc>
          <w:tcPr>
            <w:tcW w:w="124" w:type="pct"/>
          </w:tcPr>
          <w:p w14:paraId="4597055F" w14:textId="77777777" w:rsidR="00F1341F" w:rsidRPr="008340BB" w:rsidRDefault="00F1341F" w:rsidP="001B661C">
            <w:pPr>
              <w:tabs>
                <w:tab w:val="left" w:pos="720"/>
              </w:tabs>
              <w:spacing w:before="60" w:after="60"/>
              <w:rPr>
                <w:b/>
                <w:i/>
                <w:sz w:val="16"/>
                <w:szCs w:val="16"/>
                <w:lang w:eastAsia="en-US"/>
              </w:rPr>
            </w:pPr>
            <w:r w:rsidRPr="008340BB">
              <w:rPr>
                <w:sz w:val="16"/>
                <w:szCs w:val="16"/>
                <w:lang w:eastAsia="en-US"/>
              </w:rPr>
              <w:t>W</w:t>
            </w:r>
          </w:p>
        </w:tc>
        <w:tc>
          <w:tcPr>
            <w:tcW w:w="124" w:type="pct"/>
          </w:tcPr>
          <w:p w14:paraId="4DB5EEC5" w14:textId="77777777" w:rsidR="00F1341F" w:rsidRPr="008340BB" w:rsidRDefault="00F1341F" w:rsidP="001B661C">
            <w:pPr>
              <w:tabs>
                <w:tab w:val="left" w:pos="720"/>
              </w:tabs>
              <w:spacing w:before="60" w:after="60"/>
              <w:rPr>
                <w:b/>
                <w:i/>
                <w:sz w:val="16"/>
                <w:szCs w:val="16"/>
                <w:lang w:eastAsia="en-US"/>
              </w:rPr>
            </w:pPr>
            <w:r w:rsidRPr="008340BB">
              <w:rPr>
                <w:sz w:val="16"/>
                <w:szCs w:val="16"/>
                <w:lang w:eastAsia="en-US"/>
              </w:rPr>
              <w:t>T</w:t>
            </w:r>
          </w:p>
        </w:tc>
        <w:tc>
          <w:tcPr>
            <w:tcW w:w="477" w:type="pct"/>
            <w:vMerge/>
          </w:tcPr>
          <w:p w14:paraId="5795CC90" w14:textId="77777777" w:rsidR="00F1341F" w:rsidRPr="008340BB" w:rsidRDefault="00F1341F" w:rsidP="001B661C">
            <w:pPr>
              <w:tabs>
                <w:tab w:val="left" w:pos="720"/>
              </w:tabs>
              <w:spacing w:before="60" w:after="60"/>
              <w:rPr>
                <w:b/>
                <w:i/>
                <w:sz w:val="16"/>
                <w:szCs w:val="16"/>
                <w:lang w:eastAsia="en-US"/>
              </w:rPr>
            </w:pPr>
          </w:p>
        </w:tc>
        <w:tc>
          <w:tcPr>
            <w:tcW w:w="332" w:type="pct"/>
            <w:vMerge/>
          </w:tcPr>
          <w:p w14:paraId="28D597B7" w14:textId="77777777" w:rsidR="00F1341F" w:rsidRPr="008340BB" w:rsidRDefault="00F1341F" w:rsidP="001B661C">
            <w:pPr>
              <w:tabs>
                <w:tab w:val="left" w:pos="720"/>
              </w:tabs>
              <w:spacing w:before="60" w:after="60"/>
              <w:rPr>
                <w:b/>
                <w:i/>
                <w:sz w:val="16"/>
                <w:szCs w:val="16"/>
                <w:lang w:eastAsia="en-US"/>
              </w:rPr>
            </w:pPr>
          </w:p>
        </w:tc>
        <w:tc>
          <w:tcPr>
            <w:tcW w:w="216" w:type="pct"/>
            <w:gridSpan w:val="2"/>
          </w:tcPr>
          <w:p w14:paraId="252A146F" w14:textId="77777777" w:rsidR="00F1341F" w:rsidRPr="008340BB" w:rsidRDefault="00F1341F" w:rsidP="001B661C">
            <w:pPr>
              <w:snapToGrid w:val="0"/>
              <w:spacing w:before="60" w:after="60"/>
              <w:rPr>
                <w:b/>
                <w:i/>
                <w:sz w:val="16"/>
                <w:szCs w:val="16"/>
                <w:lang w:eastAsia="en-US"/>
              </w:rPr>
            </w:pPr>
            <w:r w:rsidRPr="008340BB">
              <w:rPr>
                <w:sz w:val="16"/>
                <w:szCs w:val="16"/>
                <w:lang w:eastAsia="en-US"/>
              </w:rPr>
              <w:t>M</w:t>
            </w:r>
          </w:p>
        </w:tc>
        <w:tc>
          <w:tcPr>
            <w:tcW w:w="177" w:type="pct"/>
          </w:tcPr>
          <w:p w14:paraId="5A5EAEB4" w14:textId="77777777" w:rsidR="00F1341F" w:rsidRPr="008340BB" w:rsidRDefault="00F1341F" w:rsidP="001B661C">
            <w:pPr>
              <w:snapToGrid w:val="0"/>
              <w:spacing w:before="60" w:after="60"/>
              <w:rPr>
                <w:b/>
                <w:i/>
                <w:sz w:val="16"/>
                <w:szCs w:val="16"/>
                <w:lang w:eastAsia="en-US"/>
              </w:rPr>
            </w:pPr>
            <w:r w:rsidRPr="008340BB">
              <w:rPr>
                <w:sz w:val="16"/>
                <w:szCs w:val="16"/>
                <w:lang w:eastAsia="en-US"/>
              </w:rPr>
              <w:t>W</w:t>
            </w:r>
          </w:p>
        </w:tc>
        <w:tc>
          <w:tcPr>
            <w:tcW w:w="177" w:type="pct"/>
          </w:tcPr>
          <w:p w14:paraId="7D611B0F" w14:textId="77777777" w:rsidR="00F1341F" w:rsidRPr="008340BB" w:rsidRDefault="00F1341F" w:rsidP="001B661C">
            <w:pPr>
              <w:snapToGrid w:val="0"/>
              <w:spacing w:before="60" w:after="60"/>
              <w:rPr>
                <w:b/>
                <w:i/>
                <w:sz w:val="16"/>
                <w:szCs w:val="16"/>
                <w:lang w:eastAsia="en-US"/>
              </w:rPr>
            </w:pPr>
            <w:r w:rsidRPr="008340BB">
              <w:rPr>
                <w:sz w:val="16"/>
                <w:szCs w:val="16"/>
                <w:lang w:eastAsia="en-US"/>
              </w:rPr>
              <w:t>T</w:t>
            </w:r>
          </w:p>
        </w:tc>
        <w:tc>
          <w:tcPr>
            <w:tcW w:w="371" w:type="pct"/>
            <w:vMerge/>
          </w:tcPr>
          <w:p w14:paraId="11580F54" w14:textId="77777777" w:rsidR="00F1341F" w:rsidRPr="008340BB" w:rsidRDefault="00F1341F" w:rsidP="001B661C">
            <w:pPr>
              <w:tabs>
                <w:tab w:val="left" w:pos="720"/>
              </w:tabs>
              <w:spacing w:before="60" w:after="60"/>
              <w:rPr>
                <w:b/>
                <w:i/>
                <w:sz w:val="16"/>
                <w:szCs w:val="16"/>
                <w:lang w:eastAsia="en-US"/>
              </w:rPr>
            </w:pPr>
          </w:p>
        </w:tc>
        <w:tc>
          <w:tcPr>
            <w:tcW w:w="451" w:type="pct"/>
            <w:vMerge/>
          </w:tcPr>
          <w:p w14:paraId="7A50CD2C" w14:textId="77777777" w:rsidR="00F1341F" w:rsidRPr="008340BB" w:rsidRDefault="00F1341F" w:rsidP="001B661C">
            <w:pPr>
              <w:tabs>
                <w:tab w:val="left" w:pos="720"/>
              </w:tabs>
              <w:spacing w:before="60" w:after="60"/>
              <w:rPr>
                <w:b/>
                <w:sz w:val="16"/>
                <w:szCs w:val="16"/>
                <w:lang w:eastAsia="en-US"/>
              </w:rPr>
            </w:pPr>
          </w:p>
        </w:tc>
      </w:tr>
      <w:tr w:rsidR="00F1341F" w:rsidRPr="008340BB" w14:paraId="49D15C8B" w14:textId="77777777" w:rsidTr="0061331E">
        <w:trPr>
          <w:trHeight w:val="652"/>
        </w:trPr>
        <w:tc>
          <w:tcPr>
            <w:tcW w:w="497" w:type="pct"/>
          </w:tcPr>
          <w:p w14:paraId="7DABCED5" w14:textId="77777777" w:rsidR="00F1341F" w:rsidRPr="008340BB" w:rsidRDefault="00F1341F" w:rsidP="001B661C">
            <w:r w:rsidRPr="008340BB">
              <w:rPr>
                <w:i/>
                <w:sz w:val="16"/>
                <w:szCs w:val="16"/>
              </w:rPr>
              <w:t>N/A</w:t>
            </w:r>
          </w:p>
        </w:tc>
        <w:tc>
          <w:tcPr>
            <w:tcW w:w="816" w:type="pct"/>
          </w:tcPr>
          <w:p w14:paraId="432AC81A" w14:textId="77777777" w:rsidR="00F1341F" w:rsidRPr="008340BB" w:rsidRDefault="00F1341F" w:rsidP="001B661C">
            <w:r w:rsidRPr="008340BB">
              <w:rPr>
                <w:i/>
                <w:sz w:val="16"/>
                <w:szCs w:val="16"/>
              </w:rPr>
              <w:t>N/A</w:t>
            </w:r>
          </w:p>
        </w:tc>
        <w:tc>
          <w:tcPr>
            <w:tcW w:w="531" w:type="pct"/>
          </w:tcPr>
          <w:p w14:paraId="5B4B57B3" w14:textId="77777777" w:rsidR="00F1341F" w:rsidRPr="008340BB" w:rsidRDefault="00F1341F">
            <w:r w:rsidRPr="008340BB">
              <w:rPr>
                <w:i/>
                <w:sz w:val="16"/>
                <w:szCs w:val="16"/>
              </w:rPr>
              <w:t>N/A</w:t>
            </w:r>
          </w:p>
        </w:tc>
        <w:tc>
          <w:tcPr>
            <w:tcW w:w="583" w:type="pct"/>
          </w:tcPr>
          <w:p w14:paraId="74704817" w14:textId="77777777" w:rsidR="00F1341F" w:rsidRPr="008340BB" w:rsidRDefault="00F1341F">
            <w:r w:rsidRPr="008340BB">
              <w:rPr>
                <w:i/>
                <w:sz w:val="16"/>
                <w:szCs w:val="16"/>
              </w:rPr>
              <w:t>N/A</w:t>
            </w:r>
          </w:p>
        </w:tc>
        <w:tc>
          <w:tcPr>
            <w:tcW w:w="372" w:type="pct"/>
            <w:gridSpan w:val="3"/>
          </w:tcPr>
          <w:p w14:paraId="128A80EF" w14:textId="77777777" w:rsidR="00F1341F" w:rsidRPr="008340BB" w:rsidRDefault="00F1341F">
            <w:r w:rsidRPr="008340BB">
              <w:rPr>
                <w:i/>
                <w:sz w:val="16"/>
                <w:szCs w:val="16"/>
              </w:rPr>
              <w:t>N/A</w:t>
            </w:r>
          </w:p>
        </w:tc>
        <w:tc>
          <w:tcPr>
            <w:tcW w:w="477" w:type="pct"/>
          </w:tcPr>
          <w:p w14:paraId="66811DEC" w14:textId="77777777" w:rsidR="00F1341F" w:rsidRPr="008340BB" w:rsidRDefault="00F1341F">
            <w:r w:rsidRPr="008340BB">
              <w:rPr>
                <w:i/>
                <w:sz w:val="16"/>
                <w:szCs w:val="16"/>
              </w:rPr>
              <w:t>N/A</w:t>
            </w:r>
          </w:p>
        </w:tc>
        <w:tc>
          <w:tcPr>
            <w:tcW w:w="332" w:type="pct"/>
          </w:tcPr>
          <w:p w14:paraId="0265E36B" w14:textId="77777777" w:rsidR="00F1341F" w:rsidRPr="008340BB" w:rsidRDefault="00F1341F">
            <w:r w:rsidRPr="008340BB">
              <w:rPr>
                <w:i/>
                <w:sz w:val="16"/>
                <w:szCs w:val="16"/>
              </w:rPr>
              <w:t>N/A</w:t>
            </w:r>
          </w:p>
        </w:tc>
        <w:tc>
          <w:tcPr>
            <w:tcW w:w="202" w:type="pct"/>
          </w:tcPr>
          <w:p w14:paraId="19D23CF1" w14:textId="77777777" w:rsidR="00F1341F" w:rsidRPr="008340BB" w:rsidRDefault="00F1341F">
            <w:r w:rsidRPr="008340BB">
              <w:rPr>
                <w:i/>
                <w:sz w:val="16"/>
                <w:szCs w:val="16"/>
              </w:rPr>
              <w:t>N/A</w:t>
            </w:r>
          </w:p>
        </w:tc>
        <w:tc>
          <w:tcPr>
            <w:tcW w:w="191" w:type="pct"/>
            <w:gridSpan w:val="2"/>
          </w:tcPr>
          <w:p w14:paraId="31789E74" w14:textId="77777777" w:rsidR="00F1341F" w:rsidRPr="008340BB" w:rsidRDefault="00F1341F">
            <w:r w:rsidRPr="008340BB">
              <w:rPr>
                <w:i/>
                <w:sz w:val="16"/>
                <w:szCs w:val="16"/>
              </w:rPr>
              <w:t>N/A</w:t>
            </w:r>
          </w:p>
        </w:tc>
        <w:tc>
          <w:tcPr>
            <w:tcW w:w="177" w:type="pct"/>
          </w:tcPr>
          <w:p w14:paraId="7B639BC2" w14:textId="77777777" w:rsidR="00F1341F" w:rsidRPr="008340BB" w:rsidRDefault="00F1341F">
            <w:r w:rsidRPr="008340BB">
              <w:rPr>
                <w:i/>
                <w:sz w:val="16"/>
                <w:szCs w:val="16"/>
              </w:rPr>
              <w:t>N/A</w:t>
            </w:r>
          </w:p>
        </w:tc>
        <w:tc>
          <w:tcPr>
            <w:tcW w:w="371" w:type="pct"/>
          </w:tcPr>
          <w:p w14:paraId="375B5697" w14:textId="77777777" w:rsidR="00F1341F" w:rsidRPr="008340BB" w:rsidRDefault="00F1341F">
            <w:r w:rsidRPr="008340BB">
              <w:rPr>
                <w:i/>
                <w:sz w:val="16"/>
                <w:szCs w:val="16"/>
              </w:rPr>
              <w:t>N/A</w:t>
            </w:r>
          </w:p>
        </w:tc>
        <w:tc>
          <w:tcPr>
            <w:tcW w:w="451" w:type="pct"/>
          </w:tcPr>
          <w:p w14:paraId="4615B519" w14:textId="77777777" w:rsidR="00F1341F" w:rsidRPr="008340BB" w:rsidRDefault="00F1341F">
            <w:r w:rsidRPr="008340BB">
              <w:rPr>
                <w:i/>
                <w:sz w:val="16"/>
                <w:szCs w:val="16"/>
              </w:rPr>
              <w:t>N/A</w:t>
            </w:r>
          </w:p>
        </w:tc>
      </w:tr>
    </w:tbl>
    <w:p w14:paraId="7FD81FE0" w14:textId="77777777" w:rsidR="00F1341F" w:rsidRPr="008340BB" w:rsidRDefault="00F1341F" w:rsidP="00C37144">
      <w:pPr>
        <w:suppressAutoHyphens/>
        <w:rPr>
          <w:b/>
        </w:rPr>
        <w:sectPr w:rsidR="00F1341F" w:rsidRPr="008340BB" w:rsidSect="001E1D6F">
          <w:pgSz w:w="16838" w:h="11906" w:orient="landscape"/>
          <w:pgMar w:top="1021" w:right="1134" w:bottom="1021" w:left="1134" w:header="601" w:footer="1077" w:gutter="0"/>
          <w:cols w:space="708"/>
          <w:docGrid w:linePitch="326"/>
        </w:sectPr>
      </w:pPr>
    </w:p>
    <w:p w14:paraId="214BDD59" w14:textId="77777777" w:rsidR="00F1341F" w:rsidRPr="008340BB" w:rsidRDefault="00F1341F" w:rsidP="00C37144">
      <w:pPr>
        <w:suppressAutoHyphens/>
        <w:rPr>
          <w:b/>
        </w:rPr>
      </w:pPr>
      <w:r w:rsidRPr="008340BB">
        <w:rPr>
          <w:b/>
        </w:rPr>
        <w:lastRenderedPageBreak/>
        <w:t xml:space="preserve">2.A.4.3.2 </w:t>
      </w:r>
      <w:r w:rsidRPr="008340BB">
        <w:rPr>
          <w:b/>
        </w:rPr>
        <w:tab/>
        <w:t xml:space="preserve">Action to be supported under the investment priority </w:t>
      </w:r>
    </w:p>
    <w:p w14:paraId="7677544E" w14:textId="77777777" w:rsidR="00F1341F" w:rsidRPr="008340BB" w:rsidRDefault="00F1341F" w:rsidP="00C37144">
      <w:pPr>
        <w:suppressAutoHyphens/>
      </w:pPr>
      <w:r w:rsidRPr="008340BB">
        <w:t>(by investment priority)</w:t>
      </w:r>
    </w:p>
    <w:p w14:paraId="5AEA1E49" w14:textId="77777777" w:rsidR="00F1341F" w:rsidRPr="008340BB" w:rsidRDefault="00F1341F" w:rsidP="00C37144">
      <w:pPr>
        <w:suppressAutoHyphens/>
        <w:rPr>
          <w:b/>
          <w:sz w:val="16"/>
          <w:szCs w:val="16"/>
        </w:rPr>
      </w:pPr>
    </w:p>
    <w:p w14:paraId="6298AA5D" w14:textId="77777777" w:rsidR="00F1341F" w:rsidRPr="008340BB" w:rsidRDefault="00F1341F" w:rsidP="00C37144">
      <w:pPr>
        <w:pStyle w:val="ManualHeading3"/>
        <w:tabs>
          <w:tab w:val="clear" w:pos="850"/>
        </w:tabs>
        <w:ind w:left="1418" w:hanging="1418"/>
        <w:rPr>
          <w:b/>
        </w:rPr>
      </w:pPr>
      <w:r w:rsidRPr="008340BB">
        <w:rPr>
          <w:b/>
        </w:rPr>
        <w:t xml:space="preserve">2.A.4.3.2.1 </w:t>
      </w:r>
      <w:r w:rsidRPr="008340BB">
        <w:rPr>
          <w:b/>
        </w:rPr>
        <w:tab/>
        <w:t>Description of the type and examples of actions to be supported and their expected contribution to the specific objectives including, where appropriate,  the identification of main target groups, specific territories targeted and  types of beneficiaries</w:t>
      </w:r>
    </w:p>
    <w:p w14:paraId="15CC9571" w14:textId="77777777" w:rsidR="00F1341F" w:rsidRPr="008340BB" w:rsidRDefault="00F1341F" w:rsidP="00C37144">
      <w:pPr>
        <w:pStyle w:val="ManualHeading3"/>
        <w:tabs>
          <w:tab w:val="clear" w:pos="850"/>
        </w:tabs>
        <w:ind w:left="1418" w:hanging="1418"/>
        <w:rPr>
          <w:i w:val="0"/>
        </w:rPr>
      </w:pPr>
      <w:r w:rsidRPr="008340BB">
        <w:rPr>
          <w:i w:val="0"/>
        </w:rPr>
        <w:t>(Reference: point (b)(iii) of the first subparagraph of Article 96 (2) of Regulation (EU) No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552E0049" w14:textId="77777777" w:rsidTr="001B661C">
        <w:trPr>
          <w:trHeight w:val="518"/>
        </w:trPr>
        <w:tc>
          <w:tcPr>
            <w:tcW w:w="2235" w:type="dxa"/>
          </w:tcPr>
          <w:p w14:paraId="648DD9DA" w14:textId="77777777" w:rsidR="00F1341F" w:rsidRPr="008340BB" w:rsidRDefault="00F1341F" w:rsidP="001B661C">
            <w:pPr>
              <w:rPr>
                <w:i/>
                <w:color w:val="8DB3E2"/>
                <w:sz w:val="18"/>
                <w:szCs w:val="18"/>
              </w:rPr>
            </w:pPr>
            <w:r w:rsidRPr="008340BB">
              <w:rPr>
                <w:i/>
              </w:rPr>
              <w:t>Investment priority</w:t>
            </w:r>
          </w:p>
        </w:tc>
        <w:tc>
          <w:tcPr>
            <w:tcW w:w="6443" w:type="dxa"/>
          </w:tcPr>
          <w:p w14:paraId="30EB7D2D" w14:textId="77777777" w:rsidR="00F1341F" w:rsidRPr="008340BB" w:rsidRDefault="00A279A1" w:rsidP="001B661C">
            <w:pPr>
              <w:rPr>
                <w:i/>
                <w:color w:val="8DB3E2"/>
                <w:sz w:val="18"/>
                <w:szCs w:val="18"/>
              </w:rPr>
            </w:pPr>
            <w:r>
              <w:rPr>
                <w:i/>
                <w:lang w:eastAsia="bg-BG"/>
              </w:rPr>
              <w:t xml:space="preserve">7(c) - </w:t>
            </w:r>
            <w:r w:rsidR="00F1341F" w:rsidRPr="008340BB">
              <w:rPr>
                <w:i/>
              </w:rPr>
              <w:t>Developing and improving environmentally-friendly including low-noise and low-carbon transport systems including inland waterways and maritime transport, ports, multimodal links and airport infrastructure, in order to promote sustainable regional and local mobility</w:t>
            </w:r>
          </w:p>
        </w:tc>
      </w:tr>
      <w:tr w:rsidR="00F1341F" w:rsidRPr="008340BB" w14:paraId="2DD068EB" w14:textId="77777777" w:rsidTr="001B661C">
        <w:trPr>
          <w:trHeight w:val="819"/>
        </w:trPr>
        <w:tc>
          <w:tcPr>
            <w:tcW w:w="8678" w:type="dxa"/>
            <w:gridSpan w:val="2"/>
          </w:tcPr>
          <w:p w14:paraId="60CDE1A9" w14:textId="77777777" w:rsidR="00051F30" w:rsidRDefault="00F1341F" w:rsidP="00A537E9">
            <w:pPr>
              <w:autoSpaceDE w:val="0"/>
              <w:autoSpaceDN w:val="0"/>
              <w:adjustRightInd w:val="0"/>
              <w:rPr>
                <w:b/>
                <w:bCs/>
                <w:lang w:eastAsia="bg-BG"/>
              </w:rPr>
            </w:pPr>
            <w:r w:rsidRPr="008340BB">
              <w:rPr>
                <w:b/>
                <w:bCs/>
                <w:lang w:eastAsia="bg-BG"/>
              </w:rPr>
              <w:t>Examples of actions to be financed</w:t>
            </w:r>
          </w:p>
          <w:p w14:paraId="48B48E2A" w14:textId="4D943C6D" w:rsidR="0034460D" w:rsidRPr="0034460D" w:rsidRDefault="00051F30" w:rsidP="00DF6DA7">
            <w:pPr>
              <w:autoSpaceDE w:val="0"/>
              <w:autoSpaceDN w:val="0"/>
              <w:adjustRightInd w:val="0"/>
            </w:pPr>
            <w:r w:rsidRPr="00435AC3">
              <w:rPr>
                <w:bCs/>
                <w:lang w:eastAsia="bg-BG"/>
              </w:rPr>
              <w:t>D</w:t>
            </w:r>
            <w:r w:rsidR="00F1341F" w:rsidRPr="008340BB">
              <w:rPr>
                <w:bCs/>
                <w:lang w:eastAsia="bg-BG"/>
              </w:rPr>
              <w:t>evelopment</w:t>
            </w:r>
            <w:r w:rsidR="00F1341F" w:rsidRPr="008340BB">
              <w:t xml:space="preserve"> of navigation information systems, upgrading the existing systems and the systems under construction, supply of </w:t>
            </w:r>
            <w:r w:rsidR="00460FB1" w:rsidRPr="008340BB">
              <w:t>multipurpose</w:t>
            </w:r>
            <w:r w:rsidR="00F1341F" w:rsidRPr="008340BB">
              <w:t xml:space="preserve"> vessels, development of information systems for </w:t>
            </w:r>
            <w:r w:rsidR="0072342E">
              <w:t>road</w:t>
            </w:r>
            <w:r w:rsidR="00F1341F" w:rsidRPr="008340BB">
              <w:t xml:space="preserve"> traffic management, modernisation and construction of </w:t>
            </w:r>
            <w:r w:rsidR="00F1341F" w:rsidRPr="008340BB">
              <w:rPr>
                <w:lang w:eastAsia="bg-BG"/>
              </w:rPr>
              <w:t xml:space="preserve">port reception facilities for </w:t>
            </w:r>
            <w:r w:rsidR="00826613">
              <w:rPr>
                <w:lang w:eastAsia="bg-BG"/>
              </w:rPr>
              <w:t xml:space="preserve">treatment of </w:t>
            </w:r>
            <w:r w:rsidR="00F1341F" w:rsidRPr="008340BB">
              <w:rPr>
                <w:lang w:eastAsia="bg-BG"/>
              </w:rPr>
              <w:t>ship-generated waste and cargo residues</w:t>
            </w:r>
            <w:r w:rsidR="00F1341F" w:rsidRPr="008340BB">
              <w:t xml:space="preserve"> in Bulgarian ports of national importance</w:t>
            </w:r>
            <w:r w:rsidR="00322C92">
              <w:t xml:space="preserve">, equipment of metro stations </w:t>
            </w:r>
            <w:r w:rsidR="009F4323">
              <w:t xml:space="preserve">along Line 1 and Line 2 of Sofia metro </w:t>
            </w:r>
            <w:r w:rsidR="00322C92">
              <w:t xml:space="preserve">with </w:t>
            </w:r>
            <w:r w:rsidR="00E64D21">
              <w:t xml:space="preserve">automatic </w:t>
            </w:r>
            <w:r w:rsidR="00322C92">
              <w:t>platform screen doors</w:t>
            </w:r>
            <w:r w:rsidR="0034460D">
              <w:t xml:space="preserve">, </w:t>
            </w:r>
            <w:r w:rsidR="0034460D" w:rsidRPr="0034460D">
              <w:t>establishment of modern systems for railway traffic management</w:t>
            </w:r>
            <w:r w:rsidR="009853EF">
              <w:t xml:space="preserve">, </w:t>
            </w:r>
            <w:r w:rsidR="009853EF" w:rsidRPr="009853EF">
              <w:t>deepening of the water area of ship berths in port terminals and technical assistance for preparation / completion of project preparation</w:t>
            </w:r>
            <w:r w:rsidR="0034460D" w:rsidRPr="0034460D">
              <w:t>.</w:t>
            </w:r>
          </w:p>
          <w:p w14:paraId="03FCFF1C" w14:textId="69DFB888" w:rsidR="00F1341F" w:rsidRPr="008340BB" w:rsidRDefault="00610AEC" w:rsidP="00EF0A0A">
            <w:pPr>
              <w:ind w:right="2"/>
            </w:pPr>
            <w:r>
              <w:t>F</w:t>
            </w:r>
            <w:r w:rsidR="00F1341F" w:rsidRPr="008340BB">
              <w:t>urther development of information systems for vessels traffic management</w:t>
            </w:r>
            <w:r w:rsidR="00CB2B8D">
              <w:rPr>
                <w:lang w:val="en-US"/>
              </w:rPr>
              <w:t xml:space="preserve"> </w:t>
            </w:r>
            <w:r w:rsidR="00F1341F" w:rsidRPr="008340BB">
              <w:t xml:space="preserve">will enhance the safety and security of navigation. </w:t>
            </w:r>
          </w:p>
          <w:p w14:paraId="1BD37E76" w14:textId="77777777" w:rsidR="00F1341F" w:rsidRPr="008340BB" w:rsidRDefault="007421C2" w:rsidP="00EF0A0A">
            <w:pPr>
              <w:ind w:right="2"/>
            </w:pPr>
            <w:r>
              <w:t>Supply</w:t>
            </w:r>
            <w:r w:rsidR="00F1341F" w:rsidRPr="008340BB">
              <w:t xml:space="preserve"> of </w:t>
            </w:r>
            <w:r w:rsidR="00460FB1" w:rsidRPr="008340BB">
              <w:t>multipurpose</w:t>
            </w:r>
            <w:r w:rsidR="00F1341F" w:rsidRPr="008340BB">
              <w:t xml:space="preserve"> vessels </w:t>
            </w:r>
            <w:r>
              <w:t xml:space="preserve">to collect information for the navigation conditions along the Danube River </w:t>
            </w:r>
            <w:r w:rsidR="00F1341F" w:rsidRPr="008340BB">
              <w:t xml:space="preserve">will </w:t>
            </w:r>
            <w:r>
              <w:t>provide</w:t>
            </w:r>
            <w:r w:rsidR="00F1341F" w:rsidRPr="008340BB">
              <w:t xml:space="preserve"> the EA EMDR </w:t>
            </w:r>
            <w:r>
              <w:t xml:space="preserve">with the necessary data to </w:t>
            </w:r>
            <w:r w:rsidR="00F1341F" w:rsidRPr="008340BB">
              <w:t>adequate interven</w:t>
            </w:r>
            <w:r>
              <w:t>e</w:t>
            </w:r>
            <w:r w:rsidR="00F1341F" w:rsidRPr="008340BB">
              <w:t xml:space="preserve"> in low water</w:t>
            </w:r>
            <w:r>
              <w:t xml:space="preserve"> periods</w:t>
            </w:r>
            <w:r w:rsidR="00F1341F" w:rsidRPr="008340BB">
              <w:t xml:space="preserve"> for </w:t>
            </w:r>
            <w:r>
              <w:t>providing the min draught</w:t>
            </w:r>
            <w:r w:rsidR="00F1341F" w:rsidRPr="008340BB">
              <w:t xml:space="preserve">, needed for the </w:t>
            </w:r>
            <w:r>
              <w:t xml:space="preserve">IWW </w:t>
            </w:r>
            <w:r w:rsidR="00F1341F" w:rsidRPr="008340BB">
              <w:t xml:space="preserve">navigation,  </w:t>
            </w:r>
            <w:r>
              <w:t>to</w:t>
            </w:r>
            <w:r w:rsidR="00F1341F" w:rsidRPr="008340BB">
              <w:t xml:space="preserve"> improve the navigation condition, and for increasing the river </w:t>
            </w:r>
            <w:r>
              <w:t xml:space="preserve">navigation </w:t>
            </w:r>
            <w:r w:rsidR="00F1341F" w:rsidRPr="008340BB">
              <w:t>safety.</w:t>
            </w:r>
            <w:r>
              <w:t xml:space="preserve"> </w:t>
            </w:r>
          </w:p>
          <w:p w14:paraId="1BA72B91" w14:textId="27FED8D6" w:rsidR="00F1341F" w:rsidRPr="008340BB" w:rsidRDefault="000D0D64" w:rsidP="00900D71">
            <w:r>
              <w:rPr>
                <w:szCs w:val="24"/>
                <w:lang w:eastAsia="bg-BG"/>
              </w:rPr>
              <w:t xml:space="preserve">Road </w:t>
            </w:r>
            <w:r w:rsidR="00F1341F" w:rsidRPr="008340BB">
              <w:rPr>
                <w:szCs w:val="24"/>
                <w:lang w:eastAsia="bg-BG"/>
              </w:rPr>
              <w:t xml:space="preserve">safety analysis showed the need to take measures to: improving the efficiency of </w:t>
            </w:r>
            <w:r w:rsidR="00863DF1">
              <w:rPr>
                <w:szCs w:val="24"/>
                <w:lang w:eastAsia="bg-BG"/>
              </w:rPr>
              <w:t xml:space="preserve">monitoring and </w:t>
            </w:r>
            <w:r w:rsidR="00F1341F" w:rsidRPr="008340BB">
              <w:rPr>
                <w:szCs w:val="24"/>
                <w:lang w:eastAsia="bg-BG"/>
              </w:rPr>
              <w:t>control o</w:t>
            </w:r>
            <w:r w:rsidR="00863DF1">
              <w:rPr>
                <w:szCs w:val="24"/>
                <w:lang w:eastAsia="bg-BG"/>
              </w:rPr>
              <w:t>n the</w:t>
            </w:r>
            <w:r w:rsidR="00F1341F" w:rsidRPr="008340BB">
              <w:rPr>
                <w:szCs w:val="24"/>
                <w:lang w:eastAsia="bg-BG"/>
              </w:rPr>
              <w:t xml:space="preserve"> road users; </w:t>
            </w:r>
            <w:r w:rsidR="00863DF1">
              <w:rPr>
                <w:szCs w:val="24"/>
                <w:lang w:eastAsia="bg-BG"/>
              </w:rPr>
              <w:t>establishment</w:t>
            </w:r>
            <w:r w:rsidR="00F1341F" w:rsidRPr="008340BB">
              <w:rPr>
                <w:szCs w:val="24"/>
                <w:lang w:eastAsia="bg-BG"/>
              </w:rPr>
              <w:t xml:space="preserve"> of system</w:t>
            </w:r>
            <w:r w:rsidR="00863DF1">
              <w:rPr>
                <w:szCs w:val="24"/>
                <w:lang w:eastAsia="bg-BG"/>
              </w:rPr>
              <w:t xml:space="preserve"> to monitor and control the vehicle’s speed</w:t>
            </w:r>
            <w:r w:rsidR="00F1341F" w:rsidRPr="008340BB">
              <w:rPr>
                <w:szCs w:val="24"/>
                <w:lang w:eastAsia="bg-BG"/>
              </w:rPr>
              <w:t xml:space="preserve">; modernisation of </w:t>
            </w:r>
            <w:r w:rsidR="00863DF1">
              <w:rPr>
                <w:szCs w:val="24"/>
                <w:lang w:eastAsia="bg-BG"/>
              </w:rPr>
              <w:t xml:space="preserve"> road safety </w:t>
            </w:r>
            <w:r w:rsidR="00F1341F" w:rsidRPr="008340BB">
              <w:rPr>
                <w:szCs w:val="24"/>
                <w:lang w:eastAsia="bg-BG"/>
              </w:rPr>
              <w:t xml:space="preserve">information systems; improving traffic </w:t>
            </w:r>
            <w:r w:rsidR="00863DF1">
              <w:rPr>
                <w:szCs w:val="24"/>
                <w:lang w:eastAsia="bg-BG"/>
              </w:rPr>
              <w:t>management</w:t>
            </w:r>
            <w:r w:rsidR="00F1341F" w:rsidRPr="008340BB">
              <w:rPr>
                <w:szCs w:val="24"/>
                <w:lang w:eastAsia="bg-BG"/>
              </w:rPr>
              <w:t xml:space="preserve">.  </w:t>
            </w:r>
            <w:r w:rsidR="00AC1BD0">
              <w:rPr>
                <w:szCs w:val="24"/>
                <w:lang w:eastAsia="bg-BG"/>
              </w:rPr>
              <w:t>A</w:t>
            </w:r>
            <w:r w:rsidR="00F1341F" w:rsidRPr="008340BB">
              <w:rPr>
                <w:szCs w:val="24"/>
                <w:lang w:eastAsia="bg-BG"/>
              </w:rPr>
              <w:t xml:space="preserve"> project</w:t>
            </w:r>
            <w:r w:rsidR="00863DF1">
              <w:rPr>
                <w:szCs w:val="24"/>
                <w:lang w:eastAsia="bg-BG"/>
              </w:rPr>
              <w:t xml:space="preserve"> </w:t>
            </w:r>
            <w:r w:rsidR="00F1341F" w:rsidRPr="008340BB">
              <w:rPr>
                <w:szCs w:val="24"/>
                <w:lang w:eastAsia="bg-BG"/>
              </w:rPr>
              <w:t>for Integrated system for analysis and assessment of traffic on the motorways and first class roads in the Republic of Bulgaria</w:t>
            </w:r>
            <w:r w:rsidR="00AC1BD0">
              <w:rPr>
                <w:szCs w:val="24"/>
                <w:lang w:eastAsia="bg-BG"/>
              </w:rPr>
              <w:t xml:space="preserve"> was funded under OPT 2007-2013</w:t>
            </w:r>
            <w:r w:rsidR="00F1341F" w:rsidRPr="008340BB">
              <w:rPr>
                <w:szCs w:val="24"/>
                <w:lang w:eastAsia="bg-BG"/>
              </w:rPr>
              <w:t>, which are part of the TEN-T network. I</w:t>
            </w:r>
            <w:r w:rsidR="00F44F5E">
              <w:rPr>
                <w:szCs w:val="24"/>
                <w:lang w:eastAsia="bg-BG"/>
              </w:rPr>
              <w:t>t is envisaged i</w:t>
            </w:r>
            <w:r w:rsidR="00F1341F" w:rsidRPr="008340BB">
              <w:rPr>
                <w:szCs w:val="24"/>
                <w:lang w:eastAsia="bg-BG"/>
              </w:rPr>
              <w:t>n 2014-2020 programming period</w:t>
            </w:r>
            <w:r w:rsidR="00F44F5E">
              <w:rPr>
                <w:szCs w:val="24"/>
                <w:lang w:eastAsia="bg-BG"/>
              </w:rPr>
              <w:t xml:space="preserve"> the activities</w:t>
            </w:r>
            <w:r w:rsidR="00F1341F" w:rsidRPr="008340BB">
              <w:rPr>
                <w:szCs w:val="24"/>
                <w:lang w:eastAsia="bg-BG"/>
              </w:rPr>
              <w:t xml:space="preserve"> </w:t>
            </w:r>
            <w:r w:rsidR="00F44F5E">
              <w:rPr>
                <w:szCs w:val="24"/>
                <w:lang w:eastAsia="bg-BG"/>
              </w:rPr>
              <w:t>for</w:t>
            </w:r>
            <w:r w:rsidR="00F1341F" w:rsidRPr="008340BB">
              <w:rPr>
                <w:szCs w:val="24"/>
                <w:lang w:eastAsia="bg-BG"/>
              </w:rPr>
              <w:t xml:space="preserve"> the development and upgrading of information systems for </w:t>
            </w:r>
            <w:r w:rsidR="00F44F5E">
              <w:rPr>
                <w:szCs w:val="24"/>
                <w:lang w:eastAsia="bg-BG"/>
              </w:rPr>
              <w:t>road</w:t>
            </w:r>
            <w:r w:rsidR="00F1341F" w:rsidRPr="008340BB">
              <w:rPr>
                <w:szCs w:val="24"/>
                <w:lang w:eastAsia="bg-BG"/>
              </w:rPr>
              <w:t xml:space="preserve"> traffic management on the national road network</w:t>
            </w:r>
            <w:r w:rsidR="00F44F5E">
              <w:rPr>
                <w:szCs w:val="24"/>
                <w:lang w:eastAsia="bg-BG"/>
              </w:rPr>
              <w:t xml:space="preserve"> to go on</w:t>
            </w:r>
            <w:r w:rsidR="00F1341F" w:rsidRPr="008340BB">
              <w:rPr>
                <w:szCs w:val="24"/>
                <w:lang w:eastAsia="bg-BG"/>
              </w:rPr>
              <w:t>.</w:t>
            </w:r>
          </w:p>
          <w:p w14:paraId="773F2414" w14:textId="505CC975" w:rsidR="00F1341F" w:rsidRDefault="002E5F82" w:rsidP="00EF0A0A">
            <w:pPr>
              <w:autoSpaceDE w:val="0"/>
              <w:autoSpaceDN w:val="0"/>
              <w:adjustRightInd w:val="0"/>
              <w:ind w:right="2"/>
            </w:pPr>
            <w:r>
              <w:t>The need of</w:t>
            </w:r>
            <w:r w:rsidR="00F1341F" w:rsidRPr="008340BB">
              <w:t xml:space="preserve"> establishment of </w:t>
            </w:r>
            <w:r>
              <w:t xml:space="preserve">own </w:t>
            </w:r>
            <w:r w:rsidR="00F1341F" w:rsidRPr="008340BB">
              <w:rPr>
                <w:lang w:eastAsia="bg-BG"/>
              </w:rPr>
              <w:t xml:space="preserve">port reception facilities </w:t>
            </w:r>
            <w:r>
              <w:rPr>
                <w:lang w:eastAsia="bg-BG"/>
              </w:rPr>
              <w:t>to treat the</w:t>
            </w:r>
            <w:r w:rsidR="00F1341F" w:rsidRPr="008340BB">
              <w:rPr>
                <w:lang w:eastAsia="bg-BG"/>
              </w:rPr>
              <w:t xml:space="preserve"> ship-generated waste and cargo residues</w:t>
            </w:r>
            <w:r w:rsidR="00F1341F" w:rsidRPr="008340BB">
              <w:t xml:space="preserve"> </w:t>
            </w:r>
            <w:r>
              <w:t>at</w:t>
            </w:r>
            <w:r w:rsidR="00F1341F" w:rsidRPr="008340BB">
              <w:t xml:space="preserve"> Bulgarian ports of national importance </w:t>
            </w:r>
            <w:r>
              <w:t>was identified within the</w:t>
            </w:r>
            <w:r w:rsidR="00F1341F" w:rsidRPr="008340BB">
              <w:t xml:space="preserve"> project</w:t>
            </w:r>
            <w:r w:rsidR="00F1341F" w:rsidRPr="008340BB">
              <w:rPr>
                <w:i/>
              </w:rPr>
              <w:t xml:space="preserve"> </w:t>
            </w:r>
            <w:r w:rsidR="00F1341F" w:rsidRPr="008340BB">
              <w:t>“Technical assistance for management of wastes in Bulgarian ports of national importance”, funded under OPT 2007-2013</w:t>
            </w:r>
            <w:r>
              <w:t xml:space="preserve">. This project </w:t>
            </w:r>
            <w:r w:rsidR="00F1341F" w:rsidRPr="008340BB">
              <w:t xml:space="preserve"> update</w:t>
            </w:r>
            <w:r>
              <w:t>d the</w:t>
            </w:r>
            <w:r w:rsidR="00F1341F" w:rsidRPr="008340BB">
              <w:t xml:space="preserve"> data </w:t>
            </w:r>
            <w:r>
              <w:t>for the</w:t>
            </w:r>
            <w:r w:rsidR="00F1341F" w:rsidRPr="008340BB">
              <w:t xml:space="preserve"> current and anticipated types and quantities of wastes and </w:t>
            </w:r>
            <w:r>
              <w:t xml:space="preserve">set up </w:t>
            </w:r>
            <w:r w:rsidR="00F1341F" w:rsidRPr="008340BB">
              <w:t xml:space="preserve">proposal </w:t>
            </w:r>
            <w:r>
              <w:t>f</w:t>
            </w:r>
            <w:r w:rsidR="00F1341F" w:rsidRPr="008340BB">
              <w:t>o</w:t>
            </w:r>
            <w:r>
              <w:t>r</w:t>
            </w:r>
            <w:r w:rsidR="00F1341F" w:rsidRPr="008340BB">
              <w:t xml:space="preserve"> </w:t>
            </w:r>
            <w:r>
              <w:t xml:space="preserve">modernisation </w:t>
            </w:r>
            <w:r w:rsidR="00F1341F" w:rsidRPr="008340BB">
              <w:lastRenderedPageBreak/>
              <w:t xml:space="preserve">options and construction of new </w:t>
            </w:r>
            <w:r w:rsidR="00F1341F" w:rsidRPr="008340BB">
              <w:rPr>
                <w:lang w:eastAsia="bg-BG"/>
              </w:rPr>
              <w:t>facilities</w:t>
            </w:r>
            <w:r w:rsidR="00F1341F" w:rsidRPr="008340BB">
              <w:t xml:space="preserve"> </w:t>
            </w:r>
            <w:r>
              <w:t>at the</w:t>
            </w:r>
            <w:r w:rsidR="00F1341F" w:rsidRPr="008340BB">
              <w:t xml:space="preserve"> Bulgarian ports of national importance on the Danube River and Black sea. </w:t>
            </w:r>
          </w:p>
          <w:p w14:paraId="154F54A1" w14:textId="2B60A589" w:rsidR="008C37EE" w:rsidRPr="002A499E" w:rsidRDefault="008C37EE" w:rsidP="008C37EE">
            <w:pPr>
              <w:autoSpaceDE w:val="0"/>
              <w:autoSpaceDN w:val="0"/>
              <w:adjustRightInd w:val="0"/>
              <w:ind w:right="2"/>
              <w:rPr>
                <w:lang w:val="en"/>
              </w:rPr>
            </w:pPr>
            <w:r>
              <w:rPr>
                <w:lang w:val="en"/>
              </w:rPr>
              <w:t xml:space="preserve">Automatic </w:t>
            </w:r>
            <w:r w:rsidRPr="008C37EE">
              <w:rPr>
                <w:lang w:val="en"/>
              </w:rPr>
              <w:t>Platform Screen Doors (</w:t>
            </w:r>
            <w:r>
              <w:rPr>
                <w:lang w:val="en"/>
              </w:rPr>
              <w:t>A</w:t>
            </w:r>
            <w:r w:rsidRPr="008C37EE">
              <w:rPr>
                <w:lang w:val="en"/>
              </w:rPr>
              <w:t xml:space="preserve">PSDs) offer </w:t>
            </w:r>
            <w:r>
              <w:rPr>
                <w:lang w:val="en"/>
              </w:rPr>
              <w:t>increased safety</w:t>
            </w:r>
            <w:r w:rsidRPr="008C37EE">
              <w:rPr>
                <w:lang w:val="en"/>
              </w:rPr>
              <w:t xml:space="preserve"> to </w:t>
            </w:r>
            <w:r>
              <w:rPr>
                <w:lang w:val="en"/>
              </w:rPr>
              <w:t xml:space="preserve">the </w:t>
            </w:r>
            <w:r w:rsidRPr="008C37EE">
              <w:rPr>
                <w:lang w:val="en"/>
              </w:rPr>
              <w:t xml:space="preserve">metro </w:t>
            </w:r>
            <w:r>
              <w:rPr>
                <w:lang w:val="en"/>
              </w:rPr>
              <w:t>transport and</w:t>
            </w:r>
            <w:r w:rsidRPr="008C37EE">
              <w:rPr>
                <w:lang w:val="en"/>
              </w:rPr>
              <w:t xml:space="preserve"> </w:t>
            </w:r>
            <w:r w:rsidR="002A499E">
              <w:rPr>
                <w:lang w:val="en"/>
              </w:rPr>
              <w:t>guarantee</w:t>
            </w:r>
            <w:r w:rsidR="008B42CA">
              <w:rPr>
                <w:lang w:val="en"/>
              </w:rPr>
              <w:t xml:space="preserve"> </w:t>
            </w:r>
            <w:r w:rsidRPr="008C37EE">
              <w:rPr>
                <w:lang w:val="en"/>
              </w:rPr>
              <w:t xml:space="preserve">comfort for passengers. </w:t>
            </w:r>
          </w:p>
          <w:p w14:paraId="1F6E6E72" w14:textId="3EB2C8B3" w:rsidR="008C37EE" w:rsidRPr="008C37EE" w:rsidRDefault="008C37EE" w:rsidP="008C37EE">
            <w:pPr>
              <w:autoSpaceDE w:val="0"/>
              <w:autoSpaceDN w:val="0"/>
              <w:adjustRightInd w:val="0"/>
              <w:ind w:right="2"/>
              <w:rPr>
                <w:lang w:val="en"/>
              </w:rPr>
            </w:pPr>
            <w:r w:rsidRPr="008C37EE">
              <w:rPr>
                <w:lang w:val="en"/>
              </w:rPr>
              <w:t xml:space="preserve">The most obvious benefit is that </w:t>
            </w:r>
            <w:r w:rsidR="00322C92">
              <w:rPr>
                <w:lang w:val="en"/>
              </w:rPr>
              <w:t xml:space="preserve">the platform screen doors </w:t>
            </w:r>
            <w:r w:rsidRPr="008C37EE">
              <w:rPr>
                <w:lang w:val="en"/>
              </w:rPr>
              <w:t xml:space="preserve">act as a physical barrier preventing people or objects from falling or trespassing onto the tracks. This helps prevent suicides, reduces the risk of accidents </w:t>
            </w:r>
            <w:r w:rsidR="00371D06" w:rsidRPr="00371D06">
              <w:rPr>
                <w:lang w:val="en-US"/>
              </w:rPr>
              <w:t>in case</w:t>
            </w:r>
            <w:r w:rsidR="00371D06" w:rsidRPr="00371D06">
              <w:t xml:space="preserve"> of passengers falling onto the rail road</w:t>
            </w:r>
            <w:r w:rsidR="00371D06" w:rsidRPr="00371D06">
              <w:rPr>
                <w:lang w:val="en"/>
              </w:rPr>
              <w:t xml:space="preserve"> </w:t>
            </w:r>
            <w:r w:rsidRPr="008C37EE">
              <w:rPr>
                <w:lang w:val="en"/>
              </w:rPr>
              <w:t xml:space="preserve">(especially when </w:t>
            </w:r>
            <w:r>
              <w:rPr>
                <w:lang w:val="en"/>
              </w:rPr>
              <w:t xml:space="preserve">metro </w:t>
            </w:r>
            <w:r w:rsidRPr="008C37EE">
              <w:rPr>
                <w:lang w:val="en"/>
              </w:rPr>
              <w:t>trains pass th</w:t>
            </w:r>
            <w:r w:rsidR="007F3003">
              <w:rPr>
                <w:lang w:val="en"/>
              </w:rPr>
              <w:t>r</w:t>
            </w:r>
            <w:r w:rsidRPr="008C37EE">
              <w:rPr>
                <w:lang w:val="en"/>
              </w:rPr>
              <w:t>ough the station at speed) and stops people entering tunnels.</w:t>
            </w:r>
          </w:p>
          <w:p w14:paraId="4252854F" w14:textId="6CB66C16" w:rsidR="001B7D79" w:rsidRDefault="00A660AB" w:rsidP="00A660AB">
            <w:pPr>
              <w:autoSpaceDE w:val="0"/>
              <w:autoSpaceDN w:val="0"/>
              <w:adjustRightInd w:val="0"/>
              <w:ind w:right="2"/>
            </w:pPr>
            <w:r w:rsidRPr="00A660AB">
              <w:t xml:space="preserve">The establishment of </w:t>
            </w:r>
            <w:r w:rsidR="002227CE">
              <w:t>trai</w:t>
            </w:r>
            <w:r w:rsidR="00E84DDD">
              <w:t>n</w:t>
            </w:r>
            <w:r w:rsidR="002227CE">
              <w:t xml:space="preserve"> management</w:t>
            </w:r>
            <w:r w:rsidRPr="00A660AB">
              <w:t xml:space="preserve"> systems is made in implementation of the policy and related EU legislation regulating the implementation of the requirements of Directive 2008/57 and amendments thereof, as well as the technical specifications for interoperability relating to the “Telematic applications for freight subsystem of the trans-European conventional rail system” (Regulation (EC) No 1305/2014and to the "Telematics applications for passenger services of the trans-European conventional rail system" (Regulation (EU) No 454/2011 amended by Regulation (EC) No 1273/2013).Modern systems should meet the requirements of the European mode of operation. The systems will include activities related to all stages of the movement of all trains - long term planning, short-term planning, train traffic dispatcher control, operational reporting, statistical reporting, calculation of infrastructure charges, preparing data for analysis relating to telematic systems for freight and passenger services of the trans-European conventional rail system.</w:t>
            </w:r>
          </w:p>
          <w:p w14:paraId="2D5D7ADC" w14:textId="4ADF11FD" w:rsidR="00702CE7" w:rsidRDefault="00702CE7" w:rsidP="00A660AB">
            <w:pPr>
              <w:autoSpaceDE w:val="0"/>
              <w:autoSpaceDN w:val="0"/>
              <w:adjustRightInd w:val="0"/>
              <w:ind w:right="2"/>
            </w:pPr>
            <w:r w:rsidRPr="00702CE7">
              <w:t>Through capital dredging of the basin between Terminal "Burgas West" and Terminal "Burgas East 2/2A/" the necessary conditions for the approach and maneuvering of ships will be created and the needs of new m</w:t>
            </w:r>
            <w:r>
              <w:t xml:space="preserve">aneuvering areas will be </w:t>
            </w:r>
            <w:r>
              <w:rPr>
                <w:lang w:val="en-US"/>
              </w:rPr>
              <w:t>ensured</w:t>
            </w:r>
            <w:r w:rsidRPr="00702CE7">
              <w:t xml:space="preserve">, in accordance with the investment projects of the </w:t>
            </w:r>
            <w:r w:rsidR="006333B9">
              <w:t>port operators of the terminals</w:t>
            </w:r>
            <w:r w:rsidRPr="00702CE7">
              <w:t>, located in the water area of Burgas port. At the moment, there are no berths for container ships with a depth of 15.50 m at the terminals in the Burgas port area, as restrictive parameters for the draft and length of the ships have been introduced, which do not correspond to the parameters of the largest estimated ship, for which the corresponding quay wall is designed. Dredging of berths is capital dredging that will achieve new design depths that will allow larger ships to enter safely.</w:t>
            </w:r>
            <w:r w:rsidR="00A4603E">
              <w:t xml:space="preserve"> </w:t>
            </w:r>
            <w:r w:rsidR="00A4603E" w:rsidRPr="00A4603E">
              <w:t xml:space="preserve">The implementation of the project will allow the processing of ships with a length of up to 260 m, a width of up to 32 m, a draft of up to 14.5 m and a GT of 80,000 tons. By the end of 2023, it is possible to complete </w:t>
            </w:r>
            <w:r w:rsidR="00F4670E" w:rsidRPr="00586661">
              <w:rPr>
                <w:lang w:val="bg-BG"/>
              </w:rPr>
              <w:t>35</w:t>
            </w:r>
            <w:r w:rsidR="00A4603E" w:rsidRPr="00A4603E">
              <w:t xml:space="preserve">% of the total volume of activities. The necessary funds for the completion of the project are planned to be provided through the </w:t>
            </w:r>
            <w:r w:rsidR="00A4603E">
              <w:t xml:space="preserve">PTC </w:t>
            </w:r>
            <w:r w:rsidR="00A4603E" w:rsidRPr="00A4603E">
              <w:t>2021-2027. The commissioning of the berths is planned for the beginning of 2025. Through the implementation of the project, the port of Burgas will develop as an adequate entry/exit point along the "Orient/Eastern Mediterranean" corridor and will contribute to the implementation of the Action Plan for "Solidarity</w:t>
            </w:r>
            <w:r w:rsidR="005248D0">
              <w:t xml:space="preserve"> li</w:t>
            </w:r>
            <w:r w:rsidR="00A4603E">
              <w:t>nes</w:t>
            </w:r>
            <w:r w:rsidR="00A4603E" w:rsidRPr="00A4603E">
              <w:t>" by creating new opportunities for the export of agricultural products and other goods from Ukraine.</w:t>
            </w:r>
          </w:p>
          <w:p w14:paraId="63DF89E5" w14:textId="130B570A" w:rsidR="007D3324" w:rsidRDefault="007D3324" w:rsidP="00A660AB">
            <w:pPr>
              <w:autoSpaceDE w:val="0"/>
              <w:autoSpaceDN w:val="0"/>
              <w:adjustRightInd w:val="0"/>
              <w:ind w:right="2"/>
            </w:pPr>
            <w:r w:rsidRPr="007D3324">
              <w:t>The planned projects  will improve the safety and security of transport.</w:t>
            </w:r>
          </w:p>
          <w:p w14:paraId="0F2C8EA9" w14:textId="77777777" w:rsidR="007D3324" w:rsidRPr="008340BB" w:rsidRDefault="007D3324" w:rsidP="00A660AB">
            <w:pPr>
              <w:autoSpaceDE w:val="0"/>
              <w:autoSpaceDN w:val="0"/>
              <w:adjustRightInd w:val="0"/>
              <w:ind w:right="2"/>
            </w:pPr>
          </w:p>
          <w:p w14:paraId="090BD369" w14:textId="77777777" w:rsidR="00F1341F" w:rsidRPr="008340BB" w:rsidRDefault="00F1341F" w:rsidP="00610AA5">
            <w:pPr>
              <w:pStyle w:val="Default"/>
              <w:spacing w:before="120"/>
              <w:jc w:val="both"/>
              <w:rPr>
                <w:b/>
                <w:bCs/>
                <w:lang w:val="en-GB"/>
              </w:rPr>
            </w:pPr>
            <w:r w:rsidRPr="008340BB">
              <w:rPr>
                <w:b/>
                <w:bCs/>
                <w:lang w:val="en-GB"/>
              </w:rPr>
              <w:t>Potential beneficiaries:</w:t>
            </w:r>
          </w:p>
          <w:p w14:paraId="25BA2B74" w14:textId="77777777" w:rsidR="00F1341F" w:rsidRPr="008340BB" w:rsidRDefault="00F1341F" w:rsidP="00610AA5">
            <w:pPr>
              <w:pStyle w:val="Default"/>
              <w:numPr>
                <w:ilvl w:val="0"/>
                <w:numId w:val="50"/>
              </w:numPr>
              <w:spacing w:before="120"/>
              <w:ind w:left="567" w:hanging="283"/>
              <w:jc w:val="both"/>
              <w:rPr>
                <w:lang w:val="en-GB"/>
              </w:rPr>
            </w:pPr>
            <w:r w:rsidRPr="008340BB">
              <w:rPr>
                <w:lang w:val="en-GB"/>
              </w:rPr>
              <w:t>Executive Agency for Exploration and Maintenance of the Danube River;</w:t>
            </w:r>
          </w:p>
          <w:p w14:paraId="7221BF7A" w14:textId="77777777" w:rsidR="00F1341F" w:rsidRPr="008340BB" w:rsidRDefault="00F1341F" w:rsidP="00610AA5">
            <w:pPr>
              <w:pStyle w:val="Default"/>
              <w:numPr>
                <w:ilvl w:val="0"/>
                <w:numId w:val="50"/>
              </w:numPr>
              <w:spacing w:before="120"/>
              <w:ind w:left="567" w:hanging="283"/>
              <w:jc w:val="both"/>
              <w:rPr>
                <w:lang w:val="en-GB"/>
              </w:rPr>
            </w:pPr>
            <w:r w:rsidRPr="008340BB">
              <w:rPr>
                <w:lang w:val="en-GB"/>
              </w:rPr>
              <w:t>State Enterprise Port Infrastructure;</w:t>
            </w:r>
          </w:p>
          <w:p w14:paraId="2267FD27" w14:textId="77777777" w:rsidR="00F1341F" w:rsidRPr="008340BB" w:rsidRDefault="00F1341F" w:rsidP="00610AA5">
            <w:pPr>
              <w:pStyle w:val="Default"/>
              <w:numPr>
                <w:ilvl w:val="0"/>
                <w:numId w:val="50"/>
              </w:numPr>
              <w:spacing w:before="120"/>
              <w:ind w:left="567" w:hanging="283"/>
              <w:jc w:val="both"/>
              <w:rPr>
                <w:lang w:val="en-GB"/>
              </w:rPr>
            </w:pPr>
            <w:r w:rsidRPr="008340BB">
              <w:rPr>
                <w:lang w:val="en-GB"/>
              </w:rPr>
              <w:lastRenderedPageBreak/>
              <w:t>Road Infrastructure Agency;</w:t>
            </w:r>
          </w:p>
          <w:p w14:paraId="0A677FF6" w14:textId="77777777" w:rsidR="00F1341F" w:rsidRPr="008340BB" w:rsidRDefault="00F1341F" w:rsidP="00610AA5">
            <w:pPr>
              <w:pStyle w:val="Default"/>
              <w:numPr>
                <w:ilvl w:val="0"/>
                <w:numId w:val="50"/>
              </w:numPr>
              <w:spacing w:before="120"/>
              <w:ind w:left="567" w:hanging="283"/>
              <w:jc w:val="both"/>
              <w:rPr>
                <w:lang w:val="en-GB"/>
              </w:rPr>
            </w:pPr>
            <w:r w:rsidRPr="008340BB">
              <w:rPr>
                <w:lang w:val="en-GB"/>
              </w:rPr>
              <w:t>Executive Agency “Maritime Administration”;</w:t>
            </w:r>
          </w:p>
          <w:p w14:paraId="79014855" w14:textId="77777777" w:rsidR="00F80EA4" w:rsidRDefault="00100D01" w:rsidP="00610AA5">
            <w:pPr>
              <w:pStyle w:val="Default"/>
              <w:numPr>
                <w:ilvl w:val="0"/>
                <w:numId w:val="50"/>
              </w:numPr>
              <w:spacing w:before="120"/>
              <w:ind w:left="567" w:hanging="283"/>
              <w:jc w:val="both"/>
              <w:rPr>
                <w:lang w:val="en-GB"/>
              </w:rPr>
            </w:pPr>
            <w:r w:rsidRPr="00100D01">
              <w:rPr>
                <w:lang w:val="en-GB"/>
              </w:rPr>
              <w:t>Metropolitan EAD</w:t>
            </w:r>
            <w:r w:rsidR="00F80EA4">
              <w:rPr>
                <w:lang w:val="en-GB"/>
              </w:rPr>
              <w:t>;</w:t>
            </w:r>
          </w:p>
          <w:p w14:paraId="3FA4BC16" w14:textId="7D164022" w:rsidR="00F1341F" w:rsidRPr="008340BB" w:rsidRDefault="00F80EA4" w:rsidP="00610AA5">
            <w:pPr>
              <w:pStyle w:val="Default"/>
              <w:numPr>
                <w:ilvl w:val="0"/>
                <w:numId w:val="50"/>
              </w:numPr>
              <w:spacing w:before="120"/>
              <w:ind w:left="567" w:hanging="283"/>
              <w:jc w:val="both"/>
              <w:rPr>
                <w:lang w:val="en-GB"/>
              </w:rPr>
            </w:pPr>
            <w:r>
              <w:rPr>
                <w:lang w:val="en-GB"/>
              </w:rPr>
              <w:t>NC “Railway Infrastructure”</w:t>
            </w:r>
            <w:r w:rsidR="00100D01">
              <w:rPr>
                <w:lang w:val="en-GB"/>
              </w:rPr>
              <w:t>.</w:t>
            </w:r>
            <w:r>
              <w:rPr>
                <w:lang w:val="en-GB"/>
              </w:rPr>
              <w:t xml:space="preserve"> </w:t>
            </w:r>
          </w:p>
        </w:tc>
      </w:tr>
    </w:tbl>
    <w:p w14:paraId="2F55B971" w14:textId="77777777" w:rsidR="00F1341F" w:rsidRPr="008340BB" w:rsidRDefault="00F1341F" w:rsidP="00C37144"/>
    <w:p w14:paraId="06B7F521" w14:textId="77777777" w:rsidR="00F1341F" w:rsidRPr="008340BB" w:rsidRDefault="00F1341F" w:rsidP="00C37144">
      <w:pPr>
        <w:pStyle w:val="ManualHeading3"/>
        <w:tabs>
          <w:tab w:val="clear" w:pos="850"/>
        </w:tabs>
        <w:ind w:left="1418" w:hanging="1418"/>
        <w:rPr>
          <w:b/>
        </w:rPr>
      </w:pPr>
      <w:r w:rsidRPr="008340BB">
        <w:rPr>
          <w:b/>
        </w:rPr>
        <w:t xml:space="preserve">2.A.4.3.2.2 </w:t>
      </w:r>
      <w:r w:rsidRPr="008340BB">
        <w:rPr>
          <w:b/>
        </w:rPr>
        <w:tab/>
        <w:t>Guiding principles for selection of operations</w:t>
      </w:r>
    </w:p>
    <w:p w14:paraId="5A4394A1" w14:textId="77777777" w:rsidR="00F1341F" w:rsidRPr="008340BB" w:rsidRDefault="00F1341F" w:rsidP="00C37144">
      <w:pPr>
        <w:pStyle w:val="ManualHeading3"/>
        <w:tabs>
          <w:tab w:val="clear" w:pos="850"/>
        </w:tabs>
        <w:ind w:left="1418" w:hanging="1418"/>
        <w:rPr>
          <w:i w:val="0"/>
        </w:rPr>
      </w:pPr>
      <w:r w:rsidRPr="008340BB">
        <w:rPr>
          <w:i w:val="0"/>
        </w:rPr>
        <w:t xml:space="preserve"> (Reference: point (b)(iii) of the first subparagraph of Article 96(2) of Regulation (EU) No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2AAEE3BE" w14:textId="77777777" w:rsidTr="001B661C">
        <w:trPr>
          <w:trHeight w:val="518"/>
        </w:trPr>
        <w:tc>
          <w:tcPr>
            <w:tcW w:w="2235" w:type="dxa"/>
          </w:tcPr>
          <w:p w14:paraId="6DA9D3AE" w14:textId="77777777" w:rsidR="00F1341F" w:rsidRPr="008340BB" w:rsidRDefault="00F1341F" w:rsidP="001B661C">
            <w:pPr>
              <w:rPr>
                <w:i/>
                <w:color w:val="8DB3E2"/>
                <w:sz w:val="18"/>
                <w:szCs w:val="18"/>
              </w:rPr>
            </w:pPr>
            <w:r w:rsidRPr="008340BB">
              <w:rPr>
                <w:i/>
              </w:rPr>
              <w:t>Investment Priority</w:t>
            </w:r>
          </w:p>
        </w:tc>
        <w:tc>
          <w:tcPr>
            <w:tcW w:w="6443" w:type="dxa"/>
          </w:tcPr>
          <w:p w14:paraId="272AA955" w14:textId="77777777" w:rsidR="00F1341F" w:rsidRPr="008340BB" w:rsidRDefault="006409CA">
            <w:pPr>
              <w:rPr>
                <w:i/>
              </w:rPr>
            </w:pPr>
            <w:r>
              <w:rPr>
                <w:i/>
                <w:lang w:eastAsia="bg-BG"/>
              </w:rPr>
              <w:t xml:space="preserve">7(c) - </w:t>
            </w:r>
            <w:r w:rsidR="00F1341F" w:rsidRPr="008340BB">
              <w:rPr>
                <w:i/>
              </w:rPr>
              <w:t xml:space="preserve">Developing and improving environmentally-friendly </w:t>
            </w:r>
            <w:r w:rsidR="00F1341F" w:rsidRPr="008340BB">
              <w:t>(</w:t>
            </w:r>
            <w:r w:rsidR="00F1341F" w:rsidRPr="008340BB">
              <w:rPr>
                <w:i/>
              </w:rPr>
              <w:t>including low-noise) and low-carbon transport systems, including inland waterways and maritime transport, ports, multimodal links and airport infrastructure, in order to promote sustainable regional and local mobility</w:t>
            </w:r>
          </w:p>
        </w:tc>
      </w:tr>
      <w:tr w:rsidR="00F1341F" w:rsidRPr="008340BB" w14:paraId="415313D7" w14:textId="77777777" w:rsidTr="001B661C">
        <w:trPr>
          <w:trHeight w:val="1088"/>
        </w:trPr>
        <w:tc>
          <w:tcPr>
            <w:tcW w:w="8678" w:type="dxa"/>
            <w:gridSpan w:val="2"/>
          </w:tcPr>
          <w:p w14:paraId="1263BCE7" w14:textId="77777777" w:rsidR="00F1341F" w:rsidRPr="008340BB" w:rsidRDefault="00F1341F" w:rsidP="00C01C84">
            <w:r w:rsidRPr="008340BB">
              <w:t xml:space="preserve">The process of selection and evaluation of proposals for project funding covers the methodology and the approach, as outlined </w:t>
            </w:r>
            <w:r w:rsidR="009309BE" w:rsidRPr="009309BE">
              <w:t>in section 2.A.1.5.2:</w:t>
            </w:r>
            <w:r w:rsidRPr="008340BB">
              <w:t xml:space="preserve"> (**)</w:t>
            </w:r>
          </w:p>
          <w:p w14:paraId="1752AB55" w14:textId="77777777" w:rsidR="00F1341F" w:rsidRPr="008340BB" w:rsidRDefault="00F1341F" w:rsidP="00C01C84">
            <w:r w:rsidRPr="008340BB">
              <w:t>More attention in the evaluation for selection of the operations under the investment priority, included in Priority Axis 4, is drawn on reporting the achievement of the following sub-criteria:</w:t>
            </w:r>
          </w:p>
          <w:p w14:paraId="5983A54F" w14:textId="77777777" w:rsidR="00F1341F" w:rsidRPr="008340BB" w:rsidRDefault="00F1341F" w:rsidP="00610AA5">
            <w:pPr>
              <w:numPr>
                <w:ilvl w:val="0"/>
                <w:numId w:val="91"/>
              </w:numPr>
            </w:pPr>
            <w:r w:rsidRPr="008340BB">
              <w:t>contribution to the implementation of the Integrated Maritime Policy of the EU;</w:t>
            </w:r>
          </w:p>
          <w:p w14:paraId="2A69A1D7" w14:textId="77777777" w:rsidR="00F1341F" w:rsidRPr="008340BB" w:rsidRDefault="00F1341F" w:rsidP="00610AA5">
            <w:pPr>
              <w:numPr>
                <w:ilvl w:val="0"/>
                <w:numId w:val="91"/>
              </w:numPr>
            </w:pPr>
            <w:r w:rsidRPr="008340BB">
              <w:t>introduction of information systems in river transport in accordance with EU standards;</w:t>
            </w:r>
          </w:p>
          <w:p w14:paraId="31727C4A" w14:textId="4907C9FD" w:rsidR="00F1341F" w:rsidRDefault="00F1341F" w:rsidP="00610AA5">
            <w:pPr>
              <w:numPr>
                <w:ilvl w:val="0"/>
                <w:numId w:val="91"/>
              </w:numPr>
            </w:pPr>
            <w:r w:rsidRPr="008340BB">
              <w:t xml:space="preserve">contribution to the development of </w:t>
            </w:r>
            <w:r w:rsidRPr="008340BB">
              <w:rPr>
                <w:szCs w:val="24"/>
                <w:lang w:eastAsia="bg-BG"/>
              </w:rPr>
              <w:t>information systems for automobile traffic management on the national road network</w:t>
            </w:r>
            <w:r w:rsidRPr="008340BB">
              <w:t>;</w:t>
            </w:r>
          </w:p>
          <w:p w14:paraId="4ADCD410" w14:textId="09609F99" w:rsidR="00590890" w:rsidRPr="008340BB" w:rsidRDefault="00590890" w:rsidP="00610AA5">
            <w:pPr>
              <w:numPr>
                <w:ilvl w:val="0"/>
                <w:numId w:val="91"/>
              </w:numPr>
            </w:pPr>
            <w:r>
              <w:rPr>
                <w:lang w:val="bg-BG"/>
              </w:rPr>
              <w:t>contribution</w:t>
            </w:r>
            <w:r w:rsidRPr="00590890">
              <w:rPr>
                <w:lang w:val="bg-BG"/>
              </w:rPr>
              <w:t xml:space="preserve"> </w:t>
            </w:r>
            <w:r>
              <w:rPr>
                <w:lang w:val="en-US"/>
              </w:rPr>
              <w:t>to the</w:t>
            </w:r>
            <w:r w:rsidRPr="00590890">
              <w:rPr>
                <w:lang w:val="bg-BG"/>
              </w:rPr>
              <w:t xml:space="preserve"> </w:t>
            </w:r>
            <w:r>
              <w:rPr>
                <w:lang w:val="en-US"/>
              </w:rPr>
              <w:t>improvement of the railway traffic management;</w:t>
            </w:r>
          </w:p>
          <w:p w14:paraId="5A60741B" w14:textId="677A8714" w:rsidR="00F1341F" w:rsidRPr="008340BB" w:rsidRDefault="009403A6" w:rsidP="009403A6">
            <w:pPr>
              <w:numPr>
                <w:ilvl w:val="0"/>
                <w:numId w:val="91"/>
              </w:numPr>
            </w:pPr>
            <w:r>
              <w:t xml:space="preserve">contribution to the </w:t>
            </w:r>
            <w:r w:rsidR="006159DE">
              <w:t>improve</w:t>
            </w:r>
            <w:r>
              <w:t>ment of</w:t>
            </w:r>
            <w:r w:rsidR="006159DE">
              <w:t xml:space="preserve"> transport safety.</w:t>
            </w:r>
          </w:p>
        </w:tc>
      </w:tr>
    </w:tbl>
    <w:p w14:paraId="2B2CE564" w14:textId="77777777" w:rsidR="00F1341F" w:rsidRPr="008340BB" w:rsidRDefault="00F1341F" w:rsidP="00C37144">
      <w:pPr>
        <w:pStyle w:val="Text3"/>
        <w:ind w:left="0"/>
        <w:rPr>
          <w:szCs w:val="24"/>
        </w:rPr>
      </w:pPr>
    </w:p>
    <w:p w14:paraId="7468EF56" w14:textId="77777777" w:rsidR="00F1341F" w:rsidRPr="008340BB" w:rsidRDefault="00F1341F" w:rsidP="00C37144">
      <w:pPr>
        <w:pStyle w:val="Text1"/>
        <w:ind w:left="0"/>
        <w:rPr>
          <w:lang w:val="en-GB"/>
        </w:rPr>
      </w:pPr>
      <w:r w:rsidRPr="008340BB">
        <w:rPr>
          <w:b/>
          <w:i/>
          <w:lang w:val="en-GB"/>
        </w:rPr>
        <w:t>2.A.4.3.2.3</w:t>
      </w:r>
      <w:r w:rsidRPr="008340BB">
        <w:rPr>
          <w:b/>
          <w:i/>
          <w:lang w:val="en-GB"/>
        </w:rPr>
        <w:tab/>
        <w:t xml:space="preserve"> Planned use of financial instruments </w:t>
      </w:r>
      <w:r w:rsidRPr="008340BB">
        <w:rPr>
          <w:lang w:val="en-GB"/>
        </w:rPr>
        <w:t>(where appropriate)</w:t>
      </w:r>
    </w:p>
    <w:p w14:paraId="78B2B76A" w14:textId="77777777" w:rsidR="00F1341F" w:rsidRPr="008340BB" w:rsidRDefault="00F1341F" w:rsidP="00C37144">
      <w:pPr>
        <w:pStyle w:val="ManualHeading3"/>
        <w:tabs>
          <w:tab w:val="clear" w:pos="850"/>
        </w:tabs>
        <w:ind w:left="0" w:firstLine="0"/>
        <w:rPr>
          <w:i w:val="0"/>
        </w:rPr>
      </w:pPr>
      <w:r w:rsidRPr="008340BB">
        <w:rPr>
          <w:i w:val="0"/>
        </w:rPr>
        <w:t>(Reference: point (b)(iii) of the first subparagraph of Article 96(2)</w:t>
      </w:r>
      <w:r w:rsidRPr="008340BB" w:rsidDel="00961976">
        <w:rPr>
          <w:i w:val="0"/>
        </w:rPr>
        <w:t xml:space="preserve"> </w:t>
      </w:r>
      <w:r w:rsidRPr="008340BB">
        <w:rPr>
          <w:i w:val="0"/>
        </w:rPr>
        <w:t xml:space="preserve">of Regulation (EU) No 1303/2013) </w:t>
      </w:r>
    </w:p>
    <w:p w14:paraId="7B336367" w14:textId="77777777" w:rsidR="00F1341F" w:rsidRPr="008340BB" w:rsidRDefault="00F1341F" w:rsidP="00C37144">
      <w:pPr>
        <w:pStyle w:val="Text1"/>
        <w:rPr>
          <w:lang w:val="en-GB"/>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9"/>
        <w:gridCol w:w="4339"/>
      </w:tblGrid>
      <w:tr w:rsidR="00F1341F" w:rsidRPr="008340BB" w14:paraId="0D575968" w14:textId="77777777" w:rsidTr="001B661C">
        <w:trPr>
          <w:trHeight w:val="518"/>
        </w:trPr>
        <w:tc>
          <w:tcPr>
            <w:tcW w:w="4339" w:type="dxa"/>
          </w:tcPr>
          <w:p w14:paraId="7D795708" w14:textId="77777777" w:rsidR="00F1341F" w:rsidRPr="008340BB" w:rsidRDefault="00F1341F" w:rsidP="001B661C">
            <w:pPr>
              <w:rPr>
                <w:i/>
                <w:color w:val="8DB3E2"/>
                <w:sz w:val="18"/>
                <w:szCs w:val="18"/>
              </w:rPr>
            </w:pPr>
            <w:r w:rsidRPr="008340BB">
              <w:rPr>
                <w:i/>
              </w:rPr>
              <w:t>Investment Priority</w:t>
            </w:r>
          </w:p>
        </w:tc>
        <w:tc>
          <w:tcPr>
            <w:tcW w:w="4339" w:type="dxa"/>
          </w:tcPr>
          <w:p w14:paraId="330CCE69" w14:textId="77777777" w:rsidR="00F1341F" w:rsidRPr="008340BB" w:rsidRDefault="00F1341F" w:rsidP="001B661C">
            <w:pPr>
              <w:rPr>
                <w:i/>
                <w:color w:val="8DB3E2"/>
                <w:sz w:val="18"/>
                <w:szCs w:val="18"/>
              </w:rPr>
            </w:pPr>
            <w:r w:rsidRPr="008340BB">
              <w:rPr>
                <w:i/>
              </w:rPr>
              <w:t>Developing and improving environmentally-friendly including low-noise and low-carbon transport systems including inland waterways and maritime transport, ports, multimodal links and airport infrastructure, in order to promote sustainable regional and local mobility</w:t>
            </w:r>
          </w:p>
        </w:tc>
      </w:tr>
      <w:tr w:rsidR="00F1341F" w:rsidRPr="008340BB" w14:paraId="04058551" w14:textId="77777777" w:rsidTr="001B661C">
        <w:trPr>
          <w:trHeight w:val="379"/>
        </w:trPr>
        <w:tc>
          <w:tcPr>
            <w:tcW w:w="4339" w:type="dxa"/>
          </w:tcPr>
          <w:p w14:paraId="6B0D944A" w14:textId="77777777" w:rsidR="00F1341F" w:rsidRPr="008340BB" w:rsidRDefault="00F1341F" w:rsidP="001B661C">
            <w:pPr>
              <w:rPr>
                <w:i/>
                <w:color w:val="8DB3E2"/>
                <w:sz w:val="18"/>
                <w:szCs w:val="18"/>
              </w:rPr>
            </w:pPr>
            <w:r w:rsidRPr="008340BB">
              <w:rPr>
                <w:i/>
              </w:rPr>
              <w:t>Planned use of financial instruments</w:t>
            </w:r>
          </w:p>
        </w:tc>
        <w:tc>
          <w:tcPr>
            <w:tcW w:w="4339" w:type="dxa"/>
          </w:tcPr>
          <w:p w14:paraId="02FECCDA" w14:textId="77777777" w:rsidR="00F1341F" w:rsidRPr="008340BB" w:rsidRDefault="00F1341F" w:rsidP="001B661C">
            <w:pPr>
              <w:rPr>
                <w:i/>
                <w:color w:val="8DB3E2"/>
                <w:sz w:val="18"/>
                <w:szCs w:val="18"/>
              </w:rPr>
            </w:pPr>
            <w:r w:rsidRPr="008340BB">
              <w:rPr>
                <w:i/>
                <w:color w:val="8DB3E2"/>
                <w:sz w:val="18"/>
                <w:szCs w:val="18"/>
              </w:rPr>
              <w:t xml:space="preserve"> </w:t>
            </w:r>
            <w:r w:rsidRPr="008340BB">
              <w:rPr>
                <w:i/>
                <w:szCs w:val="24"/>
              </w:rPr>
              <w:t>N/A</w:t>
            </w:r>
          </w:p>
        </w:tc>
      </w:tr>
      <w:tr w:rsidR="00F1341F" w:rsidRPr="008340BB" w14:paraId="1715AD64" w14:textId="77777777" w:rsidTr="003B609E">
        <w:trPr>
          <w:trHeight w:val="529"/>
        </w:trPr>
        <w:tc>
          <w:tcPr>
            <w:tcW w:w="8678" w:type="dxa"/>
            <w:gridSpan w:val="2"/>
          </w:tcPr>
          <w:p w14:paraId="62D817CB" w14:textId="77777777" w:rsidR="00F1341F" w:rsidRPr="008340BB" w:rsidRDefault="00F1341F" w:rsidP="001B661C">
            <w:pPr>
              <w:rPr>
                <w:i/>
                <w:sz w:val="18"/>
                <w:szCs w:val="18"/>
              </w:rPr>
            </w:pPr>
            <w:r w:rsidRPr="008340BB">
              <w:rPr>
                <w:bCs/>
              </w:rPr>
              <w:lastRenderedPageBreak/>
              <w:t>Financial instruments are not envisaged in the process of OPTTI implementation.</w:t>
            </w:r>
          </w:p>
        </w:tc>
      </w:tr>
    </w:tbl>
    <w:p w14:paraId="35A99A0A" w14:textId="77777777" w:rsidR="00F1341F" w:rsidRPr="008340BB" w:rsidRDefault="00F1341F" w:rsidP="00C37144">
      <w:pPr>
        <w:pStyle w:val="Text1"/>
        <w:ind w:left="0"/>
        <w:rPr>
          <w:b/>
          <w:i/>
          <w:lang w:val="en-GB"/>
        </w:rPr>
      </w:pPr>
    </w:p>
    <w:p w14:paraId="46873AC3" w14:textId="77777777" w:rsidR="00F1341F" w:rsidRPr="008340BB" w:rsidRDefault="00F1341F" w:rsidP="00C37144">
      <w:pPr>
        <w:pStyle w:val="Text1"/>
        <w:ind w:left="0"/>
        <w:rPr>
          <w:lang w:val="en-GB"/>
        </w:rPr>
      </w:pPr>
      <w:r w:rsidRPr="008340BB">
        <w:rPr>
          <w:b/>
          <w:i/>
          <w:lang w:val="en-GB"/>
        </w:rPr>
        <w:t xml:space="preserve">2.A.4.3.2.4 </w:t>
      </w:r>
      <w:r w:rsidRPr="008340BB">
        <w:rPr>
          <w:b/>
          <w:i/>
          <w:lang w:val="en-GB"/>
        </w:rPr>
        <w:tab/>
        <w:t xml:space="preserve">Planned use of major projects </w:t>
      </w:r>
      <w:r w:rsidRPr="008340BB">
        <w:rPr>
          <w:lang w:val="en-GB"/>
        </w:rPr>
        <w:t>(where appropriate)</w:t>
      </w:r>
    </w:p>
    <w:p w14:paraId="4CE62F78" w14:textId="77777777" w:rsidR="00F1341F" w:rsidRPr="008340BB" w:rsidRDefault="00F1341F" w:rsidP="00C37144">
      <w:pPr>
        <w:pStyle w:val="ManualHeading3"/>
        <w:tabs>
          <w:tab w:val="clear" w:pos="850"/>
        </w:tabs>
        <w:ind w:left="1418" w:hanging="1418"/>
        <w:rPr>
          <w:i w:val="0"/>
        </w:rPr>
      </w:pPr>
      <w:r w:rsidRPr="008340BB">
        <w:rPr>
          <w:i w:val="0"/>
        </w:rPr>
        <w:t xml:space="preserve"> (Reference: point (b)(iii) of the first subparagraph of Article 96 (2) of Regulation (EU) No 1303/2013) </w:t>
      </w:r>
    </w:p>
    <w:p w14:paraId="35B7E643" w14:textId="77777777" w:rsidR="00F1341F" w:rsidRPr="008340BB" w:rsidRDefault="00F1341F" w:rsidP="00C37144">
      <w:pPr>
        <w:pStyle w:val="Text1"/>
        <w:ind w:left="0"/>
        <w:rPr>
          <w:lang w:val="en-GB"/>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9"/>
        <w:gridCol w:w="4416"/>
      </w:tblGrid>
      <w:tr w:rsidR="00F1341F" w:rsidRPr="008340BB" w14:paraId="783367E3" w14:textId="77777777" w:rsidTr="001B661C">
        <w:trPr>
          <w:trHeight w:val="518"/>
        </w:trPr>
        <w:tc>
          <w:tcPr>
            <w:tcW w:w="4339" w:type="dxa"/>
          </w:tcPr>
          <w:p w14:paraId="6B095FBF" w14:textId="77777777" w:rsidR="00F1341F" w:rsidRPr="008340BB" w:rsidRDefault="00F1341F" w:rsidP="001B661C">
            <w:pPr>
              <w:rPr>
                <w:i/>
                <w:color w:val="8DB3E2"/>
                <w:sz w:val="18"/>
                <w:szCs w:val="18"/>
              </w:rPr>
            </w:pPr>
            <w:r w:rsidRPr="008340BB">
              <w:rPr>
                <w:i/>
              </w:rPr>
              <w:t>Investment Priority</w:t>
            </w:r>
          </w:p>
        </w:tc>
        <w:tc>
          <w:tcPr>
            <w:tcW w:w="4416" w:type="dxa"/>
          </w:tcPr>
          <w:p w14:paraId="61AB0032" w14:textId="77777777" w:rsidR="00F1341F" w:rsidRPr="008340BB" w:rsidRDefault="00F1341F" w:rsidP="001B661C">
            <w:pPr>
              <w:rPr>
                <w:i/>
                <w:color w:val="8DB3E2"/>
                <w:sz w:val="18"/>
                <w:szCs w:val="18"/>
              </w:rPr>
            </w:pPr>
            <w:r w:rsidRPr="008340BB">
              <w:rPr>
                <w:i/>
              </w:rPr>
              <w:t>Developing and improving environmentally-friendly including low-noise and low-carbon transport systems including inland waterways and maritime transport, ports, multimodal links and airport infrastructure, in order to promote sustainable regional and local mobility</w:t>
            </w:r>
          </w:p>
        </w:tc>
      </w:tr>
      <w:tr w:rsidR="00F1341F" w:rsidRPr="008340BB" w14:paraId="1E2C13A2" w14:textId="77777777" w:rsidTr="00600E99">
        <w:trPr>
          <w:trHeight w:val="756"/>
        </w:trPr>
        <w:tc>
          <w:tcPr>
            <w:tcW w:w="8755" w:type="dxa"/>
            <w:gridSpan w:val="2"/>
          </w:tcPr>
          <w:p w14:paraId="6725549E" w14:textId="77777777" w:rsidR="00F1341F" w:rsidRPr="008340BB" w:rsidRDefault="00F1341F" w:rsidP="001B661C">
            <w:r w:rsidRPr="008340BB">
              <w:t xml:space="preserve">Major projects are not envisaged. </w:t>
            </w:r>
          </w:p>
        </w:tc>
      </w:tr>
    </w:tbl>
    <w:p w14:paraId="1BF9E65A" w14:textId="77777777" w:rsidR="00F1341F" w:rsidRPr="008340BB" w:rsidRDefault="00F1341F" w:rsidP="00C37144"/>
    <w:p w14:paraId="5D06BC85" w14:textId="77777777" w:rsidR="00F1341F" w:rsidRPr="008340BB" w:rsidRDefault="00F1341F" w:rsidP="00C37144">
      <w:pPr>
        <w:rPr>
          <w:b/>
          <w:i/>
        </w:rPr>
      </w:pPr>
      <w:r w:rsidRPr="008340BB">
        <w:rPr>
          <w:b/>
          <w:i/>
        </w:rPr>
        <w:t>2.A.4.3.2.5</w:t>
      </w:r>
      <w:r w:rsidRPr="008340BB">
        <w:rPr>
          <w:b/>
          <w:i/>
        </w:rPr>
        <w:tab/>
        <w:t xml:space="preserve">  Output indicators by investment priority and, where appropriate by category of region</w:t>
      </w:r>
    </w:p>
    <w:p w14:paraId="667B3280" w14:textId="77777777" w:rsidR="00F1341F" w:rsidRPr="008340BB" w:rsidRDefault="00F1341F" w:rsidP="00C37144">
      <w:r w:rsidRPr="008340BB">
        <w:t>(Reference: point (b)(iv) of the first subparagraph of</w:t>
      </w:r>
      <w:r w:rsidRPr="008340BB">
        <w:rPr>
          <w:i/>
        </w:rPr>
        <w:t xml:space="preserve"> </w:t>
      </w:r>
      <w:r w:rsidRPr="008340BB">
        <w:t>Article 96(2) of Regulation (EU) No 1303/2013)</w:t>
      </w:r>
    </w:p>
    <w:p w14:paraId="1F4D3FD4" w14:textId="77777777" w:rsidR="00F1341F" w:rsidRPr="008340BB" w:rsidRDefault="00F1341F" w:rsidP="00C37144">
      <w:pPr>
        <w:rPr>
          <w:i/>
        </w:rPr>
      </w:pPr>
    </w:p>
    <w:p w14:paraId="71966DFF" w14:textId="77777777" w:rsidR="00F1341F" w:rsidRPr="008340BB" w:rsidRDefault="00F1341F" w:rsidP="00C37144">
      <w:pPr>
        <w:rPr>
          <w:b/>
        </w:rPr>
      </w:pPr>
      <w:r w:rsidRPr="008340BB">
        <w:rPr>
          <w:b/>
        </w:rPr>
        <w:t xml:space="preserve">Table 5: </w:t>
      </w:r>
      <w:r w:rsidRPr="008340BB">
        <w:rPr>
          <w:b/>
        </w:rPr>
        <w:tab/>
        <w:t xml:space="preserve">Common and programme-specific output indicators </w:t>
      </w:r>
    </w:p>
    <w:p w14:paraId="3306C281" w14:textId="77777777" w:rsidR="00F1341F" w:rsidRPr="008340BB" w:rsidRDefault="00F1341F" w:rsidP="00C37144">
      <w:r w:rsidRPr="008340BB">
        <w:t>(by investment priority, broken down by category of region for the ESF, and where relevant, for the ERDF)</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6"/>
        <w:gridCol w:w="1447"/>
        <w:gridCol w:w="1208"/>
        <w:gridCol w:w="1039"/>
        <w:gridCol w:w="1041"/>
        <w:gridCol w:w="1059"/>
        <w:gridCol w:w="1599"/>
        <w:gridCol w:w="1535"/>
      </w:tblGrid>
      <w:tr w:rsidR="004B3003" w:rsidRPr="008340BB" w14:paraId="2D1AE899" w14:textId="77777777" w:rsidTr="004B3003">
        <w:trPr>
          <w:trHeight w:val="976"/>
          <w:jc w:val="center"/>
        </w:trPr>
        <w:tc>
          <w:tcPr>
            <w:tcW w:w="1148" w:type="pct"/>
            <w:gridSpan w:val="2"/>
          </w:tcPr>
          <w:p w14:paraId="256093E0" w14:textId="77777777" w:rsidR="004B3003" w:rsidRPr="00435AC3" w:rsidRDefault="004B3003" w:rsidP="001B661C">
            <w:pPr>
              <w:pStyle w:val="ListDash"/>
              <w:numPr>
                <w:ilvl w:val="0"/>
                <w:numId w:val="0"/>
              </w:numPr>
              <w:ind w:left="283" w:hanging="283"/>
              <w:rPr>
                <w:b/>
                <w:i/>
                <w:sz w:val="16"/>
                <w:szCs w:val="16"/>
                <w:lang w:val="en-US"/>
              </w:rPr>
            </w:pPr>
            <w:r>
              <w:rPr>
                <w:b/>
                <w:i/>
                <w:sz w:val="16"/>
                <w:szCs w:val="16"/>
                <w:lang w:val="en-US"/>
              </w:rPr>
              <w:t>Investment priority</w:t>
            </w:r>
          </w:p>
        </w:tc>
        <w:tc>
          <w:tcPr>
            <w:tcW w:w="3852" w:type="pct"/>
            <w:gridSpan w:val="6"/>
          </w:tcPr>
          <w:p w14:paraId="0515B705" w14:textId="77777777" w:rsidR="004B3003" w:rsidRPr="008340BB" w:rsidRDefault="004B3003" w:rsidP="00901C4C">
            <w:pPr>
              <w:pStyle w:val="ListDash"/>
              <w:numPr>
                <w:ilvl w:val="0"/>
                <w:numId w:val="0"/>
              </w:numPr>
              <w:jc w:val="left"/>
              <w:rPr>
                <w:b/>
                <w:i/>
                <w:sz w:val="16"/>
                <w:szCs w:val="16"/>
              </w:rPr>
            </w:pPr>
            <w:r w:rsidRPr="004B3003">
              <w:rPr>
                <w:b/>
                <w:i/>
                <w:sz w:val="16"/>
                <w:szCs w:val="16"/>
              </w:rPr>
              <w:t>“Developing and improving environmentally-friendly including low-noise and low-carbon transport systems including inland waterways and maritime transport, ports, multimodal links and airport infrastructure, in order to promote sustainable regional and local mobility”</w:t>
            </w:r>
          </w:p>
        </w:tc>
      </w:tr>
      <w:tr w:rsidR="00F1341F" w:rsidRPr="008340BB" w14:paraId="30112331" w14:textId="77777777" w:rsidTr="00052DB7">
        <w:trPr>
          <w:trHeight w:val="976"/>
          <w:jc w:val="center"/>
        </w:trPr>
        <w:tc>
          <w:tcPr>
            <w:tcW w:w="404" w:type="pct"/>
          </w:tcPr>
          <w:p w14:paraId="7C5A0EBE" w14:textId="77777777" w:rsidR="00F1341F" w:rsidRPr="008340BB" w:rsidRDefault="00F1341F" w:rsidP="001B661C">
            <w:pPr>
              <w:pStyle w:val="ListDash"/>
              <w:numPr>
                <w:ilvl w:val="0"/>
                <w:numId w:val="0"/>
              </w:numPr>
              <w:ind w:left="283" w:hanging="283"/>
              <w:rPr>
                <w:b/>
                <w:i/>
                <w:sz w:val="16"/>
                <w:szCs w:val="16"/>
              </w:rPr>
            </w:pPr>
            <w:r w:rsidRPr="008340BB">
              <w:rPr>
                <w:b/>
                <w:i/>
                <w:sz w:val="16"/>
                <w:szCs w:val="16"/>
              </w:rPr>
              <w:t>ID</w:t>
            </w:r>
          </w:p>
        </w:tc>
        <w:tc>
          <w:tcPr>
            <w:tcW w:w="745" w:type="pct"/>
          </w:tcPr>
          <w:p w14:paraId="25F49512" w14:textId="77777777" w:rsidR="00F1341F" w:rsidRPr="008340BB" w:rsidRDefault="00F1341F" w:rsidP="001B661C">
            <w:pPr>
              <w:pStyle w:val="ListDash"/>
              <w:numPr>
                <w:ilvl w:val="0"/>
                <w:numId w:val="0"/>
              </w:numPr>
              <w:ind w:left="283" w:hanging="283"/>
              <w:rPr>
                <w:b/>
                <w:i/>
                <w:sz w:val="16"/>
                <w:szCs w:val="16"/>
              </w:rPr>
            </w:pPr>
            <w:r w:rsidRPr="008340BB">
              <w:rPr>
                <w:b/>
                <w:i/>
                <w:sz w:val="16"/>
                <w:szCs w:val="16"/>
              </w:rPr>
              <w:t xml:space="preserve">Indicator </w:t>
            </w:r>
          </w:p>
        </w:tc>
        <w:tc>
          <w:tcPr>
            <w:tcW w:w="622" w:type="pct"/>
          </w:tcPr>
          <w:p w14:paraId="3307ABBB" w14:textId="77777777" w:rsidR="00F1341F" w:rsidRPr="008340BB" w:rsidRDefault="00F1341F" w:rsidP="001B661C">
            <w:pPr>
              <w:pStyle w:val="ListDash"/>
              <w:numPr>
                <w:ilvl w:val="0"/>
                <w:numId w:val="0"/>
              </w:numPr>
              <w:rPr>
                <w:b/>
                <w:i/>
                <w:sz w:val="16"/>
                <w:szCs w:val="16"/>
              </w:rPr>
            </w:pPr>
            <w:r w:rsidRPr="008340BB">
              <w:rPr>
                <w:b/>
                <w:i/>
                <w:sz w:val="16"/>
                <w:szCs w:val="16"/>
              </w:rPr>
              <w:t>Measurement unit</w:t>
            </w:r>
          </w:p>
        </w:tc>
        <w:tc>
          <w:tcPr>
            <w:tcW w:w="535" w:type="pct"/>
          </w:tcPr>
          <w:p w14:paraId="4853F6C1" w14:textId="77777777" w:rsidR="00F1341F" w:rsidRPr="008340BB" w:rsidRDefault="00F1341F" w:rsidP="001B661C">
            <w:pPr>
              <w:pStyle w:val="ListDash"/>
              <w:numPr>
                <w:ilvl w:val="0"/>
                <w:numId w:val="0"/>
              </w:numPr>
              <w:rPr>
                <w:b/>
                <w:i/>
                <w:sz w:val="16"/>
                <w:szCs w:val="16"/>
              </w:rPr>
            </w:pPr>
            <w:r w:rsidRPr="008340BB">
              <w:rPr>
                <w:b/>
                <w:i/>
                <w:sz w:val="16"/>
                <w:szCs w:val="16"/>
              </w:rPr>
              <w:t xml:space="preserve">Fund </w:t>
            </w:r>
          </w:p>
        </w:tc>
        <w:tc>
          <w:tcPr>
            <w:tcW w:w="536" w:type="pct"/>
          </w:tcPr>
          <w:p w14:paraId="582E3170" w14:textId="77777777" w:rsidR="00F1341F" w:rsidRPr="008340BB" w:rsidRDefault="00F1341F" w:rsidP="00901C4C">
            <w:pPr>
              <w:pStyle w:val="ListDash"/>
              <w:numPr>
                <w:ilvl w:val="0"/>
                <w:numId w:val="0"/>
              </w:numPr>
              <w:jc w:val="left"/>
              <w:rPr>
                <w:b/>
                <w:i/>
                <w:sz w:val="16"/>
                <w:szCs w:val="16"/>
              </w:rPr>
            </w:pPr>
            <w:r w:rsidRPr="008340BB">
              <w:rPr>
                <w:b/>
                <w:i/>
                <w:sz w:val="16"/>
                <w:szCs w:val="16"/>
              </w:rPr>
              <w:t xml:space="preserve">Category of region (where relevant ) </w:t>
            </w:r>
          </w:p>
        </w:tc>
        <w:tc>
          <w:tcPr>
            <w:tcW w:w="545" w:type="pct"/>
          </w:tcPr>
          <w:p w14:paraId="7F2B8208" w14:textId="77777777" w:rsidR="00F1341F" w:rsidRPr="008340BB" w:rsidRDefault="00F1341F" w:rsidP="00901C4C">
            <w:pPr>
              <w:pStyle w:val="ListDash"/>
              <w:numPr>
                <w:ilvl w:val="0"/>
                <w:numId w:val="0"/>
              </w:numPr>
              <w:jc w:val="left"/>
              <w:rPr>
                <w:b/>
                <w:i/>
                <w:sz w:val="16"/>
                <w:szCs w:val="16"/>
              </w:rPr>
            </w:pPr>
            <w:r w:rsidRPr="008340BB">
              <w:rPr>
                <w:b/>
                <w:i/>
                <w:sz w:val="16"/>
                <w:szCs w:val="16"/>
              </w:rPr>
              <w:t>Target value (2023)</w:t>
            </w:r>
            <w:r w:rsidRPr="008340BB">
              <w:rPr>
                <w:rStyle w:val="FootnoteReference"/>
                <w:b/>
                <w:i/>
                <w:sz w:val="16"/>
                <w:szCs w:val="16"/>
              </w:rPr>
              <w:footnoteReference w:id="59"/>
            </w:r>
          </w:p>
        </w:tc>
        <w:tc>
          <w:tcPr>
            <w:tcW w:w="823" w:type="pct"/>
          </w:tcPr>
          <w:p w14:paraId="43285FC5" w14:textId="77777777" w:rsidR="00F1341F" w:rsidRPr="008340BB" w:rsidRDefault="00F1341F" w:rsidP="001B661C">
            <w:pPr>
              <w:pStyle w:val="ListDash"/>
              <w:numPr>
                <w:ilvl w:val="0"/>
                <w:numId w:val="0"/>
              </w:numPr>
              <w:rPr>
                <w:b/>
                <w:i/>
                <w:sz w:val="16"/>
                <w:szCs w:val="16"/>
              </w:rPr>
            </w:pPr>
            <w:r w:rsidRPr="008340BB">
              <w:rPr>
                <w:b/>
                <w:i/>
                <w:sz w:val="16"/>
                <w:szCs w:val="16"/>
              </w:rPr>
              <w:t>Source of data</w:t>
            </w:r>
          </w:p>
        </w:tc>
        <w:tc>
          <w:tcPr>
            <w:tcW w:w="791" w:type="pct"/>
          </w:tcPr>
          <w:p w14:paraId="7EEEF3EF" w14:textId="77777777" w:rsidR="00F1341F" w:rsidRPr="008340BB" w:rsidRDefault="00F1341F" w:rsidP="00901C4C">
            <w:pPr>
              <w:pStyle w:val="ListDash"/>
              <w:numPr>
                <w:ilvl w:val="0"/>
                <w:numId w:val="0"/>
              </w:numPr>
              <w:jc w:val="left"/>
              <w:rPr>
                <w:b/>
                <w:i/>
                <w:sz w:val="16"/>
                <w:szCs w:val="16"/>
              </w:rPr>
            </w:pPr>
            <w:r w:rsidRPr="008340BB">
              <w:rPr>
                <w:b/>
                <w:i/>
                <w:sz w:val="16"/>
                <w:szCs w:val="16"/>
              </w:rPr>
              <w:t>Frequency of reporting</w:t>
            </w:r>
          </w:p>
        </w:tc>
      </w:tr>
      <w:tr w:rsidR="00F1341F" w:rsidRPr="008340BB" w14:paraId="109C7DD7" w14:textId="77777777" w:rsidTr="00052DB7">
        <w:trPr>
          <w:trHeight w:val="79"/>
          <w:jc w:val="center"/>
        </w:trPr>
        <w:tc>
          <w:tcPr>
            <w:tcW w:w="404" w:type="pct"/>
          </w:tcPr>
          <w:p w14:paraId="1C7FE2F3" w14:textId="77777777" w:rsidR="00F1341F" w:rsidRPr="008340BB" w:rsidRDefault="00F1341F" w:rsidP="001B661C">
            <w:pPr>
              <w:pStyle w:val="ListDash"/>
              <w:numPr>
                <w:ilvl w:val="0"/>
                <w:numId w:val="0"/>
              </w:numPr>
              <w:rPr>
                <w:sz w:val="20"/>
              </w:rPr>
            </w:pPr>
            <w:r w:rsidRPr="008340BB">
              <w:rPr>
                <w:sz w:val="20"/>
              </w:rPr>
              <w:t>9</w:t>
            </w:r>
          </w:p>
        </w:tc>
        <w:tc>
          <w:tcPr>
            <w:tcW w:w="745" w:type="pct"/>
          </w:tcPr>
          <w:p w14:paraId="71323713" w14:textId="77777777" w:rsidR="00F1341F" w:rsidRPr="008340BB" w:rsidRDefault="00F1341F" w:rsidP="001B661C">
            <w:pPr>
              <w:pStyle w:val="ListDash"/>
              <w:numPr>
                <w:ilvl w:val="0"/>
                <w:numId w:val="0"/>
              </w:numPr>
              <w:rPr>
                <w:sz w:val="20"/>
              </w:rPr>
            </w:pPr>
            <w:r w:rsidRPr="008340BB">
              <w:rPr>
                <w:sz w:val="20"/>
              </w:rPr>
              <w:t>Introduced/ upgraded navigation information systems</w:t>
            </w:r>
          </w:p>
        </w:tc>
        <w:tc>
          <w:tcPr>
            <w:tcW w:w="622" w:type="pct"/>
          </w:tcPr>
          <w:p w14:paraId="2E77D9F3" w14:textId="77777777" w:rsidR="00F1341F" w:rsidRPr="008340BB" w:rsidRDefault="00F1341F" w:rsidP="001B661C">
            <w:pPr>
              <w:pStyle w:val="ListDash"/>
              <w:numPr>
                <w:ilvl w:val="0"/>
                <w:numId w:val="0"/>
              </w:numPr>
              <w:rPr>
                <w:sz w:val="20"/>
              </w:rPr>
            </w:pPr>
            <w:r w:rsidRPr="008340BB">
              <w:rPr>
                <w:sz w:val="20"/>
              </w:rPr>
              <w:t>number</w:t>
            </w:r>
          </w:p>
        </w:tc>
        <w:tc>
          <w:tcPr>
            <w:tcW w:w="535" w:type="pct"/>
          </w:tcPr>
          <w:p w14:paraId="46F11778" w14:textId="77777777" w:rsidR="00F1341F" w:rsidRPr="008340BB" w:rsidRDefault="00F1341F" w:rsidP="001B661C">
            <w:pPr>
              <w:pStyle w:val="ListDash"/>
              <w:numPr>
                <w:ilvl w:val="0"/>
                <w:numId w:val="0"/>
              </w:numPr>
              <w:rPr>
                <w:i/>
                <w:sz w:val="20"/>
              </w:rPr>
            </w:pPr>
            <w:r w:rsidRPr="008340BB">
              <w:rPr>
                <w:sz w:val="20"/>
              </w:rPr>
              <w:t>ERDF</w:t>
            </w:r>
          </w:p>
        </w:tc>
        <w:tc>
          <w:tcPr>
            <w:tcW w:w="536" w:type="pct"/>
          </w:tcPr>
          <w:p w14:paraId="2A1E286B" w14:textId="77777777" w:rsidR="00F1341F" w:rsidRPr="008340BB" w:rsidRDefault="00F1341F" w:rsidP="001B661C">
            <w:pPr>
              <w:pStyle w:val="ListDash"/>
              <w:numPr>
                <w:ilvl w:val="0"/>
                <w:numId w:val="0"/>
              </w:numPr>
              <w:rPr>
                <w:i/>
                <w:sz w:val="20"/>
              </w:rPr>
            </w:pPr>
            <w:r w:rsidRPr="008340BB">
              <w:rPr>
                <w:sz w:val="20"/>
              </w:rPr>
              <w:t>Less developed regions</w:t>
            </w:r>
          </w:p>
        </w:tc>
        <w:tc>
          <w:tcPr>
            <w:tcW w:w="545" w:type="pct"/>
          </w:tcPr>
          <w:p w14:paraId="620151D5" w14:textId="3516D5FA" w:rsidR="00F1341F" w:rsidRPr="008340BB" w:rsidRDefault="00190047" w:rsidP="001B661C">
            <w:pPr>
              <w:pStyle w:val="ListDash"/>
              <w:numPr>
                <w:ilvl w:val="0"/>
                <w:numId w:val="0"/>
              </w:numPr>
              <w:rPr>
                <w:i/>
                <w:sz w:val="20"/>
              </w:rPr>
            </w:pPr>
            <w:r>
              <w:rPr>
                <w:sz w:val="20"/>
                <w:lang w:val="bg-BG"/>
              </w:rPr>
              <w:t>2</w:t>
            </w:r>
          </w:p>
        </w:tc>
        <w:tc>
          <w:tcPr>
            <w:tcW w:w="823" w:type="pct"/>
          </w:tcPr>
          <w:p w14:paraId="3093A63B" w14:textId="77777777" w:rsidR="0091073B" w:rsidRPr="0091073B" w:rsidRDefault="0091073B" w:rsidP="0091073B">
            <w:pPr>
              <w:pStyle w:val="ListDash"/>
              <w:numPr>
                <w:ilvl w:val="0"/>
                <w:numId w:val="0"/>
              </w:numPr>
              <w:rPr>
                <w:bCs/>
                <w:sz w:val="20"/>
              </w:rPr>
            </w:pPr>
            <w:r w:rsidRPr="0091073B">
              <w:rPr>
                <w:bCs/>
                <w:sz w:val="20"/>
              </w:rPr>
              <w:t>State Enterprise “</w:t>
            </w:r>
            <w:hyperlink r:id="rId77" w:history="1">
              <w:r w:rsidRPr="0091073B">
                <w:rPr>
                  <w:rStyle w:val="Hyperlink"/>
                  <w:bCs/>
                  <w:sz w:val="20"/>
                </w:rPr>
                <w:t>Bulgarian Ports Infrastructure Company</w:t>
              </w:r>
            </w:hyperlink>
            <w:r w:rsidRPr="0091073B">
              <w:rPr>
                <w:bCs/>
                <w:sz w:val="20"/>
              </w:rPr>
              <w:t>”</w:t>
            </w:r>
          </w:p>
          <w:p w14:paraId="67AD44B9" w14:textId="7C07BFEA" w:rsidR="00F1341F" w:rsidRPr="008340BB" w:rsidRDefault="00F1341F" w:rsidP="001B661C">
            <w:pPr>
              <w:pStyle w:val="ListDash"/>
              <w:numPr>
                <w:ilvl w:val="0"/>
                <w:numId w:val="0"/>
              </w:numPr>
              <w:rPr>
                <w:sz w:val="20"/>
              </w:rPr>
            </w:pPr>
          </w:p>
        </w:tc>
        <w:tc>
          <w:tcPr>
            <w:tcW w:w="791" w:type="pct"/>
          </w:tcPr>
          <w:p w14:paraId="7D326012" w14:textId="77777777" w:rsidR="00F1341F" w:rsidRPr="008340BB" w:rsidRDefault="004F2F5A">
            <w:pPr>
              <w:pStyle w:val="ListDash"/>
              <w:numPr>
                <w:ilvl w:val="0"/>
                <w:numId w:val="0"/>
              </w:numPr>
              <w:rPr>
                <w:sz w:val="20"/>
              </w:rPr>
            </w:pPr>
            <w:r>
              <w:rPr>
                <w:sz w:val="20"/>
              </w:rPr>
              <w:t>annually</w:t>
            </w:r>
          </w:p>
        </w:tc>
      </w:tr>
      <w:tr w:rsidR="00F1341F" w:rsidRPr="008340BB" w14:paraId="203CF576" w14:textId="77777777" w:rsidTr="00052DB7">
        <w:trPr>
          <w:trHeight w:val="79"/>
          <w:jc w:val="center"/>
        </w:trPr>
        <w:tc>
          <w:tcPr>
            <w:tcW w:w="404" w:type="pct"/>
          </w:tcPr>
          <w:p w14:paraId="5E9458C7" w14:textId="77777777" w:rsidR="00F1341F" w:rsidRPr="008340BB" w:rsidRDefault="00F1341F" w:rsidP="00AC4D66">
            <w:pPr>
              <w:pStyle w:val="ListDash"/>
              <w:numPr>
                <w:ilvl w:val="0"/>
                <w:numId w:val="0"/>
              </w:numPr>
              <w:rPr>
                <w:sz w:val="20"/>
              </w:rPr>
            </w:pPr>
            <w:r w:rsidRPr="008340BB">
              <w:rPr>
                <w:sz w:val="20"/>
              </w:rPr>
              <w:lastRenderedPageBreak/>
              <w:t>10</w:t>
            </w:r>
          </w:p>
        </w:tc>
        <w:tc>
          <w:tcPr>
            <w:tcW w:w="745" w:type="pct"/>
          </w:tcPr>
          <w:p w14:paraId="7C1EA28E" w14:textId="77777777" w:rsidR="00F1341F" w:rsidRPr="008340BB" w:rsidRDefault="00F1341F" w:rsidP="00AC4D66">
            <w:pPr>
              <w:pStyle w:val="ListDash"/>
              <w:numPr>
                <w:ilvl w:val="0"/>
                <w:numId w:val="0"/>
              </w:numPr>
              <w:rPr>
                <w:sz w:val="20"/>
              </w:rPr>
            </w:pPr>
            <w:r w:rsidRPr="008340BB">
              <w:rPr>
                <w:sz w:val="20"/>
              </w:rPr>
              <w:t xml:space="preserve">Delivered of </w:t>
            </w:r>
            <w:r w:rsidR="00460FB1" w:rsidRPr="008340BB">
              <w:rPr>
                <w:sz w:val="20"/>
              </w:rPr>
              <w:t>multipurpose</w:t>
            </w:r>
            <w:r w:rsidRPr="008340BB">
              <w:rPr>
                <w:sz w:val="20"/>
              </w:rPr>
              <w:t xml:space="preserve"> vessels</w:t>
            </w:r>
          </w:p>
        </w:tc>
        <w:tc>
          <w:tcPr>
            <w:tcW w:w="622" w:type="pct"/>
          </w:tcPr>
          <w:p w14:paraId="3E4F20BD" w14:textId="77777777" w:rsidR="00F1341F" w:rsidRPr="008340BB" w:rsidRDefault="00F1341F" w:rsidP="00AC4D66">
            <w:r w:rsidRPr="008340BB">
              <w:rPr>
                <w:sz w:val="20"/>
              </w:rPr>
              <w:t>number</w:t>
            </w:r>
          </w:p>
        </w:tc>
        <w:tc>
          <w:tcPr>
            <w:tcW w:w="535" w:type="pct"/>
          </w:tcPr>
          <w:p w14:paraId="7CA7D5F0" w14:textId="77777777" w:rsidR="00F1341F" w:rsidRPr="008340BB" w:rsidRDefault="00F1341F" w:rsidP="00AC4D66">
            <w:pPr>
              <w:pStyle w:val="ListDash"/>
              <w:numPr>
                <w:ilvl w:val="0"/>
                <w:numId w:val="0"/>
              </w:numPr>
              <w:rPr>
                <w:sz w:val="20"/>
              </w:rPr>
            </w:pPr>
            <w:r w:rsidRPr="008340BB">
              <w:rPr>
                <w:sz w:val="20"/>
              </w:rPr>
              <w:t>ERDF</w:t>
            </w:r>
          </w:p>
        </w:tc>
        <w:tc>
          <w:tcPr>
            <w:tcW w:w="536" w:type="pct"/>
          </w:tcPr>
          <w:p w14:paraId="4DC74BE0" w14:textId="77777777" w:rsidR="00F1341F" w:rsidRPr="008340BB" w:rsidRDefault="00F1341F" w:rsidP="00AC4D66">
            <w:r w:rsidRPr="008340BB">
              <w:rPr>
                <w:sz w:val="20"/>
              </w:rPr>
              <w:t>Less developed regions</w:t>
            </w:r>
          </w:p>
        </w:tc>
        <w:tc>
          <w:tcPr>
            <w:tcW w:w="545" w:type="pct"/>
          </w:tcPr>
          <w:p w14:paraId="71B6BB98" w14:textId="481BAC44" w:rsidR="00F1341F" w:rsidRPr="008340BB" w:rsidRDefault="00C73CE9" w:rsidP="00AC4D66">
            <w:pPr>
              <w:pStyle w:val="ListDash"/>
              <w:numPr>
                <w:ilvl w:val="0"/>
                <w:numId w:val="0"/>
              </w:numPr>
              <w:rPr>
                <w:sz w:val="20"/>
              </w:rPr>
            </w:pPr>
            <w:r>
              <w:rPr>
                <w:sz w:val="20"/>
              </w:rPr>
              <w:t>5</w:t>
            </w:r>
          </w:p>
        </w:tc>
        <w:tc>
          <w:tcPr>
            <w:tcW w:w="823" w:type="pct"/>
          </w:tcPr>
          <w:p w14:paraId="0A47B3A7" w14:textId="77777777" w:rsidR="00F1341F" w:rsidRPr="008340BB" w:rsidRDefault="00F1341F">
            <w:pPr>
              <w:pStyle w:val="ListDash"/>
              <w:numPr>
                <w:ilvl w:val="0"/>
                <w:numId w:val="0"/>
              </w:numPr>
              <w:rPr>
                <w:bCs/>
                <w:sz w:val="20"/>
              </w:rPr>
            </w:pPr>
            <w:r w:rsidRPr="008340BB">
              <w:rPr>
                <w:rStyle w:val="hps"/>
                <w:sz w:val="20"/>
                <w:lang w:eastAsia="en-US"/>
              </w:rPr>
              <w:t>Executive Agency for Exploration and Maintenance of the Danube River</w:t>
            </w:r>
          </w:p>
        </w:tc>
        <w:tc>
          <w:tcPr>
            <w:tcW w:w="791" w:type="pct"/>
          </w:tcPr>
          <w:p w14:paraId="7BC3C3D6" w14:textId="77777777" w:rsidR="00F1341F" w:rsidRPr="008340BB" w:rsidRDefault="004F2F5A">
            <w:pPr>
              <w:pStyle w:val="ListDash"/>
              <w:numPr>
                <w:ilvl w:val="0"/>
                <w:numId w:val="0"/>
              </w:numPr>
              <w:rPr>
                <w:sz w:val="20"/>
              </w:rPr>
            </w:pPr>
            <w:r>
              <w:rPr>
                <w:sz w:val="20"/>
              </w:rPr>
              <w:t>annually</w:t>
            </w:r>
          </w:p>
        </w:tc>
      </w:tr>
      <w:tr w:rsidR="00F1341F" w:rsidRPr="008340BB" w14:paraId="21BAC5C3" w14:textId="77777777" w:rsidTr="00052DB7">
        <w:trPr>
          <w:trHeight w:val="79"/>
          <w:jc w:val="center"/>
        </w:trPr>
        <w:tc>
          <w:tcPr>
            <w:tcW w:w="404" w:type="pct"/>
          </w:tcPr>
          <w:p w14:paraId="5DA16823" w14:textId="77777777" w:rsidR="00F1341F" w:rsidRPr="00983B6F" w:rsidRDefault="00F1341F" w:rsidP="00767EC6">
            <w:pPr>
              <w:pStyle w:val="ListDash"/>
              <w:numPr>
                <w:ilvl w:val="0"/>
                <w:numId w:val="0"/>
              </w:numPr>
              <w:rPr>
                <w:sz w:val="20"/>
              </w:rPr>
            </w:pPr>
            <w:r w:rsidRPr="00983B6F">
              <w:rPr>
                <w:sz w:val="20"/>
              </w:rPr>
              <w:t>11</w:t>
            </w:r>
          </w:p>
        </w:tc>
        <w:tc>
          <w:tcPr>
            <w:tcW w:w="745" w:type="pct"/>
          </w:tcPr>
          <w:p w14:paraId="44F24C45" w14:textId="77777777" w:rsidR="001C0BDD" w:rsidRDefault="00F1341F" w:rsidP="001C0BDD">
            <w:pPr>
              <w:pStyle w:val="ListDash"/>
              <w:numPr>
                <w:ilvl w:val="0"/>
                <w:numId w:val="0"/>
              </w:numPr>
              <w:jc w:val="left"/>
              <w:rPr>
                <w:sz w:val="20"/>
                <w:szCs w:val="24"/>
                <w:lang w:eastAsia="bg-BG"/>
              </w:rPr>
            </w:pPr>
            <w:r w:rsidRPr="00983B6F">
              <w:rPr>
                <w:sz w:val="20"/>
                <w:szCs w:val="24"/>
                <w:lang w:eastAsia="bg-BG"/>
              </w:rPr>
              <w:t>Commissioned port reception facilities for ship-generated waste</w:t>
            </w:r>
          </w:p>
          <w:p w14:paraId="1424F05E" w14:textId="3C9BF4E9" w:rsidR="00983B6F" w:rsidRPr="00983B6F" w:rsidRDefault="00983B6F" w:rsidP="001C0BDD">
            <w:pPr>
              <w:pStyle w:val="ListDash"/>
              <w:numPr>
                <w:ilvl w:val="0"/>
                <w:numId w:val="0"/>
              </w:numPr>
              <w:jc w:val="left"/>
              <w:rPr>
                <w:sz w:val="20"/>
                <w:lang w:val="en-US"/>
              </w:rPr>
            </w:pPr>
          </w:p>
        </w:tc>
        <w:tc>
          <w:tcPr>
            <w:tcW w:w="622" w:type="pct"/>
          </w:tcPr>
          <w:p w14:paraId="1DACA154" w14:textId="77777777" w:rsidR="00F1341F" w:rsidRDefault="00F1341F" w:rsidP="00767EC6">
            <w:pPr>
              <w:rPr>
                <w:sz w:val="20"/>
              </w:rPr>
            </w:pPr>
            <w:r w:rsidRPr="00983B6F">
              <w:rPr>
                <w:sz w:val="20"/>
              </w:rPr>
              <w:t>number</w:t>
            </w:r>
          </w:p>
          <w:p w14:paraId="371839E1" w14:textId="77777777" w:rsidR="001C0BDD" w:rsidRDefault="001C0BDD" w:rsidP="00767EC6">
            <w:pPr>
              <w:rPr>
                <w:sz w:val="20"/>
              </w:rPr>
            </w:pPr>
          </w:p>
          <w:p w14:paraId="6C66EC6E" w14:textId="77777777" w:rsidR="001C0BDD" w:rsidRDefault="001C0BDD" w:rsidP="00767EC6">
            <w:pPr>
              <w:rPr>
                <w:sz w:val="20"/>
              </w:rPr>
            </w:pPr>
          </w:p>
          <w:p w14:paraId="4FF1DB43" w14:textId="77777777" w:rsidR="001C0BDD" w:rsidRDefault="001C0BDD" w:rsidP="00767EC6">
            <w:pPr>
              <w:rPr>
                <w:sz w:val="20"/>
              </w:rPr>
            </w:pPr>
          </w:p>
          <w:p w14:paraId="6825FDF8" w14:textId="4E3EB774" w:rsidR="001C0BDD" w:rsidRPr="00983B6F" w:rsidRDefault="001C0BDD" w:rsidP="000E4063"/>
        </w:tc>
        <w:tc>
          <w:tcPr>
            <w:tcW w:w="535" w:type="pct"/>
          </w:tcPr>
          <w:p w14:paraId="04863507" w14:textId="77777777" w:rsidR="00F1341F" w:rsidRDefault="00F1341F" w:rsidP="00767EC6">
            <w:pPr>
              <w:pStyle w:val="ListDash"/>
              <w:numPr>
                <w:ilvl w:val="0"/>
                <w:numId w:val="0"/>
              </w:numPr>
              <w:rPr>
                <w:sz w:val="20"/>
              </w:rPr>
            </w:pPr>
            <w:r w:rsidRPr="00983B6F">
              <w:rPr>
                <w:sz w:val="20"/>
              </w:rPr>
              <w:t>ERDF</w:t>
            </w:r>
          </w:p>
          <w:p w14:paraId="2763FDF4" w14:textId="77777777" w:rsidR="001C0BDD" w:rsidRDefault="001C0BDD" w:rsidP="00767EC6">
            <w:pPr>
              <w:pStyle w:val="ListDash"/>
              <w:numPr>
                <w:ilvl w:val="0"/>
                <w:numId w:val="0"/>
              </w:numPr>
              <w:rPr>
                <w:sz w:val="20"/>
              </w:rPr>
            </w:pPr>
          </w:p>
          <w:p w14:paraId="6323C37E" w14:textId="77777777" w:rsidR="001C0BDD" w:rsidRDefault="001C0BDD" w:rsidP="00767EC6">
            <w:pPr>
              <w:pStyle w:val="ListDash"/>
              <w:numPr>
                <w:ilvl w:val="0"/>
                <w:numId w:val="0"/>
              </w:numPr>
              <w:rPr>
                <w:sz w:val="20"/>
              </w:rPr>
            </w:pPr>
          </w:p>
          <w:p w14:paraId="148CF94D" w14:textId="02BDA1A4" w:rsidR="001C0BDD" w:rsidRPr="00983B6F" w:rsidRDefault="001C0BDD" w:rsidP="00767EC6">
            <w:pPr>
              <w:pStyle w:val="ListDash"/>
              <w:numPr>
                <w:ilvl w:val="0"/>
                <w:numId w:val="0"/>
              </w:numPr>
              <w:rPr>
                <w:sz w:val="20"/>
              </w:rPr>
            </w:pPr>
          </w:p>
        </w:tc>
        <w:tc>
          <w:tcPr>
            <w:tcW w:w="536" w:type="pct"/>
          </w:tcPr>
          <w:p w14:paraId="0A70EA96" w14:textId="77777777" w:rsidR="00F1341F" w:rsidRDefault="00F1341F" w:rsidP="00767EC6">
            <w:pPr>
              <w:rPr>
                <w:sz w:val="20"/>
              </w:rPr>
            </w:pPr>
            <w:r w:rsidRPr="00983B6F">
              <w:rPr>
                <w:sz w:val="20"/>
              </w:rPr>
              <w:t>Less developed regions</w:t>
            </w:r>
          </w:p>
          <w:p w14:paraId="3BEEA94A" w14:textId="77777777" w:rsidR="001C0BDD" w:rsidRDefault="001C0BDD" w:rsidP="00767EC6">
            <w:pPr>
              <w:rPr>
                <w:sz w:val="20"/>
              </w:rPr>
            </w:pPr>
          </w:p>
          <w:p w14:paraId="7F94FE4A" w14:textId="77777777" w:rsidR="001C0BDD" w:rsidRDefault="001C0BDD" w:rsidP="00767EC6">
            <w:pPr>
              <w:rPr>
                <w:sz w:val="20"/>
              </w:rPr>
            </w:pPr>
          </w:p>
          <w:p w14:paraId="7F44A927" w14:textId="7259F18F" w:rsidR="001C0BDD" w:rsidRPr="00983B6F" w:rsidRDefault="001C0BDD" w:rsidP="00767EC6"/>
        </w:tc>
        <w:tc>
          <w:tcPr>
            <w:tcW w:w="545" w:type="pct"/>
          </w:tcPr>
          <w:p w14:paraId="61492E2F" w14:textId="68AC7B60" w:rsidR="001C0BDD" w:rsidRDefault="000A60A7" w:rsidP="00767EC6">
            <w:pPr>
              <w:pStyle w:val="ListDash"/>
              <w:numPr>
                <w:ilvl w:val="0"/>
                <w:numId w:val="0"/>
              </w:numPr>
              <w:rPr>
                <w:sz w:val="20"/>
              </w:rPr>
            </w:pPr>
            <w:r>
              <w:rPr>
                <w:sz w:val="20"/>
              </w:rPr>
              <w:t>7</w:t>
            </w:r>
          </w:p>
          <w:p w14:paraId="7ADA40BC" w14:textId="77777777" w:rsidR="001C0BDD" w:rsidRDefault="001C0BDD" w:rsidP="00767EC6">
            <w:pPr>
              <w:pStyle w:val="ListDash"/>
              <w:numPr>
                <w:ilvl w:val="0"/>
                <w:numId w:val="0"/>
              </w:numPr>
              <w:rPr>
                <w:sz w:val="20"/>
              </w:rPr>
            </w:pPr>
          </w:p>
          <w:p w14:paraId="081A477D" w14:textId="67479C02" w:rsidR="001C0BDD" w:rsidRPr="000E4063" w:rsidRDefault="001C0BDD" w:rsidP="00767EC6">
            <w:pPr>
              <w:pStyle w:val="ListDash"/>
              <w:numPr>
                <w:ilvl w:val="0"/>
                <w:numId w:val="0"/>
              </w:numPr>
              <w:rPr>
                <w:sz w:val="20"/>
                <w:lang w:val="bg-BG"/>
              </w:rPr>
            </w:pPr>
          </w:p>
        </w:tc>
        <w:tc>
          <w:tcPr>
            <w:tcW w:w="823" w:type="pct"/>
          </w:tcPr>
          <w:p w14:paraId="65F3A9E6" w14:textId="190CE8C1" w:rsidR="00F1341F" w:rsidRDefault="00F1341F" w:rsidP="00767EC6">
            <w:pPr>
              <w:pStyle w:val="ListDash"/>
              <w:numPr>
                <w:ilvl w:val="0"/>
                <w:numId w:val="0"/>
              </w:numPr>
              <w:rPr>
                <w:rStyle w:val="hps"/>
                <w:sz w:val="20"/>
                <w:lang w:eastAsia="en-US"/>
              </w:rPr>
            </w:pPr>
            <w:r w:rsidRPr="00983B6F">
              <w:rPr>
                <w:rStyle w:val="hps"/>
                <w:sz w:val="20"/>
                <w:lang w:eastAsia="en-US"/>
              </w:rPr>
              <w:t>State Enterprise “</w:t>
            </w:r>
            <w:hyperlink r:id="rId78" w:history="1">
              <w:r w:rsidRPr="00983B6F">
                <w:rPr>
                  <w:rStyle w:val="hps"/>
                  <w:sz w:val="20"/>
                  <w:lang w:eastAsia="en-US"/>
                </w:rPr>
                <w:t>Bulgarian Ports Infrastructure Company</w:t>
              </w:r>
            </w:hyperlink>
            <w:r w:rsidRPr="00983B6F">
              <w:rPr>
                <w:rStyle w:val="hps"/>
                <w:sz w:val="20"/>
                <w:lang w:eastAsia="en-US"/>
              </w:rPr>
              <w:t>”</w:t>
            </w:r>
          </w:p>
          <w:p w14:paraId="733545DF" w14:textId="1CD7D079" w:rsidR="001C0BDD" w:rsidRPr="001C0BDD" w:rsidRDefault="001C0BDD" w:rsidP="00767EC6">
            <w:pPr>
              <w:pStyle w:val="ListDash"/>
              <w:numPr>
                <w:ilvl w:val="0"/>
                <w:numId w:val="0"/>
              </w:numPr>
              <w:rPr>
                <w:bCs/>
                <w:sz w:val="20"/>
              </w:rPr>
            </w:pPr>
          </w:p>
        </w:tc>
        <w:tc>
          <w:tcPr>
            <w:tcW w:w="791" w:type="pct"/>
          </w:tcPr>
          <w:p w14:paraId="303FD939" w14:textId="77777777" w:rsidR="00F1341F" w:rsidRDefault="004F2F5A">
            <w:pPr>
              <w:pStyle w:val="ListDash"/>
              <w:numPr>
                <w:ilvl w:val="0"/>
                <w:numId w:val="0"/>
              </w:numPr>
              <w:rPr>
                <w:sz w:val="20"/>
              </w:rPr>
            </w:pPr>
            <w:r w:rsidRPr="00983B6F">
              <w:rPr>
                <w:sz w:val="20"/>
              </w:rPr>
              <w:t>annually</w:t>
            </w:r>
          </w:p>
          <w:p w14:paraId="7677ED07" w14:textId="5EC669F3" w:rsidR="001C0BDD" w:rsidRDefault="001C0BDD">
            <w:pPr>
              <w:pStyle w:val="ListDash"/>
              <w:numPr>
                <w:ilvl w:val="0"/>
                <w:numId w:val="0"/>
              </w:numPr>
              <w:rPr>
                <w:sz w:val="20"/>
              </w:rPr>
            </w:pPr>
          </w:p>
          <w:p w14:paraId="7CDB7F71" w14:textId="77777777" w:rsidR="001C0BDD" w:rsidRDefault="001C0BDD">
            <w:pPr>
              <w:pStyle w:val="ListDash"/>
              <w:numPr>
                <w:ilvl w:val="0"/>
                <w:numId w:val="0"/>
              </w:numPr>
              <w:rPr>
                <w:sz w:val="20"/>
              </w:rPr>
            </w:pPr>
          </w:p>
          <w:p w14:paraId="5DC67671" w14:textId="56F60172" w:rsidR="001C0BDD" w:rsidRPr="00983B6F" w:rsidRDefault="001C0BDD" w:rsidP="000E4063">
            <w:pPr>
              <w:pStyle w:val="ListDash"/>
              <w:numPr>
                <w:ilvl w:val="0"/>
                <w:numId w:val="0"/>
              </w:numPr>
              <w:rPr>
                <w:sz w:val="20"/>
              </w:rPr>
            </w:pPr>
          </w:p>
        </w:tc>
      </w:tr>
      <w:tr w:rsidR="000E4063" w:rsidRPr="008340BB" w14:paraId="16367C3D" w14:textId="77777777" w:rsidTr="00052DB7">
        <w:trPr>
          <w:trHeight w:val="79"/>
          <w:jc w:val="center"/>
        </w:trPr>
        <w:tc>
          <w:tcPr>
            <w:tcW w:w="404" w:type="pct"/>
            <w:tcBorders>
              <w:bottom w:val="single" w:sz="4" w:space="0" w:color="auto"/>
            </w:tcBorders>
          </w:tcPr>
          <w:p w14:paraId="0F48BB6B" w14:textId="6D004974" w:rsidR="000E4063" w:rsidRPr="00DE3E40" w:rsidRDefault="000E4063" w:rsidP="00767EC6">
            <w:pPr>
              <w:pStyle w:val="ListDash"/>
              <w:numPr>
                <w:ilvl w:val="0"/>
                <w:numId w:val="0"/>
              </w:numPr>
              <w:rPr>
                <w:sz w:val="20"/>
                <w:lang w:val="bg-BG"/>
              </w:rPr>
            </w:pPr>
            <w:r>
              <w:rPr>
                <w:sz w:val="20"/>
                <w:lang w:val="bg-BG"/>
              </w:rPr>
              <w:t>12</w:t>
            </w:r>
          </w:p>
        </w:tc>
        <w:tc>
          <w:tcPr>
            <w:tcW w:w="745" w:type="pct"/>
            <w:tcBorders>
              <w:bottom w:val="single" w:sz="4" w:space="0" w:color="auto"/>
            </w:tcBorders>
          </w:tcPr>
          <w:p w14:paraId="744AA13B" w14:textId="74C66CD5" w:rsidR="000E4063" w:rsidRPr="00983B6F" w:rsidRDefault="000E4063" w:rsidP="00921E36">
            <w:pPr>
              <w:pStyle w:val="ListDash"/>
              <w:numPr>
                <w:ilvl w:val="0"/>
                <w:numId w:val="0"/>
              </w:numPr>
              <w:jc w:val="left"/>
              <w:rPr>
                <w:sz w:val="20"/>
                <w:szCs w:val="24"/>
                <w:lang w:eastAsia="bg-BG"/>
              </w:rPr>
            </w:pPr>
            <w:r w:rsidRPr="000E4063">
              <w:rPr>
                <w:sz w:val="20"/>
                <w:szCs w:val="24"/>
                <w:lang w:val="en-US" w:eastAsia="bg-BG"/>
              </w:rPr>
              <w:t>Metro stations equipped with platform screen doors</w:t>
            </w:r>
          </w:p>
        </w:tc>
        <w:tc>
          <w:tcPr>
            <w:tcW w:w="622" w:type="pct"/>
            <w:tcBorders>
              <w:bottom w:val="single" w:sz="4" w:space="0" w:color="auto"/>
            </w:tcBorders>
          </w:tcPr>
          <w:p w14:paraId="43AAA513" w14:textId="77777777" w:rsidR="000E4063" w:rsidRPr="000E4063" w:rsidRDefault="000E4063" w:rsidP="000E4063">
            <w:pPr>
              <w:rPr>
                <w:sz w:val="20"/>
              </w:rPr>
            </w:pPr>
            <w:r w:rsidRPr="000E4063">
              <w:rPr>
                <w:sz w:val="20"/>
              </w:rPr>
              <w:t xml:space="preserve">number </w:t>
            </w:r>
          </w:p>
          <w:p w14:paraId="6E183876" w14:textId="77777777" w:rsidR="000E4063" w:rsidRPr="00983B6F" w:rsidRDefault="000E4063" w:rsidP="00767EC6">
            <w:pPr>
              <w:rPr>
                <w:sz w:val="20"/>
              </w:rPr>
            </w:pPr>
          </w:p>
        </w:tc>
        <w:tc>
          <w:tcPr>
            <w:tcW w:w="535" w:type="pct"/>
            <w:tcBorders>
              <w:bottom w:val="single" w:sz="4" w:space="0" w:color="auto"/>
            </w:tcBorders>
          </w:tcPr>
          <w:p w14:paraId="323AF397" w14:textId="57C10538" w:rsidR="000E4063" w:rsidRPr="00983B6F" w:rsidRDefault="000E4063" w:rsidP="00767EC6">
            <w:pPr>
              <w:pStyle w:val="ListDash"/>
              <w:numPr>
                <w:ilvl w:val="0"/>
                <w:numId w:val="0"/>
              </w:numPr>
              <w:rPr>
                <w:sz w:val="20"/>
              </w:rPr>
            </w:pPr>
            <w:r w:rsidRPr="000E4063">
              <w:rPr>
                <w:sz w:val="20"/>
              </w:rPr>
              <w:t>ERDF</w:t>
            </w:r>
          </w:p>
        </w:tc>
        <w:tc>
          <w:tcPr>
            <w:tcW w:w="536" w:type="pct"/>
            <w:tcBorders>
              <w:bottom w:val="single" w:sz="4" w:space="0" w:color="auto"/>
            </w:tcBorders>
          </w:tcPr>
          <w:p w14:paraId="14F91B64" w14:textId="77777777" w:rsidR="000E4063" w:rsidRPr="000E4063" w:rsidRDefault="000E4063" w:rsidP="000E4063">
            <w:pPr>
              <w:rPr>
                <w:sz w:val="20"/>
              </w:rPr>
            </w:pPr>
            <w:r w:rsidRPr="000E4063">
              <w:rPr>
                <w:sz w:val="20"/>
              </w:rPr>
              <w:t>Less developed regions</w:t>
            </w:r>
          </w:p>
          <w:p w14:paraId="1A9FB0EA" w14:textId="77777777" w:rsidR="000E4063" w:rsidRPr="00983B6F" w:rsidRDefault="000E4063" w:rsidP="00767EC6">
            <w:pPr>
              <w:rPr>
                <w:sz w:val="20"/>
              </w:rPr>
            </w:pPr>
          </w:p>
        </w:tc>
        <w:tc>
          <w:tcPr>
            <w:tcW w:w="545" w:type="pct"/>
            <w:tcBorders>
              <w:bottom w:val="single" w:sz="4" w:space="0" w:color="auto"/>
            </w:tcBorders>
          </w:tcPr>
          <w:p w14:paraId="7B52B84D" w14:textId="533D5432" w:rsidR="000E4063" w:rsidRPr="00983B6F" w:rsidRDefault="009C5BE8" w:rsidP="00767EC6">
            <w:pPr>
              <w:pStyle w:val="ListDash"/>
              <w:numPr>
                <w:ilvl w:val="0"/>
                <w:numId w:val="0"/>
              </w:numPr>
              <w:rPr>
                <w:sz w:val="20"/>
              </w:rPr>
            </w:pPr>
            <w:r>
              <w:rPr>
                <w:sz w:val="20"/>
                <w:lang w:val="en-US"/>
              </w:rPr>
              <w:t>1</w:t>
            </w:r>
            <w:r w:rsidR="000E4063" w:rsidRPr="000E4063">
              <w:rPr>
                <w:sz w:val="20"/>
                <w:lang w:val="bg-BG"/>
              </w:rPr>
              <w:t>2</w:t>
            </w:r>
          </w:p>
        </w:tc>
        <w:tc>
          <w:tcPr>
            <w:tcW w:w="823" w:type="pct"/>
            <w:tcBorders>
              <w:bottom w:val="single" w:sz="4" w:space="0" w:color="auto"/>
            </w:tcBorders>
          </w:tcPr>
          <w:p w14:paraId="2F756420" w14:textId="28B23544" w:rsidR="000E4063" w:rsidRPr="00983B6F" w:rsidRDefault="000E4063" w:rsidP="00767EC6">
            <w:pPr>
              <w:pStyle w:val="ListDash"/>
              <w:numPr>
                <w:ilvl w:val="0"/>
                <w:numId w:val="0"/>
              </w:numPr>
              <w:rPr>
                <w:rStyle w:val="hps"/>
                <w:sz w:val="20"/>
                <w:lang w:eastAsia="en-US"/>
              </w:rPr>
            </w:pPr>
            <w:r w:rsidRPr="000E4063">
              <w:rPr>
                <w:sz w:val="20"/>
                <w:lang w:eastAsia="en-US"/>
              </w:rPr>
              <w:t>Metropolitan EAD</w:t>
            </w:r>
          </w:p>
        </w:tc>
        <w:tc>
          <w:tcPr>
            <w:tcW w:w="791" w:type="pct"/>
            <w:tcBorders>
              <w:bottom w:val="single" w:sz="4" w:space="0" w:color="auto"/>
            </w:tcBorders>
          </w:tcPr>
          <w:p w14:paraId="213FB569" w14:textId="3D07849C" w:rsidR="000E4063" w:rsidRPr="000E4063" w:rsidRDefault="000E4063" w:rsidP="00D91269">
            <w:pPr>
              <w:pStyle w:val="ListDash"/>
              <w:numPr>
                <w:ilvl w:val="0"/>
                <w:numId w:val="0"/>
              </w:numPr>
              <w:ind w:hanging="283"/>
              <w:jc w:val="center"/>
              <w:rPr>
                <w:sz w:val="20"/>
              </w:rPr>
            </w:pPr>
            <w:r w:rsidRPr="000E4063">
              <w:rPr>
                <w:sz w:val="20"/>
              </w:rPr>
              <w:t>annually</w:t>
            </w:r>
          </w:p>
          <w:p w14:paraId="458EE6BB" w14:textId="77777777" w:rsidR="000E4063" w:rsidRPr="00983B6F" w:rsidRDefault="000E4063">
            <w:pPr>
              <w:pStyle w:val="ListDash"/>
              <w:numPr>
                <w:ilvl w:val="0"/>
                <w:numId w:val="0"/>
              </w:numPr>
              <w:rPr>
                <w:sz w:val="20"/>
              </w:rPr>
            </w:pPr>
          </w:p>
        </w:tc>
      </w:tr>
      <w:tr w:rsidR="00DF37BC" w:rsidRPr="008340BB" w14:paraId="5D67B46B" w14:textId="77777777" w:rsidTr="00052DB7">
        <w:trPr>
          <w:trHeight w:val="79"/>
          <w:jc w:val="center"/>
        </w:trPr>
        <w:tc>
          <w:tcPr>
            <w:tcW w:w="404" w:type="pct"/>
          </w:tcPr>
          <w:p w14:paraId="2F5ED04C" w14:textId="1B6643C5" w:rsidR="00DF37BC" w:rsidRPr="00D91269" w:rsidRDefault="00DF37BC" w:rsidP="00767EC6">
            <w:pPr>
              <w:pStyle w:val="ListDash"/>
              <w:numPr>
                <w:ilvl w:val="0"/>
                <w:numId w:val="0"/>
              </w:numPr>
              <w:rPr>
                <w:sz w:val="20"/>
                <w:lang w:val="bg-BG"/>
              </w:rPr>
            </w:pPr>
            <w:r>
              <w:rPr>
                <w:sz w:val="20"/>
                <w:lang w:val="en-US"/>
              </w:rPr>
              <w:t>13</w:t>
            </w:r>
          </w:p>
        </w:tc>
        <w:tc>
          <w:tcPr>
            <w:tcW w:w="745" w:type="pct"/>
          </w:tcPr>
          <w:p w14:paraId="6369B5B2" w14:textId="5AF10539" w:rsidR="00DF37BC" w:rsidRPr="00BB03FE" w:rsidRDefault="00DF37BC" w:rsidP="00921E36">
            <w:pPr>
              <w:pStyle w:val="ListDash"/>
              <w:numPr>
                <w:ilvl w:val="0"/>
                <w:numId w:val="0"/>
              </w:numPr>
              <w:jc w:val="left"/>
              <w:rPr>
                <w:sz w:val="20"/>
                <w:szCs w:val="24"/>
                <w:lang w:val="bg-BG" w:eastAsia="bg-BG"/>
              </w:rPr>
            </w:pPr>
            <w:r w:rsidRPr="00DF37BC">
              <w:rPr>
                <w:sz w:val="20"/>
                <w:szCs w:val="24"/>
                <w:lang w:eastAsia="bg-BG"/>
              </w:rPr>
              <w:t>Introduced</w:t>
            </w:r>
            <w:r>
              <w:rPr>
                <w:sz w:val="20"/>
                <w:szCs w:val="24"/>
                <w:lang w:val="bg-BG" w:eastAsia="bg-BG"/>
              </w:rPr>
              <w:t xml:space="preserve"> </w:t>
            </w:r>
            <w:r>
              <w:rPr>
                <w:sz w:val="20"/>
                <w:szCs w:val="24"/>
                <w:lang w:val="en-US" w:eastAsia="bg-BG"/>
              </w:rPr>
              <w:t>t</w:t>
            </w:r>
            <w:r w:rsidRPr="00DF37BC">
              <w:rPr>
                <w:sz w:val="20"/>
                <w:szCs w:val="24"/>
                <w:lang w:val="bg-BG" w:eastAsia="bg-BG"/>
              </w:rPr>
              <w:t xml:space="preserve">rain </w:t>
            </w:r>
            <w:r>
              <w:rPr>
                <w:sz w:val="20"/>
                <w:szCs w:val="24"/>
                <w:lang w:val="bg-BG" w:eastAsia="bg-BG"/>
              </w:rPr>
              <w:t>management s</w:t>
            </w:r>
            <w:r w:rsidRPr="00DF37BC">
              <w:rPr>
                <w:sz w:val="20"/>
                <w:szCs w:val="24"/>
                <w:lang w:val="bg-BG" w:eastAsia="bg-BG"/>
              </w:rPr>
              <w:t>ystem</w:t>
            </w:r>
          </w:p>
        </w:tc>
        <w:tc>
          <w:tcPr>
            <w:tcW w:w="622" w:type="pct"/>
          </w:tcPr>
          <w:p w14:paraId="696C4F71" w14:textId="028FD1D9" w:rsidR="00DF37BC" w:rsidRPr="000E4063" w:rsidRDefault="00BB03FE" w:rsidP="000E4063">
            <w:pPr>
              <w:rPr>
                <w:sz w:val="20"/>
              </w:rPr>
            </w:pPr>
            <w:r w:rsidRPr="00BB03FE">
              <w:rPr>
                <w:sz w:val="20"/>
              </w:rPr>
              <w:t>number</w:t>
            </w:r>
          </w:p>
        </w:tc>
        <w:tc>
          <w:tcPr>
            <w:tcW w:w="535" w:type="pct"/>
          </w:tcPr>
          <w:p w14:paraId="7B30A3D3" w14:textId="1632468D" w:rsidR="00DF37BC" w:rsidRPr="000E4063" w:rsidRDefault="00BB03FE" w:rsidP="00767EC6">
            <w:pPr>
              <w:pStyle w:val="ListDash"/>
              <w:numPr>
                <w:ilvl w:val="0"/>
                <w:numId w:val="0"/>
              </w:numPr>
              <w:rPr>
                <w:sz w:val="20"/>
              </w:rPr>
            </w:pPr>
            <w:r w:rsidRPr="00BB03FE">
              <w:rPr>
                <w:sz w:val="20"/>
              </w:rPr>
              <w:t>ERDF</w:t>
            </w:r>
          </w:p>
        </w:tc>
        <w:tc>
          <w:tcPr>
            <w:tcW w:w="536" w:type="pct"/>
          </w:tcPr>
          <w:p w14:paraId="2BBE33F8" w14:textId="77777777" w:rsidR="00BB03FE" w:rsidRPr="00BB03FE" w:rsidRDefault="00BB03FE" w:rsidP="00BB03FE">
            <w:pPr>
              <w:rPr>
                <w:sz w:val="20"/>
              </w:rPr>
            </w:pPr>
            <w:r w:rsidRPr="00BB03FE">
              <w:rPr>
                <w:sz w:val="20"/>
              </w:rPr>
              <w:t>Less developed regions</w:t>
            </w:r>
          </w:p>
          <w:p w14:paraId="1409C693" w14:textId="77777777" w:rsidR="00DF37BC" w:rsidRPr="000E4063" w:rsidRDefault="00DF37BC" w:rsidP="000E4063">
            <w:pPr>
              <w:rPr>
                <w:sz w:val="20"/>
              </w:rPr>
            </w:pPr>
          </w:p>
        </w:tc>
        <w:tc>
          <w:tcPr>
            <w:tcW w:w="545" w:type="pct"/>
          </w:tcPr>
          <w:p w14:paraId="56139EB0" w14:textId="4E3A81A0" w:rsidR="00DF37BC" w:rsidRPr="00D91269" w:rsidRDefault="00BB03FE" w:rsidP="00767EC6">
            <w:pPr>
              <w:pStyle w:val="ListDash"/>
              <w:numPr>
                <w:ilvl w:val="0"/>
                <w:numId w:val="0"/>
              </w:numPr>
              <w:rPr>
                <w:sz w:val="20"/>
                <w:lang w:val="bg-BG"/>
              </w:rPr>
            </w:pPr>
            <w:r>
              <w:rPr>
                <w:sz w:val="20"/>
                <w:lang w:val="en-US"/>
              </w:rPr>
              <w:t>1</w:t>
            </w:r>
          </w:p>
        </w:tc>
        <w:tc>
          <w:tcPr>
            <w:tcW w:w="823" w:type="pct"/>
          </w:tcPr>
          <w:p w14:paraId="49BBA300" w14:textId="4F0F89C9" w:rsidR="00DF37BC" w:rsidRPr="000E4063" w:rsidRDefault="00BB03FE" w:rsidP="00767EC6">
            <w:pPr>
              <w:pStyle w:val="ListDash"/>
              <w:numPr>
                <w:ilvl w:val="0"/>
                <w:numId w:val="0"/>
              </w:numPr>
              <w:rPr>
                <w:sz w:val="20"/>
                <w:lang w:eastAsia="en-US"/>
              </w:rPr>
            </w:pPr>
            <w:r>
              <w:rPr>
                <w:sz w:val="20"/>
                <w:lang w:eastAsia="en-US"/>
              </w:rPr>
              <w:t>N</w:t>
            </w:r>
            <w:r w:rsidR="006966C5">
              <w:rPr>
                <w:sz w:val="20"/>
                <w:lang w:eastAsia="en-US"/>
              </w:rPr>
              <w:t xml:space="preserve">ational </w:t>
            </w:r>
            <w:r>
              <w:rPr>
                <w:sz w:val="20"/>
                <w:lang w:eastAsia="en-US"/>
              </w:rPr>
              <w:t>C</w:t>
            </w:r>
            <w:r w:rsidR="006966C5">
              <w:rPr>
                <w:sz w:val="20"/>
                <w:lang w:eastAsia="en-US"/>
              </w:rPr>
              <w:t>ompany</w:t>
            </w:r>
            <w:r>
              <w:rPr>
                <w:sz w:val="20"/>
                <w:lang w:eastAsia="en-US"/>
              </w:rPr>
              <w:t xml:space="preserve"> Railway Infrastructure </w:t>
            </w:r>
          </w:p>
        </w:tc>
        <w:tc>
          <w:tcPr>
            <w:tcW w:w="791" w:type="pct"/>
          </w:tcPr>
          <w:p w14:paraId="0D50129B" w14:textId="77777777" w:rsidR="00BB03FE" w:rsidRPr="00BB03FE" w:rsidRDefault="00BB03FE" w:rsidP="00BB03FE">
            <w:pPr>
              <w:pStyle w:val="ListDash"/>
              <w:rPr>
                <w:sz w:val="20"/>
              </w:rPr>
            </w:pPr>
            <w:r w:rsidRPr="00BB03FE">
              <w:rPr>
                <w:sz w:val="20"/>
              </w:rPr>
              <w:t>annually</w:t>
            </w:r>
          </w:p>
          <w:p w14:paraId="3E690167" w14:textId="77777777" w:rsidR="00DF37BC" w:rsidRPr="000E4063" w:rsidRDefault="00DF37BC" w:rsidP="00DE3E40">
            <w:pPr>
              <w:pStyle w:val="ListDash"/>
              <w:numPr>
                <w:ilvl w:val="0"/>
                <w:numId w:val="0"/>
              </w:numPr>
              <w:ind w:hanging="283"/>
              <w:rPr>
                <w:sz w:val="20"/>
              </w:rPr>
            </w:pPr>
          </w:p>
        </w:tc>
      </w:tr>
      <w:tr w:rsidR="00052DB7" w:rsidRPr="008340BB" w14:paraId="1391AA6B" w14:textId="77777777" w:rsidTr="00052DB7">
        <w:trPr>
          <w:trHeight w:val="79"/>
          <w:jc w:val="center"/>
        </w:trPr>
        <w:tc>
          <w:tcPr>
            <w:tcW w:w="404" w:type="pct"/>
          </w:tcPr>
          <w:p w14:paraId="46D7AFF4" w14:textId="3C060770" w:rsidR="00052DB7" w:rsidRPr="00501D68" w:rsidRDefault="00052DB7" w:rsidP="00052DB7">
            <w:pPr>
              <w:pStyle w:val="ListDash"/>
              <w:numPr>
                <w:ilvl w:val="0"/>
                <w:numId w:val="0"/>
              </w:numPr>
              <w:rPr>
                <w:sz w:val="20"/>
                <w:highlight w:val="yellow"/>
                <w:lang w:val="en-US"/>
              </w:rPr>
            </w:pPr>
          </w:p>
        </w:tc>
        <w:tc>
          <w:tcPr>
            <w:tcW w:w="745" w:type="pct"/>
            <w:shd w:val="clear" w:color="auto" w:fill="auto"/>
          </w:tcPr>
          <w:p w14:paraId="5B85EFEB" w14:textId="4E582D4D" w:rsidR="00052DB7" w:rsidRPr="00501D68" w:rsidRDefault="00052DB7" w:rsidP="00052DB7">
            <w:pPr>
              <w:pStyle w:val="ListDash"/>
              <w:numPr>
                <w:ilvl w:val="0"/>
                <w:numId w:val="0"/>
              </w:numPr>
              <w:jc w:val="left"/>
              <w:rPr>
                <w:sz w:val="20"/>
                <w:szCs w:val="24"/>
                <w:highlight w:val="yellow"/>
                <w:lang w:eastAsia="bg-BG"/>
              </w:rPr>
            </w:pPr>
          </w:p>
        </w:tc>
        <w:tc>
          <w:tcPr>
            <w:tcW w:w="622" w:type="pct"/>
            <w:shd w:val="clear" w:color="auto" w:fill="auto"/>
          </w:tcPr>
          <w:p w14:paraId="3C51E0C4" w14:textId="27CEC61B" w:rsidR="00052DB7" w:rsidRPr="00501D68" w:rsidRDefault="00052DB7" w:rsidP="00052DB7">
            <w:pPr>
              <w:rPr>
                <w:sz w:val="20"/>
                <w:highlight w:val="yellow"/>
              </w:rPr>
            </w:pPr>
          </w:p>
        </w:tc>
        <w:tc>
          <w:tcPr>
            <w:tcW w:w="535" w:type="pct"/>
          </w:tcPr>
          <w:p w14:paraId="2C28833D" w14:textId="4292B933" w:rsidR="00052DB7" w:rsidRPr="00501D68" w:rsidRDefault="00052DB7" w:rsidP="00052DB7">
            <w:pPr>
              <w:pStyle w:val="ListDash"/>
              <w:numPr>
                <w:ilvl w:val="0"/>
                <w:numId w:val="0"/>
              </w:numPr>
              <w:rPr>
                <w:sz w:val="20"/>
                <w:highlight w:val="yellow"/>
              </w:rPr>
            </w:pPr>
          </w:p>
        </w:tc>
        <w:tc>
          <w:tcPr>
            <w:tcW w:w="536" w:type="pct"/>
          </w:tcPr>
          <w:p w14:paraId="293F924E" w14:textId="77777777" w:rsidR="00052DB7" w:rsidRPr="00501D68" w:rsidRDefault="00052DB7" w:rsidP="00052DB7">
            <w:pPr>
              <w:rPr>
                <w:sz w:val="20"/>
                <w:highlight w:val="yellow"/>
              </w:rPr>
            </w:pPr>
          </w:p>
        </w:tc>
        <w:tc>
          <w:tcPr>
            <w:tcW w:w="545" w:type="pct"/>
            <w:shd w:val="clear" w:color="auto" w:fill="auto"/>
          </w:tcPr>
          <w:p w14:paraId="06DC7755" w14:textId="192044CF" w:rsidR="00052DB7" w:rsidRPr="00501D68" w:rsidRDefault="00052DB7" w:rsidP="00052DB7">
            <w:pPr>
              <w:pStyle w:val="ListDash"/>
              <w:numPr>
                <w:ilvl w:val="0"/>
                <w:numId w:val="0"/>
              </w:numPr>
              <w:rPr>
                <w:sz w:val="20"/>
                <w:highlight w:val="yellow"/>
                <w:lang w:val="en-US"/>
              </w:rPr>
            </w:pPr>
          </w:p>
        </w:tc>
        <w:tc>
          <w:tcPr>
            <w:tcW w:w="823" w:type="pct"/>
            <w:shd w:val="clear" w:color="auto" w:fill="auto"/>
          </w:tcPr>
          <w:p w14:paraId="52DAA5CF" w14:textId="085C54CD" w:rsidR="00052DB7" w:rsidRPr="00501D68" w:rsidRDefault="00052DB7" w:rsidP="00052DB7">
            <w:pPr>
              <w:pStyle w:val="ListDash"/>
              <w:numPr>
                <w:ilvl w:val="0"/>
                <w:numId w:val="0"/>
              </w:numPr>
              <w:rPr>
                <w:sz w:val="20"/>
                <w:highlight w:val="yellow"/>
                <w:lang w:eastAsia="en-US"/>
              </w:rPr>
            </w:pPr>
          </w:p>
        </w:tc>
        <w:tc>
          <w:tcPr>
            <w:tcW w:w="791" w:type="pct"/>
          </w:tcPr>
          <w:p w14:paraId="2917DD4D" w14:textId="0C9BFC61" w:rsidR="00052DB7" w:rsidRPr="00501D68" w:rsidRDefault="00052DB7" w:rsidP="00586661">
            <w:pPr>
              <w:pStyle w:val="ListDash"/>
              <w:numPr>
                <w:ilvl w:val="0"/>
                <w:numId w:val="0"/>
              </w:numPr>
              <w:ind w:left="283"/>
              <w:rPr>
                <w:sz w:val="20"/>
                <w:highlight w:val="yellow"/>
              </w:rPr>
            </w:pPr>
          </w:p>
        </w:tc>
      </w:tr>
    </w:tbl>
    <w:p w14:paraId="15419538" w14:textId="77777777" w:rsidR="00F1341F" w:rsidRPr="008340BB" w:rsidRDefault="00F1341F" w:rsidP="00C37144"/>
    <w:p w14:paraId="2028DEDF" w14:textId="65FBD29D" w:rsidR="00537A91" w:rsidRPr="00537A91" w:rsidRDefault="00791217" w:rsidP="00537A91">
      <w:pPr>
        <w:rPr>
          <w:lang w:val="en-US"/>
        </w:rPr>
      </w:pPr>
      <w:r>
        <w:rPr>
          <w:lang w:val="en-US"/>
        </w:rPr>
        <w:t xml:space="preserve">The output indicator </w:t>
      </w:r>
      <w:r w:rsidR="00537A91">
        <w:rPr>
          <w:lang w:val="en-US"/>
        </w:rPr>
        <w:t>“</w:t>
      </w:r>
      <w:r w:rsidR="00537A91" w:rsidRPr="00537A91">
        <w:t>Introduced/ upgraded navigation information systems</w:t>
      </w:r>
      <w:r w:rsidR="00537A91">
        <w:rPr>
          <w:lang w:val="en-US"/>
        </w:rPr>
        <w:t>”</w:t>
      </w:r>
      <w:r w:rsidR="00537A91" w:rsidRPr="00537A91">
        <w:t xml:space="preserve"> </w:t>
      </w:r>
      <w:r w:rsidR="00537A91">
        <w:t>has been updated in relation to the following projects:</w:t>
      </w:r>
    </w:p>
    <w:p w14:paraId="6D473EBE" w14:textId="781A3324" w:rsidR="00537A91" w:rsidRPr="00537A91" w:rsidRDefault="00537A91" w:rsidP="00537A91">
      <w:pPr>
        <w:rPr>
          <w:lang w:val="en-US"/>
        </w:rPr>
      </w:pPr>
      <w:r w:rsidRPr="00537A91">
        <w:rPr>
          <w:lang w:val="en-US"/>
        </w:rPr>
        <w:t>- "Territorial expansion of the scope and complement of the functions of the Vessel Traffic Management Information System (VTMIS) - Phase 4";</w:t>
      </w:r>
    </w:p>
    <w:p w14:paraId="2BF4A417" w14:textId="613EF46F" w:rsidR="00791217" w:rsidRPr="00791217" w:rsidRDefault="00537A91" w:rsidP="00537A91">
      <w:pPr>
        <w:rPr>
          <w:lang w:val="en-US"/>
        </w:rPr>
      </w:pPr>
      <w:r w:rsidRPr="00537A91">
        <w:rPr>
          <w:lang w:val="en-US"/>
        </w:rPr>
        <w:t>- "Delivery, installation and commissioning of port reception facilities (PPS) in Bulgarian ports for public transport of national importance".</w:t>
      </w:r>
    </w:p>
    <w:p w14:paraId="000433CD" w14:textId="37B16822" w:rsidR="00514EFA" w:rsidRDefault="00DB6FB9" w:rsidP="00DB6FB9">
      <w:r>
        <w:t>The output</w:t>
      </w:r>
      <w:r w:rsidRPr="00DB6FB9">
        <w:t xml:space="preserve"> indicator "Delivered </w:t>
      </w:r>
      <w:r>
        <w:t xml:space="preserve">of </w:t>
      </w:r>
      <w:r w:rsidRPr="00DB6FB9">
        <w:t>multi</w:t>
      </w:r>
      <w:r>
        <w:t>purpose</w:t>
      </w:r>
      <w:r w:rsidRPr="00DB6FB9">
        <w:t xml:space="preserve"> vessels" has been updated in relation to the completed activities on the projects for: "Improvement of the navigation systems and topo-hydrographic measurements on the Danube River - phase 2" and "Modernization and optimization of the rehabilitation activities of t</w:t>
      </w:r>
      <w:r w:rsidR="00F37F18">
        <w:t>he shipping route in the common</w:t>
      </w:r>
      <w:r w:rsidRPr="00DB6FB9">
        <w:t xml:space="preserve"> Bulgarian -  Romanian section of the Danube River, thro</w:t>
      </w:r>
      <w:r w:rsidR="00F37F18">
        <w:t>ugh the supply of equipment”</w:t>
      </w:r>
      <w:r w:rsidRPr="00DB6FB9">
        <w:t xml:space="preserve">. As part of the first project, in 2017, the hydrographic vessel </w:t>
      </w:r>
      <w:r w:rsidR="00F37F18" w:rsidRPr="00F37F18">
        <w:t>Danube 1</w:t>
      </w:r>
      <w:r w:rsidR="00F37F18">
        <w:t xml:space="preserve"> </w:t>
      </w:r>
      <w:r w:rsidRPr="00DB6FB9">
        <w:t>was built. Within the framework of the second project, the following were built/delivered: dredging equipment (group), which consists of a dredger, a pontoon, a barge, which are non-self-propelled vessels, and a shunting vessel (pipes are also included within the equipment).</w:t>
      </w:r>
    </w:p>
    <w:p w14:paraId="4412B110" w14:textId="45931144" w:rsidR="00F96EE9" w:rsidRPr="00DB6FB9" w:rsidRDefault="00B073E3" w:rsidP="00DB6FB9">
      <w:r>
        <w:t>The output</w:t>
      </w:r>
      <w:r w:rsidRPr="00B073E3">
        <w:t xml:space="preserve"> indicator "Commissioned port reception facilities for ship-generated waste" has been updated in relation to the actually performed activities within the project "Delivery, installation and commissioning </w:t>
      </w:r>
      <w:r>
        <w:t>of port reception facilities (PRF</w:t>
      </w:r>
      <w:r w:rsidRPr="00B073E3">
        <w:t xml:space="preserve">) in the Bulgarian ports for public transport of national importance". Within the framework of the project under PO 5  "Technical assistance for the preparation and implementation of the project "Delivery, installation and commissioning </w:t>
      </w:r>
      <w:r>
        <w:t>of port reception facilities (PRF</w:t>
      </w:r>
      <w:r w:rsidRPr="00B073E3">
        <w:t>) in the Bulgarian ports for public transport of national importance", preliminary design studies were carried</w:t>
      </w:r>
      <w:r>
        <w:t xml:space="preserve"> </w:t>
      </w:r>
      <w:r w:rsidRPr="00B073E3">
        <w:t>out</w:t>
      </w:r>
      <w:r>
        <w:t xml:space="preserve">. </w:t>
      </w:r>
      <w:r w:rsidR="00F96EE9" w:rsidRPr="00F96EE9">
        <w:t xml:space="preserve">As a result </w:t>
      </w:r>
      <w:r w:rsidR="00F96EE9" w:rsidRPr="00F96EE9">
        <w:lastRenderedPageBreak/>
        <w:t>of the analysis, a prioritized list for P</w:t>
      </w:r>
      <w:r w:rsidR="00F96EE9">
        <w:t>RF</w:t>
      </w:r>
      <w:r w:rsidR="00F96EE9" w:rsidRPr="00F96EE9">
        <w:t xml:space="preserve">s was provided, which was agreed with the </w:t>
      </w:r>
      <w:r w:rsidR="00F96EE9">
        <w:t>beneficiary</w:t>
      </w:r>
      <w:r w:rsidR="00F96EE9" w:rsidRPr="00F96EE9">
        <w:t xml:space="preserve"> and was used in the preparation of the task and the documentation for the public procurement for the investment p</w:t>
      </w:r>
      <w:r w:rsidR="00F96EE9">
        <w:t>roject under OPTTI. Accordingly</w:t>
      </w:r>
      <w:r w:rsidR="00F96EE9" w:rsidRPr="00F96EE9">
        <w:t xml:space="preserve"> to the prioritized lists presented and accepted by the </w:t>
      </w:r>
      <w:r w:rsidR="00F96EE9">
        <w:t>beneficiary</w:t>
      </w:r>
      <w:r w:rsidR="00F96EE9" w:rsidRPr="00F96EE9">
        <w:t xml:space="preserve">, 5 sets of containers and racks for separate collection of waste resulting from shipping activity according to the recommendations of the Danube Convention (for the river) and types of waste for the sea according to MARPOL, Annex I, Annex V, as well as a set of equipment for prevention and response to operational </w:t>
      </w:r>
      <w:r w:rsidR="00F96EE9">
        <w:t>and emergency pollution</w:t>
      </w:r>
      <w:r w:rsidR="00F96EE9" w:rsidRPr="00F96EE9">
        <w:t xml:space="preserve"> - 2 pieces containing - bollards and those for their deployment, skimmers intended for the collection of various types of petroleum products and oils, collectors for the collection of solid waste from the water surface, auxiliary equipment, high-speed boats equipped for transport, equipment and operation, as well as with reception capabilities of solid waste from ships.The target value of the indicator Metro stations </w:t>
      </w:r>
      <w:r w:rsidR="00972EA7">
        <w:t xml:space="preserve">equipped with platform </w:t>
      </w:r>
      <w:r w:rsidR="00972EA7">
        <w:rPr>
          <w:lang w:val="en-US"/>
        </w:rPr>
        <w:t>screen</w:t>
      </w:r>
      <w:r w:rsidR="00F96EE9" w:rsidRPr="00F96EE9">
        <w:t xml:space="preserve"> doors should be 12. The initial target value of 2 metro stations was set in connection with the specifics of the cont</w:t>
      </w:r>
      <w:r w:rsidR="00972EA7">
        <w:t>ract for the implementation of the p</w:t>
      </w:r>
      <w:r w:rsidR="00F96EE9" w:rsidRPr="00F96EE9">
        <w:t>roject for the design, supply, installation and commissioning</w:t>
      </w:r>
      <w:r w:rsidR="00972EA7">
        <w:t xml:space="preserve"> of Automatic platform screen doors (APSD</w:t>
      </w:r>
      <w:r w:rsidR="00F96EE9" w:rsidRPr="00F96EE9">
        <w:t>) with a vertical opening for 12 metro stations from Line 1 of the metro in Sofia, which provided for the i</w:t>
      </w:r>
      <w:r w:rsidR="00972EA7">
        <w:t>nitial commissioning of the APSD</w:t>
      </w:r>
      <w:r w:rsidR="00F96EE9" w:rsidRPr="00F96EE9">
        <w:t xml:space="preserve"> of 2 metro stations, then, depending on the results</w:t>
      </w:r>
      <w:r w:rsidR="00972EA7">
        <w:t>, the implementation of the APSD</w:t>
      </w:r>
      <w:r w:rsidR="00F96EE9" w:rsidRPr="00F96EE9">
        <w:t xml:space="preserve"> of the remaining 10 metro stations. As of 30.10.2022, the project</w:t>
      </w:r>
      <w:r w:rsidR="00972EA7">
        <w:t xml:space="preserve"> has been completed and the APSD</w:t>
      </w:r>
      <w:r w:rsidR="00F96EE9" w:rsidRPr="00F96EE9">
        <w:t xml:space="preserve"> of the 12 metro stations provided for in the project have been put into operation.</w:t>
      </w:r>
      <w:r w:rsidR="00972EA7">
        <w:t xml:space="preserve">  </w:t>
      </w:r>
    </w:p>
    <w:p w14:paraId="087A1B91" w14:textId="77777777" w:rsidR="001C019F" w:rsidRPr="00A9461E" w:rsidRDefault="001C019F" w:rsidP="00C37144"/>
    <w:p w14:paraId="760F554D" w14:textId="77777777" w:rsidR="00F1341F" w:rsidRPr="008340BB" w:rsidRDefault="00F1341F" w:rsidP="00C37144">
      <w:pPr>
        <w:ind w:left="1418" w:hanging="1418"/>
        <w:rPr>
          <w:b/>
        </w:rPr>
      </w:pPr>
      <w:r w:rsidRPr="008340BB">
        <w:rPr>
          <w:b/>
        </w:rPr>
        <w:t xml:space="preserve">2.A.4.5 </w:t>
      </w:r>
      <w:r w:rsidRPr="008340BB">
        <w:rPr>
          <w:b/>
        </w:rPr>
        <w:tab/>
        <w:t>Social innovation, transnational cooperation and contribution to thematic objectives 1-7</w:t>
      </w:r>
      <w:r w:rsidRPr="008340BB">
        <w:rPr>
          <w:rStyle w:val="FootnoteReference"/>
          <w:b/>
        </w:rPr>
        <w:footnoteReference w:id="60"/>
      </w:r>
    </w:p>
    <w:p w14:paraId="454851C6" w14:textId="77777777" w:rsidR="00F1341F" w:rsidRPr="0067246B" w:rsidRDefault="00F1341F" w:rsidP="00C37144">
      <w:r w:rsidRPr="0067246B">
        <w:t>Specific provisions for ESF</w:t>
      </w:r>
      <w:r w:rsidRPr="008340BB">
        <w:rPr>
          <w:rStyle w:val="FootnoteReference"/>
        </w:rPr>
        <w:footnoteReference w:id="61"/>
      </w:r>
      <w:r w:rsidRPr="008340BB">
        <w:t>, where applicable (by priority axis and, where relevant, category of region): social innovation, transnational cooperation and ESF contribution to thematic obj</w:t>
      </w:r>
      <w:r w:rsidRPr="0067246B">
        <w:t>ectives 1 to 7.</w:t>
      </w:r>
    </w:p>
    <w:p w14:paraId="0275FADD" w14:textId="77777777" w:rsidR="00F1341F" w:rsidRPr="00020ADD" w:rsidRDefault="00F1341F" w:rsidP="00C37144"/>
    <w:p w14:paraId="0325B346" w14:textId="77777777" w:rsidR="00F1341F" w:rsidRPr="00020ADD" w:rsidRDefault="00F1341F" w:rsidP="00C37144">
      <w:r w:rsidRPr="00020ADD">
        <w:t xml:space="preserve">Description of the contribution of the planned actions of the priority axis to: </w:t>
      </w:r>
    </w:p>
    <w:p w14:paraId="585B46BE" w14:textId="77777777" w:rsidR="00F1341F" w:rsidRPr="00020ADD" w:rsidRDefault="00F1341F" w:rsidP="00C37144">
      <w:pPr>
        <w:pStyle w:val="ListDash"/>
        <w:tabs>
          <w:tab w:val="clear" w:pos="283"/>
          <w:tab w:val="num" w:pos="851"/>
        </w:tabs>
        <w:spacing w:before="120" w:after="120"/>
        <w:ind w:left="851"/>
      </w:pPr>
      <w:r w:rsidRPr="00020ADD">
        <w:t>social innovation (if not covered by a dedicated priority axis);</w:t>
      </w:r>
    </w:p>
    <w:p w14:paraId="40B5CE58" w14:textId="77777777" w:rsidR="00F1341F" w:rsidRPr="00DC0475" w:rsidRDefault="00F1341F" w:rsidP="00C37144">
      <w:pPr>
        <w:pStyle w:val="ListDash"/>
        <w:tabs>
          <w:tab w:val="clear" w:pos="283"/>
          <w:tab w:val="num" w:pos="851"/>
        </w:tabs>
        <w:spacing w:before="120" w:after="120"/>
        <w:ind w:left="851"/>
      </w:pPr>
      <w:r w:rsidRPr="00DC0475">
        <w:t xml:space="preserve">transnational cooperation (if not covered by a dedicated priority axis). </w:t>
      </w:r>
    </w:p>
    <w:p w14:paraId="19B9EAAD" w14:textId="77777777" w:rsidR="00F1341F" w:rsidRPr="00B5130A" w:rsidRDefault="00F1341F" w:rsidP="00C37144">
      <w:pPr>
        <w:pStyle w:val="ListDash"/>
        <w:tabs>
          <w:tab w:val="clear" w:pos="283"/>
          <w:tab w:val="num" w:pos="851"/>
        </w:tabs>
        <w:spacing w:before="120" w:after="120"/>
        <w:ind w:left="851"/>
      </w:pPr>
      <w:r w:rsidRPr="00B5130A">
        <w:t>thematic objectives referred to in points (1) to (7) of the first paragraph of Article 9 of Regulation (EU) No 1303/2013.</w:t>
      </w:r>
    </w:p>
    <w:p w14:paraId="0C6CA71F" w14:textId="77777777" w:rsidR="00F1341F" w:rsidRPr="00A828C5" w:rsidRDefault="00F1341F" w:rsidP="00C37144"/>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749A4C32" w14:textId="77777777" w:rsidTr="001B661C">
        <w:trPr>
          <w:trHeight w:val="518"/>
        </w:trPr>
        <w:tc>
          <w:tcPr>
            <w:tcW w:w="2235" w:type="dxa"/>
          </w:tcPr>
          <w:p w14:paraId="3F54138C" w14:textId="77777777" w:rsidR="00F1341F" w:rsidRPr="008340BB" w:rsidRDefault="00F1341F" w:rsidP="001B661C">
            <w:pPr>
              <w:rPr>
                <w:i/>
                <w:color w:val="8DB3E2"/>
                <w:sz w:val="18"/>
                <w:szCs w:val="18"/>
              </w:rPr>
            </w:pPr>
            <w:r w:rsidRPr="008340BB">
              <w:rPr>
                <w:i/>
              </w:rPr>
              <w:t>Priority axis</w:t>
            </w:r>
          </w:p>
        </w:tc>
        <w:tc>
          <w:tcPr>
            <w:tcW w:w="6443" w:type="dxa"/>
          </w:tcPr>
          <w:p w14:paraId="177EC00C" w14:textId="77777777" w:rsidR="00F1341F" w:rsidRPr="008340BB" w:rsidRDefault="00F1341F" w:rsidP="001B661C">
            <w:pPr>
              <w:rPr>
                <w:i/>
                <w:color w:val="8DB3E2"/>
                <w:sz w:val="18"/>
                <w:szCs w:val="18"/>
              </w:rPr>
            </w:pPr>
            <w:r w:rsidRPr="008340BB">
              <w:rPr>
                <w:i/>
                <w:szCs w:val="24"/>
              </w:rPr>
              <w:t>4-</w:t>
            </w:r>
            <w:r w:rsidRPr="008340BB">
              <w:rPr>
                <w:i/>
              </w:rPr>
              <w:t>“Innovations in management and services - establishment of modern infrastructure for traffic management and transport safety improvement”</w:t>
            </w:r>
          </w:p>
        </w:tc>
      </w:tr>
      <w:tr w:rsidR="00F1341F" w:rsidRPr="008340BB" w14:paraId="261DE9EF" w14:textId="77777777" w:rsidTr="00656231">
        <w:trPr>
          <w:trHeight w:val="717"/>
        </w:trPr>
        <w:tc>
          <w:tcPr>
            <w:tcW w:w="8678" w:type="dxa"/>
            <w:gridSpan w:val="2"/>
          </w:tcPr>
          <w:p w14:paraId="5E6A1113" w14:textId="77777777" w:rsidR="00F1341F" w:rsidRPr="008340BB" w:rsidRDefault="00F1341F" w:rsidP="001B661C">
            <w:pPr>
              <w:rPr>
                <w:i/>
                <w:szCs w:val="24"/>
              </w:rPr>
            </w:pPr>
            <w:r w:rsidRPr="008340BB">
              <w:rPr>
                <w:i/>
                <w:szCs w:val="24"/>
              </w:rPr>
              <w:t xml:space="preserve">Not applicable. </w:t>
            </w:r>
          </w:p>
        </w:tc>
      </w:tr>
    </w:tbl>
    <w:p w14:paraId="64A43C1B" w14:textId="77777777" w:rsidR="00F1341F" w:rsidRPr="008340BB" w:rsidRDefault="00F1341F" w:rsidP="00C37144"/>
    <w:p w14:paraId="0BA2C030" w14:textId="77777777" w:rsidR="00F1341F" w:rsidRPr="008340BB" w:rsidRDefault="00F1341F" w:rsidP="00C37144">
      <w:pPr>
        <w:suppressAutoHyphens/>
        <w:rPr>
          <w:b/>
        </w:rPr>
        <w:sectPr w:rsidR="00F1341F" w:rsidRPr="008340BB" w:rsidSect="001E1D6F">
          <w:headerReference w:type="default" r:id="rId79"/>
          <w:footerReference w:type="default" r:id="rId80"/>
          <w:headerReference w:type="first" r:id="rId81"/>
          <w:footerReference w:type="first" r:id="rId82"/>
          <w:pgSz w:w="11906" w:h="16838"/>
          <w:pgMar w:top="1021" w:right="1418" w:bottom="1021" w:left="1418" w:header="601" w:footer="1077" w:gutter="0"/>
          <w:cols w:space="708"/>
          <w:docGrid w:linePitch="326"/>
        </w:sectPr>
      </w:pPr>
    </w:p>
    <w:p w14:paraId="7DB3A5E2" w14:textId="77777777" w:rsidR="00F1341F" w:rsidRPr="008340BB" w:rsidRDefault="00F1341F" w:rsidP="00C37144">
      <w:pPr>
        <w:ind w:left="1418" w:hanging="1418"/>
        <w:rPr>
          <w:b/>
        </w:rPr>
      </w:pPr>
      <w:r w:rsidRPr="008340BB">
        <w:rPr>
          <w:b/>
        </w:rPr>
        <w:lastRenderedPageBreak/>
        <w:t xml:space="preserve">2.A.4.6 </w:t>
      </w:r>
      <w:r w:rsidRPr="008340BB">
        <w:rPr>
          <w:b/>
        </w:rPr>
        <w:tab/>
        <w:t xml:space="preserve">Performance framework </w:t>
      </w:r>
    </w:p>
    <w:p w14:paraId="6FEFD4FF" w14:textId="77777777" w:rsidR="00F1341F" w:rsidRPr="008340BB" w:rsidRDefault="00F1341F" w:rsidP="00C37144">
      <w:pPr>
        <w:ind w:left="1418" w:hanging="1418"/>
      </w:pPr>
      <w:r w:rsidRPr="008340BB">
        <w:t>(Reference: point (b)(v) of the first subparagraph of Article 96(2), and Annex II to Regulation (EU) No 1303/2013)</w:t>
      </w:r>
    </w:p>
    <w:p w14:paraId="5ECB2B41" w14:textId="77777777" w:rsidR="00F1341F" w:rsidRPr="008340BB" w:rsidRDefault="00F1341F" w:rsidP="00C37144">
      <w:pPr>
        <w:rPr>
          <w:b/>
        </w:rPr>
      </w:pPr>
      <w:r w:rsidRPr="008340BB">
        <w:rPr>
          <w:b/>
        </w:rPr>
        <w:t xml:space="preserve">Table 6: </w:t>
      </w:r>
      <w:r w:rsidRPr="008340BB">
        <w:rPr>
          <w:b/>
        </w:rPr>
        <w:tab/>
        <w:t>Performance framework of the priority axis</w:t>
      </w:r>
    </w:p>
    <w:p w14:paraId="334736C1" w14:textId="77777777" w:rsidR="00F1341F" w:rsidRPr="008340BB" w:rsidRDefault="00F1341F" w:rsidP="00C37144">
      <w:pPr>
        <w:pStyle w:val="TableTitle"/>
        <w:jc w:val="left"/>
        <w:rPr>
          <w:b w:val="0"/>
        </w:rPr>
      </w:pPr>
      <w:r w:rsidRPr="008340BB">
        <w:rPr>
          <w:b w:val="0"/>
        </w:rPr>
        <w:t xml:space="preserve"> (by fund and category of region)</w:t>
      </w:r>
      <w:r w:rsidRPr="008340BB">
        <w:rPr>
          <w:rStyle w:val="FootnoteReference"/>
          <w:b w:val="0"/>
        </w:rPr>
        <w:footnoteReference w:id="62"/>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7"/>
        <w:gridCol w:w="1954"/>
        <w:gridCol w:w="1538"/>
        <w:gridCol w:w="1395"/>
        <w:gridCol w:w="838"/>
        <w:gridCol w:w="1395"/>
        <w:gridCol w:w="1535"/>
        <w:gridCol w:w="1397"/>
        <w:gridCol w:w="1535"/>
        <w:gridCol w:w="1814"/>
      </w:tblGrid>
      <w:tr w:rsidR="00F1341F" w:rsidRPr="008340BB" w14:paraId="57E92CAD" w14:textId="77777777" w:rsidTr="00E048F8">
        <w:trPr>
          <w:trHeight w:val="561"/>
        </w:trPr>
        <w:tc>
          <w:tcPr>
            <w:tcW w:w="1011" w:type="pct"/>
            <w:gridSpan w:val="2"/>
          </w:tcPr>
          <w:p w14:paraId="4E0C514B" w14:textId="77777777" w:rsidR="00F1341F" w:rsidRPr="008340BB" w:rsidRDefault="00F1341F" w:rsidP="001B661C">
            <w:pPr>
              <w:pStyle w:val="Text1"/>
              <w:ind w:left="0"/>
              <w:rPr>
                <w:b/>
                <w:i/>
                <w:sz w:val="20"/>
                <w:lang w:val="en-GB" w:eastAsia="en-GB"/>
              </w:rPr>
            </w:pPr>
            <w:r w:rsidRPr="008340BB">
              <w:rPr>
                <w:b/>
                <w:i/>
                <w:sz w:val="18"/>
                <w:szCs w:val="18"/>
                <w:lang w:val="en-GB" w:eastAsia="en-GB"/>
              </w:rPr>
              <w:t>Priority axis</w:t>
            </w:r>
          </w:p>
        </w:tc>
        <w:tc>
          <w:tcPr>
            <w:tcW w:w="3989" w:type="pct"/>
            <w:gridSpan w:val="8"/>
          </w:tcPr>
          <w:p w14:paraId="49979984" w14:textId="77777777" w:rsidR="00F1341F" w:rsidRPr="008340BB" w:rsidRDefault="00F1341F" w:rsidP="001B661C">
            <w:pPr>
              <w:rPr>
                <w:b/>
                <w:i/>
                <w:sz w:val="20"/>
              </w:rPr>
            </w:pPr>
            <w:r w:rsidRPr="008340BB">
              <w:rPr>
                <w:b/>
                <w:i/>
                <w:sz w:val="20"/>
              </w:rPr>
              <w:t>4-</w:t>
            </w:r>
            <w:r w:rsidRPr="008340BB">
              <w:rPr>
                <w:b/>
                <w:i/>
                <w:sz w:val="18"/>
                <w:szCs w:val="18"/>
              </w:rPr>
              <w:t>“Innovations in management and services - establishment of modern infrastructure for traffic management and transport safety</w:t>
            </w:r>
            <w:r w:rsidRPr="008340BB">
              <w:rPr>
                <w:b/>
                <w:i/>
              </w:rPr>
              <w:t xml:space="preserve"> </w:t>
            </w:r>
            <w:r w:rsidRPr="008340BB">
              <w:rPr>
                <w:b/>
                <w:i/>
                <w:sz w:val="18"/>
                <w:szCs w:val="18"/>
              </w:rPr>
              <w:t>improvement”</w:t>
            </w:r>
          </w:p>
        </w:tc>
      </w:tr>
      <w:tr w:rsidR="00F1341F" w:rsidRPr="008340BB" w14:paraId="37F4ED5A" w14:textId="77777777" w:rsidTr="00E048F8">
        <w:trPr>
          <w:trHeight w:val="1066"/>
        </w:trPr>
        <w:tc>
          <w:tcPr>
            <w:tcW w:w="330" w:type="pct"/>
          </w:tcPr>
          <w:p w14:paraId="2763CCE1" w14:textId="77777777" w:rsidR="00F1341F" w:rsidRPr="008340BB" w:rsidRDefault="00F1341F" w:rsidP="001B661C">
            <w:pPr>
              <w:pStyle w:val="Text1"/>
              <w:ind w:left="0"/>
              <w:rPr>
                <w:b/>
                <w:i/>
                <w:sz w:val="18"/>
                <w:szCs w:val="18"/>
                <w:lang w:val="en-GB" w:eastAsia="en-GB"/>
              </w:rPr>
            </w:pPr>
            <w:r w:rsidRPr="008340BB">
              <w:rPr>
                <w:b/>
                <w:i/>
                <w:sz w:val="20"/>
                <w:lang w:val="en-GB" w:eastAsia="en-GB"/>
              </w:rPr>
              <w:t>ID</w:t>
            </w:r>
            <w:r w:rsidRPr="008340BB" w:rsidDel="00022AC7">
              <w:rPr>
                <w:b/>
                <w:i/>
                <w:sz w:val="18"/>
                <w:szCs w:val="18"/>
                <w:lang w:val="en-GB" w:eastAsia="en-GB"/>
              </w:rPr>
              <w:t xml:space="preserve"> </w:t>
            </w:r>
          </w:p>
        </w:tc>
        <w:tc>
          <w:tcPr>
            <w:tcW w:w="681" w:type="pct"/>
          </w:tcPr>
          <w:p w14:paraId="3AB79A06" w14:textId="77777777" w:rsidR="00F1341F" w:rsidRPr="008340BB" w:rsidRDefault="00F1341F" w:rsidP="001B661C">
            <w:pPr>
              <w:pStyle w:val="Text1"/>
              <w:ind w:left="0"/>
              <w:rPr>
                <w:b/>
                <w:i/>
                <w:sz w:val="18"/>
                <w:szCs w:val="18"/>
                <w:lang w:val="en-GB" w:eastAsia="en-GB"/>
              </w:rPr>
            </w:pPr>
            <w:r w:rsidRPr="008340BB">
              <w:rPr>
                <w:b/>
                <w:i/>
                <w:sz w:val="18"/>
                <w:szCs w:val="18"/>
                <w:lang w:val="en-GB" w:eastAsia="en-GB"/>
              </w:rPr>
              <w:t>Indicator type</w:t>
            </w:r>
          </w:p>
          <w:p w14:paraId="309C9A31" w14:textId="77777777" w:rsidR="00F1341F" w:rsidRPr="008340BB" w:rsidRDefault="00F1341F" w:rsidP="001B661C">
            <w:pPr>
              <w:pStyle w:val="Text1"/>
              <w:ind w:left="0"/>
              <w:rPr>
                <w:b/>
                <w:i/>
                <w:sz w:val="18"/>
                <w:szCs w:val="18"/>
                <w:lang w:val="en-GB" w:eastAsia="en-GB"/>
              </w:rPr>
            </w:pPr>
          </w:p>
          <w:p w14:paraId="02D4249E" w14:textId="77777777" w:rsidR="00F1341F" w:rsidRPr="008340BB" w:rsidRDefault="00F1341F" w:rsidP="001B661C">
            <w:pPr>
              <w:pStyle w:val="Text1"/>
              <w:ind w:left="0"/>
              <w:rPr>
                <w:b/>
                <w:i/>
                <w:sz w:val="20"/>
                <w:lang w:val="en-GB" w:eastAsia="en-GB"/>
              </w:rPr>
            </w:pPr>
          </w:p>
        </w:tc>
        <w:tc>
          <w:tcPr>
            <w:tcW w:w="536" w:type="pct"/>
          </w:tcPr>
          <w:p w14:paraId="1F8D7A92" w14:textId="77777777" w:rsidR="00F1341F" w:rsidRPr="008340BB" w:rsidRDefault="00F1341F" w:rsidP="001B661C">
            <w:pPr>
              <w:pStyle w:val="Text1"/>
              <w:ind w:left="0"/>
              <w:rPr>
                <w:b/>
                <w:i/>
                <w:sz w:val="20"/>
                <w:lang w:val="en-GB" w:eastAsia="en-GB"/>
              </w:rPr>
            </w:pPr>
            <w:r w:rsidRPr="008340BB">
              <w:rPr>
                <w:b/>
                <w:i/>
                <w:sz w:val="20"/>
                <w:lang w:val="en-GB" w:eastAsia="en-GB"/>
              </w:rPr>
              <w:t xml:space="preserve">Indicator or key implementation step </w:t>
            </w:r>
          </w:p>
        </w:tc>
        <w:tc>
          <w:tcPr>
            <w:tcW w:w="486" w:type="pct"/>
          </w:tcPr>
          <w:p w14:paraId="11A3FD39" w14:textId="77777777" w:rsidR="00F1341F" w:rsidRPr="008340BB" w:rsidRDefault="00F1341F" w:rsidP="001B661C">
            <w:pPr>
              <w:pStyle w:val="Text1"/>
              <w:ind w:left="0"/>
              <w:rPr>
                <w:b/>
                <w:i/>
                <w:sz w:val="20"/>
                <w:lang w:val="en-GB" w:eastAsia="en-GB"/>
              </w:rPr>
            </w:pPr>
            <w:r w:rsidRPr="008340BB">
              <w:rPr>
                <w:b/>
                <w:i/>
                <w:sz w:val="20"/>
                <w:lang w:val="en-GB" w:eastAsia="en-GB"/>
              </w:rPr>
              <w:t xml:space="preserve">Measurement unit, where appropriate </w:t>
            </w:r>
          </w:p>
        </w:tc>
        <w:tc>
          <w:tcPr>
            <w:tcW w:w="292" w:type="pct"/>
          </w:tcPr>
          <w:p w14:paraId="5B363771" w14:textId="77777777" w:rsidR="00F1341F" w:rsidRPr="008340BB" w:rsidRDefault="00F1341F" w:rsidP="001B661C">
            <w:pPr>
              <w:pStyle w:val="Text1"/>
              <w:ind w:left="0"/>
              <w:rPr>
                <w:b/>
                <w:i/>
                <w:sz w:val="20"/>
                <w:lang w:val="en-GB" w:eastAsia="en-GB"/>
              </w:rPr>
            </w:pPr>
            <w:r w:rsidRPr="008340BB">
              <w:rPr>
                <w:b/>
                <w:i/>
                <w:sz w:val="20"/>
                <w:lang w:val="en-GB" w:eastAsia="en-GB"/>
              </w:rPr>
              <w:t>Fund</w:t>
            </w:r>
          </w:p>
        </w:tc>
        <w:tc>
          <w:tcPr>
            <w:tcW w:w="486" w:type="pct"/>
          </w:tcPr>
          <w:p w14:paraId="49F9CBAF" w14:textId="77777777" w:rsidR="00F1341F" w:rsidRPr="008340BB" w:rsidRDefault="00F1341F" w:rsidP="001B661C">
            <w:pPr>
              <w:pStyle w:val="Text1"/>
              <w:ind w:left="0"/>
              <w:rPr>
                <w:b/>
                <w:i/>
                <w:sz w:val="20"/>
                <w:lang w:val="en-GB" w:eastAsia="en-GB"/>
              </w:rPr>
            </w:pPr>
            <w:r w:rsidRPr="008340BB">
              <w:rPr>
                <w:b/>
                <w:i/>
                <w:sz w:val="20"/>
                <w:lang w:val="en-GB" w:eastAsia="en-GB"/>
              </w:rPr>
              <w:t>Category of region</w:t>
            </w:r>
          </w:p>
        </w:tc>
        <w:tc>
          <w:tcPr>
            <w:tcW w:w="535" w:type="pct"/>
          </w:tcPr>
          <w:p w14:paraId="0F07C60E" w14:textId="77777777" w:rsidR="00F1341F" w:rsidRPr="008340BB" w:rsidRDefault="00F1341F" w:rsidP="001B661C">
            <w:pPr>
              <w:pStyle w:val="Text1"/>
              <w:ind w:left="0"/>
              <w:rPr>
                <w:b/>
                <w:i/>
                <w:sz w:val="20"/>
                <w:lang w:val="en-GB" w:eastAsia="en-GB"/>
              </w:rPr>
            </w:pPr>
            <w:r w:rsidRPr="008340BB">
              <w:rPr>
                <w:b/>
                <w:i/>
                <w:sz w:val="20"/>
                <w:lang w:val="en-GB" w:eastAsia="en-GB"/>
              </w:rPr>
              <w:t>Milestone for 2018</w:t>
            </w:r>
          </w:p>
        </w:tc>
        <w:tc>
          <w:tcPr>
            <w:tcW w:w="487" w:type="pct"/>
          </w:tcPr>
          <w:p w14:paraId="3845B385" w14:textId="77777777" w:rsidR="00F1341F" w:rsidRPr="008340BB" w:rsidRDefault="00F1341F" w:rsidP="001B661C">
            <w:pPr>
              <w:pStyle w:val="Text1"/>
              <w:ind w:left="0"/>
              <w:rPr>
                <w:b/>
                <w:i/>
                <w:sz w:val="20"/>
                <w:lang w:val="en-GB" w:eastAsia="en-GB"/>
              </w:rPr>
            </w:pPr>
            <w:r w:rsidRPr="008340BB">
              <w:rPr>
                <w:b/>
                <w:i/>
                <w:sz w:val="20"/>
                <w:lang w:val="en-GB" w:eastAsia="en-GB"/>
              </w:rPr>
              <w:t>Final target (2023)</w:t>
            </w:r>
            <w:r w:rsidRPr="008340BB">
              <w:rPr>
                <w:rStyle w:val="FootnoteReference"/>
                <w:b/>
                <w:i/>
                <w:sz w:val="20"/>
                <w:lang w:val="en-GB" w:eastAsia="en-GB"/>
              </w:rPr>
              <w:footnoteReference w:id="63"/>
            </w:r>
          </w:p>
        </w:tc>
        <w:tc>
          <w:tcPr>
            <w:tcW w:w="535" w:type="pct"/>
          </w:tcPr>
          <w:p w14:paraId="6504C424" w14:textId="77777777" w:rsidR="00F1341F" w:rsidRPr="008340BB" w:rsidRDefault="00F1341F" w:rsidP="001B661C">
            <w:pPr>
              <w:pStyle w:val="Text1"/>
              <w:spacing w:line="480" w:lineRule="auto"/>
              <w:ind w:left="0"/>
              <w:rPr>
                <w:b/>
                <w:i/>
                <w:sz w:val="20"/>
                <w:lang w:val="en-GB" w:eastAsia="en-GB"/>
              </w:rPr>
            </w:pPr>
            <w:r w:rsidRPr="008340BB">
              <w:rPr>
                <w:b/>
                <w:i/>
                <w:sz w:val="20"/>
                <w:lang w:val="en-GB" w:eastAsia="en-GB"/>
              </w:rPr>
              <w:t>Source of data</w:t>
            </w:r>
          </w:p>
        </w:tc>
        <w:tc>
          <w:tcPr>
            <w:tcW w:w="632" w:type="pct"/>
          </w:tcPr>
          <w:p w14:paraId="02E57638" w14:textId="77777777" w:rsidR="00F1341F" w:rsidRPr="008340BB" w:rsidRDefault="00F1341F" w:rsidP="001B661C">
            <w:pPr>
              <w:rPr>
                <w:b/>
                <w:i/>
                <w:sz w:val="20"/>
              </w:rPr>
            </w:pPr>
            <w:r w:rsidRPr="008340BB">
              <w:rPr>
                <w:b/>
                <w:i/>
                <w:sz w:val="20"/>
              </w:rPr>
              <w:t>Explanation of relevance of indicator, where appropriate</w:t>
            </w:r>
          </w:p>
        </w:tc>
      </w:tr>
      <w:tr w:rsidR="00F1341F" w:rsidRPr="008340BB" w14:paraId="189281EF" w14:textId="77777777" w:rsidTr="00E048F8">
        <w:trPr>
          <w:trHeight w:val="397"/>
        </w:trPr>
        <w:tc>
          <w:tcPr>
            <w:tcW w:w="330" w:type="pct"/>
          </w:tcPr>
          <w:p w14:paraId="4A427994" w14:textId="77777777" w:rsidR="00F1341F" w:rsidRPr="008340BB" w:rsidRDefault="00F1341F" w:rsidP="001B661C">
            <w:pPr>
              <w:pStyle w:val="Text1"/>
              <w:ind w:left="0"/>
              <w:rPr>
                <w:sz w:val="20"/>
                <w:lang w:val="en-GB" w:eastAsia="en-GB"/>
              </w:rPr>
            </w:pPr>
            <w:r w:rsidRPr="008340BB">
              <w:rPr>
                <w:i/>
                <w:sz w:val="18"/>
                <w:szCs w:val="18"/>
                <w:lang w:val="en-GB" w:eastAsia="en-GB"/>
              </w:rPr>
              <w:t>1</w:t>
            </w:r>
          </w:p>
        </w:tc>
        <w:tc>
          <w:tcPr>
            <w:tcW w:w="681" w:type="pct"/>
          </w:tcPr>
          <w:p w14:paraId="733EF21D" w14:textId="77777777" w:rsidR="00F1341F" w:rsidRPr="008340BB" w:rsidRDefault="00F1341F" w:rsidP="001B661C">
            <w:pPr>
              <w:pStyle w:val="Text1"/>
              <w:ind w:left="0"/>
              <w:rPr>
                <w:sz w:val="20"/>
                <w:lang w:val="en-GB" w:eastAsia="en-GB"/>
              </w:rPr>
            </w:pPr>
            <w:r w:rsidRPr="008340BB">
              <w:rPr>
                <w:sz w:val="20"/>
                <w:lang w:val="en-GB" w:eastAsia="en-GB"/>
              </w:rPr>
              <w:t>financial indicator</w:t>
            </w:r>
          </w:p>
        </w:tc>
        <w:tc>
          <w:tcPr>
            <w:tcW w:w="536" w:type="pct"/>
          </w:tcPr>
          <w:p w14:paraId="50DB2A16" w14:textId="77777777" w:rsidR="00F1341F" w:rsidRPr="008340BB" w:rsidRDefault="00F1341F">
            <w:pPr>
              <w:pStyle w:val="Text1"/>
              <w:ind w:left="0"/>
              <w:jc w:val="left"/>
              <w:rPr>
                <w:sz w:val="20"/>
                <w:lang w:val="en-GB" w:eastAsia="en-GB"/>
              </w:rPr>
            </w:pPr>
            <w:r w:rsidRPr="008340BB">
              <w:rPr>
                <w:sz w:val="20"/>
                <w:lang w:val="en-GB" w:eastAsia="en-GB"/>
              </w:rPr>
              <w:t>Certified expenditure</w:t>
            </w:r>
          </w:p>
        </w:tc>
        <w:tc>
          <w:tcPr>
            <w:tcW w:w="486" w:type="pct"/>
          </w:tcPr>
          <w:p w14:paraId="02EA6909" w14:textId="77777777" w:rsidR="00F1341F" w:rsidRPr="008340BB" w:rsidRDefault="00F1341F" w:rsidP="001B661C">
            <w:pPr>
              <w:pStyle w:val="Text1"/>
              <w:ind w:left="0"/>
              <w:rPr>
                <w:sz w:val="20"/>
                <w:lang w:val="en-GB" w:eastAsia="en-GB"/>
              </w:rPr>
            </w:pPr>
            <w:r w:rsidRPr="008340BB">
              <w:rPr>
                <w:sz w:val="20"/>
                <w:lang w:val="en-GB" w:eastAsia="en-GB"/>
              </w:rPr>
              <w:t xml:space="preserve">Euro </w:t>
            </w:r>
          </w:p>
        </w:tc>
        <w:tc>
          <w:tcPr>
            <w:tcW w:w="292" w:type="pct"/>
          </w:tcPr>
          <w:p w14:paraId="75CC25FB" w14:textId="77777777" w:rsidR="00F1341F" w:rsidRPr="008340BB" w:rsidRDefault="00F1341F" w:rsidP="001B661C">
            <w:pPr>
              <w:pStyle w:val="Text1"/>
              <w:ind w:left="0"/>
              <w:rPr>
                <w:sz w:val="20"/>
                <w:lang w:val="en-GB" w:eastAsia="en-GB"/>
              </w:rPr>
            </w:pPr>
            <w:r w:rsidRPr="008340BB">
              <w:rPr>
                <w:sz w:val="20"/>
                <w:lang w:val="en-GB" w:eastAsia="en-GB"/>
              </w:rPr>
              <w:t>ERDF</w:t>
            </w:r>
          </w:p>
        </w:tc>
        <w:tc>
          <w:tcPr>
            <w:tcW w:w="486" w:type="pct"/>
          </w:tcPr>
          <w:p w14:paraId="33D9F25E" w14:textId="77777777" w:rsidR="00F1341F" w:rsidRPr="008340BB" w:rsidRDefault="00F1341F" w:rsidP="001B661C">
            <w:pPr>
              <w:pStyle w:val="Text1"/>
              <w:ind w:left="0"/>
              <w:rPr>
                <w:sz w:val="20"/>
                <w:lang w:val="en-GB" w:eastAsia="en-GB"/>
              </w:rPr>
            </w:pPr>
            <w:r w:rsidRPr="008340BB">
              <w:rPr>
                <w:sz w:val="20"/>
                <w:lang w:val="en-GB" w:eastAsia="en-GB"/>
              </w:rPr>
              <w:t>Less developed regions</w:t>
            </w:r>
          </w:p>
        </w:tc>
        <w:tc>
          <w:tcPr>
            <w:tcW w:w="535" w:type="pct"/>
          </w:tcPr>
          <w:p w14:paraId="4B33C502" w14:textId="7352469C" w:rsidR="00F1341F" w:rsidRPr="008340BB" w:rsidRDefault="004E06ED" w:rsidP="00BD4445">
            <w:pPr>
              <w:pStyle w:val="Text1"/>
              <w:ind w:left="0"/>
              <w:jc w:val="left"/>
              <w:rPr>
                <w:sz w:val="20"/>
                <w:lang w:val="en-GB" w:eastAsia="en-GB"/>
              </w:rPr>
            </w:pPr>
            <w:r w:rsidRPr="008340BB">
              <w:rPr>
                <w:sz w:val="18"/>
                <w:szCs w:val="18"/>
                <w:lang w:val="en-GB" w:eastAsia="en-GB"/>
              </w:rPr>
              <w:t>7 700</w:t>
            </w:r>
            <w:r w:rsidR="00592308">
              <w:rPr>
                <w:sz w:val="18"/>
                <w:szCs w:val="18"/>
                <w:lang w:val="en-GB" w:eastAsia="en-GB"/>
              </w:rPr>
              <w:t> </w:t>
            </w:r>
            <w:r w:rsidRPr="008340BB">
              <w:rPr>
                <w:sz w:val="18"/>
                <w:szCs w:val="18"/>
                <w:lang w:val="en-GB" w:eastAsia="en-GB"/>
              </w:rPr>
              <w:t>000</w:t>
            </w:r>
          </w:p>
        </w:tc>
        <w:tc>
          <w:tcPr>
            <w:tcW w:w="487" w:type="pct"/>
          </w:tcPr>
          <w:p w14:paraId="5C5FFAC9" w14:textId="57B9C32D" w:rsidR="00592308" w:rsidRDefault="00640E32" w:rsidP="00DC302C">
            <w:pPr>
              <w:pStyle w:val="Text1"/>
              <w:ind w:left="0"/>
              <w:jc w:val="left"/>
              <w:rPr>
                <w:sz w:val="18"/>
                <w:szCs w:val="18"/>
                <w:lang w:val="en-GB" w:eastAsia="en-GB"/>
              </w:rPr>
            </w:pPr>
            <w:r w:rsidRPr="00640E32">
              <w:rPr>
                <w:sz w:val="18"/>
                <w:szCs w:val="18"/>
                <w:lang w:val="en-GB" w:eastAsia="en-GB"/>
              </w:rPr>
              <w:t xml:space="preserve">44 726 781.00 </w:t>
            </w:r>
          </w:p>
          <w:p w14:paraId="1C19B4CC" w14:textId="366BD2EC" w:rsidR="00F1341F" w:rsidRPr="008340BB" w:rsidRDefault="00F1341F" w:rsidP="00DC302C">
            <w:pPr>
              <w:pStyle w:val="Text1"/>
              <w:ind w:left="0"/>
              <w:jc w:val="left"/>
              <w:rPr>
                <w:sz w:val="20"/>
                <w:lang w:val="en-GB" w:eastAsia="en-GB"/>
              </w:rPr>
            </w:pPr>
          </w:p>
        </w:tc>
        <w:tc>
          <w:tcPr>
            <w:tcW w:w="535" w:type="pct"/>
          </w:tcPr>
          <w:p w14:paraId="2139AC23" w14:textId="77777777" w:rsidR="00F1341F" w:rsidRPr="008340BB" w:rsidRDefault="00F1341F" w:rsidP="001B661C">
            <w:pPr>
              <w:pStyle w:val="Text1"/>
              <w:ind w:left="0"/>
              <w:rPr>
                <w:sz w:val="20"/>
                <w:lang w:val="en-GB" w:eastAsia="en-GB"/>
              </w:rPr>
            </w:pPr>
            <w:r w:rsidRPr="008340BB">
              <w:rPr>
                <w:sz w:val="20"/>
                <w:lang w:val="en-GB" w:eastAsia="en-GB"/>
              </w:rPr>
              <w:t>Certifying Authority</w:t>
            </w:r>
          </w:p>
        </w:tc>
        <w:tc>
          <w:tcPr>
            <w:tcW w:w="632" w:type="pct"/>
          </w:tcPr>
          <w:p w14:paraId="3C8D6CC4" w14:textId="77777777" w:rsidR="00F1341F" w:rsidRPr="008340BB" w:rsidRDefault="00F1341F" w:rsidP="00ED7273">
            <w:pPr>
              <w:pStyle w:val="Text1"/>
              <w:ind w:left="0"/>
              <w:jc w:val="left"/>
              <w:rPr>
                <w:sz w:val="20"/>
                <w:lang w:val="en-GB" w:eastAsia="en-GB"/>
              </w:rPr>
            </w:pPr>
            <w:r w:rsidRPr="008340BB">
              <w:rPr>
                <w:sz w:val="20"/>
                <w:lang w:val="en-GB" w:eastAsia="en-GB"/>
              </w:rPr>
              <w:t>This financial indicator is suggested to be used in the guide for determining milestones and targets for the performance framework</w:t>
            </w:r>
          </w:p>
        </w:tc>
      </w:tr>
      <w:tr w:rsidR="00E25C83" w:rsidRPr="008340BB" w14:paraId="64311157" w14:textId="77777777" w:rsidTr="00E048F8">
        <w:trPr>
          <w:trHeight w:val="397"/>
        </w:trPr>
        <w:tc>
          <w:tcPr>
            <w:tcW w:w="330" w:type="pct"/>
          </w:tcPr>
          <w:p w14:paraId="4A4770E3" w14:textId="343F864B" w:rsidR="00E25C83" w:rsidRPr="008340BB" w:rsidRDefault="00E25C83" w:rsidP="00E25C83">
            <w:pPr>
              <w:pStyle w:val="Text1"/>
              <w:ind w:left="0"/>
              <w:rPr>
                <w:i/>
                <w:sz w:val="18"/>
                <w:szCs w:val="18"/>
                <w:lang w:val="en-GB" w:eastAsia="en-GB"/>
              </w:rPr>
            </w:pPr>
            <w:r>
              <w:rPr>
                <w:i/>
                <w:sz w:val="18"/>
                <w:szCs w:val="18"/>
                <w:lang w:eastAsia="en-GB"/>
              </w:rPr>
              <w:t>34</w:t>
            </w:r>
          </w:p>
        </w:tc>
        <w:tc>
          <w:tcPr>
            <w:tcW w:w="681" w:type="pct"/>
          </w:tcPr>
          <w:p w14:paraId="31C29E7D" w14:textId="040FBE0C" w:rsidR="00E25C83" w:rsidRPr="008340BB" w:rsidRDefault="00E25C83" w:rsidP="00E25C83">
            <w:pPr>
              <w:pStyle w:val="Text1"/>
              <w:ind w:left="0"/>
              <w:rPr>
                <w:sz w:val="20"/>
                <w:lang w:val="en-GB" w:eastAsia="en-GB"/>
              </w:rPr>
            </w:pPr>
            <w:r>
              <w:rPr>
                <w:sz w:val="20"/>
                <w:lang w:val="en-US" w:eastAsia="en-GB"/>
              </w:rPr>
              <w:t>output indicator</w:t>
            </w:r>
          </w:p>
        </w:tc>
        <w:tc>
          <w:tcPr>
            <w:tcW w:w="536" w:type="pct"/>
          </w:tcPr>
          <w:p w14:paraId="1246FC14" w14:textId="6AFA7AD2" w:rsidR="00E25C83" w:rsidRPr="008340BB" w:rsidRDefault="00E25C83" w:rsidP="00E25C83">
            <w:pPr>
              <w:pStyle w:val="Text1"/>
              <w:ind w:left="0"/>
              <w:jc w:val="left"/>
              <w:rPr>
                <w:sz w:val="20"/>
                <w:lang w:val="en-GB" w:eastAsia="en-GB"/>
              </w:rPr>
            </w:pPr>
            <w:r>
              <w:rPr>
                <w:sz w:val="20"/>
                <w:lang w:val="en-US" w:eastAsia="en-GB"/>
              </w:rPr>
              <w:t xml:space="preserve">Implemented/ modernized transport systems </w:t>
            </w:r>
          </w:p>
        </w:tc>
        <w:tc>
          <w:tcPr>
            <w:tcW w:w="486" w:type="pct"/>
          </w:tcPr>
          <w:p w14:paraId="48413680" w14:textId="2646A76D" w:rsidR="00E25C83" w:rsidRPr="008340BB" w:rsidRDefault="00E25C83" w:rsidP="00E25C83">
            <w:pPr>
              <w:pStyle w:val="Text1"/>
              <w:ind w:left="0"/>
              <w:rPr>
                <w:sz w:val="20"/>
                <w:lang w:val="en-GB" w:eastAsia="en-GB"/>
              </w:rPr>
            </w:pPr>
            <w:r>
              <w:rPr>
                <w:sz w:val="20"/>
                <w:lang w:val="en-GB" w:eastAsia="en-GB"/>
              </w:rPr>
              <w:t>number</w:t>
            </w:r>
          </w:p>
        </w:tc>
        <w:tc>
          <w:tcPr>
            <w:tcW w:w="292" w:type="pct"/>
          </w:tcPr>
          <w:p w14:paraId="08D49EED" w14:textId="7F91D20B" w:rsidR="00E25C83" w:rsidRPr="008340BB" w:rsidRDefault="00E25C83" w:rsidP="00E25C83">
            <w:pPr>
              <w:pStyle w:val="Text1"/>
              <w:ind w:left="0"/>
              <w:rPr>
                <w:sz w:val="20"/>
                <w:lang w:val="en-GB" w:eastAsia="en-GB"/>
              </w:rPr>
            </w:pPr>
            <w:r>
              <w:rPr>
                <w:sz w:val="20"/>
                <w:lang w:val="en-GB" w:eastAsia="en-GB"/>
              </w:rPr>
              <w:t>ERDF</w:t>
            </w:r>
          </w:p>
        </w:tc>
        <w:tc>
          <w:tcPr>
            <w:tcW w:w="486" w:type="pct"/>
          </w:tcPr>
          <w:p w14:paraId="5FE19614" w14:textId="1833DAD9" w:rsidR="00E25C83" w:rsidRPr="008340BB" w:rsidRDefault="00E25C83" w:rsidP="00E25C83">
            <w:pPr>
              <w:pStyle w:val="Text1"/>
              <w:ind w:left="0"/>
              <w:rPr>
                <w:sz w:val="20"/>
                <w:lang w:val="en-GB" w:eastAsia="en-GB"/>
              </w:rPr>
            </w:pPr>
            <w:r>
              <w:rPr>
                <w:sz w:val="20"/>
                <w:lang w:val="en-GB" w:eastAsia="en-GB"/>
              </w:rPr>
              <w:t>Less developed regions</w:t>
            </w:r>
          </w:p>
        </w:tc>
        <w:tc>
          <w:tcPr>
            <w:tcW w:w="535" w:type="pct"/>
          </w:tcPr>
          <w:p w14:paraId="6C476F01" w14:textId="185F6B36" w:rsidR="00E25C83" w:rsidRPr="008340BB" w:rsidRDefault="00E25C83" w:rsidP="00E25C83">
            <w:pPr>
              <w:pStyle w:val="Text1"/>
              <w:ind w:left="0"/>
              <w:jc w:val="left"/>
              <w:rPr>
                <w:sz w:val="18"/>
                <w:szCs w:val="18"/>
                <w:lang w:val="en-GB" w:eastAsia="en-GB"/>
              </w:rPr>
            </w:pPr>
            <w:r>
              <w:rPr>
                <w:sz w:val="18"/>
                <w:szCs w:val="18"/>
                <w:lang w:val="en-GB" w:eastAsia="en-GB"/>
              </w:rPr>
              <w:t>0</w:t>
            </w:r>
          </w:p>
        </w:tc>
        <w:tc>
          <w:tcPr>
            <w:tcW w:w="487" w:type="pct"/>
          </w:tcPr>
          <w:p w14:paraId="0B7A6F3B" w14:textId="505A5D22" w:rsidR="00E25C83" w:rsidRPr="00640E32" w:rsidRDefault="002843EB" w:rsidP="00E25C83">
            <w:pPr>
              <w:pStyle w:val="Text1"/>
              <w:ind w:left="0"/>
              <w:jc w:val="left"/>
              <w:rPr>
                <w:sz w:val="18"/>
                <w:szCs w:val="18"/>
                <w:lang w:val="en-GB" w:eastAsia="en-GB"/>
              </w:rPr>
            </w:pPr>
            <w:r w:rsidRPr="00AC7CA7">
              <w:rPr>
                <w:sz w:val="18"/>
                <w:szCs w:val="18"/>
                <w:lang w:val="en-GB" w:eastAsia="en-GB"/>
              </w:rPr>
              <w:t>3</w:t>
            </w:r>
          </w:p>
        </w:tc>
        <w:tc>
          <w:tcPr>
            <w:tcW w:w="535" w:type="pct"/>
          </w:tcPr>
          <w:p w14:paraId="71794E96" w14:textId="35B3B533" w:rsidR="00E25C83" w:rsidRDefault="00E25C83" w:rsidP="00E25C83">
            <w:pPr>
              <w:pStyle w:val="Text1"/>
              <w:ind w:left="0"/>
              <w:rPr>
                <w:sz w:val="20"/>
                <w:lang w:val="en-GB" w:eastAsia="en-GB"/>
              </w:rPr>
            </w:pPr>
            <w:r>
              <w:rPr>
                <w:sz w:val="20"/>
                <w:lang w:val="en-GB" w:eastAsia="en-GB"/>
              </w:rPr>
              <w:t xml:space="preserve"> Port Infrastructure Company</w:t>
            </w:r>
          </w:p>
          <w:p w14:paraId="55C8C993" w14:textId="77777777" w:rsidR="00E25C83" w:rsidRDefault="00E25C83" w:rsidP="00E25C83">
            <w:pPr>
              <w:pStyle w:val="Text1"/>
              <w:ind w:left="0"/>
              <w:rPr>
                <w:sz w:val="20"/>
                <w:lang w:val="en-GB" w:eastAsia="en-GB"/>
              </w:rPr>
            </w:pPr>
            <w:r>
              <w:rPr>
                <w:sz w:val="20"/>
                <w:lang w:val="en-GB" w:eastAsia="en-GB"/>
              </w:rPr>
              <w:lastRenderedPageBreak/>
              <w:t>National Railway Infrastructure Company</w:t>
            </w:r>
          </w:p>
          <w:p w14:paraId="7309D344" w14:textId="12E9FAA0" w:rsidR="00E25C83" w:rsidRPr="008340BB" w:rsidRDefault="00E25C83" w:rsidP="00E25C83">
            <w:pPr>
              <w:pStyle w:val="Text1"/>
              <w:ind w:left="0"/>
              <w:rPr>
                <w:sz w:val="20"/>
                <w:lang w:val="en-GB" w:eastAsia="en-GB"/>
              </w:rPr>
            </w:pPr>
            <w:r>
              <w:rPr>
                <w:sz w:val="20"/>
                <w:lang w:val="en-GB" w:eastAsia="en-GB"/>
              </w:rPr>
              <w:t>Road Infrastructure Agency</w:t>
            </w:r>
          </w:p>
        </w:tc>
        <w:tc>
          <w:tcPr>
            <w:tcW w:w="632" w:type="pct"/>
          </w:tcPr>
          <w:p w14:paraId="5AFAD7AE" w14:textId="35408705" w:rsidR="00E25C83" w:rsidRPr="008340BB" w:rsidRDefault="00E25C83" w:rsidP="00E25C83">
            <w:pPr>
              <w:pStyle w:val="Text1"/>
              <w:ind w:left="0"/>
              <w:jc w:val="left"/>
              <w:rPr>
                <w:sz w:val="20"/>
                <w:lang w:val="en-GB" w:eastAsia="en-GB"/>
              </w:rPr>
            </w:pPr>
            <w:r>
              <w:rPr>
                <w:sz w:val="20"/>
                <w:lang w:val="en-GB" w:eastAsia="en-GB"/>
              </w:rPr>
              <w:lastRenderedPageBreak/>
              <w:t xml:space="preserve">Share of this indicator represents a significant part of priority axis budget </w:t>
            </w:r>
          </w:p>
        </w:tc>
      </w:tr>
      <w:tr w:rsidR="00E25C83" w:rsidRPr="00861773" w14:paraId="6FF364D3" w14:textId="77777777" w:rsidTr="00E048F8">
        <w:tc>
          <w:tcPr>
            <w:tcW w:w="330" w:type="pct"/>
          </w:tcPr>
          <w:p w14:paraId="1C6F1CE4" w14:textId="77777777" w:rsidR="00E25C83" w:rsidRPr="00B13FA5" w:rsidRDefault="00E25C83" w:rsidP="00E25C83">
            <w:pPr>
              <w:rPr>
                <w:i/>
                <w:sz w:val="18"/>
                <w:szCs w:val="18"/>
              </w:rPr>
            </w:pPr>
            <w:r>
              <w:rPr>
                <w:sz w:val="18"/>
                <w:szCs w:val="18"/>
              </w:rPr>
              <w:t>5</w:t>
            </w:r>
          </w:p>
        </w:tc>
        <w:tc>
          <w:tcPr>
            <w:tcW w:w="681" w:type="pct"/>
          </w:tcPr>
          <w:p w14:paraId="6DB42679" w14:textId="77777777" w:rsidR="00E25C83" w:rsidRPr="00B13FA5" w:rsidRDefault="00E25C83" w:rsidP="00E25C83">
            <w:pPr>
              <w:rPr>
                <w:sz w:val="20"/>
                <w:szCs w:val="22"/>
              </w:rPr>
            </w:pPr>
            <w:r w:rsidRPr="00B13FA5">
              <w:rPr>
                <w:sz w:val="18"/>
                <w:szCs w:val="18"/>
              </w:rPr>
              <w:t>key implementation step</w:t>
            </w:r>
          </w:p>
        </w:tc>
        <w:tc>
          <w:tcPr>
            <w:tcW w:w="536" w:type="pct"/>
          </w:tcPr>
          <w:p w14:paraId="3334F362" w14:textId="77777777" w:rsidR="00E25C83" w:rsidRPr="00B13FA5" w:rsidRDefault="00E25C83" w:rsidP="00E25C83">
            <w:pPr>
              <w:ind w:left="-3"/>
              <w:rPr>
                <w:sz w:val="20"/>
                <w:szCs w:val="24"/>
              </w:rPr>
            </w:pPr>
            <w:r w:rsidRPr="00B13FA5">
              <w:rPr>
                <w:sz w:val="18"/>
                <w:szCs w:val="18"/>
              </w:rPr>
              <w:t xml:space="preserve">Number of contracts with started construction </w:t>
            </w:r>
          </w:p>
        </w:tc>
        <w:tc>
          <w:tcPr>
            <w:tcW w:w="486" w:type="pct"/>
          </w:tcPr>
          <w:p w14:paraId="1169C129" w14:textId="77777777" w:rsidR="00E25C83" w:rsidRPr="00B13FA5" w:rsidRDefault="00E25C83" w:rsidP="00E25C83">
            <w:pPr>
              <w:rPr>
                <w:sz w:val="20"/>
                <w:szCs w:val="22"/>
              </w:rPr>
            </w:pPr>
            <w:r w:rsidRPr="00B13FA5">
              <w:rPr>
                <w:sz w:val="18"/>
                <w:szCs w:val="18"/>
              </w:rPr>
              <w:t>number</w:t>
            </w:r>
          </w:p>
        </w:tc>
        <w:tc>
          <w:tcPr>
            <w:tcW w:w="292" w:type="pct"/>
          </w:tcPr>
          <w:p w14:paraId="2123EB1B" w14:textId="77777777" w:rsidR="00E25C83" w:rsidRPr="00B13FA5" w:rsidRDefault="00E25C83" w:rsidP="00E25C83">
            <w:pPr>
              <w:rPr>
                <w:sz w:val="20"/>
                <w:szCs w:val="22"/>
              </w:rPr>
            </w:pPr>
            <w:r>
              <w:rPr>
                <w:sz w:val="18"/>
                <w:szCs w:val="18"/>
              </w:rPr>
              <w:t>ERDF</w:t>
            </w:r>
          </w:p>
        </w:tc>
        <w:tc>
          <w:tcPr>
            <w:tcW w:w="486" w:type="pct"/>
          </w:tcPr>
          <w:p w14:paraId="79FF40E6" w14:textId="77777777" w:rsidR="00E25C83" w:rsidRPr="00B13FA5" w:rsidRDefault="00E25C83" w:rsidP="00E25C83">
            <w:pPr>
              <w:rPr>
                <w:sz w:val="20"/>
                <w:szCs w:val="22"/>
              </w:rPr>
            </w:pPr>
            <w:r w:rsidRPr="00B13FA5">
              <w:rPr>
                <w:sz w:val="18"/>
                <w:szCs w:val="18"/>
              </w:rPr>
              <w:t>N/A</w:t>
            </w:r>
          </w:p>
        </w:tc>
        <w:tc>
          <w:tcPr>
            <w:tcW w:w="535" w:type="pct"/>
          </w:tcPr>
          <w:p w14:paraId="5069AC71" w14:textId="77777777" w:rsidR="00E25C83" w:rsidRPr="00B13FA5" w:rsidRDefault="00E25C83" w:rsidP="00E25C83">
            <w:pPr>
              <w:rPr>
                <w:sz w:val="20"/>
                <w:szCs w:val="22"/>
              </w:rPr>
            </w:pPr>
            <w:r w:rsidRPr="00B13FA5">
              <w:rPr>
                <w:sz w:val="20"/>
                <w:szCs w:val="22"/>
              </w:rPr>
              <w:t>1</w:t>
            </w:r>
          </w:p>
        </w:tc>
        <w:tc>
          <w:tcPr>
            <w:tcW w:w="487" w:type="pct"/>
          </w:tcPr>
          <w:p w14:paraId="010952AE" w14:textId="77777777" w:rsidR="00E25C83" w:rsidRPr="00B13FA5" w:rsidRDefault="00E25C83" w:rsidP="00E25C83">
            <w:pPr>
              <w:rPr>
                <w:sz w:val="20"/>
                <w:szCs w:val="22"/>
              </w:rPr>
            </w:pPr>
            <w:r w:rsidRPr="00B13FA5">
              <w:rPr>
                <w:sz w:val="20"/>
                <w:szCs w:val="22"/>
              </w:rPr>
              <w:t>1</w:t>
            </w:r>
          </w:p>
        </w:tc>
        <w:tc>
          <w:tcPr>
            <w:tcW w:w="535" w:type="pct"/>
          </w:tcPr>
          <w:p w14:paraId="5DB598B4" w14:textId="77777777" w:rsidR="00E25C83" w:rsidRPr="00B13FA5" w:rsidRDefault="00E25C83" w:rsidP="00E25C83">
            <w:pPr>
              <w:rPr>
                <w:iCs/>
                <w:sz w:val="20"/>
                <w:szCs w:val="22"/>
                <w:lang w:eastAsia="bg-BG"/>
              </w:rPr>
            </w:pPr>
            <w:r w:rsidRPr="00B13FA5">
              <w:rPr>
                <w:iCs/>
                <w:sz w:val="18"/>
                <w:szCs w:val="18"/>
                <w:lang w:eastAsia="bg-BG"/>
              </w:rPr>
              <w:t>Managing Authority</w:t>
            </w:r>
          </w:p>
        </w:tc>
        <w:tc>
          <w:tcPr>
            <w:tcW w:w="632" w:type="pct"/>
          </w:tcPr>
          <w:p w14:paraId="1AB013C6" w14:textId="77777777" w:rsidR="00E25C83" w:rsidRPr="00861773" w:rsidRDefault="00E25C83" w:rsidP="00E25C83">
            <w:pPr>
              <w:jc w:val="left"/>
              <w:rPr>
                <w:sz w:val="20"/>
                <w:szCs w:val="22"/>
              </w:rPr>
            </w:pPr>
            <w:r w:rsidRPr="00B13FA5">
              <w:rPr>
                <w:sz w:val="20"/>
                <w:szCs w:val="22"/>
              </w:rPr>
              <w:t>We suggest using this implementation step because no measurable output is expected, as an output of fully implemented projects in 2018.</w:t>
            </w:r>
          </w:p>
        </w:tc>
      </w:tr>
    </w:tbl>
    <w:p w14:paraId="676FE0F2" w14:textId="77777777" w:rsidR="00F1341F" w:rsidRPr="00435AC3" w:rsidRDefault="00F1341F" w:rsidP="009405AA">
      <w:pPr>
        <w:suppressAutoHyphens/>
        <w:rPr>
          <w:rStyle w:val="hps"/>
          <w:szCs w:val="24"/>
        </w:rPr>
      </w:pPr>
    </w:p>
    <w:p w14:paraId="4A158C24" w14:textId="6959A0C5" w:rsidR="00F1341F" w:rsidRPr="008340BB" w:rsidRDefault="00F1341F" w:rsidP="009405AA">
      <w:pPr>
        <w:suppressAutoHyphens/>
        <w:rPr>
          <w:i/>
          <w:szCs w:val="24"/>
        </w:rPr>
      </w:pPr>
      <w:r w:rsidRPr="008340BB">
        <w:rPr>
          <w:rStyle w:val="hps"/>
          <w:szCs w:val="24"/>
        </w:rPr>
        <w:t>The milestone of the</w:t>
      </w:r>
      <w:r w:rsidRPr="008340BB">
        <w:rPr>
          <w:szCs w:val="24"/>
        </w:rPr>
        <w:t xml:space="preserve"> </w:t>
      </w:r>
      <w:r w:rsidRPr="008340BB">
        <w:rPr>
          <w:rStyle w:val="hps"/>
          <w:szCs w:val="24"/>
        </w:rPr>
        <w:t>financial</w:t>
      </w:r>
      <w:r w:rsidRPr="008340BB">
        <w:rPr>
          <w:szCs w:val="24"/>
        </w:rPr>
        <w:t xml:space="preserve"> </w:t>
      </w:r>
      <w:r w:rsidRPr="008340BB">
        <w:rPr>
          <w:rStyle w:val="hps"/>
          <w:szCs w:val="24"/>
        </w:rPr>
        <w:t>indicator is</w:t>
      </w:r>
      <w:r w:rsidRPr="008340BB">
        <w:rPr>
          <w:szCs w:val="24"/>
        </w:rPr>
        <w:t xml:space="preserve"> </w:t>
      </w:r>
      <w:r w:rsidRPr="008340BB">
        <w:rPr>
          <w:rStyle w:val="hps"/>
          <w:szCs w:val="24"/>
        </w:rPr>
        <w:t>based on the</w:t>
      </w:r>
      <w:r w:rsidRPr="008340BB">
        <w:rPr>
          <w:szCs w:val="24"/>
        </w:rPr>
        <w:t xml:space="preserve"> </w:t>
      </w:r>
      <w:r w:rsidRPr="008340BB">
        <w:rPr>
          <w:rStyle w:val="hps"/>
          <w:szCs w:val="24"/>
        </w:rPr>
        <w:t>total amount of</w:t>
      </w:r>
      <w:r w:rsidRPr="008340BB">
        <w:rPr>
          <w:szCs w:val="24"/>
        </w:rPr>
        <w:t xml:space="preserve"> </w:t>
      </w:r>
      <w:r w:rsidRPr="008340BB">
        <w:rPr>
          <w:rStyle w:val="hps"/>
          <w:szCs w:val="24"/>
        </w:rPr>
        <w:t>grant funding</w:t>
      </w:r>
      <w:r w:rsidRPr="008340BB">
        <w:rPr>
          <w:szCs w:val="24"/>
        </w:rPr>
        <w:t xml:space="preserve"> </w:t>
      </w:r>
      <w:r w:rsidRPr="008340BB">
        <w:rPr>
          <w:rStyle w:val="hps"/>
          <w:szCs w:val="24"/>
        </w:rPr>
        <w:t>(w/o</w:t>
      </w:r>
      <w:r w:rsidRPr="008340BB">
        <w:rPr>
          <w:szCs w:val="24"/>
        </w:rPr>
        <w:t xml:space="preserve"> </w:t>
      </w:r>
      <w:r w:rsidRPr="008340BB">
        <w:rPr>
          <w:rStyle w:val="hps"/>
          <w:szCs w:val="24"/>
        </w:rPr>
        <w:t>performance reserve</w:t>
      </w:r>
      <w:r w:rsidRPr="008340BB">
        <w:rPr>
          <w:szCs w:val="24"/>
        </w:rPr>
        <w:t xml:space="preserve">) </w:t>
      </w:r>
      <w:r w:rsidRPr="008340BB">
        <w:rPr>
          <w:rStyle w:val="hps"/>
          <w:szCs w:val="24"/>
        </w:rPr>
        <w:t>and the past experience</w:t>
      </w:r>
      <w:r w:rsidRPr="008340BB">
        <w:rPr>
          <w:szCs w:val="24"/>
        </w:rPr>
        <w:t xml:space="preserve"> </w:t>
      </w:r>
      <w:r w:rsidRPr="008340BB">
        <w:rPr>
          <w:rStyle w:val="hps"/>
          <w:szCs w:val="24"/>
        </w:rPr>
        <w:t>of the implementation</w:t>
      </w:r>
      <w:r w:rsidRPr="008340BB">
        <w:rPr>
          <w:szCs w:val="24"/>
        </w:rPr>
        <w:t xml:space="preserve"> </w:t>
      </w:r>
      <w:r w:rsidRPr="008340BB">
        <w:rPr>
          <w:rStyle w:val="hps"/>
          <w:szCs w:val="24"/>
        </w:rPr>
        <w:t>of the OPT</w:t>
      </w:r>
      <w:r w:rsidRPr="008340BB">
        <w:rPr>
          <w:szCs w:val="24"/>
        </w:rPr>
        <w:t xml:space="preserve">, i.e. by </w:t>
      </w:r>
      <w:r w:rsidRPr="008340BB">
        <w:rPr>
          <w:rStyle w:val="hps"/>
          <w:szCs w:val="24"/>
        </w:rPr>
        <w:t>2018</w:t>
      </w:r>
      <w:r w:rsidRPr="008340BB">
        <w:rPr>
          <w:szCs w:val="24"/>
        </w:rPr>
        <w:t xml:space="preserve"> </w:t>
      </w:r>
      <w:r w:rsidRPr="008340BB">
        <w:rPr>
          <w:rStyle w:val="hps"/>
          <w:szCs w:val="24"/>
        </w:rPr>
        <w:t>to</w:t>
      </w:r>
      <w:r w:rsidRPr="008340BB">
        <w:rPr>
          <w:szCs w:val="24"/>
        </w:rPr>
        <w:t xml:space="preserve"> </w:t>
      </w:r>
      <w:r w:rsidRPr="008340BB">
        <w:rPr>
          <w:rStyle w:val="hps"/>
          <w:szCs w:val="24"/>
        </w:rPr>
        <w:t>be concluded</w:t>
      </w:r>
      <w:r w:rsidRPr="008340BB">
        <w:rPr>
          <w:szCs w:val="24"/>
        </w:rPr>
        <w:t xml:space="preserve"> </w:t>
      </w:r>
      <w:r w:rsidRPr="008340BB">
        <w:rPr>
          <w:rStyle w:val="hps"/>
          <w:szCs w:val="24"/>
        </w:rPr>
        <w:t>60% of</w:t>
      </w:r>
      <w:r w:rsidRPr="008340BB">
        <w:rPr>
          <w:szCs w:val="24"/>
        </w:rPr>
        <w:t xml:space="preserve"> </w:t>
      </w:r>
      <w:r w:rsidRPr="008340BB">
        <w:rPr>
          <w:rStyle w:val="hps"/>
          <w:szCs w:val="24"/>
        </w:rPr>
        <w:t>contracts</w:t>
      </w:r>
      <w:r w:rsidRPr="008340BB">
        <w:rPr>
          <w:szCs w:val="24"/>
        </w:rPr>
        <w:t xml:space="preserve"> </w:t>
      </w:r>
      <w:r w:rsidRPr="008340BB">
        <w:rPr>
          <w:rStyle w:val="hps"/>
          <w:szCs w:val="24"/>
        </w:rPr>
        <w:t>for programme</w:t>
      </w:r>
      <w:r w:rsidRPr="008340BB">
        <w:rPr>
          <w:szCs w:val="24"/>
        </w:rPr>
        <w:t xml:space="preserve"> </w:t>
      </w:r>
      <w:r w:rsidRPr="008340BB">
        <w:rPr>
          <w:rStyle w:val="hps"/>
          <w:szCs w:val="24"/>
        </w:rPr>
        <w:t>implementation.</w:t>
      </w:r>
    </w:p>
    <w:p w14:paraId="37AE0DF5" w14:textId="77777777" w:rsidR="00F1341F" w:rsidRPr="008340BB" w:rsidRDefault="00F1341F" w:rsidP="00C37144">
      <w:pPr>
        <w:suppressAutoHyphens/>
      </w:pPr>
      <w:r w:rsidRPr="008340BB">
        <w:t xml:space="preserve">Additional qualitative information on the establishment of the performance framework </w:t>
      </w:r>
    </w:p>
    <w:p w14:paraId="2B5A316B" w14:textId="77777777" w:rsidR="00F1341F" w:rsidRPr="008340BB" w:rsidRDefault="00F1341F" w:rsidP="00C37144">
      <w:pPr>
        <w:suppressAutoHyphens/>
        <w:rPr>
          <w:b/>
        </w:rPr>
      </w:pPr>
      <w:r w:rsidRPr="008340BB">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7"/>
      </w:tblGrid>
      <w:tr w:rsidR="00F1341F" w:rsidRPr="008340BB" w14:paraId="6ABA271C" w14:textId="77777777" w:rsidTr="001B661C">
        <w:trPr>
          <w:trHeight w:val="678"/>
        </w:trPr>
        <w:tc>
          <w:tcPr>
            <w:tcW w:w="14567" w:type="dxa"/>
          </w:tcPr>
          <w:p w14:paraId="3E269F4D" w14:textId="77777777" w:rsidR="00F1341F" w:rsidRPr="008340BB" w:rsidRDefault="00F1341F" w:rsidP="001B661C">
            <w:pPr>
              <w:pStyle w:val="Text1"/>
              <w:ind w:left="0"/>
              <w:rPr>
                <w:i/>
                <w:color w:val="8DB3E2"/>
                <w:sz w:val="18"/>
                <w:szCs w:val="18"/>
                <w:lang w:val="en-GB" w:eastAsia="en-GB"/>
              </w:rPr>
            </w:pPr>
            <w:r w:rsidRPr="008340BB">
              <w:rPr>
                <w:sz w:val="24"/>
                <w:szCs w:val="24"/>
                <w:lang w:val="en-GB" w:eastAsia="en-GB"/>
              </w:rPr>
              <w:t xml:space="preserve">Investment priorities will be implemented through the provision of grants. </w:t>
            </w:r>
          </w:p>
        </w:tc>
      </w:tr>
    </w:tbl>
    <w:p w14:paraId="027B4AB9" w14:textId="77777777" w:rsidR="00F1341F" w:rsidRPr="008340BB" w:rsidRDefault="00F1341F" w:rsidP="00C37144">
      <w:pPr>
        <w:suppressAutoHyphens/>
        <w:rPr>
          <w:b/>
        </w:rPr>
      </w:pPr>
    </w:p>
    <w:p w14:paraId="4EEE3DC0" w14:textId="77777777" w:rsidR="00F1341F" w:rsidRPr="008340BB" w:rsidRDefault="00F1341F" w:rsidP="00C37144">
      <w:pPr>
        <w:suppressAutoHyphens/>
        <w:rPr>
          <w:b/>
        </w:rPr>
        <w:sectPr w:rsidR="00F1341F" w:rsidRPr="008340BB" w:rsidSect="001E1D6F">
          <w:headerReference w:type="default" r:id="rId83"/>
          <w:footerReference w:type="default" r:id="rId84"/>
          <w:headerReference w:type="first" r:id="rId85"/>
          <w:footerReference w:type="first" r:id="rId86"/>
          <w:pgSz w:w="16838" w:h="11906" w:orient="landscape"/>
          <w:pgMar w:top="1418" w:right="1021" w:bottom="1418" w:left="1021" w:header="601" w:footer="1077" w:gutter="0"/>
          <w:cols w:space="708"/>
          <w:docGrid w:linePitch="326"/>
        </w:sectPr>
      </w:pPr>
    </w:p>
    <w:p w14:paraId="24C3BE7A" w14:textId="77777777" w:rsidR="00F1341F" w:rsidRPr="008340BB" w:rsidRDefault="00F1341F" w:rsidP="00C37144">
      <w:pPr>
        <w:suppressAutoHyphens/>
        <w:ind w:left="1418" w:hanging="1418"/>
        <w:rPr>
          <w:b/>
        </w:rPr>
      </w:pPr>
      <w:r w:rsidRPr="008340BB">
        <w:rPr>
          <w:b/>
        </w:rPr>
        <w:lastRenderedPageBreak/>
        <w:t xml:space="preserve">2.A.4.7 </w:t>
      </w:r>
      <w:r w:rsidRPr="008340BB">
        <w:rPr>
          <w:b/>
        </w:rPr>
        <w:tab/>
        <w:t xml:space="preserve">Categories of intervention </w:t>
      </w:r>
    </w:p>
    <w:p w14:paraId="046F22FE" w14:textId="77777777" w:rsidR="00F1341F" w:rsidRPr="008340BB" w:rsidRDefault="00F1341F" w:rsidP="00C37144">
      <w:pPr>
        <w:suppressAutoHyphens/>
        <w:ind w:left="1418" w:hanging="1418"/>
      </w:pPr>
      <w:r w:rsidRPr="008340BB">
        <w:t>(Reference: point (b)(vi) of Article 96(2) of Regulation (EU) No 1303/2013)</w:t>
      </w:r>
    </w:p>
    <w:p w14:paraId="369E277E" w14:textId="77777777" w:rsidR="00F1341F" w:rsidRPr="008340BB" w:rsidRDefault="00F1341F" w:rsidP="00C37144">
      <w:pPr>
        <w:suppressAutoHyphens/>
        <w:rPr>
          <w:szCs w:val="24"/>
        </w:rPr>
      </w:pPr>
      <w:r w:rsidRPr="008340BB">
        <w:t xml:space="preserve">Categories of intervention corresponding to the content of the priority axis based on a nomenclature adopted by the Commission, and indicative breakdown of </w:t>
      </w:r>
      <w:r w:rsidRPr="008340BB">
        <w:rPr>
          <w:szCs w:val="24"/>
        </w:rPr>
        <w:t>Union support.</w:t>
      </w:r>
    </w:p>
    <w:p w14:paraId="6C5DCF9B" w14:textId="77777777" w:rsidR="00F1341F" w:rsidRPr="008340BB" w:rsidRDefault="00F1341F" w:rsidP="00C37144">
      <w:pPr>
        <w:suppressAutoHyphens/>
        <w:ind w:left="1418" w:hanging="1418"/>
        <w:rPr>
          <w:b/>
          <w:szCs w:val="24"/>
        </w:rPr>
      </w:pPr>
      <w:r w:rsidRPr="008340BB">
        <w:rPr>
          <w:b/>
          <w:szCs w:val="24"/>
        </w:rPr>
        <w:t xml:space="preserve">Tables 7-11: </w:t>
      </w:r>
      <w:r w:rsidRPr="008340BB">
        <w:rPr>
          <w:b/>
          <w:szCs w:val="24"/>
        </w:rPr>
        <w:tab/>
        <w:t>Categories of intervention</w:t>
      </w:r>
      <w:r w:rsidRPr="008340BB">
        <w:rPr>
          <w:rStyle w:val="FootnoteReference"/>
          <w:b/>
          <w:szCs w:val="24"/>
        </w:rPr>
        <w:footnoteReference w:id="64"/>
      </w:r>
      <w:r w:rsidRPr="008340BB">
        <w:rPr>
          <w:b/>
          <w:szCs w:val="24"/>
        </w:rPr>
        <w:t xml:space="preserve"> </w:t>
      </w:r>
    </w:p>
    <w:p w14:paraId="65F26E68" w14:textId="77777777" w:rsidR="00F1341F" w:rsidRPr="0067246B" w:rsidRDefault="00F1341F" w:rsidP="00C37144">
      <w:pPr>
        <w:suppressAutoHyphens/>
        <w:ind w:left="1418" w:hanging="1418"/>
        <w:rPr>
          <w:szCs w:val="24"/>
        </w:rPr>
      </w:pPr>
      <w:r w:rsidRPr="0067246B">
        <w:rPr>
          <w:szCs w:val="24"/>
        </w:rPr>
        <w:t xml:space="preserve">(by Fund and category of region, if the priority axis covers more than 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4B13164A" w14:textId="77777777" w:rsidTr="001B661C">
        <w:trPr>
          <w:trHeight w:val="364"/>
        </w:trPr>
        <w:tc>
          <w:tcPr>
            <w:tcW w:w="8472" w:type="dxa"/>
            <w:gridSpan w:val="4"/>
          </w:tcPr>
          <w:p w14:paraId="20828AC9" w14:textId="77777777" w:rsidR="00F1341F" w:rsidRPr="00020ADD" w:rsidRDefault="00F1341F" w:rsidP="001B661C">
            <w:pPr>
              <w:autoSpaceDE w:val="0"/>
              <w:autoSpaceDN w:val="0"/>
              <w:adjustRightInd w:val="0"/>
              <w:spacing w:after="0"/>
              <w:jc w:val="left"/>
              <w:rPr>
                <w:rFonts w:ascii="TimesNewRoman" w:cs="TimesNewRoman"/>
                <w:b/>
                <w:color w:val="000000"/>
                <w:sz w:val="20"/>
              </w:rPr>
            </w:pPr>
            <w:r w:rsidRPr="00020ADD">
              <w:rPr>
                <w:rFonts w:ascii="TimesNewRoman,Bold" w:hAnsi="TimesNewRoman,Bold" w:cs="TimesNewRoman,Bold"/>
                <w:b/>
                <w:bCs/>
                <w:color w:val="000000"/>
                <w:sz w:val="20"/>
              </w:rPr>
              <w:t>Table 7: Dimension 1 – Intervention field</w:t>
            </w:r>
          </w:p>
        </w:tc>
      </w:tr>
      <w:tr w:rsidR="00F1341F" w:rsidRPr="008340BB" w14:paraId="64AD8587" w14:textId="77777777" w:rsidTr="001B661C">
        <w:trPr>
          <w:trHeight w:val="364"/>
        </w:trPr>
        <w:tc>
          <w:tcPr>
            <w:tcW w:w="2802" w:type="dxa"/>
            <w:gridSpan w:val="2"/>
          </w:tcPr>
          <w:p w14:paraId="364AE37C" w14:textId="77777777" w:rsidR="00F1341F" w:rsidRPr="008340BB" w:rsidRDefault="00F1341F" w:rsidP="001B661C">
            <w:pPr>
              <w:autoSpaceDE w:val="0"/>
              <w:autoSpaceDN w:val="0"/>
              <w:adjustRightInd w:val="0"/>
              <w:spacing w:after="0"/>
              <w:jc w:val="left"/>
              <w:rPr>
                <w:bCs/>
                <w:sz w:val="20"/>
              </w:rPr>
            </w:pPr>
            <w:r w:rsidRPr="008340BB">
              <w:rPr>
                <w:b/>
                <w:sz w:val="18"/>
                <w:szCs w:val="18"/>
              </w:rPr>
              <w:t>Priority axis</w:t>
            </w:r>
            <w:r w:rsidRPr="008340BB" w:rsidDel="009B2310">
              <w:rPr>
                <w:bCs/>
                <w:sz w:val="20"/>
              </w:rPr>
              <w:t xml:space="preserve"> </w:t>
            </w:r>
          </w:p>
        </w:tc>
        <w:tc>
          <w:tcPr>
            <w:tcW w:w="5670" w:type="dxa"/>
            <w:gridSpan w:val="2"/>
          </w:tcPr>
          <w:p w14:paraId="7205D446" w14:textId="77777777" w:rsidR="00F1341F" w:rsidRPr="008340BB" w:rsidRDefault="00F1341F" w:rsidP="00F46DAA">
            <w:pPr>
              <w:autoSpaceDE w:val="0"/>
              <w:autoSpaceDN w:val="0"/>
              <w:adjustRightInd w:val="0"/>
              <w:spacing w:after="0"/>
              <w:rPr>
                <w:bCs/>
                <w:sz w:val="20"/>
              </w:rPr>
            </w:pPr>
            <w:r w:rsidRPr="008340BB">
              <w:rPr>
                <w:b/>
                <w:sz w:val="18"/>
                <w:szCs w:val="18"/>
              </w:rPr>
              <w:t>“Innovations in management and services - establishment of modern infrastructure for traffic management and transport safety</w:t>
            </w:r>
            <w:r w:rsidRPr="008340BB">
              <w:rPr>
                <w:b/>
              </w:rPr>
              <w:t xml:space="preserve"> </w:t>
            </w:r>
            <w:r w:rsidRPr="008340BB">
              <w:rPr>
                <w:b/>
                <w:sz w:val="18"/>
                <w:szCs w:val="18"/>
              </w:rPr>
              <w:t>improvement”</w:t>
            </w:r>
          </w:p>
        </w:tc>
      </w:tr>
      <w:tr w:rsidR="00F1341F" w:rsidRPr="008340BB" w14:paraId="533F3244" w14:textId="77777777" w:rsidTr="00263449">
        <w:trPr>
          <w:trHeight w:val="267"/>
        </w:trPr>
        <w:tc>
          <w:tcPr>
            <w:tcW w:w="1401" w:type="dxa"/>
          </w:tcPr>
          <w:p w14:paraId="6FE86EDF" w14:textId="77777777" w:rsidR="00F1341F" w:rsidRPr="008340BB" w:rsidRDefault="00F1341F" w:rsidP="001B661C">
            <w:pPr>
              <w:jc w:val="center"/>
              <w:rPr>
                <w:b/>
                <w:sz w:val="18"/>
                <w:szCs w:val="18"/>
              </w:rPr>
            </w:pPr>
            <w:r w:rsidRPr="008340BB">
              <w:rPr>
                <w:b/>
                <w:sz w:val="18"/>
                <w:szCs w:val="18"/>
              </w:rPr>
              <w:t>Fund</w:t>
            </w:r>
          </w:p>
        </w:tc>
        <w:tc>
          <w:tcPr>
            <w:tcW w:w="1401" w:type="dxa"/>
          </w:tcPr>
          <w:p w14:paraId="42F25141" w14:textId="77777777" w:rsidR="00F1341F" w:rsidRPr="008340BB" w:rsidRDefault="00F1341F" w:rsidP="001B661C">
            <w:pPr>
              <w:jc w:val="center"/>
              <w:rPr>
                <w:b/>
                <w:sz w:val="18"/>
                <w:szCs w:val="18"/>
              </w:rPr>
            </w:pPr>
            <w:r w:rsidRPr="008340BB">
              <w:rPr>
                <w:b/>
                <w:sz w:val="18"/>
                <w:szCs w:val="18"/>
              </w:rPr>
              <w:t>Category of region</w:t>
            </w:r>
          </w:p>
        </w:tc>
        <w:tc>
          <w:tcPr>
            <w:tcW w:w="2693" w:type="dxa"/>
          </w:tcPr>
          <w:p w14:paraId="65240859" w14:textId="77777777" w:rsidR="00F1341F" w:rsidRPr="008340BB" w:rsidRDefault="00F1341F" w:rsidP="001B661C">
            <w:pPr>
              <w:jc w:val="center"/>
              <w:rPr>
                <w:sz w:val="20"/>
              </w:rPr>
            </w:pPr>
            <w:r w:rsidRPr="008340BB">
              <w:rPr>
                <w:b/>
                <w:sz w:val="18"/>
                <w:szCs w:val="18"/>
              </w:rPr>
              <w:t>Code</w:t>
            </w:r>
          </w:p>
        </w:tc>
        <w:tc>
          <w:tcPr>
            <w:tcW w:w="2977" w:type="dxa"/>
          </w:tcPr>
          <w:p w14:paraId="32612117" w14:textId="77777777" w:rsidR="00F1341F" w:rsidRPr="008340BB" w:rsidRDefault="00F1341F" w:rsidP="001B661C">
            <w:pPr>
              <w:jc w:val="center"/>
              <w:rPr>
                <w:sz w:val="20"/>
              </w:rPr>
            </w:pPr>
            <w:r w:rsidRPr="008340BB">
              <w:rPr>
                <w:b/>
                <w:sz w:val="18"/>
                <w:szCs w:val="18"/>
              </w:rPr>
              <w:t>Amount (EUR)</w:t>
            </w:r>
          </w:p>
        </w:tc>
      </w:tr>
      <w:tr w:rsidR="00F1341F" w:rsidRPr="008340BB" w14:paraId="48EF363F" w14:textId="77777777" w:rsidTr="00263449">
        <w:tc>
          <w:tcPr>
            <w:tcW w:w="1401" w:type="dxa"/>
          </w:tcPr>
          <w:p w14:paraId="78A61EDD" w14:textId="77777777" w:rsidR="00F1341F" w:rsidRPr="008340BB" w:rsidRDefault="00F1341F" w:rsidP="001B661C">
            <w:pPr>
              <w:pStyle w:val="Text1"/>
              <w:ind w:left="0"/>
              <w:jc w:val="left"/>
              <w:rPr>
                <w:b/>
                <w:sz w:val="18"/>
                <w:szCs w:val="18"/>
                <w:lang w:val="en-GB" w:eastAsia="en-GB"/>
              </w:rPr>
            </w:pPr>
            <w:r w:rsidRPr="008340BB">
              <w:rPr>
                <w:sz w:val="18"/>
                <w:szCs w:val="18"/>
                <w:lang w:val="en-GB" w:eastAsia="en-GB"/>
              </w:rPr>
              <w:t>ERDF</w:t>
            </w:r>
          </w:p>
        </w:tc>
        <w:tc>
          <w:tcPr>
            <w:tcW w:w="1401" w:type="dxa"/>
          </w:tcPr>
          <w:p w14:paraId="17FAEA0A" w14:textId="77777777" w:rsidR="00F1341F" w:rsidRPr="008340BB" w:rsidRDefault="00F1341F" w:rsidP="001B661C">
            <w:pPr>
              <w:pStyle w:val="Text1"/>
              <w:ind w:left="0"/>
              <w:jc w:val="left"/>
              <w:rPr>
                <w:b/>
                <w:sz w:val="18"/>
                <w:szCs w:val="18"/>
                <w:lang w:val="en-GB" w:eastAsia="en-GB"/>
              </w:rPr>
            </w:pPr>
            <w:r w:rsidRPr="008340BB">
              <w:rPr>
                <w:sz w:val="18"/>
                <w:szCs w:val="18"/>
                <w:lang w:val="en-GB" w:eastAsia="en-GB"/>
              </w:rPr>
              <w:t>Less developed</w:t>
            </w:r>
          </w:p>
        </w:tc>
        <w:tc>
          <w:tcPr>
            <w:tcW w:w="2693" w:type="dxa"/>
          </w:tcPr>
          <w:p w14:paraId="0FF14EE3" w14:textId="77777777" w:rsidR="00F1341F" w:rsidRPr="008340BB" w:rsidRDefault="00F1341F" w:rsidP="001B661C">
            <w:pPr>
              <w:pStyle w:val="Text1"/>
              <w:ind w:left="0"/>
              <w:jc w:val="left"/>
              <w:rPr>
                <w:sz w:val="18"/>
                <w:szCs w:val="18"/>
                <w:lang w:val="en-GB" w:eastAsia="en-GB"/>
              </w:rPr>
            </w:pPr>
            <w:r w:rsidRPr="008340BB">
              <w:rPr>
                <w:sz w:val="18"/>
                <w:szCs w:val="18"/>
                <w:lang w:val="en-GB" w:eastAsia="en-GB"/>
              </w:rPr>
              <w:t>039 Seaports (TEN-T)</w:t>
            </w:r>
          </w:p>
        </w:tc>
        <w:tc>
          <w:tcPr>
            <w:tcW w:w="2977" w:type="dxa"/>
          </w:tcPr>
          <w:p w14:paraId="3C0C72F9" w14:textId="77777777" w:rsidR="00996A30" w:rsidRPr="00996A30" w:rsidRDefault="00996A30" w:rsidP="00996A30">
            <w:pPr>
              <w:pStyle w:val="Text1"/>
              <w:ind w:left="0"/>
              <w:jc w:val="left"/>
              <w:rPr>
                <w:b/>
                <w:bCs/>
                <w:sz w:val="18"/>
                <w:szCs w:val="18"/>
              </w:rPr>
            </w:pPr>
            <w:r w:rsidRPr="00996A30">
              <w:rPr>
                <w:b/>
                <w:bCs/>
                <w:sz w:val="18"/>
                <w:szCs w:val="18"/>
              </w:rPr>
              <w:t>17 472 897,56</w:t>
            </w:r>
          </w:p>
          <w:p w14:paraId="376C185B" w14:textId="44994D04" w:rsidR="00F1341F" w:rsidRPr="000E75C4" w:rsidRDefault="00F1341F" w:rsidP="007928B5">
            <w:pPr>
              <w:pStyle w:val="Text1"/>
              <w:ind w:left="0"/>
              <w:jc w:val="left"/>
              <w:rPr>
                <w:sz w:val="18"/>
                <w:szCs w:val="18"/>
                <w:lang w:val="en-GB" w:eastAsia="en-GB"/>
              </w:rPr>
            </w:pPr>
          </w:p>
        </w:tc>
      </w:tr>
      <w:tr w:rsidR="00F1341F" w:rsidRPr="008340BB" w14:paraId="7F2D8A3F" w14:textId="77777777" w:rsidTr="00263449">
        <w:tc>
          <w:tcPr>
            <w:tcW w:w="1401" w:type="dxa"/>
          </w:tcPr>
          <w:p w14:paraId="1C00EAE7" w14:textId="77777777" w:rsidR="00F1341F" w:rsidRPr="008340BB" w:rsidRDefault="00F1341F" w:rsidP="001B661C">
            <w:pPr>
              <w:pStyle w:val="Text1"/>
              <w:ind w:left="0"/>
              <w:jc w:val="left"/>
              <w:rPr>
                <w:b/>
                <w:sz w:val="18"/>
                <w:szCs w:val="18"/>
                <w:lang w:val="en-GB" w:eastAsia="en-GB"/>
              </w:rPr>
            </w:pPr>
            <w:r w:rsidRPr="008340BB">
              <w:rPr>
                <w:sz w:val="18"/>
                <w:szCs w:val="18"/>
                <w:lang w:val="en-GB" w:eastAsia="en-GB"/>
              </w:rPr>
              <w:t>ERDF</w:t>
            </w:r>
          </w:p>
        </w:tc>
        <w:tc>
          <w:tcPr>
            <w:tcW w:w="1401" w:type="dxa"/>
          </w:tcPr>
          <w:p w14:paraId="6A40557D" w14:textId="77777777" w:rsidR="00F1341F" w:rsidRPr="008340BB" w:rsidRDefault="00F1341F" w:rsidP="001B661C">
            <w:pPr>
              <w:pStyle w:val="Text1"/>
              <w:ind w:left="0"/>
              <w:jc w:val="left"/>
              <w:rPr>
                <w:b/>
                <w:sz w:val="18"/>
                <w:szCs w:val="18"/>
                <w:lang w:val="en-GB" w:eastAsia="en-GB"/>
              </w:rPr>
            </w:pPr>
            <w:r w:rsidRPr="008340BB">
              <w:rPr>
                <w:sz w:val="18"/>
                <w:szCs w:val="18"/>
                <w:lang w:val="en-GB" w:eastAsia="en-GB"/>
              </w:rPr>
              <w:t>Less developed</w:t>
            </w:r>
          </w:p>
        </w:tc>
        <w:tc>
          <w:tcPr>
            <w:tcW w:w="2693" w:type="dxa"/>
          </w:tcPr>
          <w:p w14:paraId="411C97BE" w14:textId="77777777" w:rsidR="00F1341F" w:rsidRPr="008340BB" w:rsidRDefault="00F1341F" w:rsidP="001B661C">
            <w:pPr>
              <w:pStyle w:val="Text1"/>
              <w:ind w:left="0"/>
              <w:jc w:val="left"/>
              <w:rPr>
                <w:sz w:val="18"/>
                <w:szCs w:val="18"/>
                <w:lang w:val="en-GB" w:eastAsia="en-GB"/>
              </w:rPr>
            </w:pPr>
            <w:r w:rsidRPr="008340BB">
              <w:rPr>
                <w:sz w:val="18"/>
                <w:szCs w:val="18"/>
                <w:lang w:val="en-GB" w:eastAsia="en-GB"/>
              </w:rPr>
              <w:t>041 Inland waterways and ports (TEN-T)</w:t>
            </w:r>
          </w:p>
        </w:tc>
        <w:tc>
          <w:tcPr>
            <w:tcW w:w="2977" w:type="dxa"/>
          </w:tcPr>
          <w:p w14:paraId="2C9F0E39" w14:textId="77777777" w:rsidR="00996A30" w:rsidRPr="00996A30" w:rsidRDefault="00996A30" w:rsidP="00996A30">
            <w:pPr>
              <w:pStyle w:val="Text1"/>
              <w:ind w:left="0"/>
              <w:jc w:val="left"/>
              <w:rPr>
                <w:b/>
                <w:bCs/>
                <w:sz w:val="18"/>
                <w:szCs w:val="18"/>
              </w:rPr>
            </w:pPr>
            <w:r w:rsidRPr="00996A30">
              <w:rPr>
                <w:b/>
                <w:bCs/>
                <w:sz w:val="18"/>
                <w:szCs w:val="18"/>
              </w:rPr>
              <w:t>10 714 722,30</w:t>
            </w:r>
          </w:p>
          <w:p w14:paraId="00F62D1E" w14:textId="355A9D58" w:rsidR="00F1341F" w:rsidRPr="000E75C4" w:rsidRDefault="00F1341F" w:rsidP="007928B5">
            <w:pPr>
              <w:pStyle w:val="Text1"/>
              <w:ind w:left="0"/>
              <w:jc w:val="left"/>
              <w:rPr>
                <w:sz w:val="18"/>
                <w:szCs w:val="18"/>
                <w:lang w:val="en-GB" w:eastAsia="en-GB"/>
              </w:rPr>
            </w:pPr>
          </w:p>
        </w:tc>
      </w:tr>
      <w:tr w:rsidR="00F1341F" w:rsidRPr="008340BB" w14:paraId="695720B6" w14:textId="77777777" w:rsidTr="00263449">
        <w:tc>
          <w:tcPr>
            <w:tcW w:w="1401" w:type="dxa"/>
          </w:tcPr>
          <w:p w14:paraId="111D957E" w14:textId="77777777" w:rsidR="00F1341F" w:rsidRPr="008340BB" w:rsidRDefault="00F1341F" w:rsidP="001B661C">
            <w:pPr>
              <w:pStyle w:val="Text1"/>
              <w:ind w:left="0"/>
              <w:jc w:val="left"/>
              <w:rPr>
                <w:b/>
                <w:sz w:val="18"/>
                <w:szCs w:val="18"/>
                <w:lang w:val="en-GB" w:eastAsia="en-GB"/>
              </w:rPr>
            </w:pPr>
            <w:r w:rsidRPr="008340BB">
              <w:rPr>
                <w:sz w:val="18"/>
                <w:szCs w:val="18"/>
                <w:lang w:val="en-GB" w:eastAsia="en-GB"/>
              </w:rPr>
              <w:t>ERDF</w:t>
            </w:r>
          </w:p>
        </w:tc>
        <w:tc>
          <w:tcPr>
            <w:tcW w:w="1401" w:type="dxa"/>
          </w:tcPr>
          <w:p w14:paraId="36FCB281" w14:textId="77777777" w:rsidR="00F1341F" w:rsidRPr="008340BB" w:rsidRDefault="00F1341F" w:rsidP="001B661C">
            <w:pPr>
              <w:pStyle w:val="Text1"/>
              <w:ind w:left="0"/>
              <w:jc w:val="left"/>
              <w:rPr>
                <w:b/>
                <w:sz w:val="18"/>
                <w:szCs w:val="18"/>
                <w:lang w:val="en-GB" w:eastAsia="en-GB"/>
              </w:rPr>
            </w:pPr>
            <w:r w:rsidRPr="008340BB">
              <w:rPr>
                <w:sz w:val="18"/>
                <w:szCs w:val="18"/>
                <w:lang w:val="en-GB" w:eastAsia="en-GB"/>
              </w:rPr>
              <w:t>Less developed</w:t>
            </w:r>
          </w:p>
        </w:tc>
        <w:tc>
          <w:tcPr>
            <w:tcW w:w="2693" w:type="dxa"/>
          </w:tcPr>
          <w:p w14:paraId="1758CD64" w14:textId="77777777" w:rsidR="00F1341F" w:rsidRPr="008340BB" w:rsidRDefault="00F1341F" w:rsidP="001B661C">
            <w:pPr>
              <w:pStyle w:val="Text1"/>
              <w:ind w:left="0"/>
              <w:jc w:val="left"/>
              <w:rPr>
                <w:sz w:val="18"/>
                <w:szCs w:val="18"/>
                <w:lang w:val="en-GB" w:eastAsia="en-GB"/>
              </w:rPr>
            </w:pPr>
            <w:r w:rsidRPr="008340BB">
              <w:rPr>
                <w:sz w:val="18"/>
                <w:szCs w:val="18"/>
                <w:lang w:val="en-GB" w:eastAsia="en-GB"/>
              </w:rPr>
              <w:t>044 Intelligent transport systems (including the introduction of demand management, tolling systems, IT monitoring control and information systems)</w:t>
            </w:r>
          </w:p>
        </w:tc>
        <w:tc>
          <w:tcPr>
            <w:tcW w:w="2977" w:type="dxa"/>
          </w:tcPr>
          <w:p w14:paraId="06610BBB" w14:textId="77777777" w:rsidR="00996A30" w:rsidRPr="00996A30" w:rsidRDefault="00996A30" w:rsidP="00996A30">
            <w:pPr>
              <w:rPr>
                <w:b/>
                <w:bCs/>
                <w:sz w:val="18"/>
                <w:szCs w:val="18"/>
                <w:lang w:val="x-none" w:eastAsia="bg-BG"/>
              </w:rPr>
            </w:pPr>
            <w:r w:rsidRPr="00996A30">
              <w:rPr>
                <w:b/>
                <w:bCs/>
                <w:sz w:val="18"/>
                <w:szCs w:val="18"/>
                <w:lang w:val="x-none" w:eastAsia="bg-BG"/>
              </w:rPr>
              <w:t>12 173 860,75</w:t>
            </w:r>
          </w:p>
          <w:p w14:paraId="44CC3697" w14:textId="0E626CAF" w:rsidR="00F1341F" w:rsidRPr="000E75C4" w:rsidRDefault="00F1341F" w:rsidP="00D8544F">
            <w:pPr>
              <w:pStyle w:val="Text1"/>
              <w:ind w:left="0"/>
              <w:jc w:val="left"/>
              <w:rPr>
                <w:sz w:val="18"/>
                <w:szCs w:val="18"/>
                <w:lang w:val="en-GB" w:eastAsia="en-GB"/>
              </w:rPr>
            </w:pPr>
          </w:p>
        </w:tc>
      </w:tr>
      <w:tr w:rsidR="000533A4" w:rsidRPr="008340BB" w14:paraId="52464D92" w14:textId="77777777" w:rsidTr="00263449">
        <w:tc>
          <w:tcPr>
            <w:tcW w:w="1401" w:type="dxa"/>
          </w:tcPr>
          <w:p w14:paraId="17F4B9C1" w14:textId="255A1E4F" w:rsidR="000533A4" w:rsidRPr="008340BB" w:rsidRDefault="000533A4" w:rsidP="001B661C">
            <w:pPr>
              <w:pStyle w:val="Text1"/>
              <w:ind w:left="0"/>
              <w:jc w:val="left"/>
              <w:rPr>
                <w:sz w:val="18"/>
                <w:szCs w:val="18"/>
                <w:lang w:val="en-GB" w:eastAsia="en-GB"/>
              </w:rPr>
            </w:pPr>
            <w:r w:rsidRPr="000533A4">
              <w:rPr>
                <w:sz w:val="18"/>
                <w:szCs w:val="18"/>
                <w:lang w:val="en-GB" w:eastAsia="en-GB"/>
              </w:rPr>
              <w:t>ERDF</w:t>
            </w:r>
          </w:p>
        </w:tc>
        <w:tc>
          <w:tcPr>
            <w:tcW w:w="1401" w:type="dxa"/>
          </w:tcPr>
          <w:p w14:paraId="2286CFCC" w14:textId="494EE846" w:rsidR="000533A4" w:rsidRPr="008340BB" w:rsidRDefault="000533A4" w:rsidP="001B661C">
            <w:pPr>
              <w:pStyle w:val="Text1"/>
              <w:ind w:left="0"/>
              <w:jc w:val="left"/>
              <w:rPr>
                <w:sz w:val="18"/>
                <w:szCs w:val="18"/>
                <w:lang w:val="en-GB" w:eastAsia="en-GB"/>
              </w:rPr>
            </w:pPr>
            <w:r w:rsidRPr="000533A4">
              <w:rPr>
                <w:sz w:val="18"/>
                <w:szCs w:val="18"/>
                <w:lang w:val="en-GB" w:eastAsia="en-GB"/>
              </w:rPr>
              <w:t>Less developed</w:t>
            </w:r>
          </w:p>
        </w:tc>
        <w:tc>
          <w:tcPr>
            <w:tcW w:w="2693" w:type="dxa"/>
          </w:tcPr>
          <w:p w14:paraId="28DE7ECE" w14:textId="0AEC57A8" w:rsidR="000533A4" w:rsidRPr="008340BB" w:rsidRDefault="000533A4" w:rsidP="001B661C">
            <w:pPr>
              <w:pStyle w:val="Text1"/>
              <w:ind w:left="0"/>
              <w:jc w:val="left"/>
              <w:rPr>
                <w:sz w:val="18"/>
                <w:szCs w:val="18"/>
                <w:lang w:val="en-GB" w:eastAsia="en-GB"/>
              </w:rPr>
            </w:pPr>
            <w:r w:rsidRPr="000533A4">
              <w:rPr>
                <w:sz w:val="18"/>
                <w:szCs w:val="18"/>
                <w:lang w:val="en-GB" w:eastAsia="en-GB"/>
              </w:rPr>
              <w:t>043 Clean urban transport infrastructure and promotion (including equipment and rolling stock)</w:t>
            </w:r>
          </w:p>
        </w:tc>
        <w:tc>
          <w:tcPr>
            <w:tcW w:w="2977" w:type="dxa"/>
          </w:tcPr>
          <w:p w14:paraId="4683DF39" w14:textId="77777777" w:rsidR="00996A30" w:rsidRPr="00996A30" w:rsidRDefault="00996A30" w:rsidP="00996A30">
            <w:pPr>
              <w:rPr>
                <w:b/>
                <w:bCs/>
                <w:sz w:val="18"/>
                <w:szCs w:val="18"/>
                <w:lang w:val="bg-BG" w:eastAsia="bg-BG"/>
              </w:rPr>
            </w:pPr>
            <w:r w:rsidRPr="00996A30">
              <w:rPr>
                <w:b/>
                <w:bCs/>
                <w:sz w:val="18"/>
                <w:szCs w:val="18"/>
                <w:lang w:val="bg-BG" w:eastAsia="bg-BG"/>
              </w:rPr>
              <w:t>7 134 362,39</w:t>
            </w:r>
          </w:p>
          <w:p w14:paraId="7AB3796D" w14:textId="0A91D10D" w:rsidR="000533A4" w:rsidRPr="00BC27C1" w:rsidRDefault="000533A4" w:rsidP="00E2480F">
            <w:pPr>
              <w:pStyle w:val="Text1"/>
              <w:ind w:left="0"/>
              <w:jc w:val="left"/>
              <w:rPr>
                <w:b/>
                <w:sz w:val="18"/>
                <w:szCs w:val="18"/>
                <w:lang w:eastAsia="en-GB"/>
              </w:rPr>
            </w:pPr>
          </w:p>
        </w:tc>
      </w:tr>
    </w:tbl>
    <w:p w14:paraId="4E8EC87F" w14:textId="77777777" w:rsidR="00F1341F" w:rsidRPr="008340BB" w:rsidRDefault="00F1341F" w:rsidP="00C37144">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03C74CC7" w14:textId="77777777" w:rsidTr="001B661C">
        <w:trPr>
          <w:trHeight w:val="364"/>
        </w:trPr>
        <w:tc>
          <w:tcPr>
            <w:tcW w:w="8472" w:type="dxa"/>
            <w:gridSpan w:val="4"/>
          </w:tcPr>
          <w:p w14:paraId="56AE9CEE" w14:textId="77777777" w:rsidR="00F1341F" w:rsidRPr="008340BB" w:rsidRDefault="00F1341F" w:rsidP="001B661C">
            <w:pPr>
              <w:autoSpaceDE w:val="0"/>
              <w:autoSpaceDN w:val="0"/>
              <w:adjustRightInd w:val="0"/>
              <w:spacing w:after="0"/>
              <w:jc w:val="left"/>
              <w:rPr>
                <w:rFonts w:ascii="TimesNewRoman" w:cs="TimesNewRoman"/>
                <w:b/>
                <w:color w:val="000000"/>
                <w:sz w:val="20"/>
              </w:rPr>
            </w:pPr>
            <w:r w:rsidRPr="008340BB">
              <w:rPr>
                <w:rFonts w:ascii="TimesNewRoman,Bold" w:hAnsi="TimesNewRoman,Bold" w:cs="TimesNewRoman,Bold"/>
                <w:b/>
                <w:bCs/>
                <w:color w:val="000000"/>
                <w:sz w:val="20"/>
              </w:rPr>
              <w:t>Table 8: Dimension 2 – Form of finance</w:t>
            </w:r>
          </w:p>
        </w:tc>
      </w:tr>
      <w:tr w:rsidR="00F1341F" w:rsidRPr="008340BB" w14:paraId="578B6227" w14:textId="77777777" w:rsidTr="001B661C">
        <w:trPr>
          <w:trHeight w:val="364"/>
        </w:trPr>
        <w:tc>
          <w:tcPr>
            <w:tcW w:w="2802" w:type="dxa"/>
            <w:gridSpan w:val="2"/>
          </w:tcPr>
          <w:p w14:paraId="0FD91A81" w14:textId="77777777" w:rsidR="00F1341F" w:rsidRPr="008340BB" w:rsidRDefault="00F1341F" w:rsidP="001B661C">
            <w:pPr>
              <w:autoSpaceDE w:val="0"/>
              <w:autoSpaceDN w:val="0"/>
              <w:adjustRightInd w:val="0"/>
              <w:spacing w:after="0"/>
              <w:jc w:val="left"/>
              <w:rPr>
                <w:bCs/>
                <w:sz w:val="20"/>
              </w:rPr>
            </w:pPr>
            <w:r w:rsidRPr="008340BB">
              <w:rPr>
                <w:b/>
                <w:sz w:val="18"/>
                <w:szCs w:val="18"/>
              </w:rPr>
              <w:t>Priority axis</w:t>
            </w:r>
            <w:r w:rsidRPr="008340BB" w:rsidDel="009B2310">
              <w:rPr>
                <w:bCs/>
                <w:sz w:val="20"/>
              </w:rPr>
              <w:t xml:space="preserve"> </w:t>
            </w:r>
          </w:p>
        </w:tc>
        <w:tc>
          <w:tcPr>
            <w:tcW w:w="5670" w:type="dxa"/>
            <w:gridSpan w:val="2"/>
          </w:tcPr>
          <w:p w14:paraId="16DA80C9" w14:textId="77777777" w:rsidR="00F1341F" w:rsidRPr="008340BB" w:rsidRDefault="00F1341F" w:rsidP="00584DD7">
            <w:pPr>
              <w:autoSpaceDE w:val="0"/>
              <w:autoSpaceDN w:val="0"/>
              <w:adjustRightInd w:val="0"/>
              <w:spacing w:after="0"/>
              <w:rPr>
                <w:bCs/>
                <w:sz w:val="20"/>
              </w:rPr>
            </w:pPr>
            <w:r w:rsidRPr="008340BB">
              <w:rPr>
                <w:b/>
                <w:sz w:val="18"/>
                <w:szCs w:val="18"/>
              </w:rPr>
              <w:t>“Innovations in management and services - establishment of modern infrastructure for traffic management and transport safety</w:t>
            </w:r>
            <w:r w:rsidRPr="008340BB">
              <w:rPr>
                <w:b/>
              </w:rPr>
              <w:t xml:space="preserve"> </w:t>
            </w:r>
            <w:r w:rsidRPr="008340BB">
              <w:rPr>
                <w:b/>
                <w:sz w:val="18"/>
                <w:szCs w:val="18"/>
              </w:rPr>
              <w:t>improvement”</w:t>
            </w:r>
          </w:p>
        </w:tc>
      </w:tr>
      <w:tr w:rsidR="00F1341F" w:rsidRPr="008340BB" w14:paraId="26BE17E6" w14:textId="77777777" w:rsidTr="00EC6B23">
        <w:trPr>
          <w:trHeight w:val="421"/>
        </w:trPr>
        <w:tc>
          <w:tcPr>
            <w:tcW w:w="1401" w:type="dxa"/>
          </w:tcPr>
          <w:p w14:paraId="194168C8" w14:textId="77777777" w:rsidR="00F1341F" w:rsidRPr="008340BB" w:rsidRDefault="00F1341F" w:rsidP="00EF377C">
            <w:pPr>
              <w:suppressAutoHyphens/>
              <w:jc w:val="center"/>
              <w:rPr>
                <w:i/>
                <w:color w:val="8DB3E2"/>
                <w:sz w:val="18"/>
                <w:szCs w:val="18"/>
              </w:rPr>
            </w:pPr>
            <w:r w:rsidRPr="008340BB">
              <w:rPr>
                <w:b/>
                <w:sz w:val="18"/>
                <w:szCs w:val="18"/>
              </w:rPr>
              <w:t>Fund</w:t>
            </w:r>
          </w:p>
        </w:tc>
        <w:tc>
          <w:tcPr>
            <w:tcW w:w="1401" w:type="dxa"/>
          </w:tcPr>
          <w:p w14:paraId="7D5D88BC" w14:textId="77777777" w:rsidR="00F1341F" w:rsidRPr="008340BB" w:rsidRDefault="00F1341F" w:rsidP="00EF377C">
            <w:pPr>
              <w:pStyle w:val="Text1"/>
              <w:ind w:left="0"/>
              <w:jc w:val="center"/>
              <w:rPr>
                <w:b/>
                <w:sz w:val="18"/>
                <w:szCs w:val="18"/>
                <w:lang w:val="en-GB" w:eastAsia="en-GB"/>
              </w:rPr>
            </w:pPr>
            <w:r w:rsidRPr="008340BB">
              <w:rPr>
                <w:b/>
                <w:sz w:val="18"/>
                <w:szCs w:val="18"/>
                <w:lang w:val="en-GB" w:eastAsia="en-GB"/>
              </w:rPr>
              <w:t>Category of region</w:t>
            </w:r>
          </w:p>
        </w:tc>
        <w:tc>
          <w:tcPr>
            <w:tcW w:w="2693" w:type="dxa"/>
          </w:tcPr>
          <w:p w14:paraId="08538A76" w14:textId="77777777" w:rsidR="00F1341F" w:rsidRPr="008340BB" w:rsidRDefault="00F1341F" w:rsidP="001B661C">
            <w:pPr>
              <w:jc w:val="center"/>
              <w:rPr>
                <w:sz w:val="20"/>
              </w:rPr>
            </w:pPr>
            <w:r w:rsidRPr="008340BB">
              <w:rPr>
                <w:b/>
                <w:sz w:val="18"/>
                <w:szCs w:val="18"/>
              </w:rPr>
              <w:t>Code</w:t>
            </w:r>
          </w:p>
        </w:tc>
        <w:tc>
          <w:tcPr>
            <w:tcW w:w="2977" w:type="dxa"/>
          </w:tcPr>
          <w:p w14:paraId="07F39595" w14:textId="77777777" w:rsidR="00F1341F" w:rsidRPr="008340BB" w:rsidRDefault="00F1341F" w:rsidP="001B661C">
            <w:pPr>
              <w:jc w:val="center"/>
              <w:rPr>
                <w:sz w:val="20"/>
              </w:rPr>
            </w:pPr>
            <w:r w:rsidRPr="008340BB">
              <w:rPr>
                <w:b/>
                <w:sz w:val="18"/>
                <w:szCs w:val="18"/>
              </w:rPr>
              <w:t>Amount (EUR)</w:t>
            </w:r>
          </w:p>
        </w:tc>
      </w:tr>
      <w:tr w:rsidR="00F1341F" w:rsidRPr="008340BB" w14:paraId="447F185D" w14:textId="77777777" w:rsidTr="00263449">
        <w:tc>
          <w:tcPr>
            <w:tcW w:w="1401" w:type="dxa"/>
          </w:tcPr>
          <w:p w14:paraId="65A790D1" w14:textId="77777777" w:rsidR="00F1341F" w:rsidRPr="008340BB" w:rsidRDefault="00F1341F" w:rsidP="001B661C">
            <w:pPr>
              <w:pStyle w:val="Text1"/>
              <w:ind w:left="0"/>
              <w:jc w:val="left"/>
              <w:rPr>
                <w:sz w:val="18"/>
                <w:szCs w:val="18"/>
                <w:lang w:val="en-GB" w:eastAsia="en-GB"/>
              </w:rPr>
            </w:pPr>
            <w:r w:rsidRPr="008340BB">
              <w:rPr>
                <w:sz w:val="18"/>
                <w:szCs w:val="18"/>
                <w:lang w:val="en-GB" w:eastAsia="en-GB"/>
              </w:rPr>
              <w:t>ERDF</w:t>
            </w:r>
          </w:p>
        </w:tc>
        <w:tc>
          <w:tcPr>
            <w:tcW w:w="1401" w:type="dxa"/>
          </w:tcPr>
          <w:p w14:paraId="686B9FF4" w14:textId="77777777" w:rsidR="00F1341F" w:rsidRPr="008340BB" w:rsidRDefault="00F1341F" w:rsidP="001B661C">
            <w:pPr>
              <w:pStyle w:val="Text1"/>
              <w:ind w:left="0"/>
              <w:jc w:val="left"/>
              <w:rPr>
                <w:sz w:val="18"/>
                <w:szCs w:val="18"/>
                <w:lang w:val="en-GB" w:eastAsia="en-GB"/>
              </w:rPr>
            </w:pPr>
            <w:r w:rsidRPr="008340BB">
              <w:rPr>
                <w:sz w:val="18"/>
                <w:szCs w:val="18"/>
                <w:lang w:val="en-GB" w:eastAsia="en-GB"/>
              </w:rPr>
              <w:t>Less developed</w:t>
            </w:r>
          </w:p>
        </w:tc>
        <w:tc>
          <w:tcPr>
            <w:tcW w:w="2693" w:type="dxa"/>
          </w:tcPr>
          <w:p w14:paraId="03E4416A" w14:textId="77777777" w:rsidR="00F1341F" w:rsidRPr="008340BB" w:rsidRDefault="00F1341F" w:rsidP="001B661C">
            <w:pPr>
              <w:pStyle w:val="Text1"/>
              <w:ind w:left="0"/>
              <w:jc w:val="left"/>
              <w:rPr>
                <w:sz w:val="18"/>
                <w:szCs w:val="18"/>
                <w:lang w:val="en-GB" w:eastAsia="en-GB"/>
              </w:rPr>
            </w:pPr>
            <w:r w:rsidRPr="008340BB">
              <w:rPr>
                <w:sz w:val="18"/>
                <w:szCs w:val="18"/>
                <w:lang w:val="en-GB" w:eastAsia="en-GB"/>
              </w:rPr>
              <w:t xml:space="preserve">01 Non-repayable grant </w:t>
            </w:r>
          </w:p>
        </w:tc>
        <w:tc>
          <w:tcPr>
            <w:tcW w:w="2977" w:type="dxa"/>
          </w:tcPr>
          <w:p w14:paraId="48186DFD" w14:textId="77777777" w:rsidR="005D16E3" w:rsidRPr="005D16E3" w:rsidRDefault="005D16E3" w:rsidP="005D16E3">
            <w:pPr>
              <w:rPr>
                <w:b/>
                <w:sz w:val="18"/>
                <w:szCs w:val="18"/>
              </w:rPr>
            </w:pPr>
            <w:r w:rsidRPr="005D16E3">
              <w:rPr>
                <w:b/>
                <w:sz w:val="18"/>
                <w:szCs w:val="18"/>
              </w:rPr>
              <w:t>47 495 843,00</w:t>
            </w:r>
          </w:p>
          <w:p w14:paraId="66AE36F4" w14:textId="5FCDACA5" w:rsidR="00F1341F" w:rsidRPr="008340BB" w:rsidRDefault="00F1341F" w:rsidP="00D8544F">
            <w:pPr>
              <w:pStyle w:val="Text1"/>
              <w:ind w:left="0"/>
              <w:jc w:val="left"/>
              <w:rPr>
                <w:sz w:val="18"/>
                <w:szCs w:val="18"/>
                <w:lang w:val="en-GB" w:eastAsia="en-GB"/>
              </w:rPr>
            </w:pPr>
          </w:p>
        </w:tc>
      </w:tr>
    </w:tbl>
    <w:p w14:paraId="5AD68CF0" w14:textId="77777777" w:rsidR="00F1341F" w:rsidRPr="008340BB" w:rsidRDefault="00F1341F" w:rsidP="00C37144">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67DBE8FD" w14:textId="77777777" w:rsidTr="001B661C">
        <w:trPr>
          <w:trHeight w:val="364"/>
        </w:trPr>
        <w:tc>
          <w:tcPr>
            <w:tcW w:w="8472" w:type="dxa"/>
            <w:gridSpan w:val="4"/>
          </w:tcPr>
          <w:p w14:paraId="73E9B544" w14:textId="77777777" w:rsidR="00F1341F" w:rsidRPr="008340BB" w:rsidRDefault="00F1341F" w:rsidP="001B661C">
            <w:pPr>
              <w:autoSpaceDE w:val="0"/>
              <w:autoSpaceDN w:val="0"/>
              <w:adjustRightInd w:val="0"/>
              <w:spacing w:after="0"/>
              <w:jc w:val="left"/>
              <w:rPr>
                <w:rFonts w:ascii="TimesNewRoman" w:cs="TimesNewRoman"/>
                <w:b/>
                <w:color w:val="000000"/>
                <w:sz w:val="20"/>
              </w:rPr>
            </w:pPr>
            <w:r w:rsidRPr="008340BB">
              <w:rPr>
                <w:rFonts w:ascii="TimesNewRoman,Bold" w:hAnsi="TimesNewRoman,Bold" w:cs="TimesNewRoman,Bold"/>
                <w:b/>
                <w:bCs/>
                <w:color w:val="000000"/>
                <w:sz w:val="20"/>
              </w:rPr>
              <w:t>Table 9: Dimension 3 – Territory type</w:t>
            </w:r>
          </w:p>
        </w:tc>
      </w:tr>
      <w:tr w:rsidR="00F1341F" w:rsidRPr="008340BB" w14:paraId="6C34ED26" w14:textId="77777777" w:rsidTr="001B661C">
        <w:trPr>
          <w:trHeight w:val="364"/>
        </w:trPr>
        <w:tc>
          <w:tcPr>
            <w:tcW w:w="2802" w:type="dxa"/>
            <w:gridSpan w:val="2"/>
          </w:tcPr>
          <w:p w14:paraId="7A861257" w14:textId="77777777" w:rsidR="00F1341F" w:rsidRPr="008340BB" w:rsidRDefault="00F1341F" w:rsidP="001B661C">
            <w:pPr>
              <w:autoSpaceDE w:val="0"/>
              <w:autoSpaceDN w:val="0"/>
              <w:adjustRightInd w:val="0"/>
              <w:spacing w:after="0"/>
              <w:jc w:val="left"/>
              <w:rPr>
                <w:bCs/>
                <w:sz w:val="20"/>
              </w:rPr>
            </w:pPr>
            <w:r w:rsidRPr="008340BB">
              <w:rPr>
                <w:b/>
                <w:sz w:val="18"/>
                <w:szCs w:val="18"/>
              </w:rPr>
              <w:t>Priority axis</w:t>
            </w:r>
            <w:r w:rsidRPr="008340BB" w:rsidDel="009B2310">
              <w:rPr>
                <w:bCs/>
                <w:sz w:val="20"/>
              </w:rPr>
              <w:t xml:space="preserve"> </w:t>
            </w:r>
          </w:p>
        </w:tc>
        <w:tc>
          <w:tcPr>
            <w:tcW w:w="5670" w:type="dxa"/>
            <w:gridSpan w:val="2"/>
          </w:tcPr>
          <w:p w14:paraId="047A8B0C" w14:textId="77777777" w:rsidR="00F1341F" w:rsidRPr="008340BB" w:rsidRDefault="00F1341F" w:rsidP="00584DD7">
            <w:pPr>
              <w:autoSpaceDE w:val="0"/>
              <w:autoSpaceDN w:val="0"/>
              <w:adjustRightInd w:val="0"/>
              <w:spacing w:after="0"/>
              <w:rPr>
                <w:bCs/>
                <w:sz w:val="20"/>
              </w:rPr>
            </w:pPr>
            <w:r w:rsidRPr="008340BB">
              <w:rPr>
                <w:b/>
                <w:sz w:val="18"/>
                <w:szCs w:val="18"/>
              </w:rPr>
              <w:t>“Innovations in management and services - establishment of modern infrastructure for traffic management and transport safety</w:t>
            </w:r>
            <w:r w:rsidRPr="008340BB">
              <w:rPr>
                <w:b/>
              </w:rPr>
              <w:t xml:space="preserve"> </w:t>
            </w:r>
            <w:r w:rsidRPr="008340BB">
              <w:rPr>
                <w:b/>
                <w:sz w:val="18"/>
                <w:szCs w:val="18"/>
              </w:rPr>
              <w:t>improvement”</w:t>
            </w:r>
          </w:p>
        </w:tc>
      </w:tr>
      <w:tr w:rsidR="00F1341F" w:rsidRPr="008340BB" w14:paraId="4957FB9B" w14:textId="77777777" w:rsidTr="00263449">
        <w:trPr>
          <w:trHeight w:val="267"/>
        </w:trPr>
        <w:tc>
          <w:tcPr>
            <w:tcW w:w="1401" w:type="dxa"/>
          </w:tcPr>
          <w:p w14:paraId="457AC7EF" w14:textId="77777777" w:rsidR="00F1341F" w:rsidRPr="008340BB" w:rsidRDefault="00F1341F" w:rsidP="001B661C">
            <w:pPr>
              <w:jc w:val="center"/>
              <w:rPr>
                <w:b/>
                <w:sz w:val="18"/>
                <w:szCs w:val="18"/>
              </w:rPr>
            </w:pPr>
            <w:r w:rsidRPr="008340BB">
              <w:rPr>
                <w:b/>
                <w:sz w:val="18"/>
                <w:szCs w:val="18"/>
              </w:rPr>
              <w:lastRenderedPageBreak/>
              <w:t>Fund</w:t>
            </w:r>
          </w:p>
        </w:tc>
        <w:tc>
          <w:tcPr>
            <w:tcW w:w="1401" w:type="dxa"/>
          </w:tcPr>
          <w:p w14:paraId="125502DB" w14:textId="77777777" w:rsidR="00F1341F" w:rsidRPr="008340BB" w:rsidRDefault="00F1341F" w:rsidP="001B661C">
            <w:pPr>
              <w:jc w:val="center"/>
              <w:rPr>
                <w:b/>
                <w:sz w:val="18"/>
                <w:szCs w:val="18"/>
              </w:rPr>
            </w:pPr>
            <w:r w:rsidRPr="008340BB">
              <w:rPr>
                <w:b/>
                <w:sz w:val="18"/>
                <w:szCs w:val="18"/>
              </w:rPr>
              <w:t>Category of region</w:t>
            </w:r>
          </w:p>
        </w:tc>
        <w:tc>
          <w:tcPr>
            <w:tcW w:w="2693" w:type="dxa"/>
          </w:tcPr>
          <w:p w14:paraId="625B35AB" w14:textId="77777777" w:rsidR="00F1341F" w:rsidRPr="008340BB" w:rsidRDefault="00F1341F" w:rsidP="001B661C">
            <w:pPr>
              <w:jc w:val="center"/>
              <w:rPr>
                <w:sz w:val="20"/>
              </w:rPr>
            </w:pPr>
            <w:r w:rsidRPr="008340BB">
              <w:rPr>
                <w:b/>
                <w:sz w:val="18"/>
                <w:szCs w:val="18"/>
              </w:rPr>
              <w:t>Code</w:t>
            </w:r>
          </w:p>
        </w:tc>
        <w:tc>
          <w:tcPr>
            <w:tcW w:w="2977" w:type="dxa"/>
          </w:tcPr>
          <w:p w14:paraId="6026BE1B" w14:textId="77777777" w:rsidR="00F1341F" w:rsidRPr="008340BB" w:rsidRDefault="00F1341F" w:rsidP="001B661C">
            <w:pPr>
              <w:jc w:val="center"/>
              <w:rPr>
                <w:sz w:val="20"/>
              </w:rPr>
            </w:pPr>
            <w:r w:rsidRPr="008340BB">
              <w:rPr>
                <w:b/>
                <w:sz w:val="18"/>
                <w:szCs w:val="18"/>
              </w:rPr>
              <w:t>Amount (EUR)</w:t>
            </w:r>
          </w:p>
        </w:tc>
      </w:tr>
      <w:tr w:rsidR="00F1341F" w:rsidRPr="008340BB" w14:paraId="62B8B0C1" w14:textId="77777777" w:rsidTr="00263449">
        <w:tc>
          <w:tcPr>
            <w:tcW w:w="1401" w:type="dxa"/>
          </w:tcPr>
          <w:p w14:paraId="4F5C556E" w14:textId="77777777" w:rsidR="00F1341F" w:rsidRPr="008340BB" w:rsidRDefault="00F1341F" w:rsidP="001B661C">
            <w:pPr>
              <w:pStyle w:val="Text1"/>
              <w:ind w:left="0"/>
              <w:jc w:val="left"/>
              <w:rPr>
                <w:sz w:val="18"/>
                <w:szCs w:val="18"/>
                <w:lang w:val="en-GB" w:eastAsia="en-GB"/>
              </w:rPr>
            </w:pPr>
            <w:r w:rsidRPr="008340BB">
              <w:rPr>
                <w:sz w:val="18"/>
                <w:szCs w:val="18"/>
                <w:lang w:val="en-GB" w:eastAsia="en-GB"/>
              </w:rPr>
              <w:t>ERDF</w:t>
            </w:r>
          </w:p>
        </w:tc>
        <w:tc>
          <w:tcPr>
            <w:tcW w:w="1401" w:type="dxa"/>
          </w:tcPr>
          <w:p w14:paraId="24463AEC" w14:textId="77777777" w:rsidR="00F1341F" w:rsidRPr="008340BB" w:rsidRDefault="00F1341F" w:rsidP="001B661C">
            <w:pPr>
              <w:pStyle w:val="Text1"/>
              <w:ind w:left="0"/>
              <w:jc w:val="left"/>
              <w:rPr>
                <w:sz w:val="18"/>
                <w:szCs w:val="18"/>
                <w:lang w:val="en-GB" w:eastAsia="en-GB"/>
              </w:rPr>
            </w:pPr>
            <w:r w:rsidRPr="008340BB">
              <w:rPr>
                <w:sz w:val="18"/>
                <w:szCs w:val="18"/>
                <w:lang w:val="en-GB" w:eastAsia="en-GB"/>
              </w:rPr>
              <w:t>Less developed</w:t>
            </w:r>
          </w:p>
        </w:tc>
        <w:tc>
          <w:tcPr>
            <w:tcW w:w="2693" w:type="dxa"/>
          </w:tcPr>
          <w:p w14:paraId="354F4108" w14:textId="77777777" w:rsidR="00F1341F" w:rsidRPr="008340BB" w:rsidRDefault="00F1341F" w:rsidP="001B661C">
            <w:pPr>
              <w:pStyle w:val="Text1"/>
              <w:ind w:left="0"/>
              <w:jc w:val="left"/>
              <w:rPr>
                <w:sz w:val="18"/>
                <w:szCs w:val="18"/>
                <w:lang w:val="en-GB" w:eastAsia="en-GB"/>
              </w:rPr>
            </w:pPr>
            <w:r w:rsidRPr="008340BB">
              <w:rPr>
                <w:sz w:val="18"/>
                <w:szCs w:val="18"/>
                <w:lang w:val="en-GB" w:eastAsia="en-GB"/>
              </w:rPr>
              <w:t xml:space="preserve">00 Not applicable </w:t>
            </w:r>
          </w:p>
        </w:tc>
        <w:tc>
          <w:tcPr>
            <w:tcW w:w="2977" w:type="dxa"/>
          </w:tcPr>
          <w:p w14:paraId="1D39C030" w14:textId="77777777" w:rsidR="005D16E3" w:rsidRPr="005D16E3" w:rsidRDefault="005D16E3" w:rsidP="005D16E3">
            <w:pPr>
              <w:rPr>
                <w:b/>
                <w:sz w:val="18"/>
                <w:szCs w:val="18"/>
              </w:rPr>
            </w:pPr>
            <w:r w:rsidRPr="005D16E3">
              <w:rPr>
                <w:b/>
                <w:sz w:val="18"/>
                <w:szCs w:val="18"/>
              </w:rPr>
              <w:t>47 495 843,00</w:t>
            </w:r>
          </w:p>
          <w:p w14:paraId="3C7EACD1" w14:textId="70650EA7" w:rsidR="00F1341F" w:rsidRPr="008340BB" w:rsidRDefault="00F1341F" w:rsidP="00DD1D16">
            <w:pPr>
              <w:pStyle w:val="Text1"/>
              <w:ind w:left="0"/>
              <w:jc w:val="left"/>
              <w:rPr>
                <w:sz w:val="18"/>
                <w:szCs w:val="18"/>
                <w:lang w:val="en-GB" w:eastAsia="en-GB"/>
              </w:rPr>
            </w:pPr>
          </w:p>
        </w:tc>
      </w:tr>
    </w:tbl>
    <w:p w14:paraId="6261CC5B" w14:textId="77777777" w:rsidR="00F1341F" w:rsidRPr="008340BB" w:rsidRDefault="00F1341F" w:rsidP="00C37144">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092B3AC4" w14:textId="77777777" w:rsidTr="001B661C">
        <w:trPr>
          <w:trHeight w:val="364"/>
        </w:trPr>
        <w:tc>
          <w:tcPr>
            <w:tcW w:w="8472" w:type="dxa"/>
            <w:gridSpan w:val="4"/>
          </w:tcPr>
          <w:p w14:paraId="5CE99CA5" w14:textId="77777777" w:rsidR="00F1341F" w:rsidRPr="008340BB" w:rsidRDefault="00F1341F" w:rsidP="001B661C">
            <w:pPr>
              <w:autoSpaceDE w:val="0"/>
              <w:autoSpaceDN w:val="0"/>
              <w:adjustRightInd w:val="0"/>
              <w:spacing w:after="0"/>
              <w:jc w:val="left"/>
              <w:rPr>
                <w:rFonts w:ascii="TimesNewRoman" w:cs="TimesNewRoman"/>
                <w:b/>
                <w:color w:val="000000"/>
                <w:sz w:val="20"/>
              </w:rPr>
            </w:pPr>
            <w:r w:rsidRPr="008340BB">
              <w:rPr>
                <w:rFonts w:ascii="TimesNewRoman,Bold" w:hAnsi="TimesNewRoman,Bold" w:cs="TimesNewRoman,Bold"/>
                <w:b/>
                <w:bCs/>
                <w:color w:val="000000"/>
                <w:sz w:val="20"/>
              </w:rPr>
              <w:t>Table 10: Dimension 4 – Territorial delivery mechanisms</w:t>
            </w:r>
          </w:p>
        </w:tc>
      </w:tr>
      <w:tr w:rsidR="00F1341F" w:rsidRPr="008340BB" w14:paraId="62B8BCEB" w14:textId="77777777" w:rsidTr="001B661C">
        <w:trPr>
          <w:trHeight w:val="364"/>
        </w:trPr>
        <w:tc>
          <w:tcPr>
            <w:tcW w:w="2802" w:type="dxa"/>
            <w:gridSpan w:val="2"/>
          </w:tcPr>
          <w:p w14:paraId="5A7A15FE" w14:textId="77777777" w:rsidR="00F1341F" w:rsidRPr="008340BB" w:rsidRDefault="00F1341F" w:rsidP="001B661C">
            <w:pPr>
              <w:autoSpaceDE w:val="0"/>
              <w:autoSpaceDN w:val="0"/>
              <w:adjustRightInd w:val="0"/>
              <w:spacing w:after="0"/>
              <w:jc w:val="left"/>
              <w:rPr>
                <w:bCs/>
                <w:sz w:val="20"/>
              </w:rPr>
            </w:pPr>
            <w:r w:rsidRPr="008340BB">
              <w:rPr>
                <w:b/>
                <w:sz w:val="18"/>
                <w:szCs w:val="18"/>
              </w:rPr>
              <w:t>Priority axis</w:t>
            </w:r>
            <w:r w:rsidRPr="008340BB" w:rsidDel="009B2310">
              <w:rPr>
                <w:bCs/>
                <w:sz w:val="20"/>
              </w:rPr>
              <w:t xml:space="preserve"> </w:t>
            </w:r>
          </w:p>
        </w:tc>
        <w:tc>
          <w:tcPr>
            <w:tcW w:w="5670" w:type="dxa"/>
            <w:gridSpan w:val="2"/>
          </w:tcPr>
          <w:p w14:paraId="18AA923C" w14:textId="77777777" w:rsidR="00F1341F" w:rsidRPr="008340BB" w:rsidRDefault="00F1341F" w:rsidP="00584DD7">
            <w:pPr>
              <w:autoSpaceDE w:val="0"/>
              <w:autoSpaceDN w:val="0"/>
              <w:adjustRightInd w:val="0"/>
              <w:spacing w:after="0"/>
              <w:rPr>
                <w:bCs/>
                <w:sz w:val="20"/>
              </w:rPr>
            </w:pPr>
            <w:r w:rsidRPr="008340BB">
              <w:rPr>
                <w:b/>
                <w:sz w:val="18"/>
                <w:szCs w:val="18"/>
              </w:rPr>
              <w:t>“Innovations in management and services - establishment of modern infrastructure for traffic management and transport safety</w:t>
            </w:r>
            <w:r w:rsidRPr="008340BB">
              <w:rPr>
                <w:b/>
              </w:rPr>
              <w:t xml:space="preserve"> </w:t>
            </w:r>
            <w:r w:rsidRPr="008340BB">
              <w:rPr>
                <w:b/>
                <w:sz w:val="18"/>
                <w:szCs w:val="18"/>
              </w:rPr>
              <w:t>improvement”</w:t>
            </w:r>
          </w:p>
        </w:tc>
      </w:tr>
      <w:tr w:rsidR="00F1341F" w:rsidRPr="008340BB" w14:paraId="34467CC1" w14:textId="77777777" w:rsidTr="00D5318A">
        <w:trPr>
          <w:trHeight w:val="475"/>
        </w:trPr>
        <w:tc>
          <w:tcPr>
            <w:tcW w:w="1401" w:type="dxa"/>
          </w:tcPr>
          <w:p w14:paraId="64347B41" w14:textId="77777777" w:rsidR="00F1341F" w:rsidRPr="008340BB" w:rsidRDefault="00F1341F" w:rsidP="00F812A6">
            <w:pPr>
              <w:suppressAutoHyphens/>
              <w:jc w:val="center"/>
              <w:rPr>
                <w:i/>
                <w:color w:val="8DB3E2"/>
                <w:sz w:val="18"/>
                <w:szCs w:val="18"/>
              </w:rPr>
            </w:pPr>
            <w:r w:rsidRPr="008340BB">
              <w:rPr>
                <w:b/>
                <w:sz w:val="18"/>
                <w:szCs w:val="18"/>
              </w:rPr>
              <w:t>Fund</w:t>
            </w:r>
          </w:p>
        </w:tc>
        <w:tc>
          <w:tcPr>
            <w:tcW w:w="1401" w:type="dxa"/>
          </w:tcPr>
          <w:p w14:paraId="4C695E6E" w14:textId="77777777" w:rsidR="00F1341F" w:rsidRPr="008340BB" w:rsidRDefault="00F1341F" w:rsidP="00F812A6">
            <w:pPr>
              <w:pStyle w:val="Text1"/>
              <w:ind w:left="0"/>
              <w:jc w:val="center"/>
              <w:rPr>
                <w:b/>
                <w:sz w:val="18"/>
                <w:szCs w:val="18"/>
                <w:lang w:val="en-GB" w:eastAsia="en-GB"/>
              </w:rPr>
            </w:pPr>
            <w:r w:rsidRPr="008340BB">
              <w:rPr>
                <w:b/>
                <w:sz w:val="18"/>
                <w:szCs w:val="18"/>
                <w:lang w:val="en-GB" w:eastAsia="en-GB"/>
              </w:rPr>
              <w:t>Category of region</w:t>
            </w:r>
          </w:p>
        </w:tc>
        <w:tc>
          <w:tcPr>
            <w:tcW w:w="2693" w:type="dxa"/>
          </w:tcPr>
          <w:p w14:paraId="0158786F" w14:textId="77777777" w:rsidR="00F1341F" w:rsidRPr="008340BB" w:rsidRDefault="00F1341F" w:rsidP="001B661C">
            <w:pPr>
              <w:jc w:val="center"/>
              <w:rPr>
                <w:sz w:val="20"/>
              </w:rPr>
            </w:pPr>
            <w:r w:rsidRPr="008340BB">
              <w:rPr>
                <w:b/>
                <w:sz w:val="18"/>
                <w:szCs w:val="18"/>
              </w:rPr>
              <w:t>Code</w:t>
            </w:r>
          </w:p>
        </w:tc>
        <w:tc>
          <w:tcPr>
            <w:tcW w:w="2977" w:type="dxa"/>
          </w:tcPr>
          <w:p w14:paraId="3A10DEF7" w14:textId="77777777" w:rsidR="00F1341F" w:rsidRPr="008340BB" w:rsidRDefault="00F1341F" w:rsidP="001B661C">
            <w:pPr>
              <w:jc w:val="center"/>
              <w:rPr>
                <w:sz w:val="20"/>
              </w:rPr>
            </w:pPr>
            <w:r w:rsidRPr="008340BB">
              <w:rPr>
                <w:b/>
                <w:sz w:val="18"/>
                <w:szCs w:val="18"/>
              </w:rPr>
              <w:t>Amount (EUR)</w:t>
            </w:r>
          </w:p>
        </w:tc>
      </w:tr>
      <w:tr w:rsidR="00F1341F" w:rsidRPr="008340BB" w14:paraId="4445EA37" w14:textId="77777777" w:rsidTr="00263449">
        <w:tc>
          <w:tcPr>
            <w:tcW w:w="1401" w:type="dxa"/>
          </w:tcPr>
          <w:p w14:paraId="0F2CC0F2" w14:textId="77777777" w:rsidR="00F1341F" w:rsidRPr="008340BB" w:rsidRDefault="00F1341F" w:rsidP="001B661C">
            <w:pPr>
              <w:pStyle w:val="Text1"/>
              <w:ind w:left="0"/>
              <w:jc w:val="left"/>
              <w:rPr>
                <w:sz w:val="18"/>
                <w:szCs w:val="18"/>
                <w:lang w:val="en-GB" w:eastAsia="en-GB"/>
              </w:rPr>
            </w:pPr>
            <w:r w:rsidRPr="008340BB">
              <w:rPr>
                <w:sz w:val="18"/>
                <w:szCs w:val="18"/>
                <w:lang w:val="en-GB" w:eastAsia="en-GB"/>
              </w:rPr>
              <w:t>ERDF</w:t>
            </w:r>
          </w:p>
        </w:tc>
        <w:tc>
          <w:tcPr>
            <w:tcW w:w="1401" w:type="dxa"/>
          </w:tcPr>
          <w:p w14:paraId="42F2CCAB" w14:textId="77777777" w:rsidR="00F1341F" w:rsidRPr="008340BB" w:rsidRDefault="00F1341F" w:rsidP="001B661C">
            <w:pPr>
              <w:pStyle w:val="Text1"/>
              <w:ind w:left="0"/>
              <w:jc w:val="left"/>
              <w:rPr>
                <w:sz w:val="18"/>
                <w:szCs w:val="18"/>
                <w:lang w:val="en-GB" w:eastAsia="en-GB"/>
              </w:rPr>
            </w:pPr>
            <w:r w:rsidRPr="008340BB">
              <w:rPr>
                <w:sz w:val="18"/>
                <w:szCs w:val="18"/>
                <w:lang w:val="en-GB" w:eastAsia="en-GB"/>
              </w:rPr>
              <w:t>Less developed</w:t>
            </w:r>
          </w:p>
        </w:tc>
        <w:tc>
          <w:tcPr>
            <w:tcW w:w="2693" w:type="dxa"/>
          </w:tcPr>
          <w:p w14:paraId="77A2A445" w14:textId="77777777" w:rsidR="00F1341F" w:rsidRPr="008340BB" w:rsidRDefault="00F1341F" w:rsidP="001B661C">
            <w:pPr>
              <w:pStyle w:val="Text1"/>
              <w:ind w:left="0"/>
              <w:jc w:val="left"/>
              <w:rPr>
                <w:sz w:val="18"/>
                <w:szCs w:val="18"/>
                <w:lang w:val="en-GB" w:eastAsia="en-GB"/>
              </w:rPr>
            </w:pPr>
            <w:r w:rsidRPr="008340BB">
              <w:rPr>
                <w:sz w:val="18"/>
                <w:szCs w:val="18"/>
                <w:lang w:val="en-GB" w:eastAsia="en-GB"/>
              </w:rPr>
              <w:t xml:space="preserve">07 Not applicable </w:t>
            </w:r>
          </w:p>
        </w:tc>
        <w:tc>
          <w:tcPr>
            <w:tcW w:w="2977" w:type="dxa"/>
          </w:tcPr>
          <w:p w14:paraId="4BD9C472" w14:textId="6FF01F44" w:rsidR="005D16E3" w:rsidRPr="005D16E3" w:rsidRDefault="00563C8D" w:rsidP="005D16E3">
            <w:pPr>
              <w:rPr>
                <w:b/>
                <w:sz w:val="18"/>
                <w:szCs w:val="18"/>
              </w:rPr>
            </w:pPr>
            <w:r w:rsidRPr="005D16E3">
              <w:rPr>
                <w:b/>
                <w:sz w:val="18"/>
                <w:szCs w:val="18"/>
              </w:rPr>
              <w:t xml:space="preserve"> </w:t>
            </w:r>
            <w:r w:rsidR="005D16E3" w:rsidRPr="005D16E3">
              <w:rPr>
                <w:b/>
                <w:sz w:val="18"/>
                <w:szCs w:val="18"/>
              </w:rPr>
              <w:t>47 495 843,00</w:t>
            </w:r>
          </w:p>
          <w:p w14:paraId="3584D757" w14:textId="2CDCF769" w:rsidR="00F1341F" w:rsidRPr="008340BB" w:rsidRDefault="00F1341F" w:rsidP="005D16E3">
            <w:pPr>
              <w:pStyle w:val="Text1"/>
              <w:ind w:left="0"/>
              <w:jc w:val="left"/>
              <w:rPr>
                <w:sz w:val="18"/>
                <w:szCs w:val="18"/>
                <w:lang w:val="en-GB" w:eastAsia="en-GB"/>
              </w:rPr>
            </w:pPr>
          </w:p>
        </w:tc>
      </w:tr>
    </w:tbl>
    <w:p w14:paraId="49371001" w14:textId="77777777" w:rsidR="00F1341F" w:rsidRPr="008340BB" w:rsidRDefault="00F1341F" w:rsidP="00C37144">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F1341F" w:rsidRPr="008340BB" w14:paraId="6FCDAD14" w14:textId="77777777" w:rsidTr="001B661C">
        <w:trPr>
          <w:trHeight w:val="364"/>
        </w:trPr>
        <w:tc>
          <w:tcPr>
            <w:tcW w:w="8472" w:type="dxa"/>
            <w:gridSpan w:val="4"/>
          </w:tcPr>
          <w:p w14:paraId="606DCFE7" w14:textId="77777777" w:rsidR="00F1341F" w:rsidRPr="0067246B" w:rsidRDefault="00F1341F" w:rsidP="001B661C">
            <w:pPr>
              <w:autoSpaceDE w:val="0"/>
              <w:autoSpaceDN w:val="0"/>
              <w:adjustRightInd w:val="0"/>
              <w:spacing w:after="0"/>
              <w:jc w:val="left"/>
              <w:rPr>
                <w:rFonts w:ascii="TimesNewRoman" w:cs="TimesNewRoman"/>
                <w:b/>
                <w:color w:val="000000"/>
                <w:sz w:val="20"/>
              </w:rPr>
            </w:pPr>
            <w:r w:rsidRPr="00020ADD">
              <w:rPr>
                <w:rFonts w:ascii="TimesNewRoman,Bold" w:hAnsi="TimesNewRoman,Bold" w:cs="TimesNewRoman,Bold"/>
                <w:b/>
                <w:bCs/>
                <w:color w:val="000000"/>
                <w:sz w:val="20"/>
              </w:rPr>
              <w:t>Table 11: Dimension 6 – ESF secondary theme</w:t>
            </w:r>
            <w:r w:rsidRPr="008340BB">
              <w:rPr>
                <w:rStyle w:val="FootnoteReference"/>
                <w:rFonts w:ascii="TimesNewRoman,Bold" w:hAnsi="TimesNewRoman,Bold"/>
                <w:b/>
                <w:bCs/>
                <w:color w:val="000000"/>
                <w:sz w:val="20"/>
              </w:rPr>
              <w:footnoteReference w:id="65"/>
            </w:r>
            <w:r w:rsidRPr="008340BB">
              <w:rPr>
                <w:rFonts w:ascii="TimesNewRoman" w:eastAsia="Times New Roman" w:cs="TimesNewRoman"/>
                <w:b/>
                <w:color w:val="000000"/>
                <w:sz w:val="20"/>
              </w:rPr>
              <w:t xml:space="preserve"> </w:t>
            </w:r>
            <w:r w:rsidRPr="0067246B">
              <w:rPr>
                <w:rFonts w:ascii="TimesNewRoman,Bold" w:hAnsi="TimesNewRoman,Bold" w:cs="TimesNewRoman,Bold"/>
                <w:b/>
                <w:bCs/>
                <w:color w:val="000000"/>
                <w:sz w:val="20"/>
              </w:rPr>
              <w:t>(ESF only)</w:t>
            </w:r>
          </w:p>
        </w:tc>
      </w:tr>
      <w:tr w:rsidR="00F1341F" w:rsidRPr="008340BB" w14:paraId="6EBFB78B" w14:textId="77777777" w:rsidTr="001B661C">
        <w:trPr>
          <w:trHeight w:val="364"/>
        </w:trPr>
        <w:tc>
          <w:tcPr>
            <w:tcW w:w="2802" w:type="dxa"/>
            <w:gridSpan w:val="2"/>
          </w:tcPr>
          <w:p w14:paraId="4075C224" w14:textId="77777777" w:rsidR="00F1341F" w:rsidRPr="008340BB" w:rsidRDefault="00F1341F" w:rsidP="001B661C">
            <w:pPr>
              <w:autoSpaceDE w:val="0"/>
              <w:autoSpaceDN w:val="0"/>
              <w:adjustRightInd w:val="0"/>
              <w:spacing w:after="0"/>
              <w:jc w:val="left"/>
              <w:rPr>
                <w:bCs/>
                <w:sz w:val="20"/>
              </w:rPr>
            </w:pPr>
            <w:r w:rsidRPr="008340BB">
              <w:rPr>
                <w:b/>
                <w:sz w:val="18"/>
                <w:szCs w:val="18"/>
              </w:rPr>
              <w:t>Priority axis</w:t>
            </w:r>
            <w:r w:rsidRPr="008340BB" w:rsidDel="009B2310">
              <w:rPr>
                <w:bCs/>
                <w:sz w:val="20"/>
              </w:rPr>
              <w:t xml:space="preserve"> </w:t>
            </w:r>
          </w:p>
        </w:tc>
        <w:tc>
          <w:tcPr>
            <w:tcW w:w="5670" w:type="dxa"/>
            <w:gridSpan w:val="2"/>
          </w:tcPr>
          <w:p w14:paraId="00A5ABE2" w14:textId="77777777" w:rsidR="00F1341F" w:rsidRPr="008340BB" w:rsidRDefault="00F1341F" w:rsidP="001B661C">
            <w:pPr>
              <w:autoSpaceDE w:val="0"/>
              <w:autoSpaceDN w:val="0"/>
              <w:adjustRightInd w:val="0"/>
              <w:spacing w:after="0"/>
              <w:jc w:val="left"/>
              <w:rPr>
                <w:bCs/>
                <w:sz w:val="20"/>
              </w:rPr>
            </w:pPr>
            <w:r w:rsidRPr="008340BB">
              <w:rPr>
                <w:b/>
                <w:sz w:val="18"/>
                <w:szCs w:val="18"/>
              </w:rPr>
              <w:t>“Innovations in management and services - establishment of modern infrastructure for traffic management and transport safety</w:t>
            </w:r>
            <w:r w:rsidRPr="008340BB">
              <w:rPr>
                <w:b/>
              </w:rPr>
              <w:t xml:space="preserve"> </w:t>
            </w:r>
            <w:r w:rsidRPr="008340BB">
              <w:rPr>
                <w:b/>
                <w:sz w:val="18"/>
                <w:szCs w:val="18"/>
              </w:rPr>
              <w:t>improvement”</w:t>
            </w:r>
          </w:p>
        </w:tc>
      </w:tr>
      <w:tr w:rsidR="00F1341F" w:rsidRPr="008340BB" w14:paraId="0F7212C1" w14:textId="77777777" w:rsidTr="00263449">
        <w:trPr>
          <w:trHeight w:val="267"/>
        </w:trPr>
        <w:tc>
          <w:tcPr>
            <w:tcW w:w="1401" w:type="dxa"/>
          </w:tcPr>
          <w:p w14:paraId="4BF14369" w14:textId="77777777" w:rsidR="00F1341F" w:rsidRPr="008340BB" w:rsidRDefault="00F1341F" w:rsidP="001B661C">
            <w:pPr>
              <w:jc w:val="center"/>
              <w:rPr>
                <w:b/>
                <w:sz w:val="18"/>
                <w:szCs w:val="18"/>
              </w:rPr>
            </w:pPr>
            <w:r w:rsidRPr="008340BB">
              <w:rPr>
                <w:b/>
                <w:sz w:val="18"/>
                <w:szCs w:val="18"/>
              </w:rPr>
              <w:t>Fund</w:t>
            </w:r>
          </w:p>
        </w:tc>
        <w:tc>
          <w:tcPr>
            <w:tcW w:w="1401" w:type="dxa"/>
          </w:tcPr>
          <w:p w14:paraId="01B3F887" w14:textId="77777777" w:rsidR="00F1341F" w:rsidRPr="008340BB" w:rsidRDefault="00F1341F" w:rsidP="001B661C">
            <w:pPr>
              <w:jc w:val="center"/>
              <w:rPr>
                <w:b/>
                <w:sz w:val="18"/>
                <w:szCs w:val="18"/>
              </w:rPr>
            </w:pPr>
            <w:r w:rsidRPr="008340BB">
              <w:rPr>
                <w:b/>
                <w:sz w:val="18"/>
                <w:szCs w:val="18"/>
              </w:rPr>
              <w:t>Category of region</w:t>
            </w:r>
          </w:p>
        </w:tc>
        <w:tc>
          <w:tcPr>
            <w:tcW w:w="2693" w:type="dxa"/>
          </w:tcPr>
          <w:p w14:paraId="7051FD4D" w14:textId="77777777" w:rsidR="00F1341F" w:rsidRPr="008340BB" w:rsidRDefault="00F1341F" w:rsidP="001B661C">
            <w:pPr>
              <w:jc w:val="center"/>
              <w:rPr>
                <w:sz w:val="20"/>
              </w:rPr>
            </w:pPr>
            <w:r w:rsidRPr="008340BB">
              <w:rPr>
                <w:b/>
                <w:sz w:val="18"/>
                <w:szCs w:val="18"/>
              </w:rPr>
              <w:t>Code</w:t>
            </w:r>
          </w:p>
        </w:tc>
        <w:tc>
          <w:tcPr>
            <w:tcW w:w="2977" w:type="dxa"/>
          </w:tcPr>
          <w:p w14:paraId="146F5DE7" w14:textId="77777777" w:rsidR="00F1341F" w:rsidRPr="008340BB" w:rsidRDefault="00F1341F" w:rsidP="001B661C">
            <w:pPr>
              <w:jc w:val="center"/>
              <w:rPr>
                <w:sz w:val="20"/>
              </w:rPr>
            </w:pPr>
            <w:r w:rsidRPr="008340BB">
              <w:rPr>
                <w:b/>
                <w:sz w:val="18"/>
                <w:szCs w:val="18"/>
              </w:rPr>
              <w:t>Amount (EUR)</w:t>
            </w:r>
          </w:p>
        </w:tc>
      </w:tr>
      <w:tr w:rsidR="00F1341F" w:rsidRPr="008340BB" w14:paraId="324DA7DE" w14:textId="77777777" w:rsidTr="00263449">
        <w:tc>
          <w:tcPr>
            <w:tcW w:w="1401" w:type="dxa"/>
          </w:tcPr>
          <w:p w14:paraId="2646338E" w14:textId="77777777" w:rsidR="00F1341F" w:rsidRPr="008340BB" w:rsidRDefault="00F1341F" w:rsidP="001B661C">
            <w:pPr>
              <w:pStyle w:val="Text1"/>
              <w:ind w:left="0"/>
              <w:jc w:val="left"/>
              <w:rPr>
                <w:sz w:val="18"/>
                <w:szCs w:val="18"/>
                <w:lang w:val="en-GB" w:eastAsia="en-GB"/>
              </w:rPr>
            </w:pPr>
            <w:r w:rsidRPr="008340BB">
              <w:rPr>
                <w:i/>
                <w:sz w:val="18"/>
                <w:szCs w:val="18"/>
                <w:lang w:val="en-GB" w:eastAsia="en-GB"/>
              </w:rPr>
              <w:t>N/A</w:t>
            </w:r>
          </w:p>
        </w:tc>
        <w:tc>
          <w:tcPr>
            <w:tcW w:w="1401" w:type="dxa"/>
          </w:tcPr>
          <w:p w14:paraId="6E34A653" w14:textId="77777777" w:rsidR="00F1341F" w:rsidRPr="008340BB" w:rsidRDefault="00F1341F" w:rsidP="001B661C">
            <w:pPr>
              <w:pStyle w:val="Text1"/>
              <w:ind w:left="0"/>
              <w:jc w:val="left"/>
              <w:rPr>
                <w:sz w:val="18"/>
                <w:szCs w:val="18"/>
                <w:lang w:val="en-GB" w:eastAsia="en-GB"/>
              </w:rPr>
            </w:pPr>
            <w:r w:rsidRPr="008340BB">
              <w:rPr>
                <w:i/>
                <w:sz w:val="18"/>
                <w:szCs w:val="18"/>
                <w:lang w:val="en-GB" w:eastAsia="en-GB"/>
              </w:rPr>
              <w:t>N/A</w:t>
            </w:r>
          </w:p>
        </w:tc>
        <w:tc>
          <w:tcPr>
            <w:tcW w:w="2693" w:type="dxa"/>
          </w:tcPr>
          <w:p w14:paraId="74DDB2E3" w14:textId="77777777" w:rsidR="00F1341F" w:rsidRPr="008340BB" w:rsidRDefault="00F1341F" w:rsidP="001B661C">
            <w:pPr>
              <w:pStyle w:val="Text1"/>
              <w:ind w:left="0"/>
              <w:jc w:val="left"/>
              <w:rPr>
                <w:sz w:val="18"/>
                <w:szCs w:val="18"/>
                <w:lang w:val="en-GB" w:eastAsia="en-GB"/>
              </w:rPr>
            </w:pPr>
            <w:r w:rsidRPr="008340BB">
              <w:rPr>
                <w:i/>
                <w:sz w:val="18"/>
                <w:szCs w:val="18"/>
                <w:lang w:val="en-GB" w:eastAsia="en-GB"/>
              </w:rPr>
              <w:t>N/A</w:t>
            </w:r>
          </w:p>
        </w:tc>
        <w:tc>
          <w:tcPr>
            <w:tcW w:w="2977" w:type="dxa"/>
          </w:tcPr>
          <w:p w14:paraId="7824AEAA" w14:textId="77777777" w:rsidR="00F1341F" w:rsidRPr="008340BB" w:rsidRDefault="00F1341F" w:rsidP="00D33911">
            <w:pPr>
              <w:pStyle w:val="Text1"/>
              <w:ind w:left="0"/>
              <w:jc w:val="left"/>
              <w:rPr>
                <w:sz w:val="18"/>
                <w:szCs w:val="18"/>
                <w:lang w:val="en-GB" w:eastAsia="en-GB"/>
              </w:rPr>
            </w:pPr>
            <w:r w:rsidRPr="008340BB">
              <w:rPr>
                <w:i/>
                <w:sz w:val="18"/>
                <w:szCs w:val="18"/>
                <w:lang w:val="en-GB" w:eastAsia="en-GB"/>
              </w:rPr>
              <w:t>N/A</w:t>
            </w:r>
          </w:p>
        </w:tc>
      </w:tr>
    </w:tbl>
    <w:p w14:paraId="682DD014" w14:textId="77777777" w:rsidR="00F1341F" w:rsidRPr="008340BB" w:rsidRDefault="00F1341F" w:rsidP="00C37144"/>
    <w:p w14:paraId="409486B4" w14:textId="77777777" w:rsidR="00F1341F" w:rsidRPr="008340BB" w:rsidRDefault="00F1341F" w:rsidP="00C37144">
      <w:r w:rsidRPr="008340BB">
        <w:rPr>
          <w:b/>
        </w:rPr>
        <w:t xml:space="preserve">2.A.4.8 </w:t>
      </w:r>
      <w:r w:rsidRPr="008340BB">
        <w:rPr>
          <w:b/>
        </w:rPr>
        <w:tab/>
        <w:t xml:space="preserve">Summary of the planned use of technical assistance  including, where necessary, actions to reinforce the administrative capacity of authorities involved in the management and control of the programmes and beneficiaries </w:t>
      </w:r>
      <w:r w:rsidRPr="008340BB" w:rsidDel="00A44429">
        <w:t xml:space="preserve"> </w:t>
      </w:r>
      <w:r w:rsidRPr="008340BB">
        <w:t>(where appropriate)</w:t>
      </w:r>
    </w:p>
    <w:p w14:paraId="1D006F66" w14:textId="77777777" w:rsidR="00F1341F" w:rsidRPr="008340BB" w:rsidRDefault="00F1341F" w:rsidP="00C37144">
      <w:r w:rsidRPr="008340BB">
        <w:t>(by priority axis)</w:t>
      </w:r>
    </w:p>
    <w:p w14:paraId="34BE64E3" w14:textId="77777777" w:rsidR="00F1341F" w:rsidRPr="008340BB" w:rsidRDefault="00F1341F" w:rsidP="00C37144">
      <w:r w:rsidRPr="008340BB">
        <w:t>(Reference: point (b)(vii) of Article 96(2) of Regulation (EU) No 1303/2013)</w:t>
      </w:r>
    </w:p>
    <w:p w14:paraId="07312139" w14:textId="77777777" w:rsidR="00F1341F" w:rsidRPr="008340BB" w:rsidRDefault="00F1341F" w:rsidP="00C37144">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17C2B8E6" w14:textId="77777777" w:rsidTr="001B661C">
        <w:trPr>
          <w:trHeight w:val="518"/>
        </w:trPr>
        <w:tc>
          <w:tcPr>
            <w:tcW w:w="2235" w:type="dxa"/>
          </w:tcPr>
          <w:p w14:paraId="02D44980" w14:textId="77777777" w:rsidR="00F1341F" w:rsidRPr="008340BB" w:rsidRDefault="00F1341F" w:rsidP="001B661C">
            <w:pPr>
              <w:rPr>
                <w:i/>
                <w:color w:val="8DB3E2"/>
                <w:sz w:val="18"/>
                <w:szCs w:val="18"/>
              </w:rPr>
            </w:pPr>
            <w:r w:rsidRPr="008340BB">
              <w:rPr>
                <w:i/>
              </w:rPr>
              <w:t>Priority axis</w:t>
            </w:r>
          </w:p>
        </w:tc>
        <w:tc>
          <w:tcPr>
            <w:tcW w:w="6443" w:type="dxa"/>
          </w:tcPr>
          <w:p w14:paraId="2514530C" w14:textId="77777777" w:rsidR="00F1341F" w:rsidRPr="008340BB" w:rsidRDefault="00F1341F" w:rsidP="001B661C">
            <w:pPr>
              <w:rPr>
                <w:i/>
                <w:color w:val="8DB3E2"/>
                <w:sz w:val="18"/>
                <w:szCs w:val="18"/>
              </w:rPr>
            </w:pPr>
            <w:r w:rsidRPr="00A13C37">
              <w:rPr>
                <w:i/>
                <w:szCs w:val="24"/>
              </w:rPr>
              <w:t>4</w:t>
            </w:r>
            <w:r w:rsidR="00852C31" w:rsidRPr="00A13C37">
              <w:rPr>
                <w:i/>
                <w:szCs w:val="24"/>
              </w:rPr>
              <w:t xml:space="preserve"> </w:t>
            </w:r>
            <w:r w:rsidRPr="00A13C37">
              <w:rPr>
                <w:i/>
                <w:szCs w:val="24"/>
              </w:rPr>
              <w:t>-</w:t>
            </w:r>
            <w:r w:rsidR="00852C31" w:rsidRPr="00A13C37">
              <w:rPr>
                <w:i/>
                <w:szCs w:val="24"/>
              </w:rPr>
              <w:t xml:space="preserve"> </w:t>
            </w:r>
            <w:r w:rsidRPr="00A13C37">
              <w:rPr>
                <w:i/>
                <w:szCs w:val="24"/>
              </w:rPr>
              <w:t>Innovations in management and services - establishment of modern infrastructure for traffic management and transport safety improvement</w:t>
            </w:r>
          </w:p>
        </w:tc>
      </w:tr>
      <w:tr w:rsidR="00F1341F" w:rsidRPr="008340BB" w14:paraId="42FC2B15" w14:textId="77777777" w:rsidTr="001B661C">
        <w:trPr>
          <w:trHeight w:val="1662"/>
        </w:trPr>
        <w:tc>
          <w:tcPr>
            <w:tcW w:w="8678" w:type="dxa"/>
            <w:gridSpan w:val="2"/>
          </w:tcPr>
          <w:p w14:paraId="243C0940" w14:textId="0707DBD2" w:rsidR="00F1341F" w:rsidRPr="00176089" w:rsidRDefault="00F1341F" w:rsidP="00A50F83">
            <w:pPr>
              <w:suppressAutoHyphens/>
              <w:rPr>
                <w:lang w:eastAsia="bg-BG"/>
              </w:rPr>
            </w:pPr>
            <w:r w:rsidRPr="008340BB">
              <w:rPr>
                <w:lang w:eastAsia="bg-BG"/>
              </w:rPr>
              <w:t>Technical assistance is planned for preparation/completion of preparation of projects, including studies, cost-benefit analyses, environmental impact assessments, design, impact assessment of the programme, etc.</w:t>
            </w:r>
            <w:r w:rsidR="00176089">
              <w:rPr>
                <w:lang w:eastAsia="bg-BG"/>
              </w:rPr>
              <w:t xml:space="preserve"> </w:t>
            </w:r>
            <w:r w:rsidR="00176089" w:rsidRPr="00176089">
              <w:rPr>
                <w:lang w:eastAsia="bg-BG"/>
              </w:rPr>
              <w:t xml:space="preserve">In addition to the preparation of the projects planned for funding under Priority Axis 4, the development of a feasibility study and a package of project documents for the implementation of an integrated information system </w:t>
            </w:r>
            <w:r w:rsidR="00176089" w:rsidRPr="00176089">
              <w:rPr>
                <w:lang w:eastAsia="bg-BG"/>
              </w:rPr>
              <w:lastRenderedPageBreak/>
              <w:t xml:space="preserve">for coordination and management of real-time </w:t>
            </w:r>
            <w:r w:rsidR="000D6A4B" w:rsidRPr="000D6A4B">
              <w:rPr>
                <w:lang w:eastAsia="bg-BG"/>
              </w:rPr>
              <w:t xml:space="preserve">operations </w:t>
            </w:r>
            <w:r w:rsidR="000D6A4B">
              <w:rPr>
                <w:lang w:val="en-US" w:eastAsia="bg-BG"/>
              </w:rPr>
              <w:t xml:space="preserve">in case of </w:t>
            </w:r>
            <w:r w:rsidR="00176089" w:rsidRPr="00176089">
              <w:rPr>
                <w:lang w:eastAsia="bg-BG"/>
              </w:rPr>
              <w:t>disaster</w:t>
            </w:r>
            <w:r w:rsidR="000D6A4B">
              <w:rPr>
                <w:lang w:eastAsia="bg-BG"/>
              </w:rPr>
              <w:t>s</w:t>
            </w:r>
            <w:r w:rsidR="00176089" w:rsidRPr="00176089">
              <w:rPr>
                <w:lang w:eastAsia="bg-BG"/>
              </w:rPr>
              <w:t xml:space="preserve"> and accident</w:t>
            </w:r>
            <w:r w:rsidR="000D6A4B">
              <w:rPr>
                <w:lang w:eastAsia="bg-BG"/>
              </w:rPr>
              <w:t>s</w:t>
            </w:r>
            <w:r w:rsidR="00176089" w:rsidRPr="00176089">
              <w:rPr>
                <w:lang w:eastAsia="bg-BG"/>
              </w:rPr>
              <w:t xml:space="preserve"> in the Bulgarian maritime search and rescue area is included.</w:t>
            </w:r>
            <w:r w:rsidR="000B3FA7">
              <w:rPr>
                <w:lang w:eastAsia="bg-BG"/>
              </w:rPr>
              <w:t xml:space="preserve">  </w:t>
            </w:r>
          </w:p>
          <w:p w14:paraId="2E3BB0D8" w14:textId="1A464923" w:rsidR="00F1341F" w:rsidRPr="0082683F" w:rsidRDefault="00F1341F" w:rsidP="00A77565">
            <w:pPr>
              <w:tabs>
                <w:tab w:val="num" w:pos="1080"/>
              </w:tabs>
              <w:autoSpaceDE w:val="0"/>
              <w:autoSpaceDN w:val="0"/>
              <w:adjustRightInd w:val="0"/>
              <w:spacing w:after="0"/>
              <w:rPr>
                <w:szCs w:val="24"/>
              </w:rPr>
            </w:pPr>
            <w:r w:rsidRPr="008340BB">
              <w:rPr>
                <w:szCs w:val="24"/>
                <w:lang w:eastAsia="bg-BG"/>
              </w:rPr>
              <w:t xml:space="preserve">Activities, related to ensuring the administrative capacity of </w:t>
            </w:r>
            <w:r w:rsidRPr="008340BB">
              <w:rPr>
                <w:szCs w:val="24"/>
              </w:rPr>
              <w:t xml:space="preserve">EA “Exploration and Maintenance of the Danube River”, </w:t>
            </w:r>
            <w:r w:rsidRPr="008340BB">
              <w:rPr>
                <w:iCs/>
                <w:szCs w:val="24"/>
              </w:rPr>
              <w:t xml:space="preserve">State Enterprise </w:t>
            </w:r>
            <w:r w:rsidRPr="008340BB">
              <w:rPr>
                <w:szCs w:val="24"/>
              </w:rPr>
              <w:t>“</w:t>
            </w:r>
            <w:hyperlink r:id="rId87" w:history="1">
              <w:r w:rsidRPr="0067246B">
                <w:rPr>
                  <w:szCs w:val="24"/>
                </w:rPr>
                <w:t>Bulgarian Ports Infrastructure Company</w:t>
              </w:r>
            </w:hyperlink>
            <w:r w:rsidRPr="008340BB">
              <w:rPr>
                <w:szCs w:val="24"/>
              </w:rPr>
              <w:t xml:space="preserve">”, </w:t>
            </w:r>
            <w:r w:rsidRPr="0067246B">
              <w:rPr>
                <w:szCs w:val="24"/>
                <w:lang w:eastAsia="bg-BG"/>
              </w:rPr>
              <w:t xml:space="preserve">EA “Maritime Administration”, </w:t>
            </w:r>
            <w:r w:rsidRPr="00020ADD">
              <w:rPr>
                <w:rFonts w:cs="Arial"/>
                <w:lang w:eastAsia="bg-BG"/>
              </w:rPr>
              <w:t>Road Infrastructure Agency</w:t>
            </w:r>
            <w:r w:rsidR="007C5B85">
              <w:rPr>
                <w:rFonts w:cs="Arial"/>
                <w:lang w:eastAsia="bg-BG"/>
              </w:rPr>
              <w:t>, Metropolitan EAD</w:t>
            </w:r>
            <w:r w:rsidRPr="00020ADD">
              <w:rPr>
                <w:szCs w:val="24"/>
                <w:lang w:eastAsia="bg-BG"/>
              </w:rPr>
              <w:t xml:space="preserve"> and National Railway Infrastructure Company will be funded under the Priority axis 5.</w:t>
            </w:r>
          </w:p>
        </w:tc>
      </w:tr>
    </w:tbl>
    <w:p w14:paraId="25B0D3DC" w14:textId="561ADC61" w:rsidR="00F1341F" w:rsidRPr="008340BB" w:rsidRDefault="00F1341F" w:rsidP="00C37144"/>
    <w:p w14:paraId="3B1166BD" w14:textId="77777777" w:rsidR="00756F8C" w:rsidRPr="009B475E" w:rsidRDefault="00756F8C" w:rsidP="00756F8C">
      <w:pPr>
        <w:rPr>
          <w:b/>
        </w:rPr>
      </w:pPr>
      <w:r w:rsidRPr="009B475E">
        <w:rPr>
          <w:b/>
        </w:rPr>
        <w:t xml:space="preserve">2.A </w:t>
      </w:r>
      <w:r w:rsidRPr="009B475E">
        <w:rPr>
          <w:b/>
        </w:rPr>
        <w:tab/>
        <w:t xml:space="preserve">A description of the priority axes other than technical assistance </w:t>
      </w:r>
    </w:p>
    <w:p w14:paraId="259F272C" w14:textId="77777777" w:rsidR="00756F8C" w:rsidRPr="009B475E" w:rsidRDefault="00756F8C" w:rsidP="00756F8C">
      <w:pPr>
        <w:rPr>
          <w:b/>
        </w:rPr>
      </w:pPr>
      <w:r w:rsidRPr="009B475E">
        <w:rPr>
          <w:b/>
        </w:rPr>
        <w:t>(Reference: point (b) of the first subparagraph of Article 96(2) of Regulation (EU) No 1303/2013)</w:t>
      </w:r>
    </w:p>
    <w:p w14:paraId="65AE8A8A" w14:textId="77777777" w:rsidR="00756F8C" w:rsidRPr="009B475E" w:rsidRDefault="00756F8C" w:rsidP="00756F8C">
      <w:pPr>
        <w:rPr>
          <w:b/>
        </w:rPr>
      </w:pPr>
    </w:p>
    <w:p w14:paraId="7405BBE0" w14:textId="51689CC1" w:rsidR="00756F8C" w:rsidRPr="009B475E" w:rsidRDefault="0080323F" w:rsidP="00756F8C">
      <w:pPr>
        <w:rPr>
          <w:b/>
        </w:rPr>
      </w:pPr>
      <w:r w:rsidRPr="009B475E">
        <w:rPr>
          <w:b/>
        </w:rPr>
        <w:t>2.A.6</w:t>
      </w:r>
      <w:r w:rsidR="00756F8C" w:rsidRPr="009B475E">
        <w:rPr>
          <w:b/>
        </w:rPr>
        <w:t xml:space="preserve"> Priority axis “</w:t>
      </w:r>
      <w:r w:rsidRPr="009B475E">
        <w:rPr>
          <w:b/>
        </w:rPr>
        <w:t>Support for SMEs through the SAFE instrument</w:t>
      </w:r>
      <w:r w:rsidR="00756F8C" w:rsidRPr="009B475E">
        <w:rPr>
          <w:b/>
        </w:rPr>
        <w:t xml:space="preserve">” </w:t>
      </w:r>
    </w:p>
    <w:p w14:paraId="1B058839" w14:textId="77777777" w:rsidR="00756F8C" w:rsidRPr="009B475E" w:rsidRDefault="00756F8C" w:rsidP="00756F8C">
      <w:pPr>
        <w:rPr>
          <w:b/>
        </w:rPr>
      </w:pPr>
    </w:p>
    <w:p w14:paraId="3E47B252" w14:textId="640B6175" w:rsidR="00756F8C" w:rsidRPr="009B475E" w:rsidRDefault="0080323F" w:rsidP="00756F8C">
      <w:pPr>
        <w:rPr>
          <w:b/>
        </w:rPr>
      </w:pPr>
      <w:r w:rsidRPr="009B475E">
        <w:rPr>
          <w:b/>
        </w:rPr>
        <w:t>2.A.6</w:t>
      </w:r>
      <w:r w:rsidR="00756F8C" w:rsidRPr="009B475E">
        <w:rPr>
          <w:b/>
        </w:rPr>
        <w:t>.1</w:t>
      </w:r>
      <w:r w:rsidR="00756F8C" w:rsidRPr="009B475E">
        <w:rPr>
          <w:b/>
        </w:rPr>
        <w:tab/>
        <w:t>Justification for the establishment of a priority axis covering more than one category of region, thematic objective or Fund  (where applicable)</w:t>
      </w:r>
    </w:p>
    <w:p w14:paraId="5F90D5CB" w14:textId="77777777" w:rsidR="00756F8C" w:rsidRPr="009B475E" w:rsidRDefault="00756F8C" w:rsidP="00756F8C">
      <w:pPr>
        <w:rPr>
          <w:b/>
        </w:rPr>
      </w:pPr>
      <w:r w:rsidRPr="009B475E">
        <w:rPr>
          <w:b/>
        </w:rPr>
        <w:t>(Reference: Article 96(1) of Regulation (EU) No 1303/2013)</w:t>
      </w:r>
    </w:p>
    <w:p w14:paraId="5266BD10" w14:textId="77777777" w:rsidR="00756F8C" w:rsidRPr="009B475E" w:rsidRDefault="00756F8C" w:rsidP="00756F8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756F8C" w:rsidRPr="009B475E" w14:paraId="43D82DD9" w14:textId="77777777" w:rsidTr="00274612">
        <w:tc>
          <w:tcPr>
            <w:tcW w:w="9286" w:type="dxa"/>
          </w:tcPr>
          <w:p w14:paraId="4A6FF35E" w14:textId="77777777" w:rsidR="00756F8C" w:rsidRPr="009B475E" w:rsidRDefault="00756F8C" w:rsidP="00756F8C">
            <w:pPr>
              <w:rPr>
                <w:b/>
                <w:i/>
              </w:rPr>
            </w:pPr>
            <w:r w:rsidRPr="009B475E">
              <w:rPr>
                <w:b/>
              </w:rPr>
              <w:t xml:space="preserve">Priority axis doesn’t cover more than one category of region, thematic objective or fund. </w:t>
            </w:r>
          </w:p>
        </w:tc>
      </w:tr>
    </w:tbl>
    <w:p w14:paraId="5763A95C" w14:textId="77777777" w:rsidR="00756F8C" w:rsidRPr="009B475E" w:rsidRDefault="00756F8C" w:rsidP="00756F8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4962"/>
      </w:tblGrid>
      <w:tr w:rsidR="00756F8C" w:rsidRPr="009B475E" w14:paraId="6F725B3B" w14:textId="77777777" w:rsidTr="00274612">
        <w:trPr>
          <w:trHeight w:val="491"/>
        </w:trPr>
        <w:tc>
          <w:tcPr>
            <w:tcW w:w="3510" w:type="dxa"/>
          </w:tcPr>
          <w:p w14:paraId="25650BDC" w14:textId="77777777" w:rsidR="00756F8C" w:rsidRPr="009B475E" w:rsidRDefault="00756F8C" w:rsidP="00756F8C">
            <w:pPr>
              <w:rPr>
                <w:b/>
                <w:i/>
              </w:rPr>
            </w:pPr>
            <w:r w:rsidRPr="009B475E">
              <w:rPr>
                <w:b/>
              </w:rPr>
              <w:t>ID of the priority axis</w:t>
            </w:r>
          </w:p>
        </w:tc>
        <w:tc>
          <w:tcPr>
            <w:tcW w:w="4962" w:type="dxa"/>
          </w:tcPr>
          <w:p w14:paraId="3084BDCE" w14:textId="7FC256D8" w:rsidR="00756F8C" w:rsidRPr="009B475E" w:rsidRDefault="005A57FB" w:rsidP="00756F8C">
            <w:pPr>
              <w:rPr>
                <w:b/>
                <w:i/>
              </w:rPr>
            </w:pPr>
            <w:r w:rsidRPr="009B475E">
              <w:rPr>
                <w:b/>
              </w:rPr>
              <w:t>6</w:t>
            </w:r>
          </w:p>
        </w:tc>
      </w:tr>
      <w:tr w:rsidR="00756F8C" w:rsidRPr="009B475E" w14:paraId="61AC5A8A" w14:textId="77777777" w:rsidTr="00274612">
        <w:trPr>
          <w:trHeight w:val="422"/>
        </w:trPr>
        <w:tc>
          <w:tcPr>
            <w:tcW w:w="3510" w:type="dxa"/>
          </w:tcPr>
          <w:p w14:paraId="1122C6A5" w14:textId="77777777" w:rsidR="00756F8C" w:rsidRPr="009B475E" w:rsidRDefault="00756F8C" w:rsidP="00756F8C">
            <w:pPr>
              <w:rPr>
                <w:b/>
                <w:i/>
              </w:rPr>
            </w:pPr>
            <w:r w:rsidRPr="009B475E">
              <w:rPr>
                <w:b/>
              </w:rPr>
              <w:t>Title of the priority axis</w:t>
            </w:r>
          </w:p>
        </w:tc>
        <w:tc>
          <w:tcPr>
            <w:tcW w:w="4962" w:type="dxa"/>
          </w:tcPr>
          <w:p w14:paraId="7E2B641B" w14:textId="75259F81" w:rsidR="00756F8C" w:rsidRPr="009B475E" w:rsidRDefault="0080323F" w:rsidP="0080323F">
            <w:pPr>
              <w:rPr>
                <w:b/>
              </w:rPr>
            </w:pPr>
            <w:r w:rsidRPr="009B475E">
              <w:rPr>
                <w:b/>
              </w:rPr>
              <w:t>SUPPORT FOR SMEs THROUGH THE SAFE INSTRUMENT</w:t>
            </w:r>
          </w:p>
        </w:tc>
      </w:tr>
    </w:tbl>
    <w:p w14:paraId="2C1A4E5B" w14:textId="77777777" w:rsidR="00756F8C" w:rsidRPr="009B475E" w:rsidRDefault="00756F8C" w:rsidP="00756F8C">
      <w:pPr>
        <w:rPr>
          <w:b/>
        </w:rPr>
      </w:pPr>
    </w:p>
    <w:tbl>
      <w:tblPr>
        <w:tblStyle w:val="TableGrid"/>
        <w:tblW w:w="0" w:type="auto"/>
        <w:tblLook w:val="04A0" w:firstRow="1" w:lastRow="0" w:firstColumn="1" w:lastColumn="0" w:noHBand="0" w:noVBand="1"/>
      </w:tblPr>
      <w:tblGrid>
        <w:gridCol w:w="4986"/>
        <w:gridCol w:w="2352"/>
      </w:tblGrid>
      <w:tr w:rsidR="00756F8C" w:rsidRPr="009B475E" w14:paraId="4D95A659" w14:textId="77777777" w:rsidTr="0080323F">
        <w:tc>
          <w:tcPr>
            <w:tcW w:w="4986" w:type="dxa"/>
          </w:tcPr>
          <w:p w14:paraId="083CB3F5" w14:textId="77777777" w:rsidR="00756F8C" w:rsidRPr="009B475E" w:rsidRDefault="00756F8C" w:rsidP="00756F8C">
            <w:pPr>
              <w:rPr>
                <w:b/>
              </w:rPr>
            </w:pPr>
            <w:r w:rsidRPr="009B475E">
              <w:rPr>
                <w:b/>
              </w:rPr>
              <w:fldChar w:fldCharType="begin">
                <w:ffData>
                  <w:name w:val="Check1"/>
                  <w:enabled/>
                  <w:calcOnExit w:val="0"/>
                  <w:checkBox>
                    <w:sizeAuto/>
                    <w:default w:val="0"/>
                  </w:checkBox>
                </w:ffData>
              </w:fldChar>
            </w:r>
            <w:r w:rsidRPr="009B475E">
              <w:rPr>
                <w:b/>
              </w:rPr>
              <w:instrText xml:space="preserve"> FORMCHECKBOX </w:instrText>
            </w:r>
            <w:r w:rsidR="004956FB">
              <w:rPr>
                <w:b/>
              </w:rPr>
            </w:r>
            <w:r w:rsidR="004956FB">
              <w:rPr>
                <w:b/>
              </w:rPr>
              <w:fldChar w:fldCharType="separate"/>
            </w:r>
            <w:r w:rsidRPr="009B475E">
              <w:rPr>
                <w:b/>
              </w:rPr>
              <w:fldChar w:fldCharType="end"/>
            </w:r>
            <w:r w:rsidRPr="009B475E">
              <w:rPr>
                <w:b/>
              </w:rPr>
              <w:t xml:space="preserve">  The entire priority axis will be implemented solely through financial instruments </w:t>
            </w:r>
          </w:p>
          <w:p w14:paraId="1BD068A4" w14:textId="77777777" w:rsidR="00756F8C" w:rsidRPr="009B475E" w:rsidRDefault="00756F8C" w:rsidP="00756F8C">
            <w:pPr>
              <w:rPr>
                <w:b/>
              </w:rPr>
            </w:pPr>
          </w:p>
        </w:tc>
        <w:tc>
          <w:tcPr>
            <w:tcW w:w="2352" w:type="dxa"/>
          </w:tcPr>
          <w:p w14:paraId="254B1C9E" w14:textId="77777777" w:rsidR="00756F8C" w:rsidRPr="009B475E" w:rsidRDefault="00756F8C" w:rsidP="00756F8C">
            <w:pPr>
              <w:rPr>
                <w:b/>
              </w:rPr>
            </w:pPr>
            <w:r w:rsidRPr="009B475E">
              <w:rPr>
                <w:b/>
                <w:i/>
              </w:rPr>
              <w:t>N/A</w:t>
            </w:r>
          </w:p>
        </w:tc>
      </w:tr>
      <w:tr w:rsidR="00756F8C" w:rsidRPr="009B475E" w14:paraId="7CB88688" w14:textId="77777777" w:rsidTr="0080323F">
        <w:tc>
          <w:tcPr>
            <w:tcW w:w="4986" w:type="dxa"/>
          </w:tcPr>
          <w:p w14:paraId="011B9315" w14:textId="77777777" w:rsidR="00756F8C" w:rsidRPr="009B475E" w:rsidRDefault="00756F8C" w:rsidP="00756F8C">
            <w:pPr>
              <w:rPr>
                <w:b/>
              </w:rPr>
            </w:pPr>
            <w:r w:rsidRPr="009B475E">
              <w:rPr>
                <w:b/>
              </w:rPr>
              <w:fldChar w:fldCharType="begin">
                <w:ffData>
                  <w:name w:val="Check2"/>
                  <w:enabled/>
                  <w:calcOnExit w:val="0"/>
                  <w:checkBox>
                    <w:sizeAuto/>
                    <w:default w:val="0"/>
                  </w:checkBox>
                </w:ffData>
              </w:fldChar>
            </w:r>
            <w:r w:rsidRPr="009B475E">
              <w:rPr>
                <w:b/>
              </w:rPr>
              <w:instrText xml:space="preserve"> FORMCHECKBOX </w:instrText>
            </w:r>
            <w:r w:rsidR="004956FB">
              <w:rPr>
                <w:b/>
              </w:rPr>
            </w:r>
            <w:r w:rsidR="004956FB">
              <w:rPr>
                <w:b/>
              </w:rPr>
              <w:fldChar w:fldCharType="separate"/>
            </w:r>
            <w:r w:rsidRPr="009B475E">
              <w:rPr>
                <w:b/>
              </w:rPr>
              <w:fldChar w:fldCharType="end"/>
            </w:r>
            <w:r w:rsidRPr="009B475E">
              <w:rPr>
                <w:b/>
              </w:rPr>
              <w:t xml:space="preserve">  The entire priority axis will be implemented solely though financial instruments set up at Union level </w:t>
            </w:r>
          </w:p>
          <w:p w14:paraId="19E62B94" w14:textId="77777777" w:rsidR="00756F8C" w:rsidRPr="009B475E" w:rsidRDefault="00756F8C" w:rsidP="00756F8C">
            <w:pPr>
              <w:rPr>
                <w:b/>
              </w:rPr>
            </w:pPr>
          </w:p>
        </w:tc>
        <w:tc>
          <w:tcPr>
            <w:tcW w:w="2352" w:type="dxa"/>
          </w:tcPr>
          <w:p w14:paraId="2E2280EB" w14:textId="77777777" w:rsidR="00756F8C" w:rsidRPr="009B475E" w:rsidRDefault="00756F8C" w:rsidP="00756F8C">
            <w:pPr>
              <w:rPr>
                <w:b/>
              </w:rPr>
            </w:pPr>
            <w:r w:rsidRPr="009B475E">
              <w:rPr>
                <w:b/>
                <w:i/>
              </w:rPr>
              <w:t>N/A</w:t>
            </w:r>
          </w:p>
        </w:tc>
      </w:tr>
      <w:tr w:rsidR="00756F8C" w:rsidRPr="000D731D" w14:paraId="0DCAE8A7" w14:textId="77777777" w:rsidTr="0080323F">
        <w:tc>
          <w:tcPr>
            <w:tcW w:w="4986" w:type="dxa"/>
          </w:tcPr>
          <w:p w14:paraId="4E0DF8B8" w14:textId="77777777" w:rsidR="00756F8C" w:rsidRPr="009B475E" w:rsidRDefault="00756F8C" w:rsidP="00756F8C">
            <w:pPr>
              <w:rPr>
                <w:b/>
              </w:rPr>
            </w:pPr>
            <w:r w:rsidRPr="009B475E">
              <w:rPr>
                <w:b/>
              </w:rPr>
              <w:fldChar w:fldCharType="begin">
                <w:ffData>
                  <w:name w:val="Check3"/>
                  <w:enabled/>
                  <w:calcOnExit w:val="0"/>
                  <w:checkBox>
                    <w:sizeAuto/>
                    <w:default w:val="0"/>
                  </w:checkBox>
                </w:ffData>
              </w:fldChar>
            </w:r>
            <w:r w:rsidRPr="009B475E">
              <w:rPr>
                <w:b/>
              </w:rPr>
              <w:instrText xml:space="preserve"> FORMCHECKBOX </w:instrText>
            </w:r>
            <w:r w:rsidR="004956FB">
              <w:rPr>
                <w:b/>
              </w:rPr>
            </w:r>
            <w:r w:rsidR="004956FB">
              <w:rPr>
                <w:b/>
              </w:rPr>
              <w:fldChar w:fldCharType="separate"/>
            </w:r>
            <w:r w:rsidRPr="009B475E">
              <w:rPr>
                <w:b/>
              </w:rPr>
              <w:fldChar w:fldCharType="end"/>
            </w:r>
            <w:r w:rsidRPr="009B475E">
              <w:rPr>
                <w:b/>
              </w:rPr>
              <w:t xml:space="preserve"> The entire priority axis will be implemented through community-led local development</w:t>
            </w:r>
          </w:p>
          <w:p w14:paraId="090B7CE5" w14:textId="77777777" w:rsidR="00756F8C" w:rsidRPr="009B475E" w:rsidRDefault="00756F8C" w:rsidP="00756F8C">
            <w:pPr>
              <w:rPr>
                <w:b/>
              </w:rPr>
            </w:pPr>
          </w:p>
        </w:tc>
        <w:tc>
          <w:tcPr>
            <w:tcW w:w="2352" w:type="dxa"/>
          </w:tcPr>
          <w:p w14:paraId="18C30CB3" w14:textId="77777777" w:rsidR="00756F8C" w:rsidRPr="009B475E" w:rsidRDefault="00756F8C" w:rsidP="00756F8C">
            <w:pPr>
              <w:rPr>
                <w:b/>
              </w:rPr>
            </w:pPr>
            <w:r w:rsidRPr="009B475E">
              <w:rPr>
                <w:b/>
                <w:i/>
              </w:rPr>
              <w:t>N/A</w:t>
            </w:r>
          </w:p>
        </w:tc>
      </w:tr>
      <w:tr w:rsidR="00756F8C" w:rsidRPr="009B475E" w14:paraId="66DD20BF" w14:textId="77777777" w:rsidTr="0080323F">
        <w:tc>
          <w:tcPr>
            <w:tcW w:w="4986" w:type="dxa"/>
          </w:tcPr>
          <w:p w14:paraId="3C4BF5EE" w14:textId="77777777" w:rsidR="00756F8C" w:rsidRPr="009B475E" w:rsidRDefault="00756F8C" w:rsidP="00756F8C">
            <w:pPr>
              <w:rPr>
                <w:b/>
              </w:rPr>
            </w:pPr>
            <w:r w:rsidRPr="009B475E">
              <w:rPr>
                <w:b/>
              </w:rPr>
              <w:lastRenderedPageBreak/>
              <w:fldChar w:fldCharType="begin">
                <w:ffData>
                  <w:name w:val="Check3"/>
                  <w:enabled/>
                  <w:calcOnExit w:val="0"/>
                  <w:checkBox>
                    <w:sizeAuto/>
                    <w:default w:val="0"/>
                  </w:checkBox>
                </w:ffData>
              </w:fldChar>
            </w:r>
            <w:r w:rsidRPr="009B475E">
              <w:rPr>
                <w:b/>
              </w:rPr>
              <w:instrText xml:space="preserve"> FORMCHECKBOX </w:instrText>
            </w:r>
            <w:r w:rsidR="004956FB">
              <w:rPr>
                <w:b/>
              </w:rPr>
            </w:r>
            <w:r w:rsidR="004956FB">
              <w:rPr>
                <w:b/>
              </w:rPr>
              <w:fldChar w:fldCharType="separate"/>
            </w:r>
            <w:r w:rsidRPr="009B475E">
              <w:rPr>
                <w:b/>
              </w:rPr>
              <w:fldChar w:fldCharType="end"/>
            </w:r>
            <w:r w:rsidRPr="009B475E">
              <w:rPr>
                <w:b/>
              </w:rPr>
              <w:t xml:space="preserve"> For the ESF: The entire priority axis is dedicated to social innovation or to transnational cooperation, or both</w:t>
            </w:r>
            <w:r w:rsidRPr="009B475E">
              <w:rPr>
                <w:b/>
                <w:i/>
              </w:rPr>
              <w:t xml:space="preserve"> </w:t>
            </w:r>
          </w:p>
        </w:tc>
        <w:tc>
          <w:tcPr>
            <w:tcW w:w="2352" w:type="dxa"/>
          </w:tcPr>
          <w:p w14:paraId="49268C31" w14:textId="77777777" w:rsidR="00756F8C" w:rsidRPr="009B475E" w:rsidRDefault="00756F8C" w:rsidP="00756F8C">
            <w:pPr>
              <w:rPr>
                <w:b/>
              </w:rPr>
            </w:pPr>
            <w:r w:rsidRPr="009B475E">
              <w:rPr>
                <w:b/>
                <w:i/>
              </w:rPr>
              <w:t>N/A</w:t>
            </w:r>
          </w:p>
        </w:tc>
      </w:tr>
      <w:tr w:rsidR="0080323F" w:rsidRPr="009B475E" w14:paraId="60A1B759" w14:textId="77777777" w:rsidTr="0080323F">
        <w:tc>
          <w:tcPr>
            <w:tcW w:w="4986" w:type="dxa"/>
          </w:tcPr>
          <w:p w14:paraId="4CCC68FF" w14:textId="33CF78B7" w:rsidR="0080323F" w:rsidRPr="009B475E" w:rsidRDefault="0080323F" w:rsidP="0080323F">
            <w:pPr>
              <w:rPr>
                <w:rFonts w:ascii="Wingdings" w:hAnsi="Wingdings"/>
                <w:sz w:val="26"/>
                <w:szCs w:val="26"/>
              </w:rPr>
            </w:pPr>
            <w:r w:rsidRPr="009B475E">
              <w:rPr>
                <w:rFonts w:ascii="Wingdings" w:hAnsi="Wingdings"/>
                <w:sz w:val="26"/>
                <w:szCs w:val="26"/>
              </w:rPr>
              <w:t></w:t>
            </w:r>
            <w:r w:rsidRPr="009B475E">
              <w:rPr>
                <w:szCs w:val="24"/>
                <w:lang w:eastAsia="en-US"/>
              </w:rPr>
              <w:t xml:space="preserve"> </w:t>
            </w:r>
            <w:r w:rsidRPr="009B475E">
              <w:rPr>
                <w:color w:val="000000"/>
                <w:szCs w:val="24"/>
                <w:lang w:val="bg-BG" w:eastAsia="en-US"/>
              </w:rPr>
              <w:t>The entire priority axis is dedicated to SAFE (Article 25b)</w:t>
            </w:r>
          </w:p>
        </w:tc>
        <w:tc>
          <w:tcPr>
            <w:tcW w:w="2352" w:type="dxa"/>
          </w:tcPr>
          <w:p w14:paraId="58E4E7E9" w14:textId="13C61BE3" w:rsidR="0080323F" w:rsidRPr="009B475E" w:rsidRDefault="0080323F" w:rsidP="00756F8C">
            <w:pPr>
              <w:rPr>
                <w:rFonts w:ascii="Wingdings" w:hAnsi="Wingdings"/>
                <w:sz w:val="26"/>
                <w:szCs w:val="26"/>
              </w:rPr>
            </w:pPr>
            <w:r w:rsidRPr="009B475E">
              <w:rPr>
                <w:rFonts w:ascii="Wingdings" w:hAnsi="Wingdings"/>
                <w:sz w:val="26"/>
                <w:szCs w:val="26"/>
              </w:rPr>
              <w:t></w:t>
            </w:r>
          </w:p>
        </w:tc>
      </w:tr>
    </w:tbl>
    <w:p w14:paraId="6BB408C9" w14:textId="77777777" w:rsidR="0080323F" w:rsidRPr="009B475E" w:rsidRDefault="0080323F" w:rsidP="00756F8C">
      <w:pPr>
        <w:rPr>
          <w:rFonts w:ascii="Wingdings" w:eastAsia="Times New Roman" w:hAnsi="Wingdings"/>
          <w:sz w:val="26"/>
          <w:szCs w:val="26"/>
        </w:rPr>
      </w:pPr>
    </w:p>
    <w:p w14:paraId="5C727116" w14:textId="0015BF8F" w:rsidR="0080323F" w:rsidRPr="009B475E" w:rsidRDefault="00D933E7" w:rsidP="00756F8C">
      <w:pPr>
        <w:rPr>
          <w:b/>
        </w:rPr>
      </w:pPr>
      <w:r w:rsidRPr="009B475E">
        <w:rPr>
          <w:b/>
        </w:rPr>
        <w:t>2.A.</w:t>
      </w:r>
      <w:r w:rsidR="00A74260" w:rsidRPr="009B475E">
        <w:rPr>
          <w:b/>
        </w:rPr>
        <w:t>6.</w:t>
      </w:r>
      <w:r w:rsidRPr="009B475E">
        <w:rPr>
          <w:b/>
        </w:rPr>
        <w:t>2. Justification for the designation of a priority axis that covers more than one category of region, thematic objective or fund (where applicable)</w:t>
      </w:r>
    </w:p>
    <w:p w14:paraId="6CAD4CB7" w14:textId="77777777" w:rsidR="00756F8C" w:rsidRPr="009B475E" w:rsidRDefault="00756F8C" w:rsidP="00756F8C">
      <w:pP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D933E7" w:rsidRPr="009B475E" w14:paraId="1BE01E91" w14:textId="77777777" w:rsidTr="00274612">
        <w:tc>
          <w:tcPr>
            <w:tcW w:w="9286" w:type="dxa"/>
            <w:shd w:val="clear" w:color="auto" w:fill="auto"/>
          </w:tcPr>
          <w:p w14:paraId="40C1C93E" w14:textId="77777777" w:rsidR="00D933E7" w:rsidRPr="009B475E" w:rsidRDefault="00D933E7" w:rsidP="00D933E7">
            <w:pPr>
              <w:spacing w:beforeAutospacing="1" w:afterAutospacing="1"/>
              <w:rPr>
                <w:szCs w:val="24"/>
                <w:lang w:eastAsia="bg-BG"/>
              </w:rPr>
            </w:pPr>
            <w:r w:rsidRPr="009B475E">
              <w:rPr>
                <w:szCs w:val="24"/>
                <w:lang w:eastAsia="bg-BG"/>
              </w:rPr>
              <w:t>The territorial scope covers all regions (NUTS II). They are categorized as less developed regions.</w:t>
            </w:r>
          </w:p>
          <w:p w14:paraId="4D06E085" w14:textId="092DB21D" w:rsidR="00D933E7" w:rsidRPr="009B475E" w:rsidRDefault="00D933E7" w:rsidP="004F661F">
            <w:pPr>
              <w:spacing w:beforeAutospacing="1" w:afterAutospacing="1"/>
              <w:rPr>
                <w:i/>
                <w:sz w:val="20"/>
                <w:szCs w:val="22"/>
                <w:lang w:val="en-US" w:eastAsia="bg-BG"/>
              </w:rPr>
            </w:pPr>
            <w:r w:rsidRPr="009B475E">
              <w:rPr>
                <w:szCs w:val="24"/>
                <w:lang w:eastAsia="bg-BG"/>
              </w:rPr>
              <w:t>Priority axis 6 is aimed at implementing thematic objective 3 of the General Regulation: "</w:t>
            </w:r>
            <w:r w:rsidR="004F661F" w:rsidRPr="009B475E">
              <w:rPr>
                <w:szCs w:val="24"/>
                <w:lang w:eastAsia="bg-BG"/>
              </w:rPr>
              <w:t>Enhancing the competitiveness of SMEs, of the agricultural sector (for the EAFRD) and of the fishery and aquaculture sector (for the EMFF)</w:t>
            </w:r>
            <w:r w:rsidRPr="009B475E">
              <w:rPr>
                <w:szCs w:val="24"/>
                <w:lang w:eastAsia="bg-BG"/>
              </w:rPr>
              <w:t>" from Regulation (EU) 1303/2013</w:t>
            </w:r>
            <w:r w:rsidR="00B63AB0" w:rsidRPr="009B475E">
              <w:rPr>
                <w:szCs w:val="24"/>
                <w:lang w:eastAsia="bg-BG"/>
              </w:rPr>
              <w:t>. Priority Axis 6</w:t>
            </w:r>
            <w:r w:rsidRPr="009B475E">
              <w:rPr>
                <w:szCs w:val="24"/>
                <w:lang w:eastAsia="bg-BG"/>
              </w:rPr>
              <w:t xml:space="preserve"> will be co-financed by the ERDF and the CF, in accordance with the provisions of Art. 25b, paragraph 3 of Regulation (EU) 1303/2013.</w:t>
            </w:r>
          </w:p>
        </w:tc>
      </w:tr>
    </w:tbl>
    <w:p w14:paraId="778C1DA3" w14:textId="77777777" w:rsidR="00A86C99" w:rsidRPr="009B475E" w:rsidRDefault="00A86C99" w:rsidP="0068794B">
      <w:pPr>
        <w:rPr>
          <w:b/>
        </w:rPr>
      </w:pPr>
    </w:p>
    <w:p w14:paraId="17965F56" w14:textId="154914D8" w:rsidR="00A74260" w:rsidRPr="009B475E" w:rsidRDefault="00A74260" w:rsidP="00A74260">
      <w:pPr>
        <w:rPr>
          <w:b/>
        </w:rPr>
      </w:pPr>
      <w:r w:rsidRPr="009B475E">
        <w:rPr>
          <w:b/>
        </w:rPr>
        <w:t>2.A.6.3. Fund,  category of region and calculation basis for Union support</w:t>
      </w:r>
    </w:p>
    <w:p w14:paraId="7ED41CA3" w14:textId="77777777" w:rsidR="00A74260" w:rsidRPr="009B475E" w:rsidRDefault="00A74260" w:rsidP="00A74260">
      <w:pPr>
        <w:rPr>
          <w:b/>
        </w:rPr>
      </w:pPr>
      <w:r w:rsidRPr="009B475E">
        <w:t>(Repeated for each combination under a priority axis)</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4962"/>
      </w:tblGrid>
      <w:tr w:rsidR="00A74260" w:rsidRPr="009B475E" w14:paraId="57B493F9" w14:textId="77777777" w:rsidTr="00274612">
        <w:tc>
          <w:tcPr>
            <w:tcW w:w="3544" w:type="dxa"/>
          </w:tcPr>
          <w:p w14:paraId="2A5B9479" w14:textId="77777777" w:rsidR="00A74260" w:rsidRPr="009B475E" w:rsidRDefault="00A74260" w:rsidP="00274612">
            <w:pPr>
              <w:rPr>
                <w:i/>
              </w:rPr>
            </w:pPr>
            <w:r w:rsidRPr="009B475E">
              <w:rPr>
                <w:i/>
              </w:rPr>
              <w:t>Fund</w:t>
            </w:r>
          </w:p>
        </w:tc>
        <w:tc>
          <w:tcPr>
            <w:tcW w:w="4962" w:type="dxa"/>
          </w:tcPr>
          <w:p w14:paraId="165BB828" w14:textId="582911B9" w:rsidR="00A74260" w:rsidRPr="009B475E" w:rsidRDefault="00A74260" w:rsidP="00274612">
            <w:pPr>
              <w:jc w:val="left"/>
              <w:rPr>
                <w:i/>
                <w:color w:val="8DB3E2"/>
                <w:sz w:val="18"/>
                <w:szCs w:val="18"/>
              </w:rPr>
            </w:pPr>
            <w:r w:rsidRPr="009B475E">
              <w:rPr>
                <w:i/>
                <w:szCs w:val="24"/>
              </w:rPr>
              <w:t>European Regional Development Fund</w:t>
            </w:r>
          </w:p>
        </w:tc>
      </w:tr>
      <w:tr w:rsidR="00A74260" w:rsidRPr="009B475E" w14:paraId="26D1289C" w14:textId="77777777" w:rsidTr="00274612">
        <w:tc>
          <w:tcPr>
            <w:tcW w:w="3544" w:type="dxa"/>
          </w:tcPr>
          <w:p w14:paraId="459D8F33" w14:textId="77777777" w:rsidR="00A74260" w:rsidRPr="009B475E" w:rsidRDefault="00A74260" w:rsidP="00274612">
            <w:pPr>
              <w:rPr>
                <w:i/>
              </w:rPr>
            </w:pPr>
            <w:r w:rsidRPr="009B475E">
              <w:rPr>
                <w:i/>
              </w:rPr>
              <w:t>Category of region</w:t>
            </w:r>
          </w:p>
        </w:tc>
        <w:tc>
          <w:tcPr>
            <w:tcW w:w="4962" w:type="dxa"/>
          </w:tcPr>
          <w:p w14:paraId="488B65E7" w14:textId="0D76CA50" w:rsidR="00A74260" w:rsidRPr="009B475E" w:rsidRDefault="00A74260" w:rsidP="00274612">
            <w:pPr>
              <w:jc w:val="left"/>
              <w:rPr>
                <w:i/>
                <w:color w:val="8DB3E2"/>
                <w:sz w:val="18"/>
                <w:szCs w:val="18"/>
              </w:rPr>
            </w:pPr>
            <w:r w:rsidRPr="009B475E">
              <w:rPr>
                <w:i/>
                <w:szCs w:val="24"/>
              </w:rPr>
              <w:t xml:space="preserve">Less developed </w:t>
            </w:r>
          </w:p>
        </w:tc>
      </w:tr>
      <w:tr w:rsidR="00A74260" w:rsidRPr="009B475E" w14:paraId="2967F6FC" w14:textId="77777777" w:rsidTr="00274612">
        <w:tc>
          <w:tcPr>
            <w:tcW w:w="3544" w:type="dxa"/>
          </w:tcPr>
          <w:p w14:paraId="410FAC68" w14:textId="77777777" w:rsidR="00A74260" w:rsidRPr="009B475E" w:rsidRDefault="00A74260" w:rsidP="00274612">
            <w:pPr>
              <w:rPr>
                <w:i/>
              </w:rPr>
            </w:pPr>
            <w:r w:rsidRPr="009B475E">
              <w:rPr>
                <w:i/>
              </w:rPr>
              <w:t>Calculation basis (public or total)</w:t>
            </w:r>
          </w:p>
        </w:tc>
        <w:tc>
          <w:tcPr>
            <w:tcW w:w="4962" w:type="dxa"/>
          </w:tcPr>
          <w:p w14:paraId="1155F36A" w14:textId="77777777" w:rsidR="00A74260" w:rsidRPr="009B475E" w:rsidRDefault="00A74260" w:rsidP="00274612">
            <w:pPr>
              <w:jc w:val="left"/>
              <w:rPr>
                <w:i/>
                <w:color w:val="8DB3E2"/>
                <w:sz w:val="18"/>
                <w:szCs w:val="18"/>
              </w:rPr>
            </w:pPr>
            <w:r w:rsidRPr="009B475E">
              <w:rPr>
                <w:i/>
                <w:szCs w:val="24"/>
              </w:rPr>
              <w:t>Public</w:t>
            </w:r>
          </w:p>
        </w:tc>
      </w:tr>
      <w:tr w:rsidR="00A74260" w:rsidRPr="000D731D" w14:paraId="35FE22E2" w14:textId="77777777" w:rsidTr="00274612">
        <w:tc>
          <w:tcPr>
            <w:tcW w:w="3544" w:type="dxa"/>
          </w:tcPr>
          <w:p w14:paraId="147AF458" w14:textId="77777777" w:rsidR="00A74260" w:rsidRPr="009B475E" w:rsidRDefault="00A74260" w:rsidP="00274612">
            <w:pPr>
              <w:rPr>
                <w:i/>
              </w:rPr>
            </w:pPr>
            <w:r w:rsidRPr="009B475E">
              <w:rPr>
                <w:i/>
              </w:rPr>
              <w:t>Category of region for outermost regions and northern sparsely populated</w:t>
            </w:r>
            <w:r w:rsidRPr="009B475E" w:rsidDel="00337CA8">
              <w:rPr>
                <w:i/>
              </w:rPr>
              <w:t xml:space="preserve"> </w:t>
            </w:r>
            <w:r w:rsidRPr="009B475E">
              <w:rPr>
                <w:i/>
              </w:rPr>
              <w:t xml:space="preserve"> regions (where applicable)</w:t>
            </w:r>
          </w:p>
        </w:tc>
        <w:tc>
          <w:tcPr>
            <w:tcW w:w="4962" w:type="dxa"/>
          </w:tcPr>
          <w:p w14:paraId="4BFCA2CB" w14:textId="77777777" w:rsidR="00A74260" w:rsidRPr="009B475E" w:rsidRDefault="00A74260" w:rsidP="00274612">
            <w:pPr>
              <w:jc w:val="left"/>
              <w:rPr>
                <w:i/>
                <w:color w:val="8DB3E2"/>
                <w:sz w:val="18"/>
                <w:szCs w:val="18"/>
              </w:rPr>
            </w:pPr>
            <w:r w:rsidRPr="009B475E">
              <w:rPr>
                <w:i/>
                <w:szCs w:val="24"/>
              </w:rPr>
              <w:t>N/A</w:t>
            </w:r>
          </w:p>
        </w:tc>
      </w:tr>
    </w:tbl>
    <w:p w14:paraId="718D0979" w14:textId="77777777" w:rsidR="00A74260" w:rsidRPr="000D731D" w:rsidRDefault="00A74260" w:rsidP="00A74260">
      <w:pPr>
        <w:rPr>
          <w:i/>
          <w:highlight w:val="yellow"/>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4962"/>
      </w:tblGrid>
      <w:tr w:rsidR="00A74260" w:rsidRPr="000D731D" w14:paraId="55C12AA6" w14:textId="77777777" w:rsidTr="00274612">
        <w:tc>
          <w:tcPr>
            <w:tcW w:w="3544" w:type="dxa"/>
          </w:tcPr>
          <w:p w14:paraId="16D609C2" w14:textId="77777777" w:rsidR="00A74260" w:rsidRPr="009B475E" w:rsidRDefault="00A74260" w:rsidP="00274612">
            <w:pPr>
              <w:rPr>
                <w:i/>
              </w:rPr>
            </w:pPr>
            <w:r w:rsidRPr="009B475E">
              <w:rPr>
                <w:i/>
              </w:rPr>
              <w:t>Fund</w:t>
            </w:r>
          </w:p>
        </w:tc>
        <w:tc>
          <w:tcPr>
            <w:tcW w:w="4962" w:type="dxa"/>
          </w:tcPr>
          <w:p w14:paraId="2C410748" w14:textId="77777777" w:rsidR="00A74260" w:rsidRPr="009B475E" w:rsidRDefault="00A74260" w:rsidP="00274612">
            <w:pPr>
              <w:jc w:val="left"/>
              <w:rPr>
                <w:i/>
                <w:color w:val="8DB3E2"/>
                <w:sz w:val="18"/>
                <w:szCs w:val="18"/>
              </w:rPr>
            </w:pPr>
            <w:r w:rsidRPr="009B475E">
              <w:rPr>
                <w:i/>
                <w:szCs w:val="24"/>
              </w:rPr>
              <w:t>Cohesion fund</w:t>
            </w:r>
            <w:r w:rsidRPr="009B475E">
              <w:rPr>
                <w:i/>
                <w:color w:val="8DB3E2"/>
                <w:sz w:val="18"/>
                <w:szCs w:val="18"/>
              </w:rPr>
              <w:t xml:space="preserve"> </w:t>
            </w:r>
          </w:p>
        </w:tc>
      </w:tr>
      <w:tr w:rsidR="00A74260" w:rsidRPr="000D731D" w14:paraId="608D32E5" w14:textId="77777777" w:rsidTr="00274612">
        <w:tc>
          <w:tcPr>
            <w:tcW w:w="3544" w:type="dxa"/>
          </w:tcPr>
          <w:p w14:paraId="6E8E05CF" w14:textId="77777777" w:rsidR="00A74260" w:rsidRPr="009B475E" w:rsidRDefault="00A74260" w:rsidP="00274612">
            <w:pPr>
              <w:rPr>
                <w:i/>
              </w:rPr>
            </w:pPr>
            <w:r w:rsidRPr="009B475E">
              <w:rPr>
                <w:i/>
              </w:rPr>
              <w:t>Category of region</w:t>
            </w:r>
          </w:p>
        </w:tc>
        <w:tc>
          <w:tcPr>
            <w:tcW w:w="4962" w:type="dxa"/>
          </w:tcPr>
          <w:p w14:paraId="5981B86E" w14:textId="77777777" w:rsidR="00A74260" w:rsidRPr="009B475E" w:rsidRDefault="00A74260" w:rsidP="00274612">
            <w:pPr>
              <w:jc w:val="left"/>
              <w:rPr>
                <w:i/>
                <w:color w:val="8DB3E2"/>
                <w:sz w:val="18"/>
                <w:szCs w:val="18"/>
              </w:rPr>
            </w:pPr>
            <w:r w:rsidRPr="009B475E">
              <w:rPr>
                <w:i/>
                <w:szCs w:val="24"/>
              </w:rPr>
              <w:t>N/A</w:t>
            </w:r>
          </w:p>
        </w:tc>
      </w:tr>
      <w:tr w:rsidR="00A74260" w:rsidRPr="000D731D" w14:paraId="40F39664" w14:textId="77777777" w:rsidTr="00274612">
        <w:tc>
          <w:tcPr>
            <w:tcW w:w="3544" w:type="dxa"/>
          </w:tcPr>
          <w:p w14:paraId="23E65A5A" w14:textId="77777777" w:rsidR="00A74260" w:rsidRPr="009B475E" w:rsidRDefault="00A74260" w:rsidP="00274612">
            <w:pPr>
              <w:rPr>
                <w:i/>
              </w:rPr>
            </w:pPr>
            <w:r w:rsidRPr="009B475E">
              <w:rPr>
                <w:i/>
              </w:rPr>
              <w:t>Calculation basis (public or total)</w:t>
            </w:r>
          </w:p>
        </w:tc>
        <w:tc>
          <w:tcPr>
            <w:tcW w:w="4962" w:type="dxa"/>
          </w:tcPr>
          <w:p w14:paraId="5724FC65" w14:textId="77777777" w:rsidR="00A74260" w:rsidRPr="009B475E" w:rsidRDefault="00A74260" w:rsidP="00274612">
            <w:pPr>
              <w:jc w:val="left"/>
              <w:rPr>
                <w:i/>
                <w:color w:val="8DB3E2"/>
                <w:sz w:val="18"/>
                <w:szCs w:val="18"/>
              </w:rPr>
            </w:pPr>
            <w:r w:rsidRPr="009B475E">
              <w:rPr>
                <w:i/>
                <w:szCs w:val="24"/>
              </w:rPr>
              <w:t>Public</w:t>
            </w:r>
          </w:p>
        </w:tc>
      </w:tr>
      <w:tr w:rsidR="00A74260" w:rsidRPr="000D731D" w14:paraId="27D71BC5" w14:textId="77777777" w:rsidTr="00274612">
        <w:tc>
          <w:tcPr>
            <w:tcW w:w="3544" w:type="dxa"/>
          </w:tcPr>
          <w:p w14:paraId="5BDD6327" w14:textId="77777777" w:rsidR="00A74260" w:rsidRPr="009B475E" w:rsidRDefault="00A74260" w:rsidP="00274612">
            <w:pPr>
              <w:rPr>
                <w:i/>
              </w:rPr>
            </w:pPr>
            <w:r w:rsidRPr="009B475E">
              <w:rPr>
                <w:i/>
              </w:rPr>
              <w:t>Category of region for outermost regions and northern sparsely populated</w:t>
            </w:r>
            <w:r w:rsidRPr="009B475E" w:rsidDel="00337CA8">
              <w:rPr>
                <w:i/>
              </w:rPr>
              <w:t xml:space="preserve"> </w:t>
            </w:r>
            <w:r w:rsidRPr="009B475E">
              <w:rPr>
                <w:i/>
              </w:rPr>
              <w:t xml:space="preserve"> regions (where applicable)</w:t>
            </w:r>
          </w:p>
        </w:tc>
        <w:tc>
          <w:tcPr>
            <w:tcW w:w="4962" w:type="dxa"/>
          </w:tcPr>
          <w:p w14:paraId="5731AD6D" w14:textId="77777777" w:rsidR="00A74260" w:rsidRPr="009B475E" w:rsidRDefault="00A74260" w:rsidP="00274612">
            <w:pPr>
              <w:jc w:val="left"/>
              <w:rPr>
                <w:i/>
                <w:color w:val="8DB3E2"/>
                <w:sz w:val="18"/>
                <w:szCs w:val="18"/>
              </w:rPr>
            </w:pPr>
            <w:r w:rsidRPr="009B475E">
              <w:rPr>
                <w:i/>
                <w:szCs w:val="24"/>
              </w:rPr>
              <w:t>N/A</w:t>
            </w:r>
          </w:p>
        </w:tc>
      </w:tr>
    </w:tbl>
    <w:p w14:paraId="025120FF" w14:textId="77777777" w:rsidR="00A74260" w:rsidRPr="000D731D" w:rsidRDefault="00A74260" w:rsidP="00A74260">
      <w:pPr>
        <w:rPr>
          <w:i/>
          <w:highlight w:val="yellow"/>
        </w:rPr>
      </w:pPr>
    </w:p>
    <w:p w14:paraId="7BDA81C4" w14:textId="7914886D" w:rsidR="00A74260" w:rsidRPr="009B475E" w:rsidRDefault="00A74260" w:rsidP="00A74260">
      <w:r w:rsidRPr="009B475E">
        <w:rPr>
          <w:b/>
        </w:rPr>
        <w:t>2.A.6.4 Investment priority</w:t>
      </w:r>
      <w:r w:rsidRPr="009B475E">
        <w:t xml:space="preserve"> </w:t>
      </w:r>
    </w:p>
    <w:p w14:paraId="08B13571" w14:textId="77777777" w:rsidR="00A74260" w:rsidRPr="009B475E" w:rsidRDefault="00A74260" w:rsidP="00A74260">
      <w:r w:rsidRPr="009B475E">
        <w:t xml:space="preserve"> (Repeated for each investment priority under the priority axis)</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4962"/>
      </w:tblGrid>
      <w:tr w:rsidR="00A74260" w:rsidRPr="009B475E" w14:paraId="4C605A8E" w14:textId="77777777" w:rsidTr="00274612">
        <w:tc>
          <w:tcPr>
            <w:tcW w:w="3544" w:type="dxa"/>
          </w:tcPr>
          <w:p w14:paraId="115BDFA2" w14:textId="77777777" w:rsidR="00A74260" w:rsidRPr="009B475E" w:rsidRDefault="00A74260" w:rsidP="00274612">
            <w:pPr>
              <w:rPr>
                <w:i/>
              </w:rPr>
            </w:pPr>
            <w:r w:rsidRPr="009B475E">
              <w:rPr>
                <w:i/>
              </w:rPr>
              <w:t>ID</w:t>
            </w:r>
          </w:p>
        </w:tc>
        <w:tc>
          <w:tcPr>
            <w:tcW w:w="4962" w:type="dxa"/>
          </w:tcPr>
          <w:p w14:paraId="0C9F0A71" w14:textId="77777777" w:rsidR="00A74260" w:rsidRPr="009B475E" w:rsidRDefault="00A74260" w:rsidP="00274612">
            <w:pPr>
              <w:pStyle w:val="Text1"/>
              <w:ind w:left="0"/>
              <w:rPr>
                <w:i/>
                <w:sz w:val="24"/>
                <w:szCs w:val="24"/>
                <w:lang w:val="en-GB" w:eastAsia="en-GB"/>
              </w:rPr>
            </w:pPr>
            <w:r w:rsidRPr="009B475E">
              <w:rPr>
                <w:sz w:val="24"/>
                <w:szCs w:val="24"/>
                <w:lang w:val="en-GB" w:eastAsia="bg-BG"/>
              </w:rPr>
              <w:t>7(i)</w:t>
            </w:r>
          </w:p>
        </w:tc>
      </w:tr>
      <w:tr w:rsidR="00A74260" w:rsidRPr="009B475E" w14:paraId="228125DA" w14:textId="77777777" w:rsidTr="00274612">
        <w:tc>
          <w:tcPr>
            <w:tcW w:w="3544" w:type="dxa"/>
          </w:tcPr>
          <w:p w14:paraId="277EDAB2" w14:textId="77777777" w:rsidR="00A74260" w:rsidRPr="009B475E" w:rsidRDefault="00A74260" w:rsidP="00274612">
            <w:pPr>
              <w:rPr>
                <w:i/>
              </w:rPr>
            </w:pPr>
            <w:r w:rsidRPr="009B475E">
              <w:rPr>
                <w:i/>
              </w:rPr>
              <w:t>Investment priority</w:t>
            </w:r>
          </w:p>
        </w:tc>
        <w:tc>
          <w:tcPr>
            <w:tcW w:w="4962" w:type="dxa"/>
          </w:tcPr>
          <w:p w14:paraId="4898A1BA" w14:textId="35D3D4C5" w:rsidR="00A74260" w:rsidRPr="009B475E" w:rsidRDefault="00A74260" w:rsidP="00274612">
            <w:pPr>
              <w:pStyle w:val="Text1"/>
              <w:ind w:left="0"/>
              <w:rPr>
                <w:i/>
                <w:color w:val="8DB3E2"/>
                <w:sz w:val="24"/>
                <w:szCs w:val="24"/>
                <w:lang w:val="en-GB" w:eastAsia="en-GB"/>
              </w:rPr>
            </w:pPr>
            <w:r w:rsidRPr="009B475E">
              <w:rPr>
                <w:i/>
                <w:sz w:val="24"/>
                <w:szCs w:val="24"/>
                <w:lang w:val="en-GB" w:eastAsia="en-GB"/>
              </w:rPr>
              <w:t>3d) supporting the capacity of SMEs to grow in regional, national and international markets, and to engage in innovation processes</w:t>
            </w:r>
          </w:p>
        </w:tc>
      </w:tr>
    </w:tbl>
    <w:p w14:paraId="77E621C0" w14:textId="52F2817B" w:rsidR="00A86C99" w:rsidRPr="009B475E" w:rsidRDefault="00A86C99" w:rsidP="0068794B">
      <w:pPr>
        <w:rPr>
          <w:b/>
        </w:rPr>
      </w:pPr>
    </w:p>
    <w:p w14:paraId="55D65846" w14:textId="16B37390" w:rsidR="00B81157" w:rsidRPr="009B475E" w:rsidRDefault="00B81157" w:rsidP="00B81157">
      <w:pPr>
        <w:rPr>
          <w:b/>
        </w:rPr>
      </w:pPr>
      <w:r w:rsidRPr="009B475E">
        <w:rPr>
          <w:b/>
        </w:rPr>
        <w:t xml:space="preserve">2.A.6.5 Specific objectives corresponding to the investment priority and expected results </w:t>
      </w:r>
    </w:p>
    <w:p w14:paraId="1B0560E1" w14:textId="77777777" w:rsidR="00B81157" w:rsidRPr="009B475E" w:rsidRDefault="00B81157" w:rsidP="00B81157">
      <w:r w:rsidRPr="009B475E">
        <w:t>(Repeated for each specific objective under the investment priority)</w:t>
      </w:r>
    </w:p>
    <w:p w14:paraId="38625D59" w14:textId="77777777" w:rsidR="00B81157" w:rsidRPr="009B475E" w:rsidRDefault="00B81157" w:rsidP="00B81157">
      <w:r w:rsidRPr="009B475E">
        <w:t xml:space="preserve"> (Reference: points (b)(i) and (ii) of the first subparagraph of Article 96(2) of Regulation (EU) No 1303/2013)</w:t>
      </w:r>
    </w:p>
    <w:p w14:paraId="30A3EF5B" w14:textId="77777777" w:rsidR="00B81157" w:rsidRPr="009B475E" w:rsidRDefault="00B81157" w:rsidP="00B811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5103"/>
      </w:tblGrid>
      <w:tr w:rsidR="00B81157" w:rsidRPr="009B475E" w14:paraId="23426EE6" w14:textId="77777777" w:rsidTr="00274612">
        <w:trPr>
          <w:trHeight w:val="491"/>
        </w:trPr>
        <w:tc>
          <w:tcPr>
            <w:tcW w:w="3510" w:type="dxa"/>
          </w:tcPr>
          <w:p w14:paraId="1C224F9A" w14:textId="77777777" w:rsidR="00B81157" w:rsidRPr="009B475E" w:rsidRDefault="00B81157" w:rsidP="00274612">
            <w:pPr>
              <w:rPr>
                <w:i/>
              </w:rPr>
            </w:pPr>
            <w:r w:rsidRPr="009B475E">
              <w:rPr>
                <w:i/>
              </w:rPr>
              <w:t>ID</w:t>
            </w:r>
          </w:p>
        </w:tc>
        <w:tc>
          <w:tcPr>
            <w:tcW w:w="5103" w:type="dxa"/>
          </w:tcPr>
          <w:p w14:paraId="6B547CBE" w14:textId="77777777" w:rsidR="00B81157" w:rsidRPr="009B475E" w:rsidRDefault="00B81157" w:rsidP="00274612">
            <w:pPr>
              <w:pStyle w:val="Text1"/>
              <w:ind w:left="0"/>
              <w:jc w:val="left"/>
              <w:rPr>
                <w:i/>
                <w:color w:val="8DB3E2"/>
                <w:sz w:val="18"/>
                <w:szCs w:val="18"/>
                <w:lang w:val="en-GB" w:eastAsia="en-GB"/>
              </w:rPr>
            </w:pPr>
            <w:r w:rsidRPr="009B475E">
              <w:rPr>
                <w:i/>
                <w:sz w:val="24"/>
                <w:szCs w:val="24"/>
                <w:lang w:val="en-GB" w:eastAsia="en-GB"/>
              </w:rPr>
              <w:t>1</w:t>
            </w:r>
          </w:p>
        </w:tc>
      </w:tr>
      <w:tr w:rsidR="00B81157" w:rsidRPr="009B475E" w14:paraId="1CCE3334" w14:textId="77777777" w:rsidTr="00274612">
        <w:trPr>
          <w:trHeight w:val="360"/>
        </w:trPr>
        <w:tc>
          <w:tcPr>
            <w:tcW w:w="3510" w:type="dxa"/>
          </w:tcPr>
          <w:p w14:paraId="46A53A5B" w14:textId="77777777" w:rsidR="00B81157" w:rsidRPr="009B475E" w:rsidRDefault="00B81157" w:rsidP="00274612">
            <w:pPr>
              <w:rPr>
                <w:i/>
              </w:rPr>
            </w:pPr>
            <w:r w:rsidRPr="009B475E">
              <w:rPr>
                <w:i/>
              </w:rPr>
              <w:t xml:space="preserve">Specific objective </w:t>
            </w:r>
          </w:p>
        </w:tc>
        <w:tc>
          <w:tcPr>
            <w:tcW w:w="5103" w:type="dxa"/>
          </w:tcPr>
          <w:p w14:paraId="4BBC95DE" w14:textId="171DD200" w:rsidR="00B81157" w:rsidRPr="009B475E" w:rsidRDefault="00B81157" w:rsidP="00274612">
            <w:pPr>
              <w:pStyle w:val="Text1"/>
              <w:ind w:left="0"/>
              <w:rPr>
                <w:i/>
                <w:sz w:val="24"/>
                <w:szCs w:val="24"/>
                <w:lang w:eastAsia="en-GB"/>
              </w:rPr>
            </w:pPr>
            <w:r w:rsidRPr="009B475E">
              <w:rPr>
                <w:i/>
                <w:sz w:val="24"/>
                <w:szCs w:val="24"/>
                <w:lang w:val="en-GB" w:eastAsia="en-GB"/>
              </w:rPr>
              <w:t>Support for SMEs that are particularly affected by energy price increases</w:t>
            </w:r>
          </w:p>
        </w:tc>
      </w:tr>
      <w:tr w:rsidR="00B81157" w:rsidRPr="009B475E" w14:paraId="015FAB13" w14:textId="77777777" w:rsidTr="00274612">
        <w:trPr>
          <w:trHeight w:val="360"/>
        </w:trPr>
        <w:tc>
          <w:tcPr>
            <w:tcW w:w="3510" w:type="dxa"/>
          </w:tcPr>
          <w:p w14:paraId="2D8F054B" w14:textId="77777777" w:rsidR="00B81157" w:rsidRPr="009B475E" w:rsidRDefault="00B81157" w:rsidP="00274612">
            <w:pPr>
              <w:rPr>
                <w:i/>
              </w:rPr>
            </w:pPr>
            <w:r w:rsidRPr="009B475E">
              <w:rPr>
                <w:i/>
              </w:rPr>
              <w:t>The results that the Member State seeks to achieve with EU support</w:t>
            </w:r>
          </w:p>
        </w:tc>
        <w:tc>
          <w:tcPr>
            <w:tcW w:w="5103" w:type="dxa"/>
          </w:tcPr>
          <w:p w14:paraId="4757763C" w14:textId="0DECEA2D" w:rsidR="00B81157" w:rsidRPr="009B475E" w:rsidRDefault="00E51AE9" w:rsidP="00E51AE9">
            <w:pPr>
              <w:rPr>
                <w:i/>
                <w:szCs w:val="24"/>
              </w:rPr>
            </w:pPr>
            <w:r w:rsidRPr="009B475E">
              <w:rPr>
                <w:i/>
                <w:szCs w:val="24"/>
              </w:rPr>
              <w:t>The implementation of the proposed measures will contribute to mitigating the consequences for SMEs of the significant increase in energy prices caused by Russia's military aggression against Ukraine</w:t>
            </w:r>
          </w:p>
        </w:tc>
      </w:tr>
    </w:tbl>
    <w:p w14:paraId="3C5E3D6D" w14:textId="78458132" w:rsidR="00A74260" w:rsidRPr="009B475E" w:rsidRDefault="00A74260" w:rsidP="0068794B">
      <w:pPr>
        <w:rPr>
          <w:b/>
        </w:rPr>
      </w:pPr>
    </w:p>
    <w:p w14:paraId="76B2EEEF" w14:textId="77777777" w:rsidR="00CE70C7" w:rsidRPr="009B475E" w:rsidRDefault="00CE70C7" w:rsidP="00CE70C7">
      <w:r w:rsidRPr="009B475E">
        <w:rPr>
          <w:b/>
        </w:rPr>
        <w:t xml:space="preserve">Table 3: </w:t>
      </w:r>
      <w:r w:rsidRPr="009B475E">
        <w:rPr>
          <w:b/>
        </w:rPr>
        <w:tab/>
        <w:t xml:space="preserve">Programme-specific result indicators, by specific objective </w:t>
      </w:r>
      <w:r w:rsidRPr="009B475E">
        <w:t>(for the ERDF and the Cohesion Fund)</w:t>
      </w:r>
    </w:p>
    <w:p w14:paraId="49853D36" w14:textId="77777777" w:rsidR="00CE70C7" w:rsidRPr="009B475E" w:rsidRDefault="00CE70C7" w:rsidP="00CE70C7">
      <w:pPr>
        <w:rPr>
          <w:b/>
        </w:rPr>
      </w:pPr>
    </w:p>
    <w:p w14:paraId="178A1A29" w14:textId="77777777" w:rsidR="00CE70C7" w:rsidRPr="009B475E" w:rsidRDefault="00CE70C7" w:rsidP="00CE70C7">
      <w:pPr>
        <w:rPr>
          <w:szCs w:val="24"/>
        </w:rPr>
      </w:pPr>
      <w:r w:rsidRPr="009B475E">
        <w:rPr>
          <w:szCs w:val="24"/>
        </w:rPr>
        <w:t>(Reference: point (b)(ii) of the first subparagraph of Article 96(2) of Regulation (EU) No 1303/2013</w:t>
      </w:r>
    </w:p>
    <w:p w14:paraId="281A4CB2" w14:textId="77777777" w:rsidR="00CE70C7" w:rsidRPr="009B475E" w:rsidRDefault="00CE70C7" w:rsidP="00CE70C7"/>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1379"/>
        <w:gridCol w:w="1152"/>
        <w:gridCol w:w="953"/>
        <w:gridCol w:w="1010"/>
        <w:gridCol w:w="843"/>
        <w:gridCol w:w="1281"/>
        <w:gridCol w:w="1025"/>
        <w:gridCol w:w="767"/>
      </w:tblGrid>
      <w:tr w:rsidR="00CE70C7" w:rsidRPr="009B475E" w14:paraId="4F559DBE" w14:textId="77777777" w:rsidTr="000D731D">
        <w:trPr>
          <w:trHeight w:val="531"/>
        </w:trPr>
        <w:tc>
          <w:tcPr>
            <w:tcW w:w="1186" w:type="pct"/>
            <w:gridSpan w:val="2"/>
          </w:tcPr>
          <w:p w14:paraId="13FD0C2D" w14:textId="77777777" w:rsidR="00CE70C7" w:rsidRPr="009B475E" w:rsidRDefault="00CE70C7" w:rsidP="00274612">
            <w:pPr>
              <w:pStyle w:val="ListBullet"/>
              <w:tabs>
                <w:tab w:val="clear" w:pos="360"/>
                <w:tab w:val="left" w:pos="720"/>
              </w:tabs>
              <w:ind w:left="0" w:firstLine="0"/>
              <w:rPr>
                <w:b/>
                <w:i/>
                <w:sz w:val="18"/>
                <w:szCs w:val="18"/>
                <w:lang w:val="en-US"/>
              </w:rPr>
            </w:pPr>
            <w:r w:rsidRPr="009B475E">
              <w:rPr>
                <w:b/>
                <w:i/>
                <w:sz w:val="18"/>
                <w:szCs w:val="18"/>
                <w:lang w:val="en-US"/>
              </w:rPr>
              <w:t xml:space="preserve">Specific objective </w:t>
            </w:r>
          </w:p>
        </w:tc>
        <w:tc>
          <w:tcPr>
            <w:tcW w:w="3814" w:type="pct"/>
            <w:gridSpan w:val="7"/>
          </w:tcPr>
          <w:p w14:paraId="6DC8E712" w14:textId="4DDCBD4C" w:rsidR="00CE70C7" w:rsidRPr="009B475E" w:rsidRDefault="00CE70C7" w:rsidP="00274612">
            <w:pPr>
              <w:pStyle w:val="ListBullet"/>
              <w:tabs>
                <w:tab w:val="clear" w:pos="360"/>
                <w:tab w:val="left" w:pos="720"/>
              </w:tabs>
              <w:ind w:left="0" w:firstLine="0"/>
              <w:rPr>
                <w:b/>
                <w:i/>
                <w:sz w:val="18"/>
                <w:szCs w:val="18"/>
              </w:rPr>
            </w:pPr>
            <w:r w:rsidRPr="009B475E">
              <w:rPr>
                <w:b/>
                <w:i/>
                <w:sz w:val="18"/>
                <w:szCs w:val="18"/>
              </w:rPr>
              <w:t>Support for SMEs that are particularly affected by energy price increases</w:t>
            </w:r>
          </w:p>
        </w:tc>
      </w:tr>
      <w:tr w:rsidR="00DF01C5" w:rsidRPr="009B475E" w14:paraId="4A28243E" w14:textId="77777777" w:rsidTr="000D731D">
        <w:trPr>
          <w:trHeight w:val="531"/>
        </w:trPr>
        <w:tc>
          <w:tcPr>
            <w:tcW w:w="438" w:type="pct"/>
          </w:tcPr>
          <w:p w14:paraId="229153C6" w14:textId="77777777" w:rsidR="00CE70C7" w:rsidRPr="009B475E" w:rsidRDefault="00CE70C7" w:rsidP="00274612">
            <w:pPr>
              <w:pStyle w:val="ListBullet"/>
              <w:tabs>
                <w:tab w:val="clear" w:pos="360"/>
                <w:tab w:val="left" w:pos="720"/>
              </w:tabs>
              <w:ind w:left="0" w:firstLine="0"/>
              <w:rPr>
                <w:b/>
                <w:i/>
                <w:sz w:val="18"/>
                <w:szCs w:val="18"/>
              </w:rPr>
            </w:pPr>
            <w:r w:rsidRPr="009B475E">
              <w:rPr>
                <w:b/>
                <w:i/>
                <w:sz w:val="18"/>
                <w:szCs w:val="18"/>
              </w:rPr>
              <w:t>ID</w:t>
            </w:r>
          </w:p>
        </w:tc>
        <w:tc>
          <w:tcPr>
            <w:tcW w:w="748" w:type="pct"/>
          </w:tcPr>
          <w:p w14:paraId="3C478CED" w14:textId="77777777" w:rsidR="00CE70C7" w:rsidRPr="009B475E" w:rsidRDefault="00CE70C7" w:rsidP="00274612">
            <w:pPr>
              <w:pStyle w:val="ListBullet"/>
              <w:tabs>
                <w:tab w:val="clear" w:pos="360"/>
                <w:tab w:val="left" w:pos="720"/>
              </w:tabs>
              <w:ind w:left="0" w:firstLine="0"/>
              <w:rPr>
                <w:b/>
                <w:i/>
                <w:sz w:val="18"/>
                <w:szCs w:val="18"/>
              </w:rPr>
            </w:pPr>
            <w:r w:rsidRPr="009B475E">
              <w:rPr>
                <w:b/>
                <w:i/>
                <w:sz w:val="18"/>
                <w:szCs w:val="18"/>
              </w:rPr>
              <w:t xml:space="preserve">Indicator </w:t>
            </w:r>
          </w:p>
        </w:tc>
        <w:tc>
          <w:tcPr>
            <w:tcW w:w="625" w:type="pct"/>
          </w:tcPr>
          <w:p w14:paraId="1FF62A34" w14:textId="77777777" w:rsidR="00CE70C7" w:rsidRPr="009B475E" w:rsidRDefault="00CE70C7" w:rsidP="00274612">
            <w:pPr>
              <w:snapToGrid w:val="0"/>
              <w:rPr>
                <w:b/>
                <w:i/>
                <w:sz w:val="18"/>
                <w:szCs w:val="18"/>
              </w:rPr>
            </w:pPr>
            <w:r w:rsidRPr="009B475E">
              <w:rPr>
                <w:b/>
                <w:i/>
                <w:sz w:val="18"/>
                <w:szCs w:val="18"/>
              </w:rPr>
              <w:t>Measurement unit</w:t>
            </w:r>
          </w:p>
        </w:tc>
        <w:tc>
          <w:tcPr>
            <w:tcW w:w="517" w:type="pct"/>
          </w:tcPr>
          <w:p w14:paraId="41BDD905" w14:textId="77777777" w:rsidR="00CE70C7" w:rsidRPr="009B475E" w:rsidRDefault="00CE70C7" w:rsidP="00274612">
            <w:pPr>
              <w:pStyle w:val="ListBullet"/>
              <w:tabs>
                <w:tab w:val="clear" w:pos="360"/>
                <w:tab w:val="left" w:pos="720"/>
              </w:tabs>
              <w:ind w:left="0" w:firstLine="0"/>
              <w:rPr>
                <w:b/>
                <w:i/>
                <w:sz w:val="18"/>
                <w:szCs w:val="18"/>
              </w:rPr>
            </w:pPr>
            <w:r w:rsidRPr="009B475E">
              <w:rPr>
                <w:b/>
                <w:i/>
                <w:sz w:val="18"/>
                <w:szCs w:val="18"/>
              </w:rPr>
              <w:t>Category of region (where relevant)</w:t>
            </w:r>
          </w:p>
        </w:tc>
        <w:tc>
          <w:tcPr>
            <w:tcW w:w="548" w:type="pct"/>
          </w:tcPr>
          <w:p w14:paraId="2B3B5D46" w14:textId="77777777" w:rsidR="00CE70C7" w:rsidRPr="009B475E" w:rsidRDefault="00CE70C7" w:rsidP="00274612">
            <w:pPr>
              <w:pStyle w:val="ListBullet"/>
              <w:tabs>
                <w:tab w:val="clear" w:pos="360"/>
                <w:tab w:val="left" w:pos="720"/>
              </w:tabs>
              <w:ind w:left="0" w:firstLine="0"/>
              <w:rPr>
                <w:b/>
                <w:i/>
                <w:sz w:val="18"/>
                <w:szCs w:val="18"/>
              </w:rPr>
            </w:pPr>
            <w:r w:rsidRPr="009B475E">
              <w:rPr>
                <w:b/>
                <w:i/>
                <w:sz w:val="18"/>
                <w:szCs w:val="18"/>
              </w:rPr>
              <w:t xml:space="preserve">Baseline value </w:t>
            </w:r>
          </w:p>
        </w:tc>
        <w:tc>
          <w:tcPr>
            <w:tcW w:w="457" w:type="pct"/>
          </w:tcPr>
          <w:p w14:paraId="1F7612B6" w14:textId="77777777" w:rsidR="00CE70C7" w:rsidRPr="009B475E" w:rsidRDefault="00CE70C7" w:rsidP="00274612">
            <w:pPr>
              <w:snapToGrid w:val="0"/>
              <w:rPr>
                <w:b/>
                <w:i/>
                <w:sz w:val="18"/>
                <w:szCs w:val="18"/>
              </w:rPr>
            </w:pPr>
            <w:r w:rsidRPr="009B475E">
              <w:rPr>
                <w:b/>
                <w:i/>
                <w:sz w:val="18"/>
                <w:szCs w:val="18"/>
              </w:rPr>
              <w:t>Baseline year</w:t>
            </w:r>
          </w:p>
        </w:tc>
        <w:tc>
          <w:tcPr>
            <w:tcW w:w="695" w:type="pct"/>
          </w:tcPr>
          <w:p w14:paraId="0FB88026" w14:textId="77777777" w:rsidR="00CE70C7" w:rsidRPr="009B475E" w:rsidRDefault="00CE70C7" w:rsidP="00274612">
            <w:pPr>
              <w:pStyle w:val="ListBullet"/>
              <w:tabs>
                <w:tab w:val="clear" w:pos="360"/>
                <w:tab w:val="left" w:pos="720"/>
              </w:tabs>
              <w:ind w:left="0" w:firstLine="0"/>
              <w:rPr>
                <w:b/>
                <w:i/>
                <w:sz w:val="18"/>
                <w:szCs w:val="18"/>
              </w:rPr>
            </w:pPr>
            <w:r w:rsidRPr="009B475E">
              <w:rPr>
                <w:b/>
                <w:i/>
                <w:sz w:val="18"/>
                <w:szCs w:val="18"/>
              </w:rPr>
              <w:t>Target value</w:t>
            </w:r>
            <w:r w:rsidRPr="009B475E">
              <w:rPr>
                <w:rStyle w:val="FootnoteReference"/>
                <w:b/>
                <w:i/>
                <w:sz w:val="18"/>
                <w:szCs w:val="18"/>
              </w:rPr>
              <w:footnoteReference w:id="66"/>
            </w:r>
            <w:r w:rsidRPr="009B475E">
              <w:rPr>
                <w:b/>
                <w:i/>
                <w:sz w:val="18"/>
                <w:szCs w:val="18"/>
              </w:rPr>
              <w:t xml:space="preserve"> (2023) </w:t>
            </w:r>
          </w:p>
        </w:tc>
        <w:tc>
          <w:tcPr>
            <w:tcW w:w="556" w:type="pct"/>
          </w:tcPr>
          <w:p w14:paraId="3418F5D7" w14:textId="77777777" w:rsidR="00CE70C7" w:rsidRPr="009B475E" w:rsidRDefault="00CE70C7" w:rsidP="00274612">
            <w:pPr>
              <w:pStyle w:val="ListBullet"/>
              <w:tabs>
                <w:tab w:val="clear" w:pos="360"/>
                <w:tab w:val="left" w:pos="720"/>
              </w:tabs>
              <w:ind w:left="0" w:firstLine="0"/>
              <w:rPr>
                <w:b/>
                <w:i/>
                <w:sz w:val="18"/>
                <w:szCs w:val="18"/>
              </w:rPr>
            </w:pPr>
            <w:r w:rsidRPr="009B475E">
              <w:rPr>
                <w:b/>
                <w:i/>
                <w:sz w:val="18"/>
                <w:szCs w:val="18"/>
              </w:rPr>
              <w:t>Source of data</w:t>
            </w:r>
          </w:p>
        </w:tc>
        <w:tc>
          <w:tcPr>
            <w:tcW w:w="417" w:type="pct"/>
          </w:tcPr>
          <w:p w14:paraId="3C9C103F" w14:textId="77777777" w:rsidR="00CE70C7" w:rsidRPr="009B475E" w:rsidRDefault="00CE70C7" w:rsidP="00274612">
            <w:pPr>
              <w:pStyle w:val="ListBullet"/>
              <w:tabs>
                <w:tab w:val="clear" w:pos="360"/>
                <w:tab w:val="left" w:pos="720"/>
              </w:tabs>
              <w:ind w:left="0" w:firstLine="0"/>
              <w:rPr>
                <w:b/>
                <w:i/>
                <w:sz w:val="18"/>
                <w:szCs w:val="18"/>
              </w:rPr>
            </w:pPr>
            <w:r w:rsidRPr="009B475E">
              <w:rPr>
                <w:b/>
                <w:i/>
                <w:sz w:val="18"/>
                <w:szCs w:val="18"/>
              </w:rPr>
              <w:t>Frequency of reporting</w:t>
            </w:r>
          </w:p>
        </w:tc>
      </w:tr>
      <w:tr w:rsidR="000D731D" w:rsidRPr="000D731D" w14:paraId="4515EE86" w14:textId="77777777" w:rsidTr="000D731D">
        <w:trPr>
          <w:trHeight w:val="870"/>
        </w:trPr>
        <w:tc>
          <w:tcPr>
            <w:tcW w:w="438" w:type="pct"/>
          </w:tcPr>
          <w:p w14:paraId="010332D2" w14:textId="1FBA38EA" w:rsidR="000D731D" w:rsidRPr="009B475E" w:rsidRDefault="000D731D" w:rsidP="000D731D">
            <w:pPr>
              <w:pStyle w:val="ListBullet"/>
              <w:tabs>
                <w:tab w:val="clear" w:pos="360"/>
                <w:tab w:val="left" w:pos="720"/>
              </w:tabs>
              <w:ind w:left="0" w:firstLine="0"/>
              <w:rPr>
                <w:i/>
                <w:sz w:val="18"/>
                <w:szCs w:val="18"/>
              </w:rPr>
            </w:pPr>
          </w:p>
        </w:tc>
        <w:tc>
          <w:tcPr>
            <w:tcW w:w="748" w:type="pct"/>
          </w:tcPr>
          <w:p w14:paraId="72C16306" w14:textId="1C26651C" w:rsidR="000D731D" w:rsidRPr="009B475E" w:rsidRDefault="000D731D" w:rsidP="000D731D">
            <w:pPr>
              <w:pStyle w:val="ListBullet"/>
              <w:tabs>
                <w:tab w:val="clear" w:pos="360"/>
                <w:tab w:val="left" w:pos="720"/>
              </w:tabs>
              <w:ind w:left="0" w:firstLine="0"/>
              <w:rPr>
                <w:sz w:val="18"/>
                <w:szCs w:val="18"/>
              </w:rPr>
            </w:pPr>
            <w:r w:rsidRPr="009B475E">
              <w:rPr>
                <w:sz w:val="18"/>
                <w:szCs w:val="18"/>
              </w:rPr>
              <w:t>Grants to offset increased energy prices for SMEs</w:t>
            </w:r>
          </w:p>
        </w:tc>
        <w:tc>
          <w:tcPr>
            <w:tcW w:w="625" w:type="pct"/>
            <w:tcBorders>
              <w:top w:val="single" w:sz="4" w:space="0" w:color="auto"/>
              <w:left w:val="single" w:sz="4" w:space="0" w:color="auto"/>
              <w:bottom w:val="single" w:sz="4" w:space="0" w:color="auto"/>
              <w:right w:val="single" w:sz="4" w:space="0" w:color="auto"/>
            </w:tcBorders>
            <w:vAlign w:val="center"/>
          </w:tcPr>
          <w:p w14:paraId="0000DAFD" w14:textId="1B17335F" w:rsidR="000D731D" w:rsidRPr="009B475E" w:rsidRDefault="000D731D" w:rsidP="000D731D">
            <w:pPr>
              <w:snapToGrid w:val="0"/>
              <w:rPr>
                <w:i/>
                <w:sz w:val="18"/>
                <w:szCs w:val="18"/>
              </w:rPr>
            </w:pPr>
            <w:r w:rsidRPr="009B475E">
              <w:rPr>
                <w:sz w:val="18"/>
                <w:szCs w:val="18"/>
              </w:rPr>
              <w:t>Euro</w:t>
            </w:r>
          </w:p>
        </w:tc>
        <w:tc>
          <w:tcPr>
            <w:tcW w:w="517" w:type="pct"/>
            <w:tcBorders>
              <w:top w:val="single" w:sz="4" w:space="0" w:color="auto"/>
              <w:left w:val="single" w:sz="4" w:space="0" w:color="auto"/>
              <w:bottom w:val="single" w:sz="4" w:space="0" w:color="auto"/>
              <w:right w:val="single" w:sz="4" w:space="0" w:color="auto"/>
            </w:tcBorders>
            <w:vAlign w:val="center"/>
          </w:tcPr>
          <w:p w14:paraId="3BDDDA07" w14:textId="3F93983C" w:rsidR="000D731D" w:rsidRPr="009B475E" w:rsidRDefault="000D731D" w:rsidP="000D731D">
            <w:pPr>
              <w:pStyle w:val="ListBullet"/>
              <w:tabs>
                <w:tab w:val="clear" w:pos="360"/>
                <w:tab w:val="left" w:pos="720"/>
              </w:tabs>
              <w:ind w:left="0" w:firstLine="0"/>
              <w:rPr>
                <w:sz w:val="18"/>
                <w:szCs w:val="18"/>
              </w:rPr>
            </w:pPr>
            <w:r w:rsidRPr="009B475E">
              <w:rPr>
                <w:sz w:val="18"/>
                <w:szCs w:val="18"/>
              </w:rPr>
              <w:t>Less developed regions</w:t>
            </w:r>
          </w:p>
        </w:tc>
        <w:tc>
          <w:tcPr>
            <w:tcW w:w="548" w:type="pct"/>
            <w:tcBorders>
              <w:top w:val="single" w:sz="4" w:space="0" w:color="auto"/>
              <w:left w:val="single" w:sz="4" w:space="0" w:color="auto"/>
              <w:bottom w:val="single" w:sz="4" w:space="0" w:color="auto"/>
              <w:right w:val="single" w:sz="4" w:space="0" w:color="auto"/>
            </w:tcBorders>
            <w:vAlign w:val="center"/>
          </w:tcPr>
          <w:p w14:paraId="49020846" w14:textId="4A13787C" w:rsidR="000D731D" w:rsidRPr="009B475E" w:rsidRDefault="000D731D" w:rsidP="000D731D">
            <w:pPr>
              <w:snapToGrid w:val="0"/>
              <w:rPr>
                <w:b/>
                <w:sz w:val="18"/>
                <w:szCs w:val="18"/>
              </w:rPr>
            </w:pPr>
            <w:r w:rsidRPr="009B475E">
              <w:rPr>
                <w:sz w:val="18"/>
                <w:szCs w:val="18"/>
              </w:rPr>
              <w:t>0</w:t>
            </w:r>
          </w:p>
        </w:tc>
        <w:tc>
          <w:tcPr>
            <w:tcW w:w="457" w:type="pct"/>
            <w:tcBorders>
              <w:top w:val="single" w:sz="4" w:space="0" w:color="auto"/>
              <w:left w:val="single" w:sz="4" w:space="0" w:color="auto"/>
              <w:bottom w:val="single" w:sz="4" w:space="0" w:color="auto"/>
              <w:right w:val="single" w:sz="4" w:space="0" w:color="auto"/>
            </w:tcBorders>
            <w:vAlign w:val="center"/>
          </w:tcPr>
          <w:p w14:paraId="6E0442DD" w14:textId="68020769" w:rsidR="000D731D" w:rsidRPr="009B475E" w:rsidRDefault="000D731D" w:rsidP="000D731D">
            <w:pPr>
              <w:snapToGrid w:val="0"/>
              <w:rPr>
                <w:b/>
                <w:i/>
                <w:sz w:val="18"/>
                <w:szCs w:val="18"/>
              </w:rPr>
            </w:pPr>
            <w:r w:rsidRPr="009B475E">
              <w:rPr>
                <w:sz w:val="18"/>
                <w:szCs w:val="18"/>
              </w:rPr>
              <w:t>2021</w:t>
            </w:r>
          </w:p>
        </w:tc>
        <w:tc>
          <w:tcPr>
            <w:tcW w:w="695" w:type="pct"/>
            <w:tcBorders>
              <w:top w:val="single" w:sz="4" w:space="0" w:color="auto"/>
              <w:left w:val="single" w:sz="4" w:space="0" w:color="auto"/>
              <w:bottom w:val="single" w:sz="4" w:space="0" w:color="auto"/>
              <w:right w:val="single" w:sz="4" w:space="0" w:color="auto"/>
            </w:tcBorders>
            <w:vAlign w:val="center"/>
          </w:tcPr>
          <w:p w14:paraId="60863141" w14:textId="201B45EB" w:rsidR="00F43B23" w:rsidRPr="009B475E" w:rsidRDefault="00F43B23" w:rsidP="00F43B23">
            <w:pPr>
              <w:rPr>
                <w:color w:val="000000"/>
                <w:sz w:val="18"/>
                <w:szCs w:val="18"/>
                <w:lang w:val="bg-BG"/>
              </w:rPr>
            </w:pPr>
            <w:r w:rsidRPr="009B475E">
              <w:rPr>
                <w:color w:val="000000"/>
                <w:sz w:val="18"/>
                <w:szCs w:val="18"/>
                <w:lang w:val="bg-BG"/>
              </w:rPr>
              <w:t>4 500 000,00</w:t>
            </w:r>
          </w:p>
          <w:p w14:paraId="5155FD1F" w14:textId="77777777" w:rsidR="00F43B23" w:rsidRPr="009B475E" w:rsidRDefault="00F43B23" w:rsidP="00F43B23">
            <w:pPr>
              <w:rPr>
                <w:color w:val="000000"/>
                <w:sz w:val="18"/>
                <w:szCs w:val="18"/>
                <w:lang w:val="bg-BG"/>
              </w:rPr>
            </w:pPr>
          </w:p>
          <w:p w14:paraId="30E3233C" w14:textId="340C5435" w:rsidR="000D731D" w:rsidRPr="009B475E" w:rsidRDefault="000D731D" w:rsidP="000D731D">
            <w:pPr>
              <w:rPr>
                <w:color w:val="000000"/>
                <w:sz w:val="18"/>
                <w:szCs w:val="18"/>
                <w:lang w:val="en-US"/>
              </w:rPr>
            </w:pPr>
          </w:p>
          <w:p w14:paraId="34860588" w14:textId="56EDD622" w:rsidR="000D731D" w:rsidRPr="009B475E" w:rsidRDefault="000D731D" w:rsidP="000D731D">
            <w:pPr>
              <w:pStyle w:val="ListBullet"/>
              <w:tabs>
                <w:tab w:val="clear" w:pos="360"/>
                <w:tab w:val="left" w:pos="720"/>
              </w:tabs>
              <w:ind w:left="0" w:firstLine="0"/>
              <w:rPr>
                <w:i/>
                <w:sz w:val="18"/>
                <w:szCs w:val="18"/>
              </w:rPr>
            </w:pPr>
          </w:p>
        </w:tc>
        <w:tc>
          <w:tcPr>
            <w:tcW w:w="556" w:type="pct"/>
            <w:tcBorders>
              <w:top w:val="single" w:sz="4" w:space="0" w:color="auto"/>
              <w:left w:val="single" w:sz="4" w:space="0" w:color="auto"/>
              <w:bottom w:val="single" w:sz="4" w:space="0" w:color="auto"/>
              <w:right w:val="single" w:sz="4" w:space="0" w:color="auto"/>
            </w:tcBorders>
            <w:vAlign w:val="center"/>
          </w:tcPr>
          <w:p w14:paraId="14CB7158" w14:textId="4EB0D09C" w:rsidR="000D731D" w:rsidRPr="009B475E" w:rsidRDefault="000D731D" w:rsidP="000D731D">
            <w:pPr>
              <w:tabs>
                <w:tab w:val="left" w:pos="720"/>
              </w:tabs>
              <w:contextualSpacing/>
              <w:jc w:val="center"/>
              <w:rPr>
                <w:sz w:val="18"/>
                <w:szCs w:val="18"/>
              </w:rPr>
            </w:pPr>
            <w:r w:rsidRPr="009B475E">
              <w:rPr>
                <w:sz w:val="18"/>
                <w:szCs w:val="18"/>
              </w:rPr>
              <w:lastRenderedPageBreak/>
              <w:t>UMIS</w:t>
            </w:r>
          </w:p>
          <w:p w14:paraId="148F05F4" w14:textId="505DE940" w:rsidR="000D731D" w:rsidRPr="009B475E" w:rsidRDefault="000D731D" w:rsidP="000D731D">
            <w:pPr>
              <w:pStyle w:val="ListBullet"/>
              <w:tabs>
                <w:tab w:val="clear" w:pos="360"/>
              </w:tabs>
              <w:ind w:left="0" w:firstLine="0"/>
              <w:jc w:val="left"/>
              <w:rPr>
                <w:b/>
                <w:i/>
                <w:sz w:val="20"/>
              </w:rPr>
            </w:pPr>
          </w:p>
        </w:tc>
        <w:tc>
          <w:tcPr>
            <w:tcW w:w="417" w:type="pct"/>
            <w:tcBorders>
              <w:top w:val="single" w:sz="4" w:space="0" w:color="auto"/>
              <w:left w:val="single" w:sz="4" w:space="0" w:color="auto"/>
              <w:bottom w:val="single" w:sz="4" w:space="0" w:color="auto"/>
              <w:right w:val="single" w:sz="4" w:space="0" w:color="auto"/>
            </w:tcBorders>
            <w:vAlign w:val="center"/>
          </w:tcPr>
          <w:p w14:paraId="4DE4296C" w14:textId="2FA8C8B8" w:rsidR="000D731D" w:rsidRPr="009B475E" w:rsidRDefault="000D731D" w:rsidP="000D731D">
            <w:pPr>
              <w:pStyle w:val="ListBullet"/>
              <w:tabs>
                <w:tab w:val="clear" w:pos="360"/>
              </w:tabs>
              <w:ind w:left="0" w:firstLine="0"/>
              <w:rPr>
                <w:sz w:val="18"/>
                <w:szCs w:val="18"/>
              </w:rPr>
            </w:pPr>
            <w:r w:rsidRPr="009B475E">
              <w:rPr>
                <w:sz w:val="18"/>
                <w:szCs w:val="18"/>
              </w:rPr>
              <w:t>Annualy</w:t>
            </w:r>
          </w:p>
        </w:tc>
      </w:tr>
      <w:tr w:rsidR="000D731D" w:rsidRPr="009B475E" w14:paraId="7998D6A6" w14:textId="77777777" w:rsidTr="000D731D">
        <w:trPr>
          <w:trHeight w:val="1729"/>
        </w:trPr>
        <w:tc>
          <w:tcPr>
            <w:tcW w:w="438" w:type="pct"/>
          </w:tcPr>
          <w:p w14:paraId="756C5FCC" w14:textId="2B62A97E" w:rsidR="000D731D" w:rsidRPr="009B475E" w:rsidRDefault="000D731D" w:rsidP="000D731D">
            <w:pPr>
              <w:pStyle w:val="Text1"/>
              <w:ind w:left="0"/>
              <w:jc w:val="left"/>
              <w:rPr>
                <w:i/>
                <w:sz w:val="18"/>
                <w:szCs w:val="18"/>
                <w:lang w:val="en-GB" w:eastAsia="en-GB"/>
              </w:rPr>
            </w:pPr>
          </w:p>
        </w:tc>
        <w:tc>
          <w:tcPr>
            <w:tcW w:w="748" w:type="pct"/>
          </w:tcPr>
          <w:p w14:paraId="59A3FC22" w14:textId="21ECA643" w:rsidR="000D731D" w:rsidRPr="009B475E" w:rsidRDefault="000D731D" w:rsidP="000D731D">
            <w:pPr>
              <w:pStyle w:val="Text1"/>
              <w:spacing w:after="0"/>
              <w:ind w:left="0"/>
              <w:jc w:val="left"/>
              <w:rPr>
                <w:sz w:val="18"/>
                <w:szCs w:val="18"/>
                <w:lang w:val="en-GB" w:eastAsia="en-GB"/>
              </w:rPr>
            </w:pPr>
            <w:r w:rsidRPr="009B475E">
              <w:rPr>
                <w:sz w:val="18"/>
                <w:szCs w:val="18"/>
                <w:lang w:val="en-GB" w:eastAsia="en-GB"/>
              </w:rPr>
              <w:t>Grants to offset increased energy prices for SMEs</w:t>
            </w:r>
          </w:p>
        </w:tc>
        <w:tc>
          <w:tcPr>
            <w:tcW w:w="625" w:type="pct"/>
            <w:tcBorders>
              <w:top w:val="single" w:sz="4" w:space="0" w:color="auto"/>
              <w:left w:val="single" w:sz="4" w:space="0" w:color="auto"/>
              <w:bottom w:val="single" w:sz="4" w:space="0" w:color="auto"/>
              <w:right w:val="single" w:sz="4" w:space="0" w:color="auto"/>
            </w:tcBorders>
            <w:vAlign w:val="center"/>
          </w:tcPr>
          <w:p w14:paraId="10D3945B" w14:textId="77777777" w:rsidR="000D731D" w:rsidRPr="009B475E" w:rsidRDefault="000D731D" w:rsidP="000D731D">
            <w:pPr>
              <w:snapToGrid w:val="0"/>
              <w:rPr>
                <w:sz w:val="18"/>
                <w:szCs w:val="18"/>
              </w:rPr>
            </w:pPr>
            <w:r w:rsidRPr="009B475E">
              <w:rPr>
                <w:sz w:val="18"/>
                <w:szCs w:val="18"/>
              </w:rPr>
              <w:t>Euro</w:t>
            </w:r>
          </w:p>
          <w:p w14:paraId="499FA493" w14:textId="77777777" w:rsidR="000D731D" w:rsidRPr="009B475E" w:rsidRDefault="000D731D" w:rsidP="000D731D">
            <w:pPr>
              <w:snapToGrid w:val="0"/>
              <w:rPr>
                <w:sz w:val="18"/>
                <w:szCs w:val="18"/>
              </w:rPr>
            </w:pPr>
          </w:p>
          <w:p w14:paraId="030C9B44" w14:textId="539D0397" w:rsidR="000D731D" w:rsidRPr="009B475E" w:rsidRDefault="000D731D" w:rsidP="000D731D">
            <w:pPr>
              <w:snapToGrid w:val="0"/>
              <w:rPr>
                <w:sz w:val="18"/>
                <w:szCs w:val="18"/>
              </w:rPr>
            </w:pPr>
          </w:p>
        </w:tc>
        <w:tc>
          <w:tcPr>
            <w:tcW w:w="517" w:type="pct"/>
            <w:tcBorders>
              <w:top w:val="single" w:sz="4" w:space="0" w:color="auto"/>
              <w:left w:val="single" w:sz="4" w:space="0" w:color="auto"/>
              <w:bottom w:val="single" w:sz="4" w:space="0" w:color="auto"/>
              <w:right w:val="single" w:sz="4" w:space="0" w:color="auto"/>
            </w:tcBorders>
            <w:vAlign w:val="center"/>
          </w:tcPr>
          <w:p w14:paraId="00F3B345" w14:textId="77777777" w:rsidR="000D731D" w:rsidRPr="009B475E" w:rsidRDefault="000D731D" w:rsidP="000D731D">
            <w:pPr>
              <w:pStyle w:val="ListBullet"/>
              <w:tabs>
                <w:tab w:val="clear" w:pos="360"/>
                <w:tab w:val="left" w:pos="720"/>
              </w:tabs>
              <w:ind w:left="0" w:firstLine="0"/>
              <w:jc w:val="left"/>
              <w:rPr>
                <w:i/>
                <w:sz w:val="18"/>
                <w:szCs w:val="18"/>
              </w:rPr>
            </w:pPr>
            <w:r w:rsidRPr="009B475E">
              <w:rPr>
                <w:i/>
                <w:sz w:val="18"/>
                <w:szCs w:val="18"/>
              </w:rPr>
              <w:t>NA</w:t>
            </w:r>
          </w:p>
          <w:p w14:paraId="37730F08" w14:textId="77777777" w:rsidR="000D731D" w:rsidRPr="009B475E" w:rsidRDefault="000D731D" w:rsidP="000D731D">
            <w:pPr>
              <w:pStyle w:val="ListBullet"/>
              <w:tabs>
                <w:tab w:val="clear" w:pos="360"/>
                <w:tab w:val="left" w:pos="720"/>
              </w:tabs>
              <w:ind w:left="0" w:firstLine="0"/>
              <w:jc w:val="left"/>
              <w:rPr>
                <w:i/>
                <w:sz w:val="18"/>
                <w:szCs w:val="18"/>
              </w:rPr>
            </w:pPr>
          </w:p>
          <w:p w14:paraId="7EBEA1F4" w14:textId="77777777" w:rsidR="000D731D" w:rsidRPr="009B475E" w:rsidRDefault="000D731D" w:rsidP="000D731D">
            <w:pPr>
              <w:pStyle w:val="ListBullet"/>
              <w:tabs>
                <w:tab w:val="clear" w:pos="360"/>
                <w:tab w:val="left" w:pos="720"/>
              </w:tabs>
              <w:ind w:left="0" w:firstLine="0"/>
              <w:jc w:val="left"/>
              <w:rPr>
                <w:i/>
                <w:sz w:val="18"/>
                <w:szCs w:val="18"/>
              </w:rPr>
            </w:pPr>
          </w:p>
          <w:p w14:paraId="4D88186A" w14:textId="77777777" w:rsidR="000D731D" w:rsidRPr="009B475E" w:rsidRDefault="000D731D" w:rsidP="000D731D">
            <w:pPr>
              <w:pStyle w:val="ListBullet"/>
              <w:tabs>
                <w:tab w:val="clear" w:pos="360"/>
                <w:tab w:val="left" w:pos="720"/>
              </w:tabs>
              <w:ind w:left="0" w:firstLine="0"/>
              <w:jc w:val="left"/>
              <w:rPr>
                <w:i/>
                <w:sz w:val="18"/>
                <w:szCs w:val="18"/>
              </w:rPr>
            </w:pPr>
          </w:p>
          <w:p w14:paraId="15AD3D4C" w14:textId="237EAB8D" w:rsidR="000D731D" w:rsidRPr="009B475E" w:rsidRDefault="000D731D" w:rsidP="000D731D">
            <w:pPr>
              <w:pStyle w:val="ListBullet"/>
              <w:tabs>
                <w:tab w:val="clear" w:pos="360"/>
                <w:tab w:val="left" w:pos="720"/>
              </w:tabs>
              <w:ind w:left="0" w:firstLine="0"/>
              <w:jc w:val="left"/>
              <w:rPr>
                <w:i/>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646D48D4" w14:textId="77777777" w:rsidR="000D731D" w:rsidRPr="009B475E" w:rsidRDefault="000D731D" w:rsidP="000D731D">
            <w:pPr>
              <w:pStyle w:val="ListBullet"/>
              <w:tabs>
                <w:tab w:val="clear" w:pos="360"/>
                <w:tab w:val="left" w:pos="720"/>
              </w:tabs>
              <w:ind w:left="0" w:firstLine="0"/>
              <w:jc w:val="left"/>
              <w:rPr>
                <w:sz w:val="18"/>
                <w:szCs w:val="18"/>
              </w:rPr>
            </w:pPr>
            <w:r w:rsidRPr="009B475E">
              <w:rPr>
                <w:sz w:val="18"/>
                <w:szCs w:val="18"/>
              </w:rPr>
              <w:t>0</w:t>
            </w:r>
          </w:p>
          <w:p w14:paraId="2E5EEEC6" w14:textId="77777777" w:rsidR="000D731D" w:rsidRPr="009B475E" w:rsidRDefault="000D731D" w:rsidP="000D731D">
            <w:pPr>
              <w:pStyle w:val="ListBullet"/>
              <w:tabs>
                <w:tab w:val="clear" w:pos="360"/>
                <w:tab w:val="left" w:pos="720"/>
              </w:tabs>
              <w:ind w:left="0" w:firstLine="0"/>
              <w:jc w:val="left"/>
              <w:rPr>
                <w:sz w:val="18"/>
                <w:szCs w:val="18"/>
              </w:rPr>
            </w:pPr>
          </w:p>
          <w:p w14:paraId="3A92F4B7" w14:textId="77777777" w:rsidR="000D731D" w:rsidRPr="009B475E" w:rsidRDefault="000D731D" w:rsidP="000D731D">
            <w:pPr>
              <w:pStyle w:val="ListBullet"/>
              <w:tabs>
                <w:tab w:val="clear" w:pos="360"/>
                <w:tab w:val="left" w:pos="720"/>
              </w:tabs>
              <w:ind w:left="0" w:firstLine="0"/>
              <w:jc w:val="left"/>
              <w:rPr>
                <w:sz w:val="18"/>
                <w:szCs w:val="18"/>
              </w:rPr>
            </w:pPr>
          </w:p>
          <w:p w14:paraId="32154BED" w14:textId="582FBDD8" w:rsidR="000D731D" w:rsidRPr="009B475E" w:rsidRDefault="000D731D" w:rsidP="000D731D">
            <w:pPr>
              <w:pStyle w:val="ListBullet"/>
              <w:tabs>
                <w:tab w:val="clear" w:pos="360"/>
                <w:tab w:val="left" w:pos="720"/>
              </w:tabs>
              <w:ind w:left="0" w:firstLine="0"/>
              <w:jc w:val="left"/>
              <w:rPr>
                <w:i/>
                <w:sz w:val="18"/>
                <w:szCs w:val="18"/>
              </w:rPr>
            </w:pPr>
          </w:p>
        </w:tc>
        <w:tc>
          <w:tcPr>
            <w:tcW w:w="457" w:type="pct"/>
            <w:tcBorders>
              <w:top w:val="single" w:sz="4" w:space="0" w:color="auto"/>
              <w:left w:val="single" w:sz="4" w:space="0" w:color="auto"/>
              <w:bottom w:val="single" w:sz="4" w:space="0" w:color="auto"/>
              <w:right w:val="single" w:sz="4" w:space="0" w:color="auto"/>
            </w:tcBorders>
            <w:vAlign w:val="center"/>
          </w:tcPr>
          <w:p w14:paraId="560AF4AD" w14:textId="77777777" w:rsidR="000D731D" w:rsidRPr="009B475E" w:rsidRDefault="000D731D" w:rsidP="000D731D">
            <w:pPr>
              <w:snapToGrid w:val="0"/>
              <w:rPr>
                <w:sz w:val="18"/>
                <w:szCs w:val="18"/>
              </w:rPr>
            </w:pPr>
            <w:r w:rsidRPr="009B475E">
              <w:rPr>
                <w:sz w:val="18"/>
                <w:szCs w:val="18"/>
              </w:rPr>
              <w:t>2021</w:t>
            </w:r>
          </w:p>
          <w:p w14:paraId="5D40F569" w14:textId="77777777" w:rsidR="000D731D" w:rsidRPr="009B475E" w:rsidRDefault="000D731D" w:rsidP="000D731D">
            <w:pPr>
              <w:snapToGrid w:val="0"/>
              <w:rPr>
                <w:sz w:val="18"/>
                <w:szCs w:val="18"/>
              </w:rPr>
            </w:pPr>
          </w:p>
          <w:p w14:paraId="760EA03B" w14:textId="3D0E00C9" w:rsidR="000D731D" w:rsidRPr="009B475E" w:rsidRDefault="000D731D" w:rsidP="000D731D">
            <w:pPr>
              <w:snapToGrid w:val="0"/>
              <w:rPr>
                <w:i/>
                <w:sz w:val="18"/>
                <w:szCs w:val="18"/>
              </w:rPr>
            </w:pPr>
          </w:p>
        </w:tc>
        <w:tc>
          <w:tcPr>
            <w:tcW w:w="695" w:type="pct"/>
            <w:tcBorders>
              <w:top w:val="single" w:sz="4" w:space="0" w:color="auto"/>
              <w:left w:val="single" w:sz="4" w:space="0" w:color="auto"/>
              <w:bottom w:val="single" w:sz="4" w:space="0" w:color="auto"/>
              <w:right w:val="single" w:sz="4" w:space="0" w:color="auto"/>
            </w:tcBorders>
            <w:vAlign w:val="center"/>
          </w:tcPr>
          <w:p w14:paraId="2D09E1BC" w14:textId="77777777" w:rsidR="00F43B23" w:rsidRPr="009B475E" w:rsidRDefault="00F43B23" w:rsidP="00F43B23">
            <w:pPr>
              <w:pStyle w:val="ListBullet"/>
              <w:rPr>
                <w:sz w:val="18"/>
                <w:szCs w:val="18"/>
                <w:lang w:val="bg-BG"/>
              </w:rPr>
            </w:pPr>
            <w:r w:rsidRPr="009B475E">
              <w:rPr>
                <w:sz w:val="18"/>
                <w:szCs w:val="18"/>
                <w:lang w:val="bg-BG"/>
              </w:rPr>
              <w:t>140 500 000,00</w:t>
            </w:r>
          </w:p>
          <w:p w14:paraId="6CBCA4B1" w14:textId="77777777" w:rsidR="00F43B23" w:rsidRPr="009B475E" w:rsidRDefault="00F43B23" w:rsidP="000D731D">
            <w:pPr>
              <w:pStyle w:val="ListBullet"/>
              <w:tabs>
                <w:tab w:val="clear" w:pos="360"/>
                <w:tab w:val="left" w:pos="720"/>
              </w:tabs>
              <w:ind w:left="0" w:firstLine="0"/>
              <w:rPr>
                <w:sz w:val="18"/>
                <w:szCs w:val="18"/>
                <w:lang w:val="en-US"/>
              </w:rPr>
            </w:pPr>
          </w:p>
          <w:p w14:paraId="159AC0FA" w14:textId="77777777" w:rsidR="00F43B23" w:rsidRPr="009B475E" w:rsidRDefault="00F43B23" w:rsidP="000D731D">
            <w:pPr>
              <w:pStyle w:val="ListBullet"/>
              <w:tabs>
                <w:tab w:val="clear" w:pos="360"/>
                <w:tab w:val="left" w:pos="720"/>
              </w:tabs>
              <w:ind w:left="0" w:firstLine="0"/>
              <w:rPr>
                <w:sz w:val="18"/>
                <w:szCs w:val="18"/>
                <w:lang w:val="en-US"/>
              </w:rPr>
            </w:pPr>
          </w:p>
          <w:p w14:paraId="651FF7F7" w14:textId="58073FA8" w:rsidR="000D731D" w:rsidRPr="009B475E" w:rsidRDefault="000D731D" w:rsidP="000D731D">
            <w:pPr>
              <w:pStyle w:val="ListBullet"/>
              <w:tabs>
                <w:tab w:val="clear" w:pos="360"/>
                <w:tab w:val="left" w:pos="720"/>
              </w:tabs>
              <w:ind w:left="0" w:firstLine="0"/>
              <w:rPr>
                <w:sz w:val="18"/>
                <w:szCs w:val="18"/>
                <w:lang w:val="en-US"/>
              </w:rPr>
            </w:pPr>
          </w:p>
          <w:p w14:paraId="24A6C5F3" w14:textId="77777777" w:rsidR="000D731D" w:rsidRPr="009B475E" w:rsidRDefault="000D731D" w:rsidP="000D731D">
            <w:pPr>
              <w:pStyle w:val="ListBullet"/>
              <w:tabs>
                <w:tab w:val="clear" w:pos="360"/>
                <w:tab w:val="left" w:pos="720"/>
              </w:tabs>
              <w:ind w:left="0" w:firstLine="0"/>
              <w:rPr>
                <w:sz w:val="18"/>
                <w:szCs w:val="18"/>
                <w:lang w:val="en-US"/>
              </w:rPr>
            </w:pPr>
          </w:p>
          <w:p w14:paraId="2A25EF2C" w14:textId="3AD55190" w:rsidR="000D731D" w:rsidRPr="009B475E" w:rsidRDefault="000D731D" w:rsidP="000D731D">
            <w:pPr>
              <w:pStyle w:val="ListBullet"/>
              <w:tabs>
                <w:tab w:val="clear" w:pos="360"/>
                <w:tab w:val="left" w:pos="720"/>
              </w:tabs>
              <w:ind w:left="0" w:firstLine="0"/>
              <w:rPr>
                <w:i/>
                <w:sz w:val="18"/>
                <w:szCs w:val="18"/>
              </w:rPr>
            </w:pPr>
          </w:p>
        </w:tc>
        <w:tc>
          <w:tcPr>
            <w:tcW w:w="556" w:type="pct"/>
            <w:tcBorders>
              <w:top w:val="single" w:sz="4" w:space="0" w:color="auto"/>
              <w:left w:val="single" w:sz="4" w:space="0" w:color="auto"/>
              <w:bottom w:val="single" w:sz="4" w:space="0" w:color="auto"/>
              <w:right w:val="single" w:sz="4" w:space="0" w:color="auto"/>
            </w:tcBorders>
            <w:vAlign w:val="center"/>
          </w:tcPr>
          <w:p w14:paraId="603105FC" w14:textId="0B0F3845" w:rsidR="000D731D" w:rsidRPr="009B475E" w:rsidRDefault="000D731D" w:rsidP="000D731D">
            <w:pPr>
              <w:tabs>
                <w:tab w:val="left" w:pos="720"/>
              </w:tabs>
              <w:contextualSpacing/>
              <w:jc w:val="center"/>
              <w:rPr>
                <w:sz w:val="18"/>
                <w:szCs w:val="18"/>
              </w:rPr>
            </w:pPr>
            <w:r w:rsidRPr="009B475E">
              <w:rPr>
                <w:sz w:val="18"/>
                <w:szCs w:val="18"/>
              </w:rPr>
              <w:t>UMIS</w:t>
            </w:r>
          </w:p>
          <w:p w14:paraId="61EE5D5F" w14:textId="0B12D41F" w:rsidR="000D731D" w:rsidRPr="009B475E" w:rsidRDefault="000D731D" w:rsidP="000D731D">
            <w:pPr>
              <w:tabs>
                <w:tab w:val="left" w:pos="720"/>
              </w:tabs>
              <w:contextualSpacing/>
              <w:jc w:val="center"/>
              <w:rPr>
                <w:sz w:val="18"/>
                <w:szCs w:val="18"/>
              </w:rPr>
            </w:pPr>
          </w:p>
          <w:p w14:paraId="6C606C8C" w14:textId="77777777" w:rsidR="000D731D" w:rsidRPr="009B475E" w:rsidRDefault="000D731D" w:rsidP="000D731D">
            <w:pPr>
              <w:tabs>
                <w:tab w:val="left" w:pos="720"/>
              </w:tabs>
              <w:contextualSpacing/>
              <w:jc w:val="center"/>
              <w:rPr>
                <w:sz w:val="18"/>
                <w:szCs w:val="18"/>
              </w:rPr>
            </w:pPr>
          </w:p>
          <w:p w14:paraId="0C5528A7" w14:textId="2B018678" w:rsidR="000D731D" w:rsidRPr="009B475E" w:rsidRDefault="000D731D" w:rsidP="000D731D">
            <w:pPr>
              <w:pStyle w:val="ListBullet"/>
              <w:tabs>
                <w:tab w:val="clear" w:pos="360"/>
                <w:tab w:val="left" w:pos="720"/>
              </w:tabs>
              <w:ind w:left="0" w:firstLine="0"/>
              <w:rPr>
                <w:i/>
                <w:sz w:val="18"/>
                <w:szCs w:val="18"/>
              </w:rPr>
            </w:pPr>
          </w:p>
        </w:tc>
        <w:tc>
          <w:tcPr>
            <w:tcW w:w="417" w:type="pct"/>
            <w:tcBorders>
              <w:top w:val="single" w:sz="4" w:space="0" w:color="auto"/>
              <w:left w:val="single" w:sz="4" w:space="0" w:color="auto"/>
              <w:bottom w:val="single" w:sz="4" w:space="0" w:color="auto"/>
              <w:right w:val="single" w:sz="4" w:space="0" w:color="auto"/>
            </w:tcBorders>
            <w:vAlign w:val="center"/>
          </w:tcPr>
          <w:p w14:paraId="5A5548E4" w14:textId="77777777" w:rsidR="000D731D" w:rsidRPr="009B475E" w:rsidRDefault="000D731D" w:rsidP="000D731D">
            <w:pPr>
              <w:pStyle w:val="ListBullet"/>
              <w:tabs>
                <w:tab w:val="clear" w:pos="360"/>
                <w:tab w:val="left" w:pos="720"/>
              </w:tabs>
              <w:ind w:left="0" w:firstLine="0"/>
              <w:jc w:val="left"/>
              <w:rPr>
                <w:sz w:val="18"/>
                <w:szCs w:val="18"/>
              </w:rPr>
            </w:pPr>
            <w:r w:rsidRPr="009B475E">
              <w:rPr>
                <w:sz w:val="18"/>
                <w:szCs w:val="18"/>
              </w:rPr>
              <w:t>Annualy</w:t>
            </w:r>
          </w:p>
          <w:p w14:paraId="24D28287" w14:textId="77777777" w:rsidR="000D731D" w:rsidRPr="009B475E" w:rsidRDefault="000D731D" w:rsidP="000D731D">
            <w:pPr>
              <w:pStyle w:val="ListBullet"/>
              <w:tabs>
                <w:tab w:val="clear" w:pos="360"/>
                <w:tab w:val="left" w:pos="720"/>
              </w:tabs>
              <w:ind w:left="0" w:firstLine="0"/>
              <w:jc w:val="left"/>
              <w:rPr>
                <w:sz w:val="18"/>
                <w:szCs w:val="18"/>
              </w:rPr>
            </w:pPr>
          </w:p>
          <w:p w14:paraId="3A0554F4" w14:textId="7E3726A5" w:rsidR="000D731D" w:rsidRPr="009B475E" w:rsidRDefault="000D731D" w:rsidP="000D731D">
            <w:pPr>
              <w:pStyle w:val="ListBullet"/>
              <w:tabs>
                <w:tab w:val="clear" w:pos="360"/>
                <w:tab w:val="left" w:pos="720"/>
              </w:tabs>
              <w:ind w:left="0" w:firstLine="0"/>
              <w:jc w:val="left"/>
              <w:rPr>
                <w:sz w:val="18"/>
                <w:szCs w:val="18"/>
              </w:rPr>
            </w:pPr>
          </w:p>
        </w:tc>
      </w:tr>
    </w:tbl>
    <w:p w14:paraId="1D7A4737" w14:textId="7E740E9F" w:rsidR="00B81157" w:rsidRPr="009B475E" w:rsidRDefault="00B81157" w:rsidP="0068794B">
      <w:pPr>
        <w:rPr>
          <w:b/>
        </w:rPr>
      </w:pPr>
    </w:p>
    <w:p w14:paraId="059FB82B" w14:textId="77777777" w:rsidR="005909DE" w:rsidRPr="009B475E" w:rsidRDefault="005909DE" w:rsidP="005909DE">
      <w:pPr>
        <w:rPr>
          <w:b/>
        </w:rPr>
      </w:pPr>
      <w:r w:rsidRPr="009B475E">
        <w:rPr>
          <w:b/>
        </w:rPr>
        <w:t xml:space="preserve">Table 4: </w:t>
      </w:r>
      <w:r w:rsidRPr="009B475E">
        <w:rPr>
          <w:b/>
        </w:rPr>
        <w:tab/>
        <w:t>Common result indicators for which a target value has been set and programme specific result indicators corresponding to the specific objective (by investment priority and category of region) (for the ESF)</w:t>
      </w:r>
    </w:p>
    <w:p w14:paraId="5B6909E9" w14:textId="77777777" w:rsidR="005909DE" w:rsidRPr="009B475E" w:rsidRDefault="005909DE" w:rsidP="005909DE">
      <w:pPr>
        <w:rPr>
          <w:b/>
        </w:rPr>
      </w:pPr>
    </w:p>
    <w:p w14:paraId="67AE03A3" w14:textId="77777777" w:rsidR="005909DE" w:rsidRPr="009B475E" w:rsidRDefault="005909DE" w:rsidP="005909DE">
      <w:pPr>
        <w:rPr>
          <w:b/>
        </w:rPr>
      </w:pPr>
      <w:r w:rsidRPr="009B475E">
        <w:rPr>
          <w:b/>
        </w:rPr>
        <w:t>(Reference: point (b)(ii) of the first subparagraph of Article 96(2) of Regulation (EU) No 1303/2013)</w:t>
      </w:r>
    </w:p>
    <w:p w14:paraId="19CE75CF" w14:textId="77777777" w:rsidR="005909DE" w:rsidRPr="009B475E" w:rsidRDefault="005909DE" w:rsidP="005909DE">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5"/>
        <w:gridCol w:w="1328"/>
        <w:gridCol w:w="859"/>
        <w:gridCol w:w="861"/>
        <w:gridCol w:w="947"/>
        <w:gridCol w:w="236"/>
        <w:gridCol w:w="236"/>
        <w:gridCol w:w="236"/>
        <w:gridCol w:w="773"/>
        <w:gridCol w:w="554"/>
        <w:gridCol w:w="327"/>
        <w:gridCol w:w="287"/>
        <w:gridCol w:w="284"/>
        <w:gridCol w:w="599"/>
        <w:gridCol w:w="728"/>
      </w:tblGrid>
      <w:tr w:rsidR="00DF01C5" w:rsidRPr="009B475E" w14:paraId="6DE610B4" w14:textId="77777777" w:rsidTr="00274612">
        <w:trPr>
          <w:trHeight w:val="620"/>
        </w:trPr>
        <w:tc>
          <w:tcPr>
            <w:tcW w:w="449" w:type="pct"/>
            <w:vMerge w:val="restart"/>
          </w:tcPr>
          <w:p w14:paraId="208A47C4" w14:textId="77777777" w:rsidR="005909DE" w:rsidRPr="009B475E" w:rsidRDefault="005909DE" w:rsidP="005909DE">
            <w:pPr>
              <w:rPr>
                <w:b/>
                <w:i/>
              </w:rPr>
            </w:pPr>
            <w:r w:rsidRPr="009B475E">
              <w:rPr>
                <w:b/>
                <w:i/>
              </w:rPr>
              <w:t>ID</w:t>
            </w:r>
          </w:p>
        </w:tc>
        <w:tc>
          <w:tcPr>
            <w:tcW w:w="738" w:type="pct"/>
            <w:vMerge w:val="restart"/>
          </w:tcPr>
          <w:p w14:paraId="73EFDB34" w14:textId="77777777" w:rsidR="005909DE" w:rsidRPr="009B475E" w:rsidRDefault="005909DE" w:rsidP="005909DE">
            <w:pPr>
              <w:rPr>
                <w:b/>
                <w:i/>
              </w:rPr>
            </w:pPr>
            <w:r w:rsidRPr="009B475E">
              <w:rPr>
                <w:b/>
                <w:i/>
              </w:rPr>
              <w:t xml:space="preserve">Indicator </w:t>
            </w:r>
          </w:p>
        </w:tc>
        <w:tc>
          <w:tcPr>
            <w:tcW w:w="479" w:type="pct"/>
            <w:vMerge w:val="restart"/>
          </w:tcPr>
          <w:p w14:paraId="53B95226" w14:textId="77777777" w:rsidR="005909DE" w:rsidRPr="009B475E" w:rsidRDefault="005909DE" w:rsidP="005909DE">
            <w:pPr>
              <w:rPr>
                <w:b/>
                <w:i/>
              </w:rPr>
            </w:pPr>
            <w:r w:rsidRPr="009B475E">
              <w:rPr>
                <w:b/>
                <w:i/>
              </w:rPr>
              <w:t xml:space="preserve">Category of region </w:t>
            </w:r>
          </w:p>
        </w:tc>
        <w:tc>
          <w:tcPr>
            <w:tcW w:w="480" w:type="pct"/>
            <w:vMerge w:val="restart"/>
          </w:tcPr>
          <w:p w14:paraId="07916A2E" w14:textId="77777777" w:rsidR="005909DE" w:rsidRPr="009B475E" w:rsidRDefault="005909DE" w:rsidP="005909DE">
            <w:pPr>
              <w:rPr>
                <w:b/>
                <w:i/>
              </w:rPr>
            </w:pPr>
            <w:r w:rsidRPr="009B475E">
              <w:rPr>
                <w:b/>
                <w:i/>
              </w:rPr>
              <w:t>Measurement unit for indicator</w:t>
            </w:r>
          </w:p>
        </w:tc>
        <w:tc>
          <w:tcPr>
            <w:tcW w:w="527" w:type="pct"/>
            <w:vMerge w:val="restart"/>
          </w:tcPr>
          <w:p w14:paraId="70A3092D" w14:textId="77777777" w:rsidR="005909DE" w:rsidRPr="009B475E" w:rsidRDefault="005909DE" w:rsidP="005909DE">
            <w:pPr>
              <w:rPr>
                <w:b/>
                <w:i/>
              </w:rPr>
            </w:pPr>
            <w:r w:rsidRPr="009B475E">
              <w:rPr>
                <w:b/>
                <w:i/>
              </w:rPr>
              <w:t>Common output indicator used as basis for target setting</w:t>
            </w:r>
          </w:p>
        </w:tc>
        <w:tc>
          <w:tcPr>
            <w:tcW w:w="336" w:type="pct"/>
            <w:gridSpan w:val="3"/>
          </w:tcPr>
          <w:p w14:paraId="39A3F278" w14:textId="77777777" w:rsidR="005909DE" w:rsidRPr="009B475E" w:rsidRDefault="005909DE" w:rsidP="005909DE">
            <w:pPr>
              <w:rPr>
                <w:b/>
                <w:i/>
              </w:rPr>
            </w:pPr>
            <w:r w:rsidRPr="009B475E">
              <w:rPr>
                <w:b/>
                <w:i/>
              </w:rPr>
              <w:t xml:space="preserve">Baseline value </w:t>
            </w:r>
          </w:p>
        </w:tc>
        <w:tc>
          <w:tcPr>
            <w:tcW w:w="431" w:type="pct"/>
            <w:vMerge w:val="restart"/>
          </w:tcPr>
          <w:p w14:paraId="6199A774" w14:textId="77777777" w:rsidR="005909DE" w:rsidRPr="009B475E" w:rsidRDefault="005909DE" w:rsidP="005909DE">
            <w:pPr>
              <w:rPr>
                <w:b/>
                <w:i/>
              </w:rPr>
            </w:pPr>
            <w:r w:rsidRPr="009B475E">
              <w:rPr>
                <w:b/>
                <w:i/>
              </w:rPr>
              <w:t>Measurement unit for baseline and target</w:t>
            </w:r>
          </w:p>
        </w:tc>
        <w:tc>
          <w:tcPr>
            <w:tcW w:w="310" w:type="pct"/>
            <w:vMerge w:val="restart"/>
          </w:tcPr>
          <w:p w14:paraId="5EBA0061" w14:textId="77777777" w:rsidR="005909DE" w:rsidRPr="009B475E" w:rsidRDefault="005909DE" w:rsidP="005909DE">
            <w:pPr>
              <w:rPr>
                <w:b/>
                <w:i/>
              </w:rPr>
            </w:pPr>
            <w:r w:rsidRPr="009B475E">
              <w:rPr>
                <w:b/>
                <w:i/>
              </w:rPr>
              <w:t>Baseline year</w:t>
            </w:r>
          </w:p>
        </w:tc>
        <w:tc>
          <w:tcPr>
            <w:tcW w:w="506" w:type="pct"/>
            <w:gridSpan w:val="3"/>
          </w:tcPr>
          <w:p w14:paraId="20AD7104" w14:textId="77777777" w:rsidR="005909DE" w:rsidRPr="009B475E" w:rsidRDefault="005909DE" w:rsidP="005909DE">
            <w:pPr>
              <w:rPr>
                <w:b/>
                <w:i/>
              </w:rPr>
            </w:pPr>
            <w:r w:rsidRPr="009B475E">
              <w:rPr>
                <w:b/>
                <w:i/>
              </w:rPr>
              <w:t>Target value</w:t>
            </w:r>
            <w:r w:rsidRPr="009B475E">
              <w:rPr>
                <w:b/>
                <w:i/>
                <w:vertAlign w:val="superscript"/>
              </w:rPr>
              <w:footnoteReference w:id="67"/>
            </w:r>
            <w:r w:rsidRPr="009B475E">
              <w:rPr>
                <w:b/>
                <w:i/>
              </w:rPr>
              <w:t xml:space="preserve"> (2023)</w:t>
            </w:r>
          </w:p>
        </w:tc>
        <w:tc>
          <w:tcPr>
            <w:tcW w:w="335" w:type="pct"/>
            <w:vMerge w:val="restart"/>
          </w:tcPr>
          <w:p w14:paraId="38D56FE2" w14:textId="77777777" w:rsidR="005909DE" w:rsidRPr="009B475E" w:rsidRDefault="005909DE" w:rsidP="005909DE">
            <w:pPr>
              <w:rPr>
                <w:b/>
                <w:i/>
              </w:rPr>
            </w:pPr>
            <w:r w:rsidRPr="009B475E">
              <w:rPr>
                <w:b/>
                <w:i/>
              </w:rPr>
              <w:t>Source of data</w:t>
            </w:r>
          </w:p>
        </w:tc>
        <w:tc>
          <w:tcPr>
            <w:tcW w:w="409" w:type="pct"/>
            <w:vMerge w:val="restart"/>
          </w:tcPr>
          <w:p w14:paraId="6F320B3D" w14:textId="77777777" w:rsidR="005909DE" w:rsidRPr="009B475E" w:rsidRDefault="005909DE" w:rsidP="005909DE">
            <w:pPr>
              <w:rPr>
                <w:b/>
                <w:i/>
              </w:rPr>
            </w:pPr>
            <w:r w:rsidRPr="009B475E">
              <w:rPr>
                <w:b/>
                <w:i/>
              </w:rPr>
              <w:t>Frequency of reporting</w:t>
            </w:r>
          </w:p>
        </w:tc>
      </w:tr>
      <w:tr w:rsidR="00DF01C5" w:rsidRPr="009B475E" w14:paraId="71573811" w14:textId="77777777" w:rsidTr="00274612">
        <w:trPr>
          <w:trHeight w:val="619"/>
        </w:trPr>
        <w:tc>
          <w:tcPr>
            <w:tcW w:w="449" w:type="pct"/>
            <w:vMerge/>
          </w:tcPr>
          <w:p w14:paraId="2E1BB8CF" w14:textId="77777777" w:rsidR="005909DE" w:rsidRPr="009B475E" w:rsidRDefault="005909DE" w:rsidP="005909DE">
            <w:pPr>
              <w:rPr>
                <w:b/>
                <w:i/>
              </w:rPr>
            </w:pPr>
          </w:p>
        </w:tc>
        <w:tc>
          <w:tcPr>
            <w:tcW w:w="738" w:type="pct"/>
            <w:vMerge/>
          </w:tcPr>
          <w:p w14:paraId="788DBAEE" w14:textId="77777777" w:rsidR="005909DE" w:rsidRPr="009B475E" w:rsidRDefault="005909DE" w:rsidP="005909DE">
            <w:pPr>
              <w:rPr>
                <w:b/>
                <w:i/>
              </w:rPr>
            </w:pPr>
          </w:p>
        </w:tc>
        <w:tc>
          <w:tcPr>
            <w:tcW w:w="479" w:type="pct"/>
            <w:vMerge/>
          </w:tcPr>
          <w:p w14:paraId="70494594" w14:textId="77777777" w:rsidR="005909DE" w:rsidRPr="009B475E" w:rsidRDefault="005909DE" w:rsidP="005909DE">
            <w:pPr>
              <w:rPr>
                <w:b/>
                <w:i/>
              </w:rPr>
            </w:pPr>
          </w:p>
        </w:tc>
        <w:tc>
          <w:tcPr>
            <w:tcW w:w="480" w:type="pct"/>
            <w:vMerge/>
          </w:tcPr>
          <w:p w14:paraId="45FF2831" w14:textId="77777777" w:rsidR="005909DE" w:rsidRPr="009B475E" w:rsidRDefault="005909DE" w:rsidP="005909DE">
            <w:pPr>
              <w:rPr>
                <w:b/>
                <w:i/>
              </w:rPr>
            </w:pPr>
          </w:p>
        </w:tc>
        <w:tc>
          <w:tcPr>
            <w:tcW w:w="527" w:type="pct"/>
            <w:vMerge/>
          </w:tcPr>
          <w:p w14:paraId="68B5A927" w14:textId="77777777" w:rsidR="005909DE" w:rsidRPr="009B475E" w:rsidRDefault="005909DE" w:rsidP="005909DE">
            <w:pPr>
              <w:rPr>
                <w:b/>
                <w:i/>
              </w:rPr>
            </w:pPr>
          </w:p>
        </w:tc>
        <w:tc>
          <w:tcPr>
            <w:tcW w:w="112" w:type="pct"/>
          </w:tcPr>
          <w:p w14:paraId="1C2736B4" w14:textId="77777777" w:rsidR="005909DE" w:rsidRPr="009B475E" w:rsidRDefault="005909DE" w:rsidP="005909DE">
            <w:pPr>
              <w:rPr>
                <w:b/>
                <w:i/>
              </w:rPr>
            </w:pPr>
            <w:r w:rsidRPr="009B475E">
              <w:rPr>
                <w:b/>
              </w:rPr>
              <w:t>M</w:t>
            </w:r>
          </w:p>
        </w:tc>
        <w:tc>
          <w:tcPr>
            <w:tcW w:w="112" w:type="pct"/>
          </w:tcPr>
          <w:p w14:paraId="276A62B2" w14:textId="77777777" w:rsidR="005909DE" w:rsidRPr="009B475E" w:rsidRDefault="005909DE" w:rsidP="005909DE">
            <w:pPr>
              <w:rPr>
                <w:b/>
                <w:i/>
              </w:rPr>
            </w:pPr>
            <w:r w:rsidRPr="009B475E">
              <w:rPr>
                <w:b/>
              </w:rPr>
              <w:t>W</w:t>
            </w:r>
          </w:p>
        </w:tc>
        <w:tc>
          <w:tcPr>
            <w:tcW w:w="112" w:type="pct"/>
          </w:tcPr>
          <w:p w14:paraId="37590F32" w14:textId="77777777" w:rsidR="005909DE" w:rsidRPr="009B475E" w:rsidRDefault="005909DE" w:rsidP="005909DE">
            <w:pPr>
              <w:rPr>
                <w:b/>
                <w:i/>
              </w:rPr>
            </w:pPr>
            <w:r w:rsidRPr="009B475E">
              <w:rPr>
                <w:b/>
              </w:rPr>
              <w:t>T</w:t>
            </w:r>
          </w:p>
        </w:tc>
        <w:tc>
          <w:tcPr>
            <w:tcW w:w="431" w:type="pct"/>
            <w:vMerge/>
          </w:tcPr>
          <w:p w14:paraId="6EA8C468" w14:textId="77777777" w:rsidR="005909DE" w:rsidRPr="009B475E" w:rsidRDefault="005909DE" w:rsidP="005909DE">
            <w:pPr>
              <w:rPr>
                <w:b/>
                <w:i/>
              </w:rPr>
            </w:pPr>
          </w:p>
        </w:tc>
        <w:tc>
          <w:tcPr>
            <w:tcW w:w="310" w:type="pct"/>
            <w:vMerge/>
          </w:tcPr>
          <w:p w14:paraId="5B83C26A" w14:textId="77777777" w:rsidR="005909DE" w:rsidRPr="009B475E" w:rsidRDefault="005909DE" w:rsidP="005909DE">
            <w:pPr>
              <w:rPr>
                <w:b/>
                <w:i/>
              </w:rPr>
            </w:pPr>
          </w:p>
        </w:tc>
        <w:tc>
          <w:tcPr>
            <w:tcW w:w="185" w:type="pct"/>
          </w:tcPr>
          <w:p w14:paraId="68C6476E" w14:textId="77777777" w:rsidR="005909DE" w:rsidRPr="009B475E" w:rsidRDefault="005909DE" w:rsidP="005909DE">
            <w:pPr>
              <w:rPr>
                <w:b/>
                <w:i/>
              </w:rPr>
            </w:pPr>
            <w:r w:rsidRPr="009B475E">
              <w:rPr>
                <w:b/>
              </w:rPr>
              <w:t>M</w:t>
            </w:r>
          </w:p>
        </w:tc>
        <w:tc>
          <w:tcPr>
            <w:tcW w:w="160" w:type="pct"/>
          </w:tcPr>
          <w:p w14:paraId="19AF2885" w14:textId="77777777" w:rsidR="005909DE" w:rsidRPr="009B475E" w:rsidRDefault="005909DE" w:rsidP="005909DE">
            <w:pPr>
              <w:rPr>
                <w:b/>
                <w:i/>
              </w:rPr>
            </w:pPr>
            <w:r w:rsidRPr="009B475E">
              <w:rPr>
                <w:b/>
              </w:rPr>
              <w:t>W</w:t>
            </w:r>
          </w:p>
        </w:tc>
        <w:tc>
          <w:tcPr>
            <w:tcW w:w="161" w:type="pct"/>
          </w:tcPr>
          <w:p w14:paraId="6FB23CD2" w14:textId="77777777" w:rsidR="005909DE" w:rsidRPr="009B475E" w:rsidRDefault="005909DE" w:rsidP="005909DE">
            <w:pPr>
              <w:rPr>
                <w:b/>
                <w:i/>
              </w:rPr>
            </w:pPr>
            <w:r w:rsidRPr="009B475E">
              <w:rPr>
                <w:b/>
              </w:rPr>
              <w:t>T</w:t>
            </w:r>
          </w:p>
        </w:tc>
        <w:tc>
          <w:tcPr>
            <w:tcW w:w="335" w:type="pct"/>
            <w:vMerge/>
          </w:tcPr>
          <w:p w14:paraId="23D44192" w14:textId="77777777" w:rsidR="005909DE" w:rsidRPr="009B475E" w:rsidRDefault="005909DE" w:rsidP="005909DE">
            <w:pPr>
              <w:rPr>
                <w:b/>
                <w:i/>
              </w:rPr>
            </w:pPr>
          </w:p>
        </w:tc>
        <w:tc>
          <w:tcPr>
            <w:tcW w:w="409" w:type="pct"/>
            <w:vMerge/>
          </w:tcPr>
          <w:p w14:paraId="20E44C7E" w14:textId="77777777" w:rsidR="005909DE" w:rsidRPr="009B475E" w:rsidRDefault="005909DE" w:rsidP="005909DE">
            <w:pPr>
              <w:rPr>
                <w:b/>
              </w:rPr>
            </w:pPr>
          </w:p>
        </w:tc>
      </w:tr>
      <w:tr w:rsidR="00DF01C5" w:rsidRPr="009B475E" w14:paraId="3DBC42A7" w14:textId="77777777" w:rsidTr="00274612">
        <w:trPr>
          <w:trHeight w:val="652"/>
        </w:trPr>
        <w:tc>
          <w:tcPr>
            <w:tcW w:w="449" w:type="pct"/>
          </w:tcPr>
          <w:p w14:paraId="3A0ECA27" w14:textId="77777777" w:rsidR="005909DE" w:rsidRPr="009B475E" w:rsidRDefault="005909DE" w:rsidP="005909DE">
            <w:pPr>
              <w:rPr>
                <w:b/>
                <w:i/>
              </w:rPr>
            </w:pPr>
            <w:r w:rsidRPr="009B475E">
              <w:rPr>
                <w:b/>
                <w:i/>
              </w:rPr>
              <w:t>N/A</w:t>
            </w:r>
          </w:p>
        </w:tc>
        <w:tc>
          <w:tcPr>
            <w:tcW w:w="738" w:type="pct"/>
          </w:tcPr>
          <w:p w14:paraId="646E1C3F" w14:textId="77777777" w:rsidR="005909DE" w:rsidRPr="009B475E" w:rsidRDefault="005909DE" w:rsidP="005909DE">
            <w:pPr>
              <w:rPr>
                <w:b/>
              </w:rPr>
            </w:pPr>
            <w:r w:rsidRPr="009B475E">
              <w:rPr>
                <w:b/>
                <w:i/>
              </w:rPr>
              <w:t>N/A</w:t>
            </w:r>
          </w:p>
        </w:tc>
        <w:tc>
          <w:tcPr>
            <w:tcW w:w="479" w:type="pct"/>
          </w:tcPr>
          <w:p w14:paraId="6F3E942C" w14:textId="77777777" w:rsidR="005909DE" w:rsidRPr="009B475E" w:rsidRDefault="005909DE" w:rsidP="005909DE">
            <w:pPr>
              <w:rPr>
                <w:b/>
              </w:rPr>
            </w:pPr>
            <w:r w:rsidRPr="009B475E">
              <w:rPr>
                <w:b/>
                <w:i/>
              </w:rPr>
              <w:t>N/A</w:t>
            </w:r>
          </w:p>
        </w:tc>
        <w:tc>
          <w:tcPr>
            <w:tcW w:w="480" w:type="pct"/>
          </w:tcPr>
          <w:p w14:paraId="4EC73C6B" w14:textId="77777777" w:rsidR="005909DE" w:rsidRPr="009B475E" w:rsidRDefault="005909DE" w:rsidP="005909DE">
            <w:pPr>
              <w:rPr>
                <w:b/>
              </w:rPr>
            </w:pPr>
            <w:r w:rsidRPr="009B475E">
              <w:rPr>
                <w:b/>
                <w:i/>
              </w:rPr>
              <w:t>N/A</w:t>
            </w:r>
          </w:p>
        </w:tc>
        <w:tc>
          <w:tcPr>
            <w:tcW w:w="527" w:type="pct"/>
          </w:tcPr>
          <w:p w14:paraId="4C65A605" w14:textId="77777777" w:rsidR="005909DE" w:rsidRPr="009B475E" w:rsidRDefault="005909DE" w:rsidP="005909DE">
            <w:pPr>
              <w:rPr>
                <w:b/>
              </w:rPr>
            </w:pPr>
            <w:r w:rsidRPr="009B475E">
              <w:rPr>
                <w:b/>
                <w:i/>
              </w:rPr>
              <w:t>N/A</w:t>
            </w:r>
          </w:p>
        </w:tc>
        <w:tc>
          <w:tcPr>
            <w:tcW w:w="112" w:type="pct"/>
          </w:tcPr>
          <w:p w14:paraId="729EDCCA" w14:textId="77777777" w:rsidR="005909DE" w:rsidRPr="009B475E" w:rsidRDefault="005909DE" w:rsidP="005909DE">
            <w:pPr>
              <w:rPr>
                <w:b/>
              </w:rPr>
            </w:pPr>
            <w:r w:rsidRPr="009B475E">
              <w:rPr>
                <w:b/>
                <w:i/>
              </w:rPr>
              <w:t>N/A</w:t>
            </w:r>
          </w:p>
        </w:tc>
        <w:tc>
          <w:tcPr>
            <w:tcW w:w="112" w:type="pct"/>
          </w:tcPr>
          <w:p w14:paraId="53891C74" w14:textId="77777777" w:rsidR="005909DE" w:rsidRPr="009B475E" w:rsidRDefault="005909DE" w:rsidP="005909DE">
            <w:pPr>
              <w:rPr>
                <w:b/>
              </w:rPr>
            </w:pPr>
            <w:r w:rsidRPr="009B475E">
              <w:rPr>
                <w:b/>
                <w:i/>
              </w:rPr>
              <w:t>N/A</w:t>
            </w:r>
          </w:p>
        </w:tc>
        <w:tc>
          <w:tcPr>
            <w:tcW w:w="112" w:type="pct"/>
          </w:tcPr>
          <w:p w14:paraId="4E157DB5" w14:textId="77777777" w:rsidR="005909DE" w:rsidRPr="009B475E" w:rsidRDefault="005909DE" w:rsidP="005909DE">
            <w:pPr>
              <w:rPr>
                <w:b/>
              </w:rPr>
            </w:pPr>
            <w:r w:rsidRPr="009B475E">
              <w:rPr>
                <w:b/>
                <w:i/>
              </w:rPr>
              <w:t>N/A</w:t>
            </w:r>
          </w:p>
        </w:tc>
        <w:tc>
          <w:tcPr>
            <w:tcW w:w="431" w:type="pct"/>
          </w:tcPr>
          <w:p w14:paraId="2984745A" w14:textId="77777777" w:rsidR="005909DE" w:rsidRPr="009B475E" w:rsidRDefault="005909DE" w:rsidP="005909DE">
            <w:pPr>
              <w:rPr>
                <w:b/>
              </w:rPr>
            </w:pPr>
            <w:r w:rsidRPr="009B475E">
              <w:rPr>
                <w:b/>
                <w:i/>
              </w:rPr>
              <w:t>N/A</w:t>
            </w:r>
          </w:p>
        </w:tc>
        <w:tc>
          <w:tcPr>
            <w:tcW w:w="310" w:type="pct"/>
          </w:tcPr>
          <w:p w14:paraId="5970743D" w14:textId="77777777" w:rsidR="005909DE" w:rsidRPr="009B475E" w:rsidRDefault="005909DE" w:rsidP="005909DE">
            <w:pPr>
              <w:rPr>
                <w:b/>
              </w:rPr>
            </w:pPr>
            <w:r w:rsidRPr="009B475E">
              <w:rPr>
                <w:b/>
                <w:i/>
              </w:rPr>
              <w:t>N/A</w:t>
            </w:r>
          </w:p>
        </w:tc>
        <w:tc>
          <w:tcPr>
            <w:tcW w:w="182" w:type="pct"/>
          </w:tcPr>
          <w:p w14:paraId="4A28364E" w14:textId="77777777" w:rsidR="005909DE" w:rsidRPr="009B475E" w:rsidRDefault="005909DE" w:rsidP="005909DE">
            <w:pPr>
              <w:rPr>
                <w:b/>
              </w:rPr>
            </w:pPr>
            <w:r w:rsidRPr="009B475E">
              <w:rPr>
                <w:b/>
                <w:i/>
              </w:rPr>
              <w:t>N/A</w:t>
            </w:r>
          </w:p>
        </w:tc>
        <w:tc>
          <w:tcPr>
            <w:tcW w:w="163" w:type="pct"/>
          </w:tcPr>
          <w:p w14:paraId="03B828A1" w14:textId="77777777" w:rsidR="005909DE" w:rsidRPr="009B475E" w:rsidRDefault="005909DE" w:rsidP="005909DE">
            <w:pPr>
              <w:rPr>
                <w:b/>
              </w:rPr>
            </w:pPr>
            <w:r w:rsidRPr="009B475E">
              <w:rPr>
                <w:b/>
                <w:i/>
              </w:rPr>
              <w:t>N/A</w:t>
            </w:r>
          </w:p>
        </w:tc>
        <w:tc>
          <w:tcPr>
            <w:tcW w:w="161" w:type="pct"/>
          </w:tcPr>
          <w:p w14:paraId="4AFB573E" w14:textId="77777777" w:rsidR="005909DE" w:rsidRPr="009B475E" w:rsidRDefault="005909DE" w:rsidP="005909DE">
            <w:pPr>
              <w:rPr>
                <w:b/>
              </w:rPr>
            </w:pPr>
            <w:r w:rsidRPr="009B475E">
              <w:rPr>
                <w:b/>
                <w:i/>
              </w:rPr>
              <w:t>N/A</w:t>
            </w:r>
          </w:p>
        </w:tc>
        <w:tc>
          <w:tcPr>
            <w:tcW w:w="335" w:type="pct"/>
          </w:tcPr>
          <w:p w14:paraId="274ECC8D" w14:textId="77777777" w:rsidR="005909DE" w:rsidRPr="009B475E" w:rsidRDefault="005909DE" w:rsidP="005909DE">
            <w:pPr>
              <w:rPr>
                <w:b/>
              </w:rPr>
            </w:pPr>
            <w:r w:rsidRPr="009B475E">
              <w:rPr>
                <w:b/>
                <w:i/>
              </w:rPr>
              <w:t>N/A</w:t>
            </w:r>
          </w:p>
        </w:tc>
        <w:tc>
          <w:tcPr>
            <w:tcW w:w="409" w:type="pct"/>
          </w:tcPr>
          <w:p w14:paraId="150A0DB3" w14:textId="77777777" w:rsidR="005909DE" w:rsidRPr="009B475E" w:rsidRDefault="005909DE" w:rsidP="005909DE">
            <w:pPr>
              <w:rPr>
                <w:b/>
              </w:rPr>
            </w:pPr>
            <w:r w:rsidRPr="009B475E">
              <w:rPr>
                <w:b/>
                <w:i/>
              </w:rPr>
              <w:t>N/A</w:t>
            </w:r>
          </w:p>
        </w:tc>
      </w:tr>
      <w:tr w:rsidR="00DF01C5" w:rsidRPr="005909DE" w14:paraId="5221A0AC" w14:textId="77777777" w:rsidTr="00274612">
        <w:trPr>
          <w:trHeight w:val="665"/>
        </w:trPr>
        <w:tc>
          <w:tcPr>
            <w:tcW w:w="449" w:type="pct"/>
          </w:tcPr>
          <w:p w14:paraId="7A55C41A" w14:textId="77777777" w:rsidR="005909DE" w:rsidRPr="009B475E" w:rsidRDefault="005909DE" w:rsidP="005909DE">
            <w:pPr>
              <w:rPr>
                <w:b/>
                <w:i/>
              </w:rPr>
            </w:pPr>
            <w:r w:rsidRPr="009B475E">
              <w:rPr>
                <w:b/>
                <w:i/>
              </w:rPr>
              <w:t>N/A</w:t>
            </w:r>
          </w:p>
        </w:tc>
        <w:tc>
          <w:tcPr>
            <w:tcW w:w="738" w:type="pct"/>
          </w:tcPr>
          <w:p w14:paraId="47510591" w14:textId="77777777" w:rsidR="005909DE" w:rsidRPr="009B475E" w:rsidRDefault="005909DE" w:rsidP="005909DE">
            <w:pPr>
              <w:rPr>
                <w:b/>
              </w:rPr>
            </w:pPr>
            <w:r w:rsidRPr="009B475E">
              <w:rPr>
                <w:b/>
                <w:i/>
              </w:rPr>
              <w:t>N/A</w:t>
            </w:r>
          </w:p>
        </w:tc>
        <w:tc>
          <w:tcPr>
            <w:tcW w:w="479" w:type="pct"/>
          </w:tcPr>
          <w:p w14:paraId="0A4F69B7" w14:textId="77777777" w:rsidR="005909DE" w:rsidRPr="009B475E" w:rsidRDefault="005909DE" w:rsidP="005909DE">
            <w:pPr>
              <w:rPr>
                <w:b/>
              </w:rPr>
            </w:pPr>
            <w:r w:rsidRPr="009B475E">
              <w:rPr>
                <w:b/>
                <w:i/>
              </w:rPr>
              <w:t>N/A</w:t>
            </w:r>
          </w:p>
        </w:tc>
        <w:tc>
          <w:tcPr>
            <w:tcW w:w="480" w:type="pct"/>
          </w:tcPr>
          <w:p w14:paraId="23974363" w14:textId="77777777" w:rsidR="005909DE" w:rsidRPr="009B475E" w:rsidRDefault="005909DE" w:rsidP="005909DE">
            <w:pPr>
              <w:rPr>
                <w:b/>
              </w:rPr>
            </w:pPr>
            <w:r w:rsidRPr="009B475E">
              <w:rPr>
                <w:b/>
                <w:i/>
              </w:rPr>
              <w:t>N/A</w:t>
            </w:r>
          </w:p>
        </w:tc>
        <w:tc>
          <w:tcPr>
            <w:tcW w:w="527" w:type="pct"/>
          </w:tcPr>
          <w:p w14:paraId="7D00DF63" w14:textId="77777777" w:rsidR="005909DE" w:rsidRPr="009B475E" w:rsidRDefault="005909DE" w:rsidP="005909DE">
            <w:pPr>
              <w:rPr>
                <w:b/>
              </w:rPr>
            </w:pPr>
            <w:r w:rsidRPr="009B475E">
              <w:rPr>
                <w:b/>
                <w:i/>
              </w:rPr>
              <w:t>N/A</w:t>
            </w:r>
          </w:p>
        </w:tc>
        <w:tc>
          <w:tcPr>
            <w:tcW w:w="112" w:type="pct"/>
          </w:tcPr>
          <w:p w14:paraId="2586E289" w14:textId="77777777" w:rsidR="005909DE" w:rsidRPr="009B475E" w:rsidRDefault="005909DE" w:rsidP="005909DE">
            <w:pPr>
              <w:rPr>
                <w:b/>
              </w:rPr>
            </w:pPr>
            <w:r w:rsidRPr="009B475E">
              <w:rPr>
                <w:b/>
                <w:i/>
              </w:rPr>
              <w:t>N/A</w:t>
            </w:r>
          </w:p>
        </w:tc>
        <w:tc>
          <w:tcPr>
            <w:tcW w:w="112" w:type="pct"/>
          </w:tcPr>
          <w:p w14:paraId="42AD6821" w14:textId="77777777" w:rsidR="005909DE" w:rsidRPr="009B475E" w:rsidRDefault="005909DE" w:rsidP="005909DE">
            <w:pPr>
              <w:rPr>
                <w:b/>
              </w:rPr>
            </w:pPr>
            <w:r w:rsidRPr="009B475E">
              <w:rPr>
                <w:b/>
                <w:i/>
              </w:rPr>
              <w:t>N/A</w:t>
            </w:r>
          </w:p>
        </w:tc>
        <w:tc>
          <w:tcPr>
            <w:tcW w:w="112" w:type="pct"/>
          </w:tcPr>
          <w:p w14:paraId="118082F9" w14:textId="77777777" w:rsidR="005909DE" w:rsidRPr="009B475E" w:rsidRDefault="005909DE" w:rsidP="005909DE">
            <w:pPr>
              <w:rPr>
                <w:b/>
              </w:rPr>
            </w:pPr>
            <w:r w:rsidRPr="009B475E">
              <w:rPr>
                <w:b/>
                <w:i/>
              </w:rPr>
              <w:t>N/A</w:t>
            </w:r>
          </w:p>
        </w:tc>
        <w:tc>
          <w:tcPr>
            <w:tcW w:w="431" w:type="pct"/>
          </w:tcPr>
          <w:p w14:paraId="0A2D3ACA" w14:textId="77777777" w:rsidR="005909DE" w:rsidRPr="009B475E" w:rsidRDefault="005909DE" w:rsidP="005909DE">
            <w:pPr>
              <w:rPr>
                <w:b/>
              </w:rPr>
            </w:pPr>
            <w:r w:rsidRPr="009B475E">
              <w:rPr>
                <w:b/>
                <w:i/>
              </w:rPr>
              <w:t>N/A</w:t>
            </w:r>
          </w:p>
        </w:tc>
        <w:tc>
          <w:tcPr>
            <w:tcW w:w="310" w:type="pct"/>
          </w:tcPr>
          <w:p w14:paraId="043510EF" w14:textId="77777777" w:rsidR="005909DE" w:rsidRPr="009B475E" w:rsidRDefault="005909DE" w:rsidP="005909DE">
            <w:pPr>
              <w:rPr>
                <w:b/>
              </w:rPr>
            </w:pPr>
            <w:r w:rsidRPr="009B475E">
              <w:rPr>
                <w:b/>
                <w:i/>
              </w:rPr>
              <w:t>N/A</w:t>
            </w:r>
          </w:p>
        </w:tc>
        <w:tc>
          <w:tcPr>
            <w:tcW w:w="182" w:type="pct"/>
          </w:tcPr>
          <w:p w14:paraId="02D7411F" w14:textId="77777777" w:rsidR="005909DE" w:rsidRPr="009B475E" w:rsidRDefault="005909DE" w:rsidP="005909DE">
            <w:pPr>
              <w:rPr>
                <w:b/>
              </w:rPr>
            </w:pPr>
            <w:r w:rsidRPr="009B475E">
              <w:rPr>
                <w:b/>
                <w:i/>
              </w:rPr>
              <w:t>N/A</w:t>
            </w:r>
          </w:p>
        </w:tc>
        <w:tc>
          <w:tcPr>
            <w:tcW w:w="163" w:type="pct"/>
          </w:tcPr>
          <w:p w14:paraId="16EA00C1" w14:textId="77777777" w:rsidR="005909DE" w:rsidRPr="009B475E" w:rsidRDefault="005909DE" w:rsidP="005909DE">
            <w:pPr>
              <w:rPr>
                <w:b/>
              </w:rPr>
            </w:pPr>
            <w:r w:rsidRPr="009B475E">
              <w:rPr>
                <w:b/>
                <w:i/>
              </w:rPr>
              <w:t>N/A</w:t>
            </w:r>
          </w:p>
        </w:tc>
        <w:tc>
          <w:tcPr>
            <w:tcW w:w="161" w:type="pct"/>
          </w:tcPr>
          <w:p w14:paraId="2A2BB253" w14:textId="77777777" w:rsidR="005909DE" w:rsidRPr="009B475E" w:rsidRDefault="005909DE" w:rsidP="005909DE">
            <w:pPr>
              <w:rPr>
                <w:b/>
              </w:rPr>
            </w:pPr>
            <w:r w:rsidRPr="009B475E">
              <w:rPr>
                <w:b/>
                <w:i/>
              </w:rPr>
              <w:t>N/A</w:t>
            </w:r>
          </w:p>
        </w:tc>
        <w:tc>
          <w:tcPr>
            <w:tcW w:w="335" w:type="pct"/>
          </w:tcPr>
          <w:p w14:paraId="6964EC32" w14:textId="77777777" w:rsidR="005909DE" w:rsidRPr="009B475E" w:rsidRDefault="005909DE" w:rsidP="005909DE">
            <w:pPr>
              <w:rPr>
                <w:b/>
              </w:rPr>
            </w:pPr>
            <w:r w:rsidRPr="009B475E">
              <w:rPr>
                <w:b/>
                <w:i/>
              </w:rPr>
              <w:t>N/A</w:t>
            </w:r>
          </w:p>
        </w:tc>
        <w:tc>
          <w:tcPr>
            <w:tcW w:w="409" w:type="pct"/>
          </w:tcPr>
          <w:p w14:paraId="5FC63665" w14:textId="77777777" w:rsidR="005909DE" w:rsidRPr="005909DE" w:rsidRDefault="005909DE" w:rsidP="005909DE">
            <w:pPr>
              <w:rPr>
                <w:b/>
              </w:rPr>
            </w:pPr>
            <w:r w:rsidRPr="009B475E">
              <w:rPr>
                <w:b/>
                <w:i/>
              </w:rPr>
              <w:t>N/A</w:t>
            </w:r>
          </w:p>
        </w:tc>
      </w:tr>
    </w:tbl>
    <w:p w14:paraId="4561F13B" w14:textId="5A1AF1A0" w:rsidR="007A7CA3" w:rsidRDefault="007A7CA3" w:rsidP="0068794B">
      <w:pPr>
        <w:rPr>
          <w:b/>
        </w:rPr>
      </w:pPr>
    </w:p>
    <w:p w14:paraId="56B46010" w14:textId="1A3F29F0" w:rsidR="007A7CA3" w:rsidRDefault="007A7CA3" w:rsidP="0068794B">
      <w:pPr>
        <w:rPr>
          <w:b/>
        </w:rPr>
      </w:pPr>
    </w:p>
    <w:p w14:paraId="5B110E39" w14:textId="77777777" w:rsidR="00DF01C5" w:rsidRPr="009B475E" w:rsidRDefault="00DF01C5" w:rsidP="00DF01C5">
      <w:pPr>
        <w:rPr>
          <w:b/>
        </w:rPr>
      </w:pPr>
      <w:r w:rsidRPr="009B475E">
        <w:rPr>
          <w:b/>
        </w:rPr>
        <w:t xml:space="preserve">Table 4a: </w:t>
      </w:r>
      <w:r w:rsidRPr="009B475E">
        <w:rPr>
          <w:b/>
        </w:rPr>
        <w:tab/>
        <w:t xml:space="preserve">YEI result indicators and programme-specific result indicators corresponding to the specific objective </w:t>
      </w:r>
    </w:p>
    <w:p w14:paraId="385B78E6" w14:textId="77777777" w:rsidR="00DF01C5" w:rsidRPr="009B475E" w:rsidRDefault="00DF01C5" w:rsidP="00DF01C5">
      <w:pPr>
        <w:rPr>
          <w:b/>
        </w:rPr>
      </w:pPr>
      <w:r w:rsidRPr="009B475E">
        <w:rPr>
          <w:b/>
        </w:rPr>
        <w:lastRenderedPageBreak/>
        <w:t xml:space="preserve">(by priority axis or by part of a priority axis) </w:t>
      </w:r>
    </w:p>
    <w:p w14:paraId="2839E161" w14:textId="77777777" w:rsidR="00DF01C5" w:rsidRPr="009B475E" w:rsidRDefault="00DF01C5" w:rsidP="00DF01C5">
      <w:pPr>
        <w:rPr>
          <w:b/>
        </w:rPr>
      </w:pPr>
      <w:r w:rsidRPr="009B475E">
        <w:rPr>
          <w:b/>
        </w:rPr>
        <w:t xml:space="preserve"> (Reference: Article 19(3) of Regulation (EU) No 1304/2013 of the European Parliament and of the Council</w:t>
      </w:r>
      <w:r w:rsidRPr="009B475E">
        <w:rPr>
          <w:b/>
          <w:vertAlign w:val="superscript"/>
        </w:rPr>
        <w:footnoteReference w:id="68"/>
      </w:r>
      <w:r w:rsidRPr="009B475E">
        <w:rPr>
          <w:b/>
        </w:rPr>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5"/>
        <w:gridCol w:w="1328"/>
        <w:gridCol w:w="861"/>
        <w:gridCol w:w="947"/>
        <w:gridCol w:w="236"/>
        <w:gridCol w:w="236"/>
        <w:gridCol w:w="236"/>
        <w:gridCol w:w="774"/>
        <w:gridCol w:w="536"/>
        <w:gridCol w:w="323"/>
        <w:gridCol w:w="15"/>
        <w:gridCol w:w="282"/>
        <w:gridCol w:w="282"/>
        <w:gridCol w:w="600"/>
        <w:gridCol w:w="731"/>
      </w:tblGrid>
      <w:tr w:rsidR="00DF01C5" w:rsidRPr="009B475E" w14:paraId="36805134" w14:textId="77777777" w:rsidTr="00274612">
        <w:trPr>
          <w:trHeight w:val="620"/>
        </w:trPr>
        <w:tc>
          <w:tcPr>
            <w:tcW w:w="497" w:type="pct"/>
            <w:vMerge w:val="restart"/>
          </w:tcPr>
          <w:p w14:paraId="4F880733" w14:textId="77777777" w:rsidR="00DF01C5" w:rsidRPr="009B475E" w:rsidRDefault="00DF01C5" w:rsidP="00DF01C5">
            <w:pPr>
              <w:rPr>
                <w:b/>
                <w:i/>
              </w:rPr>
            </w:pPr>
            <w:r w:rsidRPr="009B475E" w:rsidDel="00496ED7">
              <w:rPr>
                <w:b/>
              </w:rPr>
              <w:t xml:space="preserve"> </w:t>
            </w:r>
            <w:r w:rsidRPr="009B475E">
              <w:rPr>
                <w:b/>
                <w:i/>
              </w:rPr>
              <w:t>ID</w:t>
            </w:r>
          </w:p>
        </w:tc>
        <w:tc>
          <w:tcPr>
            <w:tcW w:w="816" w:type="pct"/>
            <w:vMerge w:val="restart"/>
          </w:tcPr>
          <w:p w14:paraId="30891BE0" w14:textId="77777777" w:rsidR="00DF01C5" w:rsidRPr="009B475E" w:rsidRDefault="00DF01C5" w:rsidP="00DF01C5">
            <w:pPr>
              <w:rPr>
                <w:b/>
                <w:i/>
              </w:rPr>
            </w:pPr>
            <w:r w:rsidRPr="009B475E">
              <w:rPr>
                <w:b/>
                <w:i/>
              </w:rPr>
              <w:t xml:space="preserve">Indicator </w:t>
            </w:r>
          </w:p>
        </w:tc>
        <w:tc>
          <w:tcPr>
            <w:tcW w:w="531" w:type="pct"/>
            <w:vMerge w:val="restart"/>
          </w:tcPr>
          <w:p w14:paraId="16FF2CE1" w14:textId="77777777" w:rsidR="00DF01C5" w:rsidRPr="009B475E" w:rsidRDefault="00DF01C5" w:rsidP="00DF01C5">
            <w:pPr>
              <w:rPr>
                <w:b/>
                <w:i/>
              </w:rPr>
            </w:pPr>
            <w:r w:rsidRPr="009B475E">
              <w:rPr>
                <w:b/>
                <w:i/>
              </w:rPr>
              <w:t>Measurement unit for indicator</w:t>
            </w:r>
          </w:p>
        </w:tc>
        <w:tc>
          <w:tcPr>
            <w:tcW w:w="583" w:type="pct"/>
            <w:vMerge w:val="restart"/>
          </w:tcPr>
          <w:p w14:paraId="566978AC" w14:textId="77777777" w:rsidR="00DF01C5" w:rsidRPr="009B475E" w:rsidRDefault="00DF01C5" w:rsidP="00DF01C5">
            <w:pPr>
              <w:rPr>
                <w:b/>
                <w:i/>
              </w:rPr>
            </w:pPr>
            <w:r w:rsidRPr="009B475E">
              <w:rPr>
                <w:b/>
                <w:i/>
              </w:rPr>
              <w:t>Common output indicator used as basis for target setting</w:t>
            </w:r>
          </w:p>
        </w:tc>
        <w:tc>
          <w:tcPr>
            <w:tcW w:w="372" w:type="pct"/>
            <w:gridSpan w:val="3"/>
          </w:tcPr>
          <w:p w14:paraId="27473C85" w14:textId="77777777" w:rsidR="00DF01C5" w:rsidRPr="009B475E" w:rsidRDefault="00DF01C5" w:rsidP="00DF01C5">
            <w:pPr>
              <w:rPr>
                <w:b/>
                <w:i/>
              </w:rPr>
            </w:pPr>
            <w:r w:rsidRPr="009B475E">
              <w:rPr>
                <w:b/>
                <w:i/>
              </w:rPr>
              <w:t xml:space="preserve">Baseline value </w:t>
            </w:r>
          </w:p>
        </w:tc>
        <w:tc>
          <w:tcPr>
            <w:tcW w:w="477" w:type="pct"/>
            <w:vMerge w:val="restart"/>
          </w:tcPr>
          <w:p w14:paraId="72E99294" w14:textId="77777777" w:rsidR="00DF01C5" w:rsidRPr="009B475E" w:rsidRDefault="00DF01C5" w:rsidP="00DF01C5">
            <w:pPr>
              <w:rPr>
                <w:b/>
                <w:i/>
              </w:rPr>
            </w:pPr>
            <w:r w:rsidRPr="009B475E">
              <w:rPr>
                <w:b/>
                <w:i/>
              </w:rPr>
              <w:t>Measurement unit for baseline and target</w:t>
            </w:r>
          </w:p>
        </w:tc>
        <w:tc>
          <w:tcPr>
            <w:tcW w:w="332" w:type="pct"/>
            <w:vMerge w:val="restart"/>
          </w:tcPr>
          <w:p w14:paraId="05A936EC" w14:textId="77777777" w:rsidR="00DF01C5" w:rsidRPr="009B475E" w:rsidRDefault="00DF01C5" w:rsidP="00DF01C5">
            <w:pPr>
              <w:rPr>
                <w:b/>
                <w:i/>
              </w:rPr>
            </w:pPr>
            <w:r w:rsidRPr="009B475E">
              <w:rPr>
                <w:b/>
                <w:i/>
              </w:rPr>
              <w:t>Baseline year</w:t>
            </w:r>
          </w:p>
        </w:tc>
        <w:tc>
          <w:tcPr>
            <w:tcW w:w="570" w:type="pct"/>
            <w:gridSpan w:val="4"/>
          </w:tcPr>
          <w:p w14:paraId="47ACB8A7" w14:textId="77777777" w:rsidR="00DF01C5" w:rsidRPr="009B475E" w:rsidRDefault="00DF01C5" w:rsidP="00DF01C5">
            <w:pPr>
              <w:rPr>
                <w:b/>
                <w:i/>
              </w:rPr>
            </w:pPr>
            <w:r w:rsidRPr="009B475E">
              <w:rPr>
                <w:b/>
                <w:i/>
              </w:rPr>
              <w:t>Target value</w:t>
            </w:r>
            <w:r w:rsidRPr="009B475E">
              <w:rPr>
                <w:b/>
                <w:vertAlign w:val="superscript"/>
              </w:rPr>
              <w:footnoteReference w:id="69"/>
            </w:r>
            <w:r w:rsidRPr="009B475E">
              <w:rPr>
                <w:b/>
                <w:i/>
              </w:rPr>
              <w:t xml:space="preserve"> (2023)</w:t>
            </w:r>
          </w:p>
        </w:tc>
        <w:tc>
          <w:tcPr>
            <w:tcW w:w="371" w:type="pct"/>
            <w:vMerge w:val="restart"/>
          </w:tcPr>
          <w:p w14:paraId="4834ABFE" w14:textId="77777777" w:rsidR="00DF01C5" w:rsidRPr="009B475E" w:rsidRDefault="00DF01C5" w:rsidP="00DF01C5">
            <w:pPr>
              <w:rPr>
                <w:b/>
                <w:i/>
              </w:rPr>
            </w:pPr>
            <w:r w:rsidRPr="009B475E">
              <w:rPr>
                <w:b/>
                <w:i/>
              </w:rPr>
              <w:t>Source of data</w:t>
            </w:r>
          </w:p>
        </w:tc>
        <w:tc>
          <w:tcPr>
            <w:tcW w:w="451" w:type="pct"/>
            <w:vMerge w:val="restart"/>
          </w:tcPr>
          <w:p w14:paraId="27B71A7F" w14:textId="77777777" w:rsidR="00DF01C5" w:rsidRPr="009B475E" w:rsidRDefault="00DF01C5" w:rsidP="00DF01C5">
            <w:pPr>
              <w:rPr>
                <w:b/>
                <w:i/>
              </w:rPr>
            </w:pPr>
            <w:r w:rsidRPr="009B475E">
              <w:rPr>
                <w:b/>
                <w:i/>
              </w:rPr>
              <w:t>Frequency of reporting</w:t>
            </w:r>
          </w:p>
        </w:tc>
      </w:tr>
      <w:tr w:rsidR="00DF01C5" w:rsidRPr="009B475E" w14:paraId="081D669D" w14:textId="77777777" w:rsidTr="00274612">
        <w:trPr>
          <w:trHeight w:val="619"/>
        </w:trPr>
        <w:tc>
          <w:tcPr>
            <w:tcW w:w="497" w:type="pct"/>
            <w:vMerge/>
          </w:tcPr>
          <w:p w14:paraId="73B81446" w14:textId="77777777" w:rsidR="00DF01C5" w:rsidRPr="009B475E" w:rsidRDefault="00DF01C5" w:rsidP="00DF01C5">
            <w:pPr>
              <w:rPr>
                <w:b/>
                <w:i/>
              </w:rPr>
            </w:pPr>
          </w:p>
        </w:tc>
        <w:tc>
          <w:tcPr>
            <w:tcW w:w="816" w:type="pct"/>
            <w:vMerge/>
          </w:tcPr>
          <w:p w14:paraId="77EEC035" w14:textId="77777777" w:rsidR="00DF01C5" w:rsidRPr="009B475E" w:rsidRDefault="00DF01C5" w:rsidP="00DF01C5">
            <w:pPr>
              <w:rPr>
                <w:b/>
                <w:i/>
              </w:rPr>
            </w:pPr>
          </w:p>
        </w:tc>
        <w:tc>
          <w:tcPr>
            <w:tcW w:w="531" w:type="pct"/>
            <w:vMerge/>
          </w:tcPr>
          <w:p w14:paraId="1D5097FC" w14:textId="77777777" w:rsidR="00DF01C5" w:rsidRPr="009B475E" w:rsidRDefault="00DF01C5" w:rsidP="00DF01C5">
            <w:pPr>
              <w:rPr>
                <w:b/>
                <w:i/>
              </w:rPr>
            </w:pPr>
          </w:p>
        </w:tc>
        <w:tc>
          <w:tcPr>
            <w:tcW w:w="583" w:type="pct"/>
            <w:vMerge/>
          </w:tcPr>
          <w:p w14:paraId="37E35339" w14:textId="77777777" w:rsidR="00DF01C5" w:rsidRPr="009B475E" w:rsidRDefault="00DF01C5" w:rsidP="00DF01C5">
            <w:pPr>
              <w:rPr>
                <w:b/>
                <w:i/>
              </w:rPr>
            </w:pPr>
          </w:p>
        </w:tc>
        <w:tc>
          <w:tcPr>
            <w:tcW w:w="124" w:type="pct"/>
          </w:tcPr>
          <w:p w14:paraId="26FC7FC9" w14:textId="77777777" w:rsidR="00DF01C5" w:rsidRPr="009B475E" w:rsidRDefault="00DF01C5" w:rsidP="00DF01C5">
            <w:pPr>
              <w:rPr>
                <w:b/>
                <w:i/>
              </w:rPr>
            </w:pPr>
            <w:r w:rsidRPr="009B475E">
              <w:rPr>
                <w:b/>
              </w:rPr>
              <w:t>M</w:t>
            </w:r>
          </w:p>
        </w:tc>
        <w:tc>
          <w:tcPr>
            <w:tcW w:w="124" w:type="pct"/>
          </w:tcPr>
          <w:p w14:paraId="3FBEFFD6" w14:textId="77777777" w:rsidR="00DF01C5" w:rsidRPr="009B475E" w:rsidRDefault="00DF01C5" w:rsidP="00DF01C5">
            <w:pPr>
              <w:rPr>
                <w:b/>
                <w:i/>
              </w:rPr>
            </w:pPr>
            <w:r w:rsidRPr="009B475E">
              <w:rPr>
                <w:b/>
              </w:rPr>
              <w:t>W</w:t>
            </w:r>
          </w:p>
        </w:tc>
        <w:tc>
          <w:tcPr>
            <w:tcW w:w="124" w:type="pct"/>
          </w:tcPr>
          <w:p w14:paraId="1D6988F7" w14:textId="77777777" w:rsidR="00DF01C5" w:rsidRPr="009B475E" w:rsidRDefault="00DF01C5" w:rsidP="00DF01C5">
            <w:pPr>
              <w:rPr>
                <w:b/>
                <w:i/>
              </w:rPr>
            </w:pPr>
            <w:r w:rsidRPr="009B475E">
              <w:rPr>
                <w:b/>
              </w:rPr>
              <w:t>T</w:t>
            </w:r>
          </w:p>
        </w:tc>
        <w:tc>
          <w:tcPr>
            <w:tcW w:w="477" w:type="pct"/>
            <w:vMerge/>
          </w:tcPr>
          <w:p w14:paraId="74B8257F" w14:textId="77777777" w:rsidR="00DF01C5" w:rsidRPr="009B475E" w:rsidRDefault="00DF01C5" w:rsidP="00DF01C5">
            <w:pPr>
              <w:rPr>
                <w:b/>
                <w:i/>
              </w:rPr>
            </w:pPr>
          </w:p>
        </w:tc>
        <w:tc>
          <w:tcPr>
            <w:tcW w:w="332" w:type="pct"/>
            <w:vMerge/>
          </w:tcPr>
          <w:p w14:paraId="57837B10" w14:textId="77777777" w:rsidR="00DF01C5" w:rsidRPr="009B475E" w:rsidRDefault="00DF01C5" w:rsidP="00DF01C5">
            <w:pPr>
              <w:rPr>
                <w:b/>
                <w:i/>
              </w:rPr>
            </w:pPr>
          </w:p>
        </w:tc>
        <w:tc>
          <w:tcPr>
            <w:tcW w:w="216" w:type="pct"/>
            <w:gridSpan w:val="2"/>
          </w:tcPr>
          <w:p w14:paraId="6A14ED73" w14:textId="77777777" w:rsidR="00DF01C5" w:rsidRPr="009B475E" w:rsidRDefault="00DF01C5" w:rsidP="00DF01C5">
            <w:pPr>
              <w:rPr>
                <w:b/>
                <w:i/>
              </w:rPr>
            </w:pPr>
            <w:r w:rsidRPr="009B475E">
              <w:rPr>
                <w:b/>
              </w:rPr>
              <w:t>M</w:t>
            </w:r>
          </w:p>
        </w:tc>
        <w:tc>
          <w:tcPr>
            <w:tcW w:w="177" w:type="pct"/>
          </w:tcPr>
          <w:p w14:paraId="3FE65069" w14:textId="77777777" w:rsidR="00DF01C5" w:rsidRPr="009B475E" w:rsidRDefault="00DF01C5" w:rsidP="00DF01C5">
            <w:pPr>
              <w:rPr>
                <w:b/>
                <w:i/>
              </w:rPr>
            </w:pPr>
            <w:r w:rsidRPr="009B475E">
              <w:rPr>
                <w:b/>
              </w:rPr>
              <w:t>W</w:t>
            </w:r>
          </w:p>
        </w:tc>
        <w:tc>
          <w:tcPr>
            <w:tcW w:w="177" w:type="pct"/>
          </w:tcPr>
          <w:p w14:paraId="01A79AC0" w14:textId="77777777" w:rsidR="00DF01C5" w:rsidRPr="009B475E" w:rsidRDefault="00DF01C5" w:rsidP="00DF01C5">
            <w:pPr>
              <w:rPr>
                <w:b/>
                <w:i/>
              </w:rPr>
            </w:pPr>
            <w:r w:rsidRPr="009B475E">
              <w:rPr>
                <w:b/>
              </w:rPr>
              <w:t>T</w:t>
            </w:r>
          </w:p>
        </w:tc>
        <w:tc>
          <w:tcPr>
            <w:tcW w:w="371" w:type="pct"/>
            <w:vMerge/>
          </w:tcPr>
          <w:p w14:paraId="15E8599F" w14:textId="77777777" w:rsidR="00DF01C5" w:rsidRPr="009B475E" w:rsidRDefault="00DF01C5" w:rsidP="00DF01C5">
            <w:pPr>
              <w:rPr>
                <w:b/>
                <w:i/>
              </w:rPr>
            </w:pPr>
          </w:p>
        </w:tc>
        <w:tc>
          <w:tcPr>
            <w:tcW w:w="451" w:type="pct"/>
            <w:vMerge/>
          </w:tcPr>
          <w:p w14:paraId="0DC2E023" w14:textId="77777777" w:rsidR="00DF01C5" w:rsidRPr="009B475E" w:rsidRDefault="00DF01C5" w:rsidP="00DF01C5">
            <w:pPr>
              <w:rPr>
                <w:b/>
              </w:rPr>
            </w:pPr>
          </w:p>
        </w:tc>
      </w:tr>
      <w:tr w:rsidR="00DF01C5" w:rsidRPr="009B475E" w14:paraId="45CF4A66" w14:textId="77777777" w:rsidTr="00274612">
        <w:trPr>
          <w:trHeight w:val="652"/>
        </w:trPr>
        <w:tc>
          <w:tcPr>
            <w:tcW w:w="497" w:type="pct"/>
          </w:tcPr>
          <w:p w14:paraId="6AF6403B" w14:textId="77777777" w:rsidR="00DF01C5" w:rsidRPr="009B475E" w:rsidRDefault="00DF01C5" w:rsidP="00DF01C5">
            <w:pPr>
              <w:rPr>
                <w:b/>
                <w:i/>
              </w:rPr>
            </w:pPr>
            <w:r w:rsidRPr="009B475E">
              <w:rPr>
                <w:b/>
                <w:i/>
              </w:rPr>
              <w:t>N/A</w:t>
            </w:r>
          </w:p>
        </w:tc>
        <w:tc>
          <w:tcPr>
            <w:tcW w:w="816" w:type="pct"/>
          </w:tcPr>
          <w:p w14:paraId="040AF98E" w14:textId="77777777" w:rsidR="00DF01C5" w:rsidRPr="009B475E" w:rsidRDefault="00DF01C5" w:rsidP="00DF01C5">
            <w:pPr>
              <w:rPr>
                <w:b/>
              </w:rPr>
            </w:pPr>
            <w:r w:rsidRPr="009B475E">
              <w:rPr>
                <w:b/>
                <w:i/>
              </w:rPr>
              <w:t>N/A</w:t>
            </w:r>
          </w:p>
        </w:tc>
        <w:tc>
          <w:tcPr>
            <w:tcW w:w="531" w:type="pct"/>
          </w:tcPr>
          <w:p w14:paraId="34147DD9" w14:textId="77777777" w:rsidR="00DF01C5" w:rsidRPr="009B475E" w:rsidRDefault="00DF01C5" w:rsidP="00DF01C5">
            <w:pPr>
              <w:rPr>
                <w:b/>
              </w:rPr>
            </w:pPr>
            <w:r w:rsidRPr="009B475E">
              <w:rPr>
                <w:b/>
                <w:i/>
              </w:rPr>
              <w:t>N/A</w:t>
            </w:r>
          </w:p>
        </w:tc>
        <w:tc>
          <w:tcPr>
            <w:tcW w:w="583" w:type="pct"/>
          </w:tcPr>
          <w:p w14:paraId="112CCFB1" w14:textId="77777777" w:rsidR="00DF01C5" w:rsidRPr="009B475E" w:rsidRDefault="00DF01C5" w:rsidP="00DF01C5">
            <w:pPr>
              <w:rPr>
                <w:b/>
              </w:rPr>
            </w:pPr>
            <w:r w:rsidRPr="009B475E">
              <w:rPr>
                <w:b/>
                <w:i/>
              </w:rPr>
              <w:t>N/A</w:t>
            </w:r>
          </w:p>
        </w:tc>
        <w:tc>
          <w:tcPr>
            <w:tcW w:w="372" w:type="pct"/>
            <w:gridSpan w:val="3"/>
          </w:tcPr>
          <w:p w14:paraId="7F287551" w14:textId="77777777" w:rsidR="00DF01C5" w:rsidRPr="009B475E" w:rsidRDefault="00DF01C5" w:rsidP="00DF01C5">
            <w:pPr>
              <w:rPr>
                <w:b/>
              </w:rPr>
            </w:pPr>
            <w:r w:rsidRPr="009B475E">
              <w:rPr>
                <w:b/>
                <w:i/>
              </w:rPr>
              <w:t>N/A</w:t>
            </w:r>
          </w:p>
        </w:tc>
        <w:tc>
          <w:tcPr>
            <w:tcW w:w="477" w:type="pct"/>
          </w:tcPr>
          <w:p w14:paraId="4E299139" w14:textId="77777777" w:rsidR="00DF01C5" w:rsidRPr="009B475E" w:rsidRDefault="00DF01C5" w:rsidP="00DF01C5">
            <w:pPr>
              <w:rPr>
                <w:b/>
              </w:rPr>
            </w:pPr>
            <w:r w:rsidRPr="009B475E">
              <w:rPr>
                <w:b/>
                <w:i/>
              </w:rPr>
              <w:t>N/A</w:t>
            </w:r>
          </w:p>
        </w:tc>
        <w:tc>
          <w:tcPr>
            <w:tcW w:w="332" w:type="pct"/>
          </w:tcPr>
          <w:p w14:paraId="2BB507A8" w14:textId="77777777" w:rsidR="00DF01C5" w:rsidRPr="009B475E" w:rsidRDefault="00DF01C5" w:rsidP="00DF01C5">
            <w:pPr>
              <w:rPr>
                <w:b/>
              </w:rPr>
            </w:pPr>
            <w:r w:rsidRPr="009B475E">
              <w:rPr>
                <w:b/>
                <w:i/>
              </w:rPr>
              <w:t>N/A</w:t>
            </w:r>
          </w:p>
        </w:tc>
        <w:tc>
          <w:tcPr>
            <w:tcW w:w="202" w:type="pct"/>
          </w:tcPr>
          <w:p w14:paraId="5AF38A9A" w14:textId="77777777" w:rsidR="00DF01C5" w:rsidRPr="009B475E" w:rsidRDefault="00DF01C5" w:rsidP="00DF01C5">
            <w:pPr>
              <w:rPr>
                <w:b/>
              </w:rPr>
            </w:pPr>
            <w:r w:rsidRPr="009B475E">
              <w:rPr>
                <w:b/>
                <w:i/>
              </w:rPr>
              <w:t>N/A</w:t>
            </w:r>
          </w:p>
        </w:tc>
        <w:tc>
          <w:tcPr>
            <w:tcW w:w="191" w:type="pct"/>
            <w:gridSpan w:val="2"/>
          </w:tcPr>
          <w:p w14:paraId="4C19163A" w14:textId="77777777" w:rsidR="00DF01C5" w:rsidRPr="009B475E" w:rsidRDefault="00DF01C5" w:rsidP="00DF01C5">
            <w:pPr>
              <w:rPr>
                <w:b/>
              </w:rPr>
            </w:pPr>
            <w:r w:rsidRPr="009B475E">
              <w:rPr>
                <w:b/>
                <w:i/>
              </w:rPr>
              <w:t>N/A</w:t>
            </w:r>
          </w:p>
        </w:tc>
        <w:tc>
          <w:tcPr>
            <w:tcW w:w="177" w:type="pct"/>
          </w:tcPr>
          <w:p w14:paraId="79769891" w14:textId="77777777" w:rsidR="00DF01C5" w:rsidRPr="009B475E" w:rsidRDefault="00DF01C5" w:rsidP="00DF01C5">
            <w:pPr>
              <w:rPr>
                <w:b/>
              </w:rPr>
            </w:pPr>
            <w:r w:rsidRPr="009B475E">
              <w:rPr>
                <w:b/>
                <w:i/>
              </w:rPr>
              <w:t>N/A</w:t>
            </w:r>
          </w:p>
        </w:tc>
        <w:tc>
          <w:tcPr>
            <w:tcW w:w="371" w:type="pct"/>
          </w:tcPr>
          <w:p w14:paraId="55C7E949" w14:textId="77777777" w:rsidR="00DF01C5" w:rsidRPr="009B475E" w:rsidRDefault="00DF01C5" w:rsidP="00DF01C5">
            <w:pPr>
              <w:rPr>
                <w:b/>
              </w:rPr>
            </w:pPr>
            <w:r w:rsidRPr="009B475E">
              <w:rPr>
                <w:b/>
                <w:i/>
              </w:rPr>
              <w:t>N/A</w:t>
            </w:r>
          </w:p>
        </w:tc>
        <w:tc>
          <w:tcPr>
            <w:tcW w:w="451" w:type="pct"/>
          </w:tcPr>
          <w:p w14:paraId="714D8409" w14:textId="77777777" w:rsidR="00DF01C5" w:rsidRPr="009B475E" w:rsidRDefault="00DF01C5" w:rsidP="00DF01C5">
            <w:pPr>
              <w:rPr>
                <w:b/>
              </w:rPr>
            </w:pPr>
            <w:r w:rsidRPr="009B475E">
              <w:rPr>
                <w:b/>
                <w:i/>
              </w:rPr>
              <w:t>N/A</w:t>
            </w:r>
          </w:p>
        </w:tc>
      </w:tr>
    </w:tbl>
    <w:p w14:paraId="0438AD6A" w14:textId="3170293A" w:rsidR="00DB19A1" w:rsidRPr="009B475E" w:rsidRDefault="00DB19A1" w:rsidP="0068794B">
      <w:pPr>
        <w:rPr>
          <w:b/>
        </w:rPr>
      </w:pPr>
    </w:p>
    <w:p w14:paraId="1C41E6E1" w14:textId="2C8A66E0" w:rsidR="000F064E" w:rsidRPr="009B475E" w:rsidRDefault="000F064E" w:rsidP="000F064E">
      <w:pPr>
        <w:rPr>
          <w:b/>
        </w:rPr>
      </w:pPr>
      <w:r w:rsidRPr="009B475E">
        <w:rPr>
          <w:b/>
        </w:rPr>
        <w:t xml:space="preserve">2.A.5.5  </w:t>
      </w:r>
      <w:r w:rsidRPr="009B475E">
        <w:rPr>
          <w:b/>
        </w:rPr>
        <w:tab/>
        <w:t xml:space="preserve">Action to be supported under the investment priority </w:t>
      </w:r>
    </w:p>
    <w:p w14:paraId="274314A4" w14:textId="77777777" w:rsidR="000F064E" w:rsidRPr="009B475E" w:rsidRDefault="000F064E" w:rsidP="000F064E">
      <w:pPr>
        <w:rPr>
          <w:b/>
        </w:rPr>
      </w:pPr>
      <w:r w:rsidRPr="009B475E">
        <w:rPr>
          <w:b/>
        </w:rPr>
        <w:t>(by investment priority)</w:t>
      </w:r>
    </w:p>
    <w:p w14:paraId="537B9551" w14:textId="77777777" w:rsidR="000F064E" w:rsidRPr="009B475E" w:rsidRDefault="000F064E" w:rsidP="000F064E">
      <w:pPr>
        <w:rPr>
          <w:b/>
        </w:rPr>
      </w:pPr>
    </w:p>
    <w:p w14:paraId="471C380A" w14:textId="7098F002" w:rsidR="000F064E" w:rsidRPr="009B475E" w:rsidRDefault="000F064E" w:rsidP="000F064E">
      <w:pPr>
        <w:rPr>
          <w:b/>
          <w:i/>
        </w:rPr>
      </w:pPr>
      <w:r w:rsidRPr="009B475E">
        <w:rPr>
          <w:b/>
          <w:i/>
        </w:rPr>
        <w:t>2.A.5</w:t>
      </w:r>
      <w:r w:rsidR="003B08DE" w:rsidRPr="009B475E">
        <w:rPr>
          <w:b/>
          <w:i/>
        </w:rPr>
        <w:t>.6</w:t>
      </w:r>
      <w:r w:rsidRPr="009B475E">
        <w:rPr>
          <w:b/>
          <w:i/>
        </w:rPr>
        <w:t xml:space="preserve"> </w:t>
      </w:r>
      <w:r w:rsidRPr="009B475E">
        <w:rPr>
          <w:b/>
          <w:i/>
        </w:rPr>
        <w:tab/>
        <w:t>Description of the type and examples of actions to be supported and their expected contribution to the specific objectives including, where appropriate,  the identification of main target groups, specific territories targeted and  types of beneficiaries</w:t>
      </w:r>
    </w:p>
    <w:p w14:paraId="209EBBE4" w14:textId="77777777" w:rsidR="000F064E" w:rsidRPr="009B475E" w:rsidRDefault="000F064E" w:rsidP="000F064E">
      <w:pPr>
        <w:rPr>
          <w:b/>
        </w:rPr>
      </w:pPr>
      <w:r w:rsidRPr="009B475E">
        <w:rPr>
          <w:b/>
        </w:rPr>
        <w:t>(Reference: point (b)(iii) of the first subparagraph of Article 96 (2) of Regulation (EU) No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0F064E" w:rsidRPr="000F064E" w14:paraId="783FD1C5" w14:textId="77777777" w:rsidTr="00274612">
        <w:trPr>
          <w:trHeight w:val="518"/>
        </w:trPr>
        <w:tc>
          <w:tcPr>
            <w:tcW w:w="2235" w:type="dxa"/>
          </w:tcPr>
          <w:p w14:paraId="049ACEA8" w14:textId="77777777" w:rsidR="000F064E" w:rsidRPr="009B475E" w:rsidRDefault="000F064E" w:rsidP="000F064E">
            <w:pPr>
              <w:rPr>
                <w:b/>
                <w:i/>
              </w:rPr>
            </w:pPr>
            <w:r w:rsidRPr="009B475E">
              <w:rPr>
                <w:b/>
                <w:i/>
              </w:rPr>
              <w:t>Investment priority</w:t>
            </w:r>
          </w:p>
        </w:tc>
        <w:tc>
          <w:tcPr>
            <w:tcW w:w="6443" w:type="dxa"/>
          </w:tcPr>
          <w:p w14:paraId="3117C726" w14:textId="2214AA7B" w:rsidR="000F064E" w:rsidRPr="000F064E" w:rsidRDefault="00554B0F" w:rsidP="000F064E">
            <w:pPr>
              <w:rPr>
                <w:b/>
                <w:i/>
              </w:rPr>
            </w:pPr>
            <w:r w:rsidRPr="009B475E">
              <w:rPr>
                <w:b/>
                <w:i/>
              </w:rPr>
              <w:t>3d) supporting the capacity of SMEs to grow in regional, national and international markets, and to engage in innovation processes</w:t>
            </w:r>
          </w:p>
        </w:tc>
      </w:tr>
      <w:tr w:rsidR="000F064E" w:rsidRPr="002F0377" w14:paraId="2BA9759A" w14:textId="77777777" w:rsidTr="00274612">
        <w:trPr>
          <w:trHeight w:val="819"/>
        </w:trPr>
        <w:tc>
          <w:tcPr>
            <w:tcW w:w="8678" w:type="dxa"/>
            <w:gridSpan w:val="2"/>
          </w:tcPr>
          <w:p w14:paraId="414881D8" w14:textId="77777777" w:rsidR="008A1499" w:rsidRPr="009B475E" w:rsidRDefault="008A1499" w:rsidP="008A1499">
            <w:r w:rsidRPr="009B475E">
              <w:lastRenderedPageBreak/>
              <w:t>The priority axis will support the financing of working capital in the form of grants for SMEs, which are particularly affected by the increase in energy prices caused by Russia's military aggression against Ukraine.</w:t>
            </w:r>
          </w:p>
          <w:p w14:paraId="15AA201A" w14:textId="15B1298A" w:rsidR="008A1499" w:rsidRPr="009B475E" w:rsidRDefault="008A1499" w:rsidP="008A1499">
            <w:r w:rsidRPr="009B475E">
              <w:t>The support will be implemented by reimbursing eligible costs for compensating SMEs, particularly affected by the increase in energy prices, carried out under national programs for compensating non-domestic final customers of electricity, implemented by the "Security of the Electricity System" Fund</w:t>
            </w:r>
            <w:r w:rsidR="00652B37" w:rsidRPr="009B475E">
              <w:t>.</w:t>
            </w:r>
          </w:p>
          <w:p w14:paraId="36DC78E5" w14:textId="77777777" w:rsidR="000F064E" w:rsidRPr="009B475E" w:rsidRDefault="008A1499" w:rsidP="008A1499">
            <w:r w:rsidRPr="009B475E">
              <w:t>Particularly affected by the increase in energy prices are SMEs that are eligible for additional cost aid due to exceptionally large increases in electricity prices under the Temporary Crisis Framework for State aid measures.</w:t>
            </w:r>
          </w:p>
          <w:p w14:paraId="4BF8981C" w14:textId="77777777" w:rsidR="008A1499" w:rsidRPr="009B475E" w:rsidRDefault="008A1499" w:rsidP="008A1499">
            <w:r w:rsidRPr="009B475E">
              <w:t>In Bulgaria, all SMEs are particularly affected by increases in energy prices.</w:t>
            </w:r>
          </w:p>
          <w:p w14:paraId="1AF05433" w14:textId="77777777" w:rsidR="008A1499" w:rsidRPr="009B475E" w:rsidRDefault="008A1499" w:rsidP="008A1499">
            <w:r w:rsidRPr="009B475E">
              <w:t>The analysis of the average monthly BGN/MWh price achieved on the organized exchange market of electricity in the Republic of Bulgaria in 2022 compared to that for the reference period in 2021 shows that the price jump varied between 180%-380%. For this reason, within the framework of the national programs, compensations have been provided to all non-domestic end customers of electricity.</w:t>
            </w:r>
          </w:p>
          <w:p w14:paraId="7633E0BC" w14:textId="77777777" w:rsidR="008A1499" w:rsidRPr="009B475E" w:rsidRDefault="008A1499" w:rsidP="008A1499">
            <w:r w:rsidRPr="009B475E">
              <w:t>With a view to establishing the amount of compensation paid, which is eligible for reimbursement under the operational programs through the SAFE Instrument, from the totality of all non-residential final customers for which compensation was paid for the period 1 February - 30 September 2022, using data from the National Statistical Institute enterprises that do not meet the requirements for SMEs under the Law on Small and Medium Enterprises will be removed.</w:t>
            </w:r>
          </w:p>
          <w:p w14:paraId="0CAC7F0A" w14:textId="77777777" w:rsidR="008A1499" w:rsidRPr="009B475E" w:rsidRDefault="008A1499" w:rsidP="008A1499">
            <w:r w:rsidRPr="009B475E">
              <w:rPr>
                <w:b/>
              </w:rPr>
              <w:t xml:space="preserve">Beneficiary: </w:t>
            </w:r>
            <w:r w:rsidRPr="009B475E">
              <w:t>"Electricity System Security" Fund.</w:t>
            </w:r>
          </w:p>
          <w:p w14:paraId="3737C715" w14:textId="77777777" w:rsidR="008A1499" w:rsidRPr="009B475E" w:rsidRDefault="008A1499" w:rsidP="008A1499">
            <w:r w:rsidRPr="009B475E">
              <w:rPr>
                <w:b/>
              </w:rPr>
              <w:t xml:space="preserve">Final recipients of aid: </w:t>
            </w:r>
            <w:r w:rsidRPr="009B475E">
              <w:t>SMEs, which are particularly affected by energy price increases caused by Russia's military aggression against Ukraine.</w:t>
            </w:r>
          </w:p>
          <w:p w14:paraId="153FEE05" w14:textId="77777777" w:rsidR="008A1499" w:rsidRPr="009B475E" w:rsidRDefault="008A1499" w:rsidP="008A1499">
            <w:pPr>
              <w:rPr>
                <w:b/>
              </w:rPr>
            </w:pPr>
            <w:r w:rsidRPr="009B475E">
              <w:rPr>
                <w:b/>
              </w:rPr>
              <w:t>Demarcation:</w:t>
            </w:r>
          </w:p>
          <w:p w14:paraId="509AE3F9" w14:textId="71134785" w:rsidR="008A1499" w:rsidRPr="009B475E" w:rsidRDefault="008A1499" w:rsidP="008A1499">
            <w:r w:rsidRPr="009B475E">
              <w:t>Eligible compensation costs incurred by the Electricity System Security Fund will be reimbursable under Operational Program "Innovation and Competitiveness", Operational Program "Transport and Transport Infrastructure”, Operational Program "Regions in Growth", Operational Program "Science and Education for smart growth”, Operational Program 'Good Governance' and Operational Program 'Environment'.</w:t>
            </w:r>
          </w:p>
          <w:p w14:paraId="0AFD1F61" w14:textId="408ABE52" w:rsidR="008A1499" w:rsidRPr="002F0377" w:rsidRDefault="008A1499" w:rsidP="008A1499">
            <w:pPr>
              <w:rPr>
                <w:b/>
                <w:highlight w:val="yellow"/>
              </w:rPr>
            </w:pPr>
            <w:r w:rsidRPr="009B475E">
              <w:t>With a view to complying with the principles of complementarity and non-admission of double funding with other programs at the national level, within which similar measures are provided for the recovery of funds in connection with compensations made to SMEs, which are particularly affected by increases in energy prices, it is envisaged that the demarcation will be ensured on the basis of specific enterprises.</w:t>
            </w:r>
            <w:r w:rsidR="00BC48F1" w:rsidRPr="009B475E">
              <w:t xml:space="preserve"> In order to ensure the timely and efficient implementation of operations for the implementation of the SAFE Instrument and to minimize the administrative burden, as well as to ensure demarcation and complementarity between the measures under the individual programs and to prevent double funding between them, activities related to preparation and management of operations and providing information and communication of this support, wil</w:t>
            </w:r>
            <w:r w:rsidR="00DA5BDC" w:rsidRPr="009B475E">
              <w:t>l only be eligible under the OPE</w:t>
            </w:r>
            <w:r w:rsidR="00BC48F1" w:rsidRPr="009B475E">
              <w:t xml:space="preserve"> and will not be funded under the OPTTI.</w:t>
            </w:r>
          </w:p>
        </w:tc>
      </w:tr>
    </w:tbl>
    <w:p w14:paraId="36EA54C9" w14:textId="77777777" w:rsidR="00DF01C5" w:rsidRPr="002F0377" w:rsidRDefault="00DF01C5" w:rsidP="0068794B">
      <w:pPr>
        <w:rPr>
          <w:b/>
          <w:highlight w:val="yellow"/>
        </w:rPr>
      </w:pPr>
    </w:p>
    <w:p w14:paraId="4C837E87" w14:textId="62C8C0AD" w:rsidR="002F0377" w:rsidRPr="009B475E" w:rsidRDefault="003B08DE" w:rsidP="002F0377">
      <w:pPr>
        <w:rPr>
          <w:b/>
          <w:i/>
        </w:rPr>
      </w:pPr>
      <w:r w:rsidRPr="009B475E">
        <w:rPr>
          <w:b/>
          <w:i/>
        </w:rPr>
        <w:lastRenderedPageBreak/>
        <w:t>2.A.5.7</w:t>
      </w:r>
      <w:r w:rsidR="002F0377" w:rsidRPr="009B475E">
        <w:rPr>
          <w:b/>
          <w:i/>
        </w:rPr>
        <w:t xml:space="preserve"> </w:t>
      </w:r>
      <w:r w:rsidR="002F0377" w:rsidRPr="009B475E">
        <w:rPr>
          <w:b/>
          <w:i/>
        </w:rPr>
        <w:tab/>
        <w:t>Guiding principles for selection of operations</w:t>
      </w:r>
    </w:p>
    <w:p w14:paraId="6B99EFC9" w14:textId="77777777" w:rsidR="002F0377" w:rsidRPr="009B475E" w:rsidRDefault="002F0377" w:rsidP="002F0377">
      <w:pPr>
        <w:rPr>
          <w:b/>
        </w:rPr>
      </w:pPr>
      <w:r w:rsidRPr="009B475E">
        <w:rPr>
          <w:b/>
        </w:rPr>
        <w:t xml:space="preserve"> (Reference: point (b)(iii) of the first subparagraph of Article 96(2) of Regulation (EU) No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2F0377" w:rsidRPr="009B475E" w14:paraId="04D2110D" w14:textId="77777777" w:rsidTr="00274612">
        <w:trPr>
          <w:trHeight w:val="518"/>
        </w:trPr>
        <w:tc>
          <w:tcPr>
            <w:tcW w:w="2235" w:type="dxa"/>
          </w:tcPr>
          <w:p w14:paraId="0B90DDB2" w14:textId="77777777" w:rsidR="002F0377" w:rsidRPr="009B475E" w:rsidRDefault="002F0377" w:rsidP="002F0377">
            <w:pPr>
              <w:rPr>
                <w:b/>
                <w:i/>
              </w:rPr>
            </w:pPr>
            <w:r w:rsidRPr="009B475E">
              <w:rPr>
                <w:b/>
                <w:i/>
              </w:rPr>
              <w:t>Investment Priority</w:t>
            </w:r>
          </w:p>
        </w:tc>
        <w:tc>
          <w:tcPr>
            <w:tcW w:w="6443" w:type="dxa"/>
          </w:tcPr>
          <w:p w14:paraId="3BA35A75" w14:textId="58DB6D07" w:rsidR="002F0377" w:rsidRPr="009B475E" w:rsidRDefault="002F0377" w:rsidP="002F0377">
            <w:pPr>
              <w:rPr>
                <w:b/>
                <w:i/>
              </w:rPr>
            </w:pPr>
            <w:r w:rsidRPr="009B475E">
              <w:rPr>
                <w:b/>
                <w:i/>
              </w:rPr>
              <w:t>3d) supporting the capacity of SMEs to grow in regional, national and international markets, and to engage in innovation processes</w:t>
            </w:r>
          </w:p>
        </w:tc>
      </w:tr>
      <w:tr w:rsidR="002F0377" w:rsidRPr="002F0377" w14:paraId="7637D7DC" w14:textId="77777777" w:rsidTr="00274612">
        <w:trPr>
          <w:trHeight w:val="709"/>
        </w:trPr>
        <w:tc>
          <w:tcPr>
            <w:tcW w:w="8678" w:type="dxa"/>
            <w:gridSpan w:val="2"/>
          </w:tcPr>
          <w:p w14:paraId="7AEEFF26" w14:textId="77777777" w:rsidR="002F0377" w:rsidRPr="009B475E" w:rsidRDefault="002F0377" w:rsidP="002F0377">
            <w:pPr>
              <w:ind w:firstLine="33"/>
            </w:pPr>
            <w:r w:rsidRPr="009B475E">
              <w:t>The following principles will be observed in the selection of operations:</w:t>
            </w:r>
          </w:p>
          <w:p w14:paraId="3DBF46C5" w14:textId="77777777" w:rsidR="002F0377" w:rsidRPr="009B475E" w:rsidRDefault="002F0377" w:rsidP="002F0377">
            <w:pPr>
              <w:ind w:firstLine="33"/>
            </w:pPr>
            <w:r w:rsidRPr="009B475E">
              <w:t>• legality – the provision of funding will be carried out in accordance with the procedures established in national legislation and the relevant rules and procedures of the Governing Body;</w:t>
            </w:r>
          </w:p>
          <w:p w14:paraId="2854D0BF" w14:textId="77777777" w:rsidR="002F0377" w:rsidRPr="009B475E" w:rsidRDefault="002F0377" w:rsidP="002F0377">
            <w:pPr>
              <w:ind w:firstLine="33"/>
            </w:pPr>
            <w:r w:rsidRPr="009B475E">
              <w:t>• coordination and synergy – coordination between individual ESIF programs at the national level, horizontal programs and other instruments of the Union in order to achieve maximum synergy effect and avoid double funding.</w:t>
            </w:r>
          </w:p>
          <w:p w14:paraId="66D82C36" w14:textId="77777777" w:rsidR="002F0377" w:rsidRPr="009B475E" w:rsidRDefault="002F0377" w:rsidP="002F0377">
            <w:pPr>
              <w:ind w:firstLine="33"/>
            </w:pPr>
            <w:r w:rsidRPr="009B475E">
              <w:t>• needs-based financing – selected operations respond to business/economic challenges posed by extremely large increases in natural gas and electricity prices caused by Russia's military aggression against Ukraine.</w:t>
            </w:r>
          </w:p>
          <w:p w14:paraId="0E251459" w14:textId="77777777" w:rsidR="002F0377" w:rsidRPr="009B475E" w:rsidRDefault="002F0377" w:rsidP="002F0377">
            <w:pPr>
              <w:ind w:firstLine="33"/>
            </w:pPr>
            <w:r w:rsidRPr="009B475E">
              <w:t>• effectiveness and efficiency of investments - the selected operations should fully meet the objectives of the priority axis, with the most adequate ratio between the expected costs and benefits;</w:t>
            </w:r>
          </w:p>
          <w:p w14:paraId="3F8A500E" w14:textId="77777777" w:rsidR="002F0377" w:rsidRPr="009B475E" w:rsidRDefault="002F0377" w:rsidP="002F0377">
            <w:pPr>
              <w:ind w:firstLine="33"/>
            </w:pPr>
            <w:r w:rsidRPr="009B475E">
              <w:t>• providing financing while reducing the administrative burden for potential beneficiaries;</w:t>
            </w:r>
          </w:p>
          <w:p w14:paraId="382E0BFE" w14:textId="77777777" w:rsidR="002F0377" w:rsidRPr="009B475E" w:rsidRDefault="002F0377" w:rsidP="002F0377">
            <w:pPr>
              <w:ind w:firstLine="33"/>
            </w:pPr>
            <w:r w:rsidRPr="009B475E">
              <w:t>• relevance - the selected operations should contribute to the implementation of the product and result indicators on the priority axis;</w:t>
            </w:r>
          </w:p>
          <w:p w14:paraId="2DD84D1D" w14:textId="77777777" w:rsidR="002F0377" w:rsidRPr="009B475E" w:rsidRDefault="002F0377" w:rsidP="002F0377">
            <w:pPr>
              <w:ind w:firstLine="33"/>
            </w:pPr>
            <w:r w:rsidRPr="009B475E">
              <w:t>• principle of partnership and transparency – the criteria for selecting operations are subject to approval by the Program Monitoring Committee.</w:t>
            </w:r>
          </w:p>
          <w:p w14:paraId="6CA7A37D" w14:textId="322FDBCD" w:rsidR="0082538F" w:rsidRPr="002F0377" w:rsidRDefault="0082538F" w:rsidP="002F0377">
            <w:pPr>
              <w:ind w:firstLine="33"/>
            </w:pPr>
            <w:r w:rsidRPr="009B475E">
              <w:t>The selection of operations will also respect the horizontal principles of sustainable development, equal opportunities and non-discrimination and gender equality.</w:t>
            </w:r>
          </w:p>
        </w:tc>
      </w:tr>
    </w:tbl>
    <w:p w14:paraId="4FB2569E" w14:textId="77777777" w:rsidR="002D1043" w:rsidRDefault="002D1043" w:rsidP="002D1043">
      <w:pPr>
        <w:rPr>
          <w:b/>
          <w:i/>
        </w:rPr>
      </w:pPr>
    </w:p>
    <w:p w14:paraId="034DFF8D" w14:textId="6183A082" w:rsidR="002D1043" w:rsidRPr="009B475E" w:rsidRDefault="003B08DE" w:rsidP="002D1043">
      <w:pPr>
        <w:rPr>
          <w:b/>
        </w:rPr>
      </w:pPr>
      <w:r w:rsidRPr="009B475E">
        <w:rPr>
          <w:b/>
          <w:i/>
        </w:rPr>
        <w:t>2.A.5.8</w:t>
      </w:r>
      <w:r w:rsidR="002D1043" w:rsidRPr="009B475E">
        <w:rPr>
          <w:b/>
          <w:i/>
        </w:rPr>
        <w:t xml:space="preserve">  Planned use of financial instruments </w:t>
      </w:r>
      <w:r w:rsidR="002D1043" w:rsidRPr="009B475E">
        <w:rPr>
          <w:b/>
        </w:rPr>
        <w:t>(where appropriate)</w:t>
      </w:r>
    </w:p>
    <w:p w14:paraId="62516796" w14:textId="77777777" w:rsidR="002D1043" w:rsidRPr="009B475E" w:rsidRDefault="002D1043" w:rsidP="002D1043">
      <w:pPr>
        <w:rPr>
          <w:b/>
        </w:rPr>
      </w:pPr>
      <w:r w:rsidRPr="009B475E">
        <w:rPr>
          <w:b/>
        </w:rPr>
        <w:t>(Reference: point (b)(iii) of the first subparagraph of Article 96(2)</w:t>
      </w:r>
      <w:r w:rsidRPr="009B475E" w:rsidDel="00961976">
        <w:rPr>
          <w:b/>
        </w:rPr>
        <w:t xml:space="preserve"> </w:t>
      </w:r>
      <w:r w:rsidRPr="009B475E">
        <w:rPr>
          <w:b/>
        </w:rPr>
        <w:t xml:space="preserve">of Regulation (EU) No 1303/2013) </w:t>
      </w:r>
    </w:p>
    <w:p w14:paraId="67FFDB81" w14:textId="77777777" w:rsidR="002D1043" w:rsidRPr="009B475E" w:rsidRDefault="002D1043" w:rsidP="002D1043">
      <w:pPr>
        <w:rPr>
          <w:b/>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9"/>
        <w:gridCol w:w="4339"/>
      </w:tblGrid>
      <w:tr w:rsidR="002D1043" w:rsidRPr="009B475E" w14:paraId="2BFB3716" w14:textId="77777777" w:rsidTr="00274612">
        <w:trPr>
          <w:trHeight w:val="518"/>
        </w:trPr>
        <w:tc>
          <w:tcPr>
            <w:tcW w:w="4339" w:type="dxa"/>
          </w:tcPr>
          <w:p w14:paraId="5D94D7ED" w14:textId="77777777" w:rsidR="002D1043" w:rsidRPr="009B475E" w:rsidRDefault="002D1043" w:rsidP="002D1043">
            <w:pPr>
              <w:rPr>
                <w:b/>
                <w:i/>
              </w:rPr>
            </w:pPr>
            <w:r w:rsidRPr="009B475E">
              <w:rPr>
                <w:b/>
                <w:i/>
              </w:rPr>
              <w:t>Investment Priority</w:t>
            </w:r>
          </w:p>
        </w:tc>
        <w:tc>
          <w:tcPr>
            <w:tcW w:w="4339" w:type="dxa"/>
          </w:tcPr>
          <w:p w14:paraId="713C28EE" w14:textId="7C64E79D" w:rsidR="002D1043" w:rsidRPr="009B475E" w:rsidRDefault="008F523F" w:rsidP="008F523F">
            <w:pPr>
              <w:rPr>
                <w:b/>
                <w:i/>
              </w:rPr>
            </w:pPr>
            <w:r w:rsidRPr="009B475E">
              <w:rPr>
                <w:b/>
                <w:i/>
              </w:rPr>
              <w:t>3d) supporting the capacity of SMEs to grow in regional, national and international markets, and to engage in innovation processes</w:t>
            </w:r>
          </w:p>
        </w:tc>
      </w:tr>
      <w:tr w:rsidR="002D1043" w:rsidRPr="002D1043" w14:paraId="4AEB58AA" w14:textId="77777777" w:rsidTr="00274612">
        <w:trPr>
          <w:trHeight w:val="379"/>
        </w:trPr>
        <w:tc>
          <w:tcPr>
            <w:tcW w:w="4339" w:type="dxa"/>
          </w:tcPr>
          <w:p w14:paraId="5F7D0DF3" w14:textId="77777777" w:rsidR="002D1043" w:rsidRPr="009B475E" w:rsidRDefault="002D1043" w:rsidP="002D1043">
            <w:pPr>
              <w:rPr>
                <w:b/>
                <w:i/>
              </w:rPr>
            </w:pPr>
            <w:r w:rsidRPr="009B475E">
              <w:rPr>
                <w:b/>
                <w:i/>
              </w:rPr>
              <w:t>Planned use of financial instruments</w:t>
            </w:r>
          </w:p>
        </w:tc>
        <w:tc>
          <w:tcPr>
            <w:tcW w:w="4339" w:type="dxa"/>
          </w:tcPr>
          <w:p w14:paraId="5B8CFDA4" w14:textId="77777777" w:rsidR="002D1043" w:rsidRPr="009B475E" w:rsidRDefault="002D1043" w:rsidP="002D1043">
            <w:pPr>
              <w:rPr>
                <w:b/>
                <w:i/>
              </w:rPr>
            </w:pPr>
            <w:r w:rsidRPr="009B475E">
              <w:rPr>
                <w:b/>
                <w:i/>
              </w:rPr>
              <w:t>N/A</w:t>
            </w:r>
          </w:p>
        </w:tc>
      </w:tr>
      <w:tr w:rsidR="002D1043" w:rsidRPr="009B475E" w14:paraId="647DCE9B" w14:textId="77777777" w:rsidTr="00274612">
        <w:trPr>
          <w:trHeight w:val="1035"/>
        </w:trPr>
        <w:tc>
          <w:tcPr>
            <w:tcW w:w="8678" w:type="dxa"/>
            <w:gridSpan w:val="2"/>
          </w:tcPr>
          <w:p w14:paraId="41B554AA" w14:textId="01590A97" w:rsidR="002D1043" w:rsidRPr="009B475E" w:rsidRDefault="0012610D" w:rsidP="002D1043">
            <w:pPr>
              <w:rPr>
                <w:b/>
                <w:i/>
              </w:rPr>
            </w:pPr>
            <w:r w:rsidRPr="009B475E">
              <w:rPr>
                <w:b/>
                <w:i/>
              </w:rPr>
              <w:lastRenderedPageBreak/>
              <w:t>Not planned.</w:t>
            </w:r>
          </w:p>
        </w:tc>
      </w:tr>
    </w:tbl>
    <w:p w14:paraId="03E8BD33" w14:textId="567E0ECC" w:rsidR="00DB19A1" w:rsidRPr="009B475E" w:rsidRDefault="00DB19A1" w:rsidP="0068794B">
      <w:pPr>
        <w:rPr>
          <w:b/>
        </w:rPr>
      </w:pPr>
    </w:p>
    <w:p w14:paraId="2A33FEBD" w14:textId="357B7D51" w:rsidR="008F523F" w:rsidRPr="009B475E" w:rsidRDefault="008F523F" w:rsidP="008F523F">
      <w:pPr>
        <w:rPr>
          <w:b/>
        </w:rPr>
      </w:pPr>
      <w:r w:rsidRPr="009B475E">
        <w:rPr>
          <w:b/>
          <w:i/>
        </w:rPr>
        <w:t xml:space="preserve">2.A.6.4 Planned use of major projects </w:t>
      </w:r>
      <w:r w:rsidRPr="009B475E">
        <w:rPr>
          <w:b/>
        </w:rPr>
        <w:t>(where appropriate)</w:t>
      </w:r>
    </w:p>
    <w:p w14:paraId="27C05E7F" w14:textId="77777777" w:rsidR="008F523F" w:rsidRPr="009B475E" w:rsidRDefault="008F523F" w:rsidP="008F523F">
      <w:pPr>
        <w:rPr>
          <w:b/>
        </w:rPr>
      </w:pPr>
      <w:r w:rsidRPr="009B475E">
        <w:rPr>
          <w:b/>
        </w:rPr>
        <w:t xml:space="preserve"> (Reference: point (b)(iii) of the first subparagraph of Article 96 (2) of Regulation (EU) No 1303/2013) </w:t>
      </w:r>
    </w:p>
    <w:p w14:paraId="19F5ECB4" w14:textId="77777777" w:rsidR="008F523F" w:rsidRPr="009B475E" w:rsidRDefault="008F523F" w:rsidP="008F523F">
      <w:pPr>
        <w:rPr>
          <w:b/>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5641"/>
      </w:tblGrid>
      <w:tr w:rsidR="008F523F" w:rsidRPr="009B475E" w14:paraId="28C2A9AD" w14:textId="77777777" w:rsidTr="008F523F">
        <w:trPr>
          <w:trHeight w:val="518"/>
        </w:trPr>
        <w:tc>
          <w:tcPr>
            <w:tcW w:w="3114" w:type="dxa"/>
          </w:tcPr>
          <w:p w14:paraId="0A868292" w14:textId="77777777" w:rsidR="008F523F" w:rsidRPr="009B475E" w:rsidRDefault="008F523F" w:rsidP="008F523F">
            <w:pPr>
              <w:rPr>
                <w:b/>
                <w:i/>
              </w:rPr>
            </w:pPr>
            <w:r w:rsidRPr="009B475E">
              <w:rPr>
                <w:b/>
                <w:i/>
              </w:rPr>
              <w:t>Investment Priority</w:t>
            </w:r>
          </w:p>
        </w:tc>
        <w:tc>
          <w:tcPr>
            <w:tcW w:w="5641" w:type="dxa"/>
          </w:tcPr>
          <w:p w14:paraId="654BD1F6" w14:textId="04592B77" w:rsidR="008F523F" w:rsidRPr="009B475E" w:rsidRDefault="008F523F" w:rsidP="008F523F">
            <w:pPr>
              <w:rPr>
                <w:b/>
                <w:i/>
              </w:rPr>
            </w:pPr>
            <w:r w:rsidRPr="009B475E">
              <w:rPr>
                <w:b/>
                <w:i/>
              </w:rPr>
              <w:t>3d) supporting the capacity of SMEs to grow in regional, national and international markets, and to engage in innovation processes</w:t>
            </w:r>
          </w:p>
        </w:tc>
      </w:tr>
      <w:tr w:rsidR="008F523F" w:rsidRPr="009B475E" w14:paraId="09E52B5F" w14:textId="77777777" w:rsidTr="00274612">
        <w:trPr>
          <w:trHeight w:val="980"/>
        </w:trPr>
        <w:tc>
          <w:tcPr>
            <w:tcW w:w="8755" w:type="dxa"/>
            <w:gridSpan w:val="2"/>
          </w:tcPr>
          <w:p w14:paraId="5C61B00C" w14:textId="77777777" w:rsidR="008F523F" w:rsidRPr="009B475E" w:rsidRDefault="00814DB0" w:rsidP="008F523F">
            <w:r w:rsidRPr="009B475E">
              <w:t>Not planned. Although the total amount of the eligible costs of the operation supported through the SAFE Instrument (PA 6) exceeds EUR 50,000,000, it does not, by its nature, represent a "major project" within the meaning of Art. 100 of Regulation (EU) 1303/2013, as it does not contain "a series of construction works, activities or services intended by their nature to fulfill an indivisible task of a precise economic or technical nature".</w:t>
            </w:r>
          </w:p>
          <w:p w14:paraId="5AA1BD39" w14:textId="1FE98360" w:rsidR="00814DB0" w:rsidRPr="009B475E" w:rsidRDefault="00814DB0" w:rsidP="008F523F"/>
        </w:tc>
      </w:tr>
    </w:tbl>
    <w:p w14:paraId="3D0A8ACA" w14:textId="77777777" w:rsidR="008F523F" w:rsidRPr="009B475E" w:rsidRDefault="008F523F" w:rsidP="0068794B">
      <w:pPr>
        <w:rPr>
          <w:b/>
        </w:rPr>
      </w:pPr>
    </w:p>
    <w:p w14:paraId="29E37FB0" w14:textId="51A0EB75" w:rsidR="00E97AE6" w:rsidRPr="009B475E" w:rsidRDefault="003B08DE" w:rsidP="00E97AE6">
      <w:pPr>
        <w:rPr>
          <w:b/>
          <w:i/>
        </w:rPr>
      </w:pPr>
      <w:r w:rsidRPr="009B475E">
        <w:rPr>
          <w:b/>
          <w:i/>
        </w:rPr>
        <w:t>2.A</w:t>
      </w:r>
      <w:r w:rsidR="00E97AE6" w:rsidRPr="009B475E">
        <w:rPr>
          <w:b/>
          <w:i/>
        </w:rPr>
        <w:t>.5</w:t>
      </w:r>
      <w:r w:rsidRPr="009B475E">
        <w:rPr>
          <w:b/>
          <w:i/>
        </w:rPr>
        <w:t>.9</w:t>
      </w:r>
      <w:r w:rsidR="00E97AE6" w:rsidRPr="009B475E">
        <w:rPr>
          <w:b/>
          <w:i/>
        </w:rPr>
        <w:tab/>
        <w:t xml:space="preserve">  Output indicators by investment priority and, where appropriate by category of region</w:t>
      </w:r>
    </w:p>
    <w:p w14:paraId="17A645DA" w14:textId="77777777" w:rsidR="00E97AE6" w:rsidRPr="009B475E" w:rsidRDefault="00E97AE6" w:rsidP="00E97AE6">
      <w:pPr>
        <w:rPr>
          <w:b/>
        </w:rPr>
      </w:pPr>
      <w:r w:rsidRPr="009B475E">
        <w:rPr>
          <w:b/>
        </w:rPr>
        <w:t>(Reference: point (b)(iv) of the first subparagraph of</w:t>
      </w:r>
      <w:r w:rsidRPr="009B475E">
        <w:rPr>
          <w:b/>
          <w:i/>
        </w:rPr>
        <w:t xml:space="preserve"> </w:t>
      </w:r>
      <w:r w:rsidRPr="009B475E">
        <w:rPr>
          <w:b/>
        </w:rPr>
        <w:t>Article 96(2) of Regulation (EU) No 1303/2013)</w:t>
      </w:r>
    </w:p>
    <w:p w14:paraId="60D27789" w14:textId="77777777" w:rsidR="00E97AE6" w:rsidRPr="009B475E" w:rsidRDefault="00E97AE6" w:rsidP="00E97AE6">
      <w:pPr>
        <w:rPr>
          <w:b/>
          <w:i/>
        </w:rPr>
      </w:pPr>
    </w:p>
    <w:p w14:paraId="0540BD95" w14:textId="77777777" w:rsidR="00E97AE6" w:rsidRPr="009B475E" w:rsidRDefault="00E97AE6" w:rsidP="00E97AE6">
      <w:pPr>
        <w:rPr>
          <w:b/>
        </w:rPr>
      </w:pPr>
      <w:r w:rsidRPr="009B475E">
        <w:rPr>
          <w:b/>
        </w:rPr>
        <w:t xml:space="preserve">Table 5: </w:t>
      </w:r>
      <w:r w:rsidRPr="009B475E">
        <w:rPr>
          <w:b/>
        </w:rPr>
        <w:tab/>
        <w:t xml:space="preserve">Common and programme-specific output indicators </w:t>
      </w:r>
    </w:p>
    <w:p w14:paraId="1FB5A571" w14:textId="77777777" w:rsidR="00E97AE6" w:rsidRPr="009B475E" w:rsidRDefault="00E97AE6" w:rsidP="00E97AE6">
      <w:pPr>
        <w:rPr>
          <w:b/>
        </w:rPr>
      </w:pPr>
      <w:r w:rsidRPr="009B475E">
        <w:rPr>
          <w:b/>
        </w:rPr>
        <w:t>(by investment priority, broken down by category of region for the ESF, and where relevant, for the ERDF)</w:t>
      </w:r>
    </w:p>
    <w:tbl>
      <w:tblPr>
        <w:tblW w:w="548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9"/>
        <w:gridCol w:w="1406"/>
        <w:gridCol w:w="1189"/>
        <w:gridCol w:w="1038"/>
        <w:gridCol w:w="1040"/>
        <w:gridCol w:w="1275"/>
        <w:gridCol w:w="1384"/>
        <w:gridCol w:w="1523"/>
      </w:tblGrid>
      <w:tr w:rsidR="00E97AE6" w:rsidRPr="009B475E" w14:paraId="671A374F" w14:textId="77777777" w:rsidTr="00ED07F1">
        <w:trPr>
          <w:trHeight w:val="1105"/>
          <w:jc w:val="center"/>
        </w:trPr>
        <w:tc>
          <w:tcPr>
            <w:tcW w:w="1254" w:type="pct"/>
            <w:gridSpan w:val="2"/>
          </w:tcPr>
          <w:p w14:paraId="7A8803DC" w14:textId="77777777" w:rsidR="00E97AE6" w:rsidRPr="009B475E" w:rsidRDefault="00E97AE6" w:rsidP="00E97AE6">
            <w:pPr>
              <w:rPr>
                <w:b/>
                <w:i/>
                <w:lang w:val="en-US"/>
              </w:rPr>
            </w:pPr>
            <w:r w:rsidRPr="009B475E">
              <w:rPr>
                <w:b/>
                <w:i/>
                <w:lang w:val="en-US"/>
              </w:rPr>
              <w:t>Investment priority</w:t>
            </w:r>
          </w:p>
        </w:tc>
        <w:tc>
          <w:tcPr>
            <w:tcW w:w="3746" w:type="pct"/>
            <w:gridSpan w:val="6"/>
          </w:tcPr>
          <w:p w14:paraId="2AFA8056" w14:textId="12D80128" w:rsidR="00E97AE6" w:rsidRPr="009B475E" w:rsidRDefault="00000488" w:rsidP="00E97AE6">
            <w:pPr>
              <w:rPr>
                <w:b/>
                <w:i/>
              </w:rPr>
            </w:pPr>
            <w:r w:rsidRPr="009B475E">
              <w:rPr>
                <w:b/>
                <w:i/>
              </w:rPr>
              <w:t>3d) supporting the capacity of SMEs to grow in regional, national and international markets, and to engage in innovation processes</w:t>
            </w:r>
          </w:p>
        </w:tc>
      </w:tr>
      <w:tr w:rsidR="00E97AE6" w:rsidRPr="00995F32" w14:paraId="74973E88" w14:textId="77777777" w:rsidTr="00ED07F1">
        <w:trPr>
          <w:trHeight w:val="1105"/>
          <w:jc w:val="center"/>
        </w:trPr>
        <w:tc>
          <w:tcPr>
            <w:tcW w:w="547" w:type="pct"/>
          </w:tcPr>
          <w:p w14:paraId="73C8CA42" w14:textId="77777777" w:rsidR="00E97AE6" w:rsidRPr="009B475E" w:rsidRDefault="00E97AE6" w:rsidP="00E97AE6">
            <w:pPr>
              <w:rPr>
                <w:b/>
                <w:i/>
              </w:rPr>
            </w:pPr>
            <w:r w:rsidRPr="009B475E">
              <w:rPr>
                <w:b/>
                <w:i/>
              </w:rPr>
              <w:t>ID</w:t>
            </w:r>
          </w:p>
        </w:tc>
        <w:tc>
          <w:tcPr>
            <w:tcW w:w="707" w:type="pct"/>
          </w:tcPr>
          <w:p w14:paraId="790429C7" w14:textId="77777777" w:rsidR="00E97AE6" w:rsidRPr="009B475E" w:rsidRDefault="00E97AE6" w:rsidP="00E97AE6">
            <w:pPr>
              <w:rPr>
                <w:b/>
                <w:i/>
              </w:rPr>
            </w:pPr>
            <w:r w:rsidRPr="009B475E">
              <w:rPr>
                <w:b/>
                <w:i/>
              </w:rPr>
              <w:t xml:space="preserve">Indicator </w:t>
            </w:r>
          </w:p>
        </w:tc>
        <w:tc>
          <w:tcPr>
            <w:tcW w:w="598" w:type="pct"/>
          </w:tcPr>
          <w:p w14:paraId="2FC3B566" w14:textId="77777777" w:rsidR="00E97AE6" w:rsidRPr="009B475E" w:rsidRDefault="00E97AE6" w:rsidP="00E97AE6">
            <w:pPr>
              <w:rPr>
                <w:b/>
                <w:i/>
              </w:rPr>
            </w:pPr>
            <w:r w:rsidRPr="009B475E">
              <w:rPr>
                <w:b/>
                <w:i/>
              </w:rPr>
              <w:t>Measurement unit</w:t>
            </w:r>
          </w:p>
        </w:tc>
        <w:tc>
          <w:tcPr>
            <w:tcW w:w="522" w:type="pct"/>
          </w:tcPr>
          <w:p w14:paraId="0212D882" w14:textId="77777777" w:rsidR="00E97AE6" w:rsidRPr="009B475E" w:rsidRDefault="00E97AE6" w:rsidP="00E97AE6">
            <w:pPr>
              <w:rPr>
                <w:b/>
                <w:i/>
              </w:rPr>
            </w:pPr>
            <w:r w:rsidRPr="009B475E">
              <w:rPr>
                <w:b/>
                <w:i/>
              </w:rPr>
              <w:t xml:space="preserve">Fund </w:t>
            </w:r>
          </w:p>
        </w:tc>
        <w:tc>
          <w:tcPr>
            <w:tcW w:w="523" w:type="pct"/>
          </w:tcPr>
          <w:p w14:paraId="2808AD86" w14:textId="77777777" w:rsidR="00E97AE6" w:rsidRPr="009B475E" w:rsidRDefault="00E97AE6" w:rsidP="00E97AE6">
            <w:pPr>
              <w:rPr>
                <w:b/>
                <w:i/>
              </w:rPr>
            </w:pPr>
            <w:r w:rsidRPr="009B475E">
              <w:rPr>
                <w:b/>
                <w:i/>
              </w:rPr>
              <w:t xml:space="preserve">Category of region (where relevant ) </w:t>
            </w:r>
          </w:p>
        </w:tc>
        <w:tc>
          <w:tcPr>
            <w:tcW w:w="641" w:type="pct"/>
          </w:tcPr>
          <w:p w14:paraId="6FF5AD4B" w14:textId="77777777" w:rsidR="00E97AE6" w:rsidRPr="009B475E" w:rsidRDefault="00E97AE6" w:rsidP="00E97AE6">
            <w:pPr>
              <w:rPr>
                <w:b/>
                <w:i/>
              </w:rPr>
            </w:pPr>
            <w:r w:rsidRPr="009B475E">
              <w:rPr>
                <w:b/>
                <w:i/>
              </w:rPr>
              <w:t>Target value (2023)</w:t>
            </w:r>
            <w:r w:rsidRPr="009B475E">
              <w:rPr>
                <w:b/>
                <w:i/>
                <w:vertAlign w:val="superscript"/>
              </w:rPr>
              <w:footnoteReference w:id="70"/>
            </w:r>
          </w:p>
        </w:tc>
        <w:tc>
          <w:tcPr>
            <w:tcW w:w="696" w:type="pct"/>
          </w:tcPr>
          <w:p w14:paraId="3F060F41" w14:textId="77777777" w:rsidR="00E97AE6" w:rsidRPr="009B475E" w:rsidRDefault="00E97AE6" w:rsidP="00E97AE6">
            <w:pPr>
              <w:rPr>
                <w:b/>
                <w:i/>
              </w:rPr>
            </w:pPr>
            <w:r w:rsidRPr="009B475E">
              <w:rPr>
                <w:b/>
                <w:i/>
              </w:rPr>
              <w:t>Source of data</w:t>
            </w:r>
          </w:p>
        </w:tc>
        <w:tc>
          <w:tcPr>
            <w:tcW w:w="767" w:type="pct"/>
          </w:tcPr>
          <w:p w14:paraId="668417F0" w14:textId="77777777" w:rsidR="00E97AE6" w:rsidRPr="009B475E" w:rsidRDefault="00E97AE6" w:rsidP="00E97AE6">
            <w:pPr>
              <w:rPr>
                <w:b/>
                <w:i/>
              </w:rPr>
            </w:pPr>
            <w:r w:rsidRPr="009B475E">
              <w:rPr>
                <w:b/>
                <w:i/>
              </w:rPr>
              <w:t>Frequency of reporting</w:t>
            </w:r>
          </w:p>
        </w:tc>
      </w:tr>
      <w:tr w:rsidR="00E97AE6" w:rsidRPr="009B475E" w14:paraId="3D7EC52C" w14:textId="77777777" w:rsidTr="00ED07F1">
        <w:trPr>
          <w:trHeight w:val="79"/>
          <w:jc w:val="center"/>
        </w:trPr>
        <w:tc>
          <w:tcPr>
            <w:tcW w:w="547" w:type="pct"/>
          </w:tcPr>
          <w:p w14:paraId="6946DA45" w14:textId="3F3177A9" w:rsidR="00E97AE6" w:rsidRPr="009B475E" w:rsidRDefault="00E97AE6" w:rsidP="00E97AE6">
            <w:pPr>
              <w:rPr>
                <w:b/>
              </w:rPr>
            </w:pPr>
          </w:p>
        </w:tc>
        <w:tc>
          <w:tcPr>
            <w:tcW w:w="707" w:type="pct"/>
          </w:tcPr>
          <w:p w14:paraId="0B78EBF5" w14:textId="77777777" w:rsidR="009076A0" w:rsidRPr="009B475E" w:rsidRDefault="009076A0" w:rsidP="009076A0">
            <w:pPr>
              <w:spacing w:before="0" w:after="0"/>
              <w:rPr>
                <w:color w:val="000000"/>
                <w:sz w:val="20"/>
                <w:lang w:val="bg-BG" w:eastAsia="bg-BG"/>
              </w:rPr>
            </w:pPr>
            <w:r w:rsidRPr="009B475E">
              <w:rPr>
                <w:color w:val="000000"/>
                <w:sz w:val="20"/>
              </w:rPr>
              <w:t>CO01 Number of enterprises receiving support</w:t>
            </w:r>
          </w:p>
          <w:p w14:paraId="5E307470" w14:textId="072C07BC" w:rsidR="00E97AE6" w:rsidRPr="009B475E" w:rsidRDefault="00E97AE6" w:rsidP="00E97AE6">
            <w:pPr>
              <w:rPr>
                <w:b/>
              </w:rPr>
            </w:pPr>
          </w:p>
        </w:tc>
        <w:tc>
          <w:tcPr>
            <w:tcW w:w="598" w:type="pct"/>
          </w:tcPr>
          <w:p w14:paraId="03EFD1B2" w14:textId="0DC60484" w:rsidR="00E97AE6" w:rsidRPr="009B475E" w:rsidRDefault="00757FC8" w:rsidP="00E97AE6">
            <w:pPr>
              <w:rPr>
                <w:sz w:val="20"/>
              </w:rPr>
            </w:pPr>
            <w:r w:rsidRPr="009B475E">
              <w:rPr>
                <w:sz w:val="20"/>
              </w:rPr>
              <w:t xml:space="preserve">Number </w:t>
            </w:r>
          </w:p>
        </w:tc>
        <w:tc>
          <w:tcPr>
            <w:tcW w:w="522" w:type="pct"/>
          </w:tcPr>
          <w:p w14:paraId="224C4773" w14:textId="3CB99DDD" w:rsidR="00E97AE6" w:rsidRPr="009B475E" w:rsidRDefault="00CE2064" w:rsidP="00E97AE6">
            <w:pPr>
              <w:rPr>
                <w:sz w:val="20"/>
              </w:rPr>
            </w:pPr>
            <w:r w:rsidRPr="009B475E">
              <w:rPr>
                <w:sz w:val="20"/>
              </w:rPr>
              <w:t>ERDF</w:t>
            </w:r>
          </w:p>
        </w:tc>
        <w:tc>
          <w:tcPr>
            <w:tcW w:w="523" w:type="pct"/>
          </w:tcPr>
          <w:p w14:paraId="635DB994" w14:textId="763E1287" w:rsidR="00E97AE6" w:rsidRPr="009B475E" w:rsidRDefault="00D8586E" w:rsidP="00E97AE6">
            <w:pPr>
              <w:rPr>
                <w:sz w:val="20"/>
              </w:rPr>
            </w:pPr>
            <w:r w:rsidRPr="009B475E">
              <w:rPr>
                <w:sz w:val="20"/>
              </w:rPr>
              <w:t>Less developed regions</w:t>
            </w:r>
          </w:p>
        </w:tc>
        <w:tc>
          <w:tcPr>
            <w:tcW w:w="641" w:type="pct"/>
          </w:tcPr>
          <w:p w14:paraId="316BF8B0" w14:textId="23440005" w:rsidR="00CA0ED2" w:rsidRPr="009B475E" w:rsidRDefault="00CA0ED2" w:rsidP="00CA0ED2">
            <w:pPr>
              <w:rPr>
                <w:lang w:val="bg-BG"/>
              </w:rPr>
            </w:pPr>
            <w:r w:rsidRPr="009B475E">
              <w:rPr>
                <w:lang w:val="bg-BG"/>
              </w:rPr>
              <w:t>25 710</w:t>
            </w:r>
          </w:p>
          <w:p w14:paraId="56A6C56B" w14:textId="77777777" w:rsidR="00CA0ED2" w:rsidRPr="009B475E" w:rsidRDefault="00CA0ED2" w:rsidP="00ED07F1">
            <w:pPr>
              <w:rPr>
                <w:lang w:val="bg-BG"/>
              </w:rPr>
            </w:pPr>
          </w:p>
          <w:p w14:paraId="358DBC64" w14:textId="2921F809" w:rsidR="00ED07F1" w:rsidRPr="009B475E" w:rsidRDefault="00ED07F1" w:rsidP="00ED07F1">
            <w:pPr>
              <w:rPr>
                <w:lang w:val="bg-BG"/>
              </w:rPr>
            </w:pPr>
          </w:p>
          <w:p w14:paraId="1DA54274" w14:textId="2469F37C" w:rsidR="00E97AE6" w:rsidRPr="009B475E" w:rsidRDefault="00E97AE6" w:rsidP="00E97AE6"/>
        </w:tc>
        <w:tc>
          <w:tcPr>
            <w:tcW w:w="696" w:type="pct"/>
          </w:tcPr>
          <w:p w14:paraId="7268D50B" w14:textId="4E182E39" w:rsidR="00E97AE6" w:rsidRPr="009B475E" w:rsidRDefault="003A5009" w:rsidP="00E97AE6">
            <w:pPr>
              <w:rPr>
                <w:sz w:val="20"/>
              </w:rPr>
            </w:pPr>
            <w:r w:rsidRPr="009B475E">
              <w:rPr>
                <w:sz w:val="20"/>
              </w:rPr>
              <w:t>UMIS</w:t>
            </w:r>
          </w:p>
        </w:tc>
        <w:tc>
          <w:tcPr>
            <w:tcW w:w="767" w:type="pct"/>
          </w:tcPr>
          <w:p w14:paraId="3AC1F272" w14:textId="75F19086" w:rsidR="00E97AE6" w:rsidRPr="009B475E" w:rsidRDefault="003A5009" w:rsidP="00E97AE6">
            <w:pPr>
              <w:rPr>
                <w:sz w:val="20"/>
                <w:lang w:val="en-US"/>
              </w:rPr>
            </w:pPr>
            <w:r w:rsidRPr="009B475E">
              <w:rPr>
                <w:sz w:val="20"/>
              </w:rPr>
              <w:t xml:space="preserve">Annually </w:t>
            </w:r>
          </w:p>
        </w:tc>
      </w:tr>
      <w:tr w:rsidR="00A67F4C" w:rsidRPr="009B475E" w14:paraId="69BCCBB8" w14:textId="77777777" w:rsidTr="00ED07F1">
        <w:trPr>
          <w:trHeight w:val="79"/>
          <w:jc w:val="center"/>
        </w:trPr>
        <w:tc>
          <w:tcPr>
            <w:tcW w:w="547" w:type="pct"/>
          </w:tcPr>
          <w:p w14:paraId="435F06F2" w14:textId="77777777" w:rsidR="00A67F4C" w:rsidRPr="009B475E" w:rsidRDefault="00A67F4C" w:rsidP="00A67F4C">
            <w:pPr>
              <w:rPr>
                <w:b/>
              </w:rPr>
            </w:pPr>
          </w:p>
        </w:tc>
        <w:tc>
          <w:tcPr>
            <w:tcW w:w="707" w:type="pct"/>
          </w:tcPr>
          <w:p w14:paraId="497EAF33" w14:textId="77777777" w:rsidR="00A67F4C" w:rsidRPr="009B475E" w:rsidRDefault="00A67F4C" w:rsidP="00A67F4C">
            <w:pPr>
              <w:rPr>
                <w:sz w:val="20"/>
                <w:lang w:val="bg-BG"/>
              </w:rPr>
            </w:pPr>
            <w:r w:rsidRPr="009B475E">
              <w:rPr>
                <w:sz w:val="20"/>
              </w:rPr>
              <w:t>CO02 Number of enterprises receiving grants</w:t>
            </w:r>
          </w:p>
          <w:p w14:paraId="4C114B87" w14:textId="77777777" w:rsidR="00A67F4C" w:rsidRPr="009B475E" w:rsidRDefault="00A67F4C" w:rsidP="00A67F4C">
            <w:pPr>
              <w:rPr>
                <w:sz w:val="20"/>
              </w:rPr>
            </w:pPr>
          </w:p>
        </w:tc>
        <w:tc>
          <w:tcPr>
            <w:tcW w:w="598" w:type="pct"/>
          </w:tcPr>
          <w:p w14:paraId="4E8B5CDF" w14:textId="4A4EECEE" w:rsidR="00A67F4C" w:rsidRPr="009B475E" w:rsidRDefault="00A67F4C" w:rsidP="00A67F4C">
            <w:pPr>
              <w:rPr>
                <w:b/>
                <w:lang w:val="en-US"/>
              </w:rPr>
            </w:pPr>
            <w:r w:rsidRPr="009B475E">
              <w:rPr>
                <w:sz w:val="20"/>
              </w:rPr>
              <w:t>Number</w:t>
            </w:r>
          </w:p>
        </w:tc>
        <w:tc>
          <w:tcPr>
            <w:tcW w:w="522" w:type="pct"/>
          </w:tcPr>
          <w:p w14:paraId="5376C741" w14:textId="7D7724E7" w:rsidR="00A67F4C" w:rsidRPr="009B475E" w:rsidRDefault="00A67F4C" w:rsidP="00A67F4C">
            <w:pPr>
              <w:rPr>
                <w:sz w:val="20"/>
              </w:rPr>
            </w:pPr>
            <w:r w:rsidRPr="009B475E">
              <w:rPr>
                <w:sz w:val="20"/>
              </w:rPr>
              <w:t>ERDF</w:t>
            </w:r>
          </w:p>
        </w:tc>
        <w:tc>
          <w:tcPr>
            <w:tcW w:w="523" w:type="pct"/>
          </w:tcPr>
          <w:p w14:paraId="0EC6E634" w14:textId="3C691D2C" w:rsidR="00A67F4C" w:rsidRPr="009B475E" w:rsidRDefault="00A67F4C" w:rsidP="00A67F4C">
            <w:pPr>
              <w:rPr>
                <w:iCs/>
              </w:rPr>
            </w:pPr>
            <w:r w:rsidRPr="009B475E">
              <w:rPr>
                <w:sz w:val="20"/>
              </w:rPr>
              <w:t>Less developed regions</w:t>
            </w:r>
          </w:p>
        </w:tc>
        <w:tc>
          <w:tcPr>
            <w:tcW w:w="641" w:type="pct"/>
          </w:tcPr>
          <w:p w14:paraId="54185B2B" w14:textId="77777777" w:rsidR="00CA0ED2" w:rsidRPr="009B475E" w:rsidRDefault="00CA0ED2" w:rsidP="00CA0ED2">
            <w:pPr>
              <w:spacing w:before="0" w:after="0"/>
              <w:rPr>
                <w:rFonts w:eastAsia="Times New Roman"/>
                <w:szCs w:val="24"/>
                <w:lang w:val="bg-BG"/>
              </w:rPr>
            </w:pPr>
            <w:r w:rsidRPr="009B475E">
              <w:rPr>
                <w:rFonts w:eastAsia="Times New Roman"/>
                <w:szCs w:val="24"/>
                <w:lang w:val="bg-BG"/>
              </w:rPr>
              <w:t>25 710</w:t>
            </w:r>
          </w:p>
          <w:p w14:paraId="40042481" w14:textId="77777777" w:rsidR="00CA0ED2" w:rsidRPr="009B475E" w:rsidRDefault="00CA0ED2" w:rsidP="00ED07F1">
            <w:pPr>
              <w:rPr>
                <w:lang w:val="bg-BG"/>
              </w:rPr>
            </w:pPr>
          </w:p>
          <w:p w14:paraId="5349C013" w14:textId="1735293E" w:rsidR="00ED07F1" w:rsidRPr="009B475E" w:rsidRDefault="00ED07F1" w:rsidP="00ED07F1">
            <w:pPr>
              <w:rPr>
                <w:lang w:val="bg-BG"/>
              </w:rPr>
            </w:pPr>
          </w:p>
          <w:p w14:paraId="7F7A0758" w14:textId="26BF67E3" w:rsidR="00A67F4C" w:rsidRPr="009B475E" w:rsidRDefault="00A67F4C" w:rsidP="00A67F4C">
            <w:pPr>
              <w:rPr>
                <w:b/>
                <w:lang w:val="en-US"/>
              </w:rPr>
            </w:pPr>
          </w:p>
        </w:tc>
        <w:tc>
          <w:tcPr>
            <w:tcW w:w="696" w:type="pct"/>
          </w:tcPr>
          <w:p w14:paraId="0778AC7D" w14:textId="3DCAE5FD" w:rsidR="00A67F4C" w:rsidRPr="009B475E" w:rsidRDefault="00A67F4C" w:rsidP="00A67F4C">
            <w:pPr>
              <w:rPr>
                <w:b/>
                <w:iCs/>
              </w:rPr>
            </w:pPr>
            <w:r w:rsidRPr="009B475E">
              <w:rPr>
                <w:sz w:val="20"/>
              </w:rPr>
              <w:t>UMIS</w:t>
            </w:r>
          </w:p>
        </w:tc>
        <w:tc>
          <w:tcPr>
            <w:tcW w:w="767" w:type="pct"/>
          </w:tcPr>
          <w:p w14:paraId="3B7DF214" w14:textId="2BE5F9E2" w:rsidR="00A67F4C" w:rsidRPr="009B475E" w:rsidRDefault="00A67F4C" w:rsidP="00A67F4C">
            <w:pPr>
              <w:rPr>
                <w:b/>
              </w:rPr>
            </w:pPr>
            <w:r w:rsidRPr="009B475E">
              <w:rPr>
                <w:sz w:val="20"/>
              </w:rPr>
              <w:t xml:space="preserve">Annually </w:t>
            </w:r>
          </w:p>
        </w:tc>
      </w:tr>
    </w:tbl>
    <w:p w14:paraId="20E4234E" w14:textId="1A6494B5" w:rsidR="002D1043" w:rsidRPr="009B475E" w:rsidRDefault="002D1043" w:rsidP="0068794B">
      <w:pPr>
        <w:rPr>
          <w:b/>
        </w:rPr>
      </w:pPr>
    </w:p>
    <w:p w14:paraId="5810C990" w14:textId="662F8E12" w:rsidR="003B08DE" w:rsidRPr="009B475E" w:rsidRDefault="001D07D4" w:rsidP="003B08DE">
      <w:pPr>
        <w:rPr>
          <w:b/>
        </w:rPr>
      </w:pPr>
      <w:r w:rsidRPr="009B475E">
        <w:rPr>
          <w:b/>
        </w:rPr>
        <w:t>2.A.5.10</w:t>
      </w:r>
      <w:r w:rsidR="003B08DE" w:rsidRPr="009B475E">
        <w:rPr>
          <w:b/>
        </w:rPr>
        <w:t xml:space="preserve"> </w:t>
      </w:r>
      <w:r w:rsidR="003B08DE" w:rsidRPr="009B475E">
        <w:rPr>
          <w:b/>
        </w:rPr>
        <w:tab/>
        <w:t>Social innovation, transnational cooperation and contribution to thematic objectives 1-7</w:t>
      </w:r>
      <w:r w:rsidR="003B08DE" w:rsidRPr="009B475E">
        <w:rPr>
          <w:b/>
          <w:vertAlign w:val="superscript"/>
        </w:rPr>
        <w:footnoteReference w:id="71"/>
      </w:r>
    </w:p>
    <w:p w14:paraId="17117E65" w14:textId="77777777" w:rsidR="003B08DE" w:rsidRPr="009B475E" w:rsidRDefault="003B08DE" w:rsidP="003B08DE">
      <w:pPr>
        <w:rPr>
          <w:b/>
        </w:rPr>
      </w:pPr>
      <w:r w:rsidRPr="009B475E">
        <w:rPr>
          <w:b/>
        </w:rPr>
        <w:t>Specific provisions for ESF</w:t>
      </w:r>
      <w:r w:rsidRPr="009B475E">
        <w:rPr>
          <w:b/>
          <w:vertAlign w:val="superscript"/>
        </w:rPr>
        <w:footnoteReference w:id="72"/>
      </w:r>
      <w:r w:rsidRPr="009B475E">
        <w:rPr>
          <w:b/>
        </w:rPr>
        <w:t>, where applicable (by priority axis and, where relevant, category of region): social innovation, transnational cooperation and ESF contribution to thematic objectives 1 to 7.</w:t>
      </w:r>
    </w:p>
    <w:p w14:paraId="152A9D72" w14:textId="77777777" w:rsidR="003B08DE" w:rsidRPr="009B475E" w:rsidRDefault="003B08DE" w:rsidP="003B08DE">
      <w:pPr>
        <w:rPr>
          <w:b/>
        </w:rPr>
      </w:pPr>
    </w:p>
    <w:p w14:paraId="1EE6CD19" w14:textId="77777777" w:rsidR="003B08DE" w:rsidRPr="009B475E" w:rsidRDefault="003B08DE" w:rsidP="003B08DE">
      <w:pPr>
        <w:rPr>
          <w:b/>
        </w:rPr>
      </w:pPr>
      <w:r w:rsidRPr="009B475E">
        <w:rPr>
          <w:b/>
        </w:rPr>
        <w:t xml:space="preserve">Description of the contribution of the planned actions of the priority axis to: </w:t>
      </w:r>
    </w:p>
    <w:p w14:paraId="1756F1C8" w14:textId="77777777" w:rsidR="003B08DE" w:rsidRPr="009B475E" w:rsidRDefault="003B08DE" w:rsidP="003B08DE">
      <w:pPr>
        <w:numPr>
          <w:ilvl w:val="0"/>
          <w:numId w:val="19"/>
        </w:numPr>
        <w:tabs>
          <w:tab w:val="clear" w:pos="283"/>
          <w:tab w:val="num" w:pos="851"/>
        </w:tabs>
        <w:rPr>
          <w:b/>
        </w:rPr>
      </w:pPr>
      <w:r w:rsidRPr="009B475E">
        <w:rPr>
          <w:b/>
        </w:rPr>
        <w:t>social innovation (if not covered by a dedicated priority axis);</w:t>
      </w:r>
    </w:p>
    <w:p w14:paraId="7D8633E2" w14:textId="77777777" w:rsidR="003B08DE" w:rsidRPr="009B475E" w:rsidRDefault="003B08DE" w:rsidP="003B08DE">
      <w:pPr>
        <w:numPr>
          <w:ilvl w:val="0"/>
          <w:numId w:val="19"/>
        </w:numPr>
        <w:tabs>
          <w:tab w:val="clear" w:pos="283"/>
          <w:tab w:val="num" w:pos="851"/>
        </w:tabs>
        <w:rPr>
          <w:b/>
        </w:rPr>
      </w:pPr>
      <w:r w:rsidRPr="009B475E">
        <w:rPr>
          <w:b/>
        </w:rPr>
        <w:t xml:space="preserve">transnational cooperation (if not covered by a dedicated priority axis). </w:t>
      </w:r>
    </w:p>
    <w:p w14:paraId="20816814" w14:textId="77777777" w:rsidR="003B08DE" w:rsidRPr="009B475E" w:rsidRDefault="003B08DE" w:rsidP="003B08DE">
      <w:pPr>
        <w:numPr>
          <w:ilvl w:val="0"/>
          <w:numId w:val="19"/>
        </w:numPr>
        <w:tabs>
          <w:tab w:val="clear" w:pos="283"/>
          <w:tab w:val="num" w:pos="851"/>
        </w:tabs>
        <w:rPr>
          <w:b/>
        </w:rPr>
      </w:pPr>
      <w:r w:rsidRPr="009B475E">
        <w:rPr>
          <w:b/>
        </w:rPr>
        <w:t>thematic objectives referred to in points (1) to (7) of the first paragraph of Article 9 of Regulation (EU) No 1303/2013.</w:t>
      </w:r>
    </w:p>
    <w:p w14:paraId="1F828E3A" w14:textId="77777777" w:rsidR="003B08DE" w:rsidRPr="009B475E" w:rsidRDefault="003B08DE" w:rsidP="003B08DE">
      <w:pPr>
        <w:rPr>
          <w:b/>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3B08DE" w:rsidRPr="009B475E" w14:paraId="4FB9861B" w14:textId="77777777" w:rsidTr="00274612">
        <w:trPr>
          <w:trHeight w:val="518"/>
        </w:trPr>
        <w:tc>
          <w:tcPr>
            <w:tcW w:w="2235" w:type="dxa"/>
          </w:tcPr>
          <w:p w14:paraId="6E96FB11" w14:textId="77777777" w:rsidR="003B08DE" w:rsidRPr="009B475E" w:rsidRDefault="003B08DE" w:rsidP="003B08DE">
            <w:pPr>
              <w:rPr>
                <w:b/>
                <w:i/>
              </w:rPr>
            </w:pPr>
            <w:r w:rsidRPr="009B475E">
              <w:rPr>
                <w:b/>
                <w:i/>
              </w:rPr>
              <w:t>Priority axis</w:t>
            </w:r>
          </w:p>
        </w:tc>
        <w:tc>
          <w:tcPr>
            <w:tcW w:w="6443" w:type="dxa"/>
          </w:tcPr>
          <w:p w14:paraId="312ABDA1" w14:textId="77777777" w:rsidR="003B08DE" w:rsidRPr="009B475E" w:rsidRDefault="003B08DE" w:rsidP="003B08DE">
            <w:pPr>
              <w:rPr>
                <w:b/>
                <w:i/>
              </w:rPr>
            </w:pPr>
            <w:r w:rsidRPr="009B475E">
              <w:rPr>
                <w:b/>
                <w:i/>
              </w:rPr>
              <w:t>N/A</w:t>
            </w:r>
          </w:p>
        </w:tc>
      </w:tr>
      <w:tr w:rsidR="003B08DE" w:rsidRPr="00995F32" w14:paraId="7C917C77" w14:textId="77777777" w:rsidTr="00274612">
        <w:trPr>
          <w:trHeight w:val="1154"/>
        </w:trPr>
        <w:tc>
          <w:tcPr>
            <w:tcW w:w="8678" w:type="dxa"/>
            <w:gridSpan w:val="2"/>
          </w:tcPr>
          <w:p w14:paraId="1B5A91A1" w14:textId="77777777" w:rsidR="003B08DE" w:rsidRPr="009B475E" w:rsidRDefault="003B08DE" w:rsidP="003B08DE">
            <w:pPr>
              <w:rPr>
                <w:b/>
                <w:i/>
              </w:rPr>
            </w:pPr>
            <w:r w:rsidRPr="009B475E">
              <w:rPr>
                <w:b/>
                <w:i/>
              </w:rPr>
              <w:t>N/A</w:t>
            </w:r>
          </w:p>
        </w:tc>
      </w:tr>
    </w:tbl>
    <w:p w14:paraId="0DDE9969" w14:textId="77777777" w:rsidR="00AD7D99" w:rsidRPr="00995F32" w:rsidRDefault="00AD7D99" w:rsidP="00AD7D99">
      <w:pPr>
        <w:rPr>
          <w:b/>
          <w:highlight w:val="yellow"/>
        </w:rPr>
      </w:pPr>
    </w:p>
    <w:p w14:paraId="77BEB404" w14:textId="5810F94C" w:rsidR="00AD7D99" w:rsidRPr="009B475E" w:rsidRDefault="00AD7D99" w:rsidP="00AD7D99">
      <w:pPr>
        <w:rPr>
          <w:b/>
        </w:rPr>
      </w:pPr>
      <w:r w:rsidRPr="009B475E">
        <w:rPr>
          <w:b/>
        </w:rPr>
        <w:t xml:space="preserve">2.A.5.11 </w:t>
      </w:r>
      <w:r w:rsidRPr="009B475E">
        <w:rPr>
          <w:b/>
        </w:rPr>
        <w:tab/>
        <w:t xml:space="preserve">Performance framework </w:t>
      </w:r>
    </w:p>
    <w:p w14:paraId="6A0CFC74" w14:textId="77777777" w:rsidR="00AD7D99" w:rsidRPr="009B475E" w:rsidRDefault="00AD7D99" w:rsidP="00AD7D99">
      <w:pPr>
        <w:rPr>
          <w:b/>
        </w:rPr>
      </w:pPr>
      <w:r w:rsidRPr="009B475E">
        <w:rPr>
          <w:b/>
        </w:rPr>
        <w:t>(Reference: point (b)(v) of the first subparagraph of Article 96(2), and Annex II to Regulation (EU) No 1303/2013)</w:t>
      </w:r>
    </w:p>
    <w:p w14:paraId="0F3DE9DA" w14:textId="77777777" w:rsidR="00AD7D99" w:rsidRPr="009B475E" w:rsidRDefault="00AD7D99" w:rsidP="00AD7D99">
      <w:pPr>
        <w:rPr>
          <w:b/>
        </w:rPr>
      </w:pPr>
      <w:r w:rsidRPr="009B475E">
        <w:rPr>
          <w:b/>
        </w:rPr>
        <w:t xml:space="preserve">Table 6: </w:t>
      </w:r>
      <w:r w:rsidRPr="009B475E">
        <w:rPr>
          <w:b/>
        </w:rPr>
        <w:tab/>
        <w:t>Performance framework of the priority axis</w:t>
      </w:r>
    </w:p>
    <w:p w14:paraId="5540FF66" w14:textId="77777777" w:rsidR="00AD7D99" w:rsidRPr="009B475E" w:rsidRDefault="00AD7D99" w:rsidP="00AD7D99">
      <w:pPr>
        <w:rPr>
          <w:b/>
        </w:rPr>
      </w:pPr>
      <w:r w:rsidRPr="009B475E">
        <w:rPr>
          <w:b/>
        </w:rPr>
        <w:t xml:space="preserve"> (by fund and category of region)</w:t>
      </w:r>
      <w:r w:rsidRPr="009B475E">
        <w:rPr>
          <w:b/>
          <w:vertAlign w:val="superscript"/>
        </w:rPr>
        <w:footnoteReference w:id="73"/>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9"/>
        <w:gridCol w:w="837"/>
        <w:gridCol w:w="1131"/>
        <w:gridCol w:w="855"/>
        <w:gridCol w:w="514"/>
        <w:gridCol w:w="855"/>
        <w:gridCol w:w="772"/>
        <w:gridCol w:w="1214"/>
        <w:gridCol w:w="941"/>
        <w:gridCol w:w="1112"/>
      </w:tblGrid>
      <w:tr w:rsidR="00AD7D99" w:rsidRPr="00995F32" w14:paraId="2616D267" w14:textId="77777777" w:rsidTr="00274612">
        <w:trPr>
          <w:trHeight w:val="740"/>
        </w:trPr>
        <w:tc>
          <w:tcPr>
            <w:tcW w:w="883" w:type="pct"/>
            <w:gridSpan w:val="2"/>
          </w:tcPr>
          <w:p w14:paraId="3992D687" w14:textId="77777777" w:rsidR="00AD7D99" w:rsidRPr="009B475E" w:rsidRDefault="00AD7D99" w:rsidP="00AD7D99">
            <w:pPr>
              <w:rPr>
                <w:b/>
                <w:i/>
                <w:sz w:val="20"/>
              </w:rPr>
            </w:pPr>
            <w:r w:rsidRPr="009B475E">
              <w:rPr>
                <w:b/>
                <w:i/>
                <w:sz w:val="20"/>
              </w:rPr>
              <w:lastRenderedPageBreak/>
              <w:t>Priority axis</w:t>
            </w:r>
          </w:p>
        </w:tc>
        <w:tc>
          <w:tcPr>
            <w:tcW w:w="4117" w:type="pct"/>
            <w:gridSpan w:val="8"/>
          </w:tcPr>
          <w:p w14:paraId="33F9D34D" w14:textId="77777777" w:rsidR="00AD7D99" w:rsidRPr="009B475E" w:rsidRDefault="00AD7D99" w:rsidP="00AD7D99">
            <w:pPr>
              <w:rPr>
                <w:b/>
                <w:i/>
                <w:sz w:val="20"/>
              </w:rPr>
            </w:pPr>
            <w:r w:rsidRPr="009B475E">
              <w:rPr>
                <w:b/>
                <w:i/>
                <w:sz w:val="20"/>
              </w:rPr>
              <w:t xml:space="preserve">“Support for SMEs through the SAFE instrument” </w:t>
            </w:r>
          </w:p>
          <w:p w14:paraId="513CD727" w14:textId="77B6D639" w:rsidR="00AD7D99" w:rsidRPr="009B475E" w:rsidRDefault="00AD7D99" w:rsidP="00AD7D99">
            <w:pPr>
              <w:rPr>
                <w:b/>
                <w:i/>
                <w:sz w:val="20"/>
              </w:rPr>
            </w:pPr>
          </w:p>
        </w:tc>
      </w:tr>
      <w:tr w:rsidR="00AD7D99" w:rsidRPr="00AD7D99" w14:paraId="66596AF3" w14:textId="77777777" w:rsidTr="00274612">
        <w:trPr>
          <w:trHeight w:val="2640"/>
        </w:trPr>
        <w:tc>
          <w:tcPr>
            <w:tcW w:w="417" w:type="pct"/>
          </w:tcPr>
          <w:p w14:paraId="54928E16" w14:textId="77777777" w:rsidR="00AD7D99" w:rsidRPr="009B475E" w:rsidRDefault="00AD7D99" w:rsidP="00AD7D99">
            <w:pPr>
              <w:rPr>
                <w:b/>
                <w:i/>
                <w:sz w:val="20"/>
              </w:rPr>
            </w:pPr>
            <w:r w:rsidRPr="009B475E">
              <w:rPr>
                <w:b/>
                <w:i/>
                <w:sz w:val="20"/>
              </w:rPr>
              <w:t>ID</w:t>
            </w:r>
            <w:r w:rsidRPr="009B475E" w:rsidDel="00C608A6">
              <w:rPr>
                <w:b/>
                <w:i/>
                <w:sz w:val="20"/>
              </w:rPr>
              <w:t xml:space="preserve"> </w:t>
            </w:r>
          </w:p>
        </w:tc>
        <w:tc>
          <w:tcPr>
            <w:tcW w:w="466" w:type="pct"/>
          </w:tcPr>
          <w:p w14:paraId="1561C593" w14:textId="77777777" w:rsidR="00AD7D99" w:rsidRPr="009B475E" w:rsidRDefault="00AD7D99" w:rsidP="00AD7D99">
            <w:pPr>
              <w:rPr>
                <w:b/>
                <w:i/>
                <w:sz w:val="20"/>
              </w:rPr>
            </w:pPr>
            <w:r w:rsidRPr="009B475E">
              <w:rPr>
                <w:b/>
                <w:i/>
                <w:sz w:val="20"/>
              </w:rPr>
              <w:t>Indicator type</w:t>
            </w:r>
          </w:p>
          <w:p w14:paraId="62E55B3D" w14:textId="77777777" w:rsidR="00AD7D99" w:rsidRPr="009B475E" w:rsidRDefault="00AD7D99" w:rsidP="00AD7D99">
            <w:pPr>
              <w:rPr>
                <w:b/>
                <w:i/>
                <w:sz w:val="20"/>
              </w:rPr>
            </w:pPr>
            <w:r w:rsidRPr="009B475E">
              <w:rPr>
                <w:b/>
                <w:i/>
                <w:sz w:val="20"/>
              </w:rPr>
              <w:t>(Key implementation step, financial, output or, where appropriate, result indicator)</w:t>
            </w:r>
          </w:p>
          <w:p w14:paraId="13EA0DE7" w14:textId="77777777" w:rsidR="00AD7D99" w:rsidRPr="009B475E" w:rsidRDefault="00AD7D99" w:rsidP="00AD7D99">
            <w:pPr>
              <w:rPr>
                <w:b/>
                <w:i/>
                <w:sz w:val="20"/>
              </w:rPr>
            </w:pPr>
          </w:p>
        </w:tc>
        <w:tc>
          <w:tcPr>
            <w:tcW w:w="630" w:type="pct"/>
          </w:tcPr>
          <w:p w14:paraId="1524091F" w14:textId="77777777" w:rsidR="00AD7D99" w:rsidRPr="009B475E" w:rsidRDefault="00AD7D99" w:rsidP="00AD7D99">
            <w:pPr>
              <w:rPr>
                <w:b/>
                <w:i/>
                <w:sz w:val="20"/>
              </w:rPr>
            </w:pPr>
            <w:r w:rsidRPr="009B475E">
              <w:rPr>
                <w:b/>
                <w:i/>
                <w:sz w:val="20"/>
              </w:rPr>
              <w:t xml:space="preserve">Indicator or key implementation step </w:t>
            </w:r>
          </w:p>
        </w:tc>
        <w:tc>
          <w:tcPr>
            <w:tcW w:w="476" w:type="pct"/>
          </w:tcPr>
          <w:p w14:paraId="227EB890" w14:textId="77777777" w:rsidR="00AD7D99" w:rsidRPr="009B475E" w:rsidRDefault="00AD7D99" w:rsidP="00AD7D99">
            <w:pPr>
              <w:rPr>
                <w:b/>
                <w:i/>
                <w:sz w:val="20"/>
              </w:rPr>
            </w:pPr>
            <w:r w:rsidRPr="009B475E">
              <w:rPr>
                <w:b/>
                <w:i/>
                <w:sz w:val="20"/>
              </w:rPr>
              <w:t xml:space="preserve">Measurement unit, where appropriate </w:t>
            </w:r>
          </w:p>
        </w:tc>
        <w:tc>
          <w:tcPr>
            <w:tcW w:w="286" w:type="pct"/>
          </w:tcPr>
          <w:p w14:paraId="727B3F08" w14:textId="77777777" w:rsidR="00AD7D99" w:rsidRPr="009B475E" w:rsidRDefault="00AD7D99" w:rsidP="00AD7D99">
            <w:pPr>
              <w:rPr>
                <w:b/>
                <w:i/>
                <w:sz w:val="20"/>
              </w:rPr>
            </w:pPr>
            <w:r w:rsidRPr="009B475E">
              <w:rPr>
                <w:b/>
                <w:i/>
                <w:sz w:val="20"/>
              </w:rPr>
              <w:t>Fund</w:t>
            </w:r>
          </w:p>
        </w:tc>
        <w:tc>
          <w:tcPr>
            <w:tcW w:w="476" w:type="pct"/>
          </w:tcPr>
          <w:p w14:paraId="7D2E041F" w14:textId="77777777" w:rsidR="00AD7D99" w:rsidRPr="009B475E" w:rsidRDefault="00AD7D99" w:rsidP="00AD7D99">
            <w:pPr>
              <w:rPr>
                <w:b/>
                <w:i/>
                <w:sz w:val="20"/>
              </w:rPr>
            </w:pPr>
            <w:r w:rsidRPr="009B475E">
              <w:rPr>
                <w:b/>
                <w:i/>
                <w:sz w:val="20"/>
              </w:rPr>
              <w:t>Category of region</w:t>
            </w:r>
          </w:p>
        </w:tc>
        <w:tc>
          <w:tcPr>
            <w:tcW w:w="430" w:type="pct"/>
          </w:tcPr>
          <w:p w14:paraId="696120F4" w14:textId="77777777" w:rsidR="00AD7D99" w:rsidRPr="009B475E" w:rsidRDefault="00AD7D99" w:rsidP="00AD7D99">
            <w:pPr>
              <w:rPr>
                <w:b/>
                <w:i/>
                <w:sz w:val="20"/>
              </w:rPr>
            </w:pPr>
            <w:r w:rsidRPr="009B475E">
              <w:rPr>
                <w:b/>
                <w:i/>
                <w:sz w:val="20"/>
              </w:rPr>
              <w:t>Milestone for 2018</w:t>
            </w:r>
          </w:p>
        </w:tc>
        <w:tc>
          <w:tcPr>
            <w:tcW w:w="676" w:type="pct"/>
          </w:tcPr>
          <w:p w14:paraId="4E3A2F0B" w14:textId="77777777" w:rsidR="00AD7D99" w:rsidRPr="009B475E" w:rsidRDefault="00AD7D99" w:rsidP="00AD7D99">
            <w:pPr>
              <w:rPr>
                <w:b/>
                <w:i/>
                <w:sz w:val="20"/>
              </w:rPr>
            </w:pPr>
            <w:r w:rsidRPr="009B475E">
              <w:rPr>
                <w:b/>
                <w:i/>
                <w:sz w:val="20"/>
              </w:rPr>
              <w:t>Final target (2023)</w:t>
            </w:r>
            <w:r w:rsidRPr="009B475E">
              <w:rPr>
                <w:b/>
                <w:i/>
                <w:sz w:val="20"/>
                <w:vertAlign w:val="superscript"/>
              </w:rPr>
              <w:footnoteReference w:id="74"/>
            </w:r>
          </w:p>
        </w:tc>
        <w:tc>
          <w:tcPr>
            <w:tcW w:w="524" w:type="pct"/>
          </w:tcPr>
          <w:p w14:paraId="292BA33F" w14:textId="77777777" w:rsidR="00AD7D99" w:rsidRPr="009B475E" w:rsidRDefault="00AD7D99" w:rsidP="00AD7D99">
            <w:pPr>
              <w:rPr>
                <w:b/>
                <w:i/>
                <w:sz w:val="20"/>
              </w:rPr>
            </w:pPr>
            <w:r w:rsidRPr="009B475E">
              <w:rPr>
                <w:b/>
                <w:i/>
                <w:sz w:val="20"/>
              </w:rPr>
              <w:t>Source of data</w:t>
            </w:r>
          </w:p>
        </w:tc>
        <w:tc>
          <w:tcPr>
            <w:tcW w:w="619" w:type="pct"/>
          </w:tcPr>
          <w:p w14:paraId="0A227118" w14:textId="77777777" w:rsidR="00AD7D99" w:rsidRPr="009B475E" w:rsidRDefault="00AD7D99" w:rsidP="00AD7D99">
            <w:pPr>
              <w:rPr>
                <w:b/>
                <w:i/>
                <w:sz w:val="20"/>
              </w:rPr>
            </w:pPr>
            <w:r w:rsidRPr="009B475E">
              <w:rPr>
                <w:b/>
                <w:i/>
                <w:sz w:val="20"/>
              </w:rPr>
              <w:t>Explanation of relevance of indicator, where appropriate</w:t>
            </w:r>
          </w:p>
        </w:tc>
      </w:tr>
      <w:tr w:rsidR="00C15C24" w:rsidRPr="00C15C24" w14:paraId="4053D5C5" w14:textId="77777777" w:rsidTr="00274612">
        <w:tc>
          <w:tcPr>
            <w:tcW w:w="417" w:type="pct"/>
          </w:tcPr>
          <w:p w14:paraId="0F68E630" w14:textId="3CDF1020" w:rsidR="00C15C24" w:rsidRPr="009B475E" w:rsidRDefault="00C15C24" w:rsidP="00C15C24">
            <w:pPr>
              <w:rPr>
                <w:b/>
                <w:sz w:val="20"/>
              </w:rPr>
            </w:pPr>
            <w:r w:rsidRPr="009B475E">
              <w:rPr>
                <w:b/>
                <w:sz w:val="20"/>
              </w:rPr>
              <w:t>NA</w:t>
            </w:r>
          </w:p>
        </w:tc>
        <w:tc>
          <w:tcPr>
            <w:tcW w:w="466" w:type="pct"/>
          </w:tcPr>
          <w:p w14:paraId="46538738" w14:textId="048F8B95" w:rsidR="00C15C24" w:rsidRPr="009B475E" w:rsidRDefault="00C15C24" w:rsidP="00C15C24">
            <w:pPr>
              <w:rPr>
                <w:b/>
                <w:sz w:val="20"/>
              </w:rPr>
            </w:pPr>
            <w:r w:rsidRPr="009B475E">
              <w:rPr>
                <w:b/>
                <w:sz w:val="20"/>
              </w:rPr>
              <w:t>NA</w:t>
            </w:r>
          </w:p>
        </w:tc>
        <w:tc>
          <w:tcPr>
            <w:tcW w:w="630" w:type="pct"/>
          </w:tcPr>
          <w:p w14:paraId="0D7749A3" w14:textId="11EA8E40" w:rsidR="00C15C24" w:rsidRPr="009B475E" w:rsidRDefault="00C15C24" w:rsidP="00C15C24">
            <w:pPr>
              <w:rPr>
                <w:b/>
                <w:sz w:val="20"/>
              </w:rPr>
            </w:pPr>
            <w:r w:rsidRPr="009B475E">
              <w:rPr>
                <w:b/>
                <w:sz w:val="20"/>
              </w:rPr>
              <w:t>NA</w:t>
            </w:r>
          </w:p>
        </w:tc>
        <w:tc>
          <w:tcPr>
            <w:tcW w:w="476" w:type="pct"/>
          </w:tcPr>
          <w:p w14:paraId="3450A0F9" w14:textId="6E5FECC9" w:rsidR="00C15C24" w:rsidRPr="009B475E" w:rsidRDefault="00C15C24" w:rsidP="00C15C24">
            <w:pPr>
              <w:rPr>
                <w:b/>
                <w:sz w:val="20"/>
              </w:rPr>
            </w:pPr>
            <w:r w:rsidRPr="009B475E">
              <w:rPr>
                <w:b/>
                <w:sz w:val="20"/>
              </w:rPr>
              <w:t>NA</w:t>
            </w:r>
          </w:p>
        </w:tc>
        <w:tc>
          <w:tcPr>
            <w:tcW w:w="286" w:type="pct"/>
          </w:tcPr>
          <w:p w14:paraId="143C3120" w14:textId="710BDC6B" w:rsidR="00C15C24" w:rsidRPr="009B475E" w:rsidRDefault="00C15C24" w:rsidP="00C15C24">
            <w:pPr>
              <w:rPr>
                <w:b/>
                <w:sz w:val="20"/>
              </w:rPr>
            </w:pPr>
            <w:r w:rsidRPr="009B475E">
              <w:rPr>
                <w:b/>
                <w:sz w:val="20"/>
              </w:rPr>
              <w:t>NA</w:t>
            </w:r>
          </w:p>
        </w:tc>
        <w:tc>
          <w:tcPr>
            <w:tcW w:w="476" w:type="pct"/>
          </w:tcPr>
          <w:p w14:paraId="643542BC" w14:textId="6F13E962" w:rsidR="00C15C24" w:rsidRPr="009B475E" w:rsidRDefault="00C15C24" w:rsidP="00C15C24">
            <w:pPr>
              <w:rPr>
                <w:b/>
                <w:sz w:val="20"/>
              </w:rPr>
            </w:pPr>
            <w:r w:rsidRPr="009B475E">
              <w:rPr>
                <w:b/>
                <w:sz w:val="20"/>
              </w:rPr>
              <w:t>NA</w:t>
            </w:r>
          </w:p>
        </w:tc>
        <w:tc>
          <w:tcPr>
            <w:tcW w:w="430" w:type="pct"/>
          </w:tcPr>
          <w:p w14:paraId="6A4E0348" w14:textId="69ED3FD2" w:rsidR="00C15C24" w:rsidRPr="009B475E" w:rsidRDefault="00C15C24" w:rsidP="00C15C24">
            <w:pPr>
              <w:rPr>
                <w:b/>
                <w:sz w:val="20"/>
              </w:rPr>
            </w:pPr>
            <w:r w:rsidRPr="009B475E">
              <w:rPr>
                <w:b/>
                <w:sz w:val="20"/>
              </w:rPr>
              <w:t>NA</w:t>
            </w:r>
          </w:p>
        </w:tc>
        <w:tc>
          <w:tcPr>
            <w:tcW w:w="676" w:type="pct"/>
          </w:tcPr>
          <w:p w14:paraId="4DE0CAF4" w14:textId="4DB658CB" w:rsidR="00C15C24" w:rsidRPr="009B475E" w:rsidRDefault="00C15C24" w:rsidP="00C15C24">
            <w:pPr>
              <w:rPr>
                <w:b/>
                <w:sz w:val="20"/>
              </w:rPr>
            </w:pPr>
            <w:r w:rsidRPr="009B475E">
              <w:rPr>
                <w:b/>
                <w:sz w:val="20"/>
              </w:rPr>
              <w:t>NA</w:t>
            </w:r>
          </w:p>
        </w:tc>
        <w:tc>
          <w:tcPr>
            <w:tcW w:w="524" w:type="pct"/>
          </w:tcPr>
          <w:p w14:paraId="43D6DEC3" w14:textId="67794719" w:rsidR="00C15C24" w:rsidRPr="009B475E" w:rsidRDefault="00C15C24" w:rsidP="00C15C24">
            <w:pPr>
              <w:rPr>
                <w:b/>
                <w:sz w:val="20"/>
              </w:rPr>
            </w:pPr>
            <w:r w:rsidRPr="009B475E">
              <w:rPr>
                <w:b/>
                <w:sz w:val="20"/>
              </w:rPr>
              <w:t>NA</w:t>
            </w:r>
          </w:p>
        </w:tc>
        <w:tc>
          <w:tcPr>
            <w:tcW w:w="619" w:type="pct"/>
          </w:tcPr>
          <w:p w14:paraId="252CBCCD" w14:textId="32A984BE" w:rsidR="00C15C24" w:rsidRPr="009B475E" w:rsidRDefault="00C15C24" w:rsidP="00C15C24">
            <w:pPr>
              <w:rPr>
                <w:sz w:val="20"/>
              </w:rPr>
            </w:pPr>
            <w:r w:rsidRPr="009B475E">
              <w:rPr>
                <w:b/>
                <w:sz w:val="20"/>
              </w:rPr>
              <w:t>NA</w:t>
            </w:r>
          </w:p>
        </w:tc>
      </w:tr>
      <w:tr w:rsidR="00C15C24" w:rsidRPr="00C15C24" w14:paraId="3D2AC881" w14:textId="77777777" w:rsidTr="00274612">
        <w:tc>
          <w:tcPr>
            <w:tcW w:w="417" w:type="pct"/>
          </w:tcPr>
          <w:p w14:paraId="6B3CC37A" w14:textId="0EA9EF06" w:rsidR="00C15C24" w:rsidRPr="009B475E" w:rsidRDefault="00C15C24" w:rsidP="00C15C24">
            <w:pPr>
              <w:rPr>
                <w:b/>
                <w:sz w:val="20"/>
              </w:rPr>
            </w:pPr>
            <w:r w:rsidRPr="009B475E">
              <w:rPr>
                <w:b/>
                <w:sz w:val="20"/>
              </w:rPr>
              <w:t>NA</w:t>
            </w:r>
          </w:p>
        </w:tc>
        <w:tc>
          <w:tcPr>
            <w:tcW w:w="466" w:type="pct"/>
          </w:tcPr>
          <w:p w14:paraId="15240227" w14:textId="3F97C497" w:rsidR="00C15C24" w:rsidRPr="009B475E" w:rsidRDefault="00C15C24" w:rsidP="00C15C24">
            <w:pPr>
              <w:rPr>
                <w:b/>
                <w:sz w:val="20"/>
              </w:rPr>
            </w:pPr>
            <w:r w:rsidRPr="009B475E">
              <w:rPr>
                <w:b/>
                <w:sz w:val="20"/>
              </w:rPr>
              <w:t>NA</w:t>
            </w:r>
          </w:p>
        </w:tc>
        <w:tc>
          <w:tcPr>
            <w:tcW w:w="630" w:type="pct"/>
          </w:tcPr>
          <w:p w14:paraId="21735C20" w14:textId="6ED32D8D" w:rsidR="00C15C24" w:rsidRPr="009B475E" w:rsidRDefault="00C15C24" w:rsidP="00C15C24">
            <w:pPr>
              <w:rPr>
                <w:b/>
                <w:sz w:val="20"/>
              </w:rPr>
            </w:pPr>
            <w:r w:rsidRPr="009B475E">
              <w:rPr>
                <w:b/>
                <w:sz w:val="20"/>
              </w:rPr>
              <w:t>NA</w:t>
            </w:r>
          </w:p>
        </w:tc>
        <w:tc>
          <w:tcPr>
            <w:tcW w:w="476" w:type="pct"/>
          </w:tcPr>
          <w:p w14:paraId="61A1F5D0" w14:textId="06119DB1" w:rsidR="00C15C24" w:rsidRPr="009B475E" w:rsidRDefault="00C15C24" w:rsidP="00C15C24">
            <w:pPr>
              <w:rPr>
                <w:b/>
                <w:sz w:val="20"/>
              </w:rPr>
            </w:pPr>
            <w:r w:rsidRPr="009B475E">
              <w:rPr>
                <w:b/>
                <w:sz w:val="20"/>
              </w:rPr>
              <w:t>NA</w:t>
            </w:r>
          </w:p>
        </w:tc>
        <w:tc>
          <w:tcPr>
            <w:tcW w:w="286" w:type="pct"/>
          </w:tcPr>
          <w:p w14:paraId="1D6023A0" w14:textId="320544D2" w:rsidR="00C15C24" w:rsidRPr="009B475E" w:rsidRDefault="00C15C24" w:rsidP="00C15C24">
            <w:pPr>
              <w:rPr>
                <w:b/>
                <w:sz w:val="20"/>
              </w:rPr>
            </w:pPr>
            <w:r w:rsidRPr="009B475E">
              <w:rPr>
                <w:b/>
                <w:sz w:val="20"/>
              </w:rPr>
              <w:t>NA</w:t>
            </w:r>
          </w:p>
        </w:tc>
        <w:tc>
          <w:tcPr>
            <w:tcW w:w="476" w:type="pct"/>
          </w:tcPr>
          <w:p w14:paraId="0C437CA8" w14:textId="71DC469C" w:rsidR="00C15C24" w:rsidRPr="009B475E" w:rsidRDefault="00C15C24" w:rsidP="00C15C24">
            <w:pPr>
              <w:rPr>
                <w:b/>
                <w:sz w:val="20"/>
              </w:rPr>
            </w:pPr>
            <w:r w:rsidRPr="009B475E">
              <w:rPr>
                <w:b/>
                <w:sz w:val="20"/>
              </w:rPr>
              <w:t>NA</w:t>
            </w:r>
          </w:p>
        </w:tc>
        <w:tc>
          <w:tcPr>
            <w:tcW w:w="430" w:type="pct"/>
          </w:tcPr>
          <w:p w14:paraId="1411F01B" w14:textId="19C56179" w:rsidR="00C15C24" w:rsidRPr="009B475E" w:rsidRDefault="00C15C24" w:rsidP="00C15C24">
            <w:pPr>
              <w:rPr>
                <w:b/>
                <w:sz w:val="20"/>
              </w:rPr>
            </w:pPr>
            <w:r w:rsidRPr="009B475E">
              <w:rPr>
                <w:b/>
                <w:sz w:val="20"/>
              </w:rPr>
              <w:t>NA</w:t>
            </w:r>
          </w:p>
        </w:tc>
        <w:tc>
          <w:tcPr>
            <w:tcW w:w="676" w:type="pct"/>
          </w:tcPr>
          <w:p w14:paraId="60C173DF" w14:textId="6075F09A" w:rsidR="00C15C24" w:rsidRPr="009B475E" w:rsidRDefault="00C15C24" w:rsidP="00C15C24">
            <w:pPr>
              <w:rPr>
                <w:b/>
                <w:sz w:val="20"/>
              </w:rPr>
            </w:pPr>
            <w:r w:rsidRPr="009B475E">
              <w:rPr>
                <w:b/>
                <w:sz w:val="20"/>
              </w:rPr>
              <w:t>NA</w:t>
            </w:r>
          </w:p>
        </w:tc>
        <w:tc>
          <w:tcPr>
            <w:tcW w:w="524" w:type="pct"/>
          </w:tcPr>
          <w:p w14:paraId="7887148A" w14:textId="2CD046F1" w:rsidR="00C15C24" w:rsidRPr="009B475E" w:rsidRDefault="00C15C24" w:rsidP="00C15C24">
            <w:pPr>
              <w:rPr>
                <w:b/>
                <w:iCs/>
                <w:sz w:val="20"/>
              </w:rPr>
            </w:pPr>
            <w:r w:rsidRPr="009B475E">
              <w:rPr>
                <w:b/>
                <w:sz w:val="20"/>
              </w:rPr>
              <w:t>NA</w:t>
            </w:r>
          </w:p>
        </w:tc>
        <w:tc>
          <w:tcPr>
            <w:tcW w:w="619" w:type="pct"/>
          </w:tcPr>
          <w:p w14:paraId="712BECDD" w14:textId="6A6345ED" w:rsidR="00C15C24" w:rsidRPr="009B475E" w:rsidRDefault="00C15C24" w:rsidP="00C15C24">
            <w:pPr>
              <w:rPr>
                <w:b/>
                <w:sz w:val="20"/>
              </w:rPr>
            </w:pPr>
            <w:r w:rsidRPr="009B475E">
              <w:rPr>
                <w:b/>
                <w:sz w:val="20"/>
              </w:rPr>
              <w:t>NA</w:t>
            </w:r>
          </w:p>
        </w:tc>
      </w:tr>
      <w:tr w:rsidR="00C15C24" w:rsidRPr="00C15C24" w14:paraId="1933B560" w14:textId="77777777" w:rsidTr="00274612">
        <w:tc>
          <w:tcPr>
            <w:tcW w:w="417" w:type="pct"/>
          </w:tcPr>
          <w:p w14:paraId="2D5ADE32" w14:textId="28437978" w:rsidR="00C15C24" w:rsidRPr="009B475E" w:rsidRDefault="00C15C24" w:rsidP="00C15C24">
            <w:pPr>
              <w:rPr>
                <w:b/>
                <w:sz w:val="20"/>
              </w:rPr>
            </w:pPr>
            <w:r w:rsidRPr="009B475E">
              <w:rPr>
                <w:b/>
                <w:sz w:val="20"/>
              </w:rPr>
              <w:t>NA</w:t>
            </w:r>
          </w:p>
        </w:tc>
        <w:tc>
          <w:tcPr>
            <w:tcW w:w="466" w:type="pct"/>
          </w:tcPr>
          <w:p w14:paraId="120AFC22" w14:textId="3C5DA016" w:rsidR="00C15C24" w:rsidRPr="009B475E" w:rsidRDefault="00C15C24" w:rsidP="00C15C24">
            <w:pPr>
              <w:rPr>
                <w:b/>
                <w:sz w:val="20"/>
              </w:rPr>
            </w:pPr>
            <w:r w:rsidRPr="009B475E">
              <w:rPr>
                <w:b/>
                <w:sz w:val="20"/>
              </w:rPr>
              <w:t>NA</w:t>
            </w:r>
          </w:p>
        </w:tc>
        <w:tc>
          <w:tcPr>
            <w:tcW w:w="630" w:type="pct"/>
          </w:tcPr>
          <w:p w14:paraId="4A776145" w14:textId="368777F4" w:rsidR="00C15C24" w:rsidRPr="009B475E" w:rsidRDefault="00C15C24" w:rsidP="00C15C24">
            <w:pPr>
              <w:rPr>
                <w:b/>
                <w:sz w:val="20"/>
              </w:rPr>
            </w:pPr>
            <w:r w:rsidRPr="009B475E">
              <w:rPr>
                <w:b/>
                <w:sz w:val="20"/>
              </w:rPr>
              <w:t>NA</w:t>
            </w:r>
          </w:p>
        </w:tc>
        <w:tc>
          <w:tcPr>
            <w:tcW w:w="476" w:type="pct"/>
          </w:tcPr>
          <w:p w14:paraId="60DB6164" w14:textId="6CDB3ECE" w:rsidR="00C15C24" w:rsidRPr="009B475E" w:rsidRDefault="00C15C24" w:rsidP="00C15C24">
            <w:pPr>
              <w:rPr>
                <w:b/>
                <w:sz w:val="20"/>
              </w:rPr>
            </w:pPr>
            <w:r w:rsidRPr="009B475E">
              <w:rPr>
                <w:b/>
                <w:sz w:val="20"/>
              </w:rPr>
              <w:t>NA</w:t>
            </w:r>
          </w:p>
        </w:tc>
        <w:tc>
          <w:tcPr>
            <w:tcW w:w="286" w:type="pct"/>
          </w:tcPr>
          <w:p w14:paraId="5B34248D" w14:textId="0F2DF9FE" w:rsidR="00C15C24" w:rsidRPr="009B475E" w:rsidRDefault="00C15C24" w:rsidP="00C15C24">
            <w:pPr>
              <w:rPr>
                <w:b/>
                <w:sz w:val="20"/>
              </w:rPr>
            </w:pPr>
            <w:r w:rsidRPr="009B475E">
              <w:rPr>
                <w:b/>
                <w:sz w:val="20"/>
              </w:rPr>
              <w:t>NA</w:t>
            </w:r>
          </w:p>
        </w:tc>
        <w:tc>
          <w:tcPr>
            <w:tcW w:w="476" w:type="pct"/>
          </w:tcPr>
          <w:p w14:paraId="7A6B0C49" w14:textId="2A8DB780" w:rsidR="00C15C24" w:rsidRPr="009B475E" w:rsidRDefault="00C15C24" w:rsidP="00C15C24">
            <w:pPr>
              <w:rPr>
                <w:b/>
                <w:sz w:val="20"/>
              </w:rPr>
            </w:pPr>
            <w:r w:rsidRPr="009B475E">
              <w:rPr>
                <w:b/>
                <w:sz w:val="20"/>
              </w:rPr>
              <w:t>NA</w:t>
            </w:r>
          </w:p>
        </w:tc>
        <w:tc>
          <w:tcPr>
            <w:tcW w:w="430" w:type="pct"/>
          </w:tcPr>
          <w:p w14:paraId="77C34F44" w14:textId="44392CBC" w:rsidR="00C15C24" w:rsidRPr="009B475E" w:rsidRDefault="00C15C24" w:rsidP="00C15C24">
            <w:pPr>
              <w:rPr>
                <w:b/>
                <w:sz w:val="20"/>
              </w:rPr>
            </w:pPr>
            <w:r w:rsidRPr="009B475E">
              <w:rPr>
                <w:b/>
                <w:sz w:val="20"/>
              </w:rPr>
              <w:t>NA</w:t>
            </w:r>
          </w:p>
        </w:tc>
        <w:tc>
          <w:tcPr>
            <w:tcW w:w="676" w:type="pct"/>
          </w:tcPr>
          <w:p w14:paraId="1AC4E28F" w14:textId="279C28A7" w:rsidR="00C15C24" w:rsidRPr="009B475E" w:rsidRDefault="00C15C24" w:rsidP="00C15C24">
            <w:pPr>
              <w:rPr>
                <w:b/>
                <w:sz w:val="20"/>
              </w:rPr>
            </w:pPr>
            <w:r w:rsidRPr="009B475E">
              <w:rPr>
                <w:b/>
                <w:sz w:val="20"/>
              </w:rPr>
              <w:t>NA</w:t>
            </w:r>
          </w:p>
        </w:tc>
        <w:tc>
          <w:tcPr>
            <w:tcW w:w="524" w:type="pct"/>
          </w:tcPr>
          <w:p w14:paraId="0E344F5C" w14:textId="4D3E4ED6" w:rsidR="00C15C24" w:rsidRPr="009B475E" w:rsidRDefault="00C15C24" w:rsidP="00C15C24">
            <w:pPr>
              <w:rPr>
                <w:b/>
                <w:iCs/>
                <w:sz w:val="20"/>
              </w:rPr>
            </w:pPr>
            <w:r w:rsidRPr="009B475E">
              <w:rPr>
                <w:b/>
                <w:sz w:val="20"/>
              </w:rPr>
              <w:t>NA</w:t>
            </w:r>
          </w:p>
        </w:tc>
        <w:tc>
          <w:tcPr>
            <w:tcW w:w="619" w:type="pct"/>
          </w:tcPr>
          <w:p w14:paraId="07D533DF" w14:textId="7D7E7B4C" w:rsidR="00C15C24" w:rsidRPr="009B475E" w:rsidRDefault="00C15C24" w:rsidP="00C15C24">
            <w:pPr>
              <w:rPr>
                <w:b/>
                <w:sz w:val="20"/>
              </w:rPr>
            </w:pPr>
            <w:r w:rsidRPr="009B475E">
              <w:rPr>
                <w:b/>
                <w:sz w:val="20"/>
              </w:rPr>
              <w:t>NA</w:t>
            </w:r>
          </w:p>
        </w:tc>
      </w:tr>
    </w:tbl>
    <w:p w14:paraId="1FA9AC10" w14:textId="229BF50E" w:rsidR="003B08DE" w:rsidRDefault="003B08DE" w:rsidP="0068794B">
      <w:pPr>
        <w:rPr>
          <w:b/>
        </w:rPr>
      </w:pPr>
    </w:p>
    <w:p w14:paraId="5414D474" w14:textId="02E57A47" w:rsidR="003B08DE" w:rsidRDefault="003B08DE" w:rsidP="0068794B">
      <w:pPr>
        <w:rPr>
          <w:b/>
        </w:rPr>
      </w:pPr>
    </w:p>
    <w:p w14:paraId="0673E97D" w14:textId="1BA3AA05" w:rsidR="004A38AE" w:rsidRPr="008340BB" w:rsidRDefault="004A38AE" w:rsidP="004A38AE">
      <w:pPr>
        <w:suppressAutoHyphens/>
        <w:ind w:left="1418" w:hanging="1418"/>
        <w:rPr>
          <w:b/>
        </w:rPr>
      </w:pPr>
      <w:r>
        <w:rPr>
          <w:b/>
        </w:rPr>
        <w:t>2.A.</w:t>
      </w:r>
      <w:r>
        <w:rPr>
          <w:b/>
          <w:lang w:val="bg-BG"/>
        </w:rPr>
        <w:t>5.12</w:t>
      </w:r>
      <w:r w:rsidRPr="008340BB">
        <w:rPr>
          <w:b/>
        </w:rPr>
        <w:t xml:space="preserve"> </w:t>
      </w:r>
      <w:r w:rsidRPr="008340BB">
        <w:rPr>
          <w:b/>
        </w:rPr>
        <w:tab/>
        <w:t xml:space="preserve">Categories of intervention </w:t>
      </w:r>
    </w:p>
    <w:p w14:paraId="27D12592" w14:textId="77777777" w:rsidR="004A38AE" w:rsidRPr="008340BB" w:rsidRDefault="004A38AE" w:rsidP="004A38AE">
      <w:pPr>
        <w:suppressAutoHyphens/>
        <w:ind w:left="1418" w:hanging="1418"/>
      </w:pPr>
      <w:r w:rsidRPr="008340BB">
        <w:t>(Reference: point (b)(vi) of Article 96(2) of Regulation (EU) No 1303/2013)</w:t>
      </w:r>
    </w:p>
    <w:p w14:paraId="1D9B1E9E" w14:textId="77777777" w:rsidR="004A38AE" w:rsidRPr="008340BB" w:rsidRDefault="004A38AE" w:rsidP="004A38AE">
      <w:pPr>
        <w:suppressAutoHyphens/>
        <w:rPr>
          <w:szCs w:val="24"/>
        </w:rPr>
      </w:pPr>
      <w:r w:rsidRPr="008340BB">
        <w:t xml:space="preserve">Categories of intervention corresponding to the content of the priority axis based on a nomenclature adopted by the Commission, and indicative breakdown of </w:t>
      </w:r>
      <w:r w:rsidRPr="008340BB">
        <w:rPr>
          <w:szCs w:val="24"/>
        </w:rPr>
        <w:t>Union support.</w:t>
      </w:r>
    </w:p>
    <w:p w14:paraId="62F25F4D" w14:textId="77777777" w:rsidR="004A38AE" w:rsidRPr="008340BB" w:rsidRDefault="004A38AE" w:rsidP="004A38AE">
      <w:pPr>
        <w:suppressAutoHyphens/>
        <w:ind w:left="1418" w:hanging="1418"/>
        <w:rPr>
          <w:b/>
          <w:szCs w:val="24"/>
        </w:rPr>
      </w:pPr>
      <w:r w:rsidRPr="008340BB">
        <w:rPr>
          <w:b/>
          <w:szCs w:val="24"/>
        </w:rPr>
        <w:t xml:space="preserve">Tables 7-11: </w:t>
      </w:r>
      <w:r w:rsidRPr="008340BB">
        <w:rPr>
          <w:b/>
          <w:szCs w:val="24"/>
        </w:rPr>
        <w:tab/>
        <w:t>Categories of intervention</w:t>
      </w:r>
      <w:r w:rsidRPr="008340BB">
        <w:rPr>
          <w:rStyle w:val="FootnoteReference"/>
          <w:b/>
          <w:szCs w:val="24"/>
        </w:rPr>
        <w:footnoteReference w:id="75"/>
      </w:r>
      <w:r w:rsidRPr="008340BB">
        <w:rPr>
          <w:b/>
          <w:szCs w:val="24"/>
        </w:rPr>
        <w:t xml:space="preserve"> </w:t>
      </w:r>
    </w:p>
    <w:p w14:paraId="073EE6E4" w14:textId="77777777" w:rsidR="004A38AE" w:rsidRPr="0067246B" w:rsidRDefault="004A38AE" w:rsidP="004A38AE">
      <w:pPr>
        <w:suppressAutoHyphens/>
        <w:ind w:left="1418" w:hanging="1418"/>
        <w:rPr>
          <w:szCs w:val="24"/>
        </w:rPr>
      </w:pPr>
      <w:r w:rsidRPr="0067246B">
        <w:rPr>
          <w:szCs w:val="24"/>
        </w:rPr>
        <w:t xml:space="preserve">(by Fund and category of region, if the priority axis covers more than 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4A38AE" w:rsidRPr="008340BB" w14:paraId="2A15C014" w14:textId="77777777" w:rsidTr="006E3778">
        <w:trPr>
          <w:trHeight w:val="364"/>
        </w:trPr>
        <w:tc>
          <w:tcPr>
            <w:tcW w:w="8472" w:type="dxa"/>
            <w:gridSpan w:val="4"/>
          </w:tcPr>
          <w:p w14:paraId="132C6B1C" w14:textId="77777777" w:rsidR="004A38AE" w:rsidRPr="00020ADD" w:rsidRDefault="004A38AE" w:rsidP="006E3778">
            <w:pPr>
              <w:autoSpaceDE w:val="0"/>
              <w:autoSpaceDN w:val="0"/>
              <w:adjustRightInd w:val="0"/>
              <w:spacing w:after="0"/>
              <w:jc w:val="left"/>
              <w:rPr>
                <w:rFonts w:ascii="TimesNewRoman" w:cs="TimesNewRoman"/>
                <w:b/>
                <w:color w:val="000000"/>
                <w:sz w:val="20"/>
              </w:rPr>
            </w:pPr>
            <w:r w:rsidRPr="00020ADD">
              <w:rPr>
                <w:rFonts w:ascii="TimesNewRoman,Bold" w:hAnsi="TimesNewRoman,Bold" w:cs="TimesNewRoman,Bold"/>
                <w:b/>
                <w:bCs/>
                <w:color w:val="000000"/>
                <w:sz w:val="20"/>
              </w:rPr>
              <w:t>Table 7: Dimension 1 – Intervention field</w:t>
            </w:r>
          </w:p>
        </w:tc>
      </w:tr>
      <w:tr w:rsidR="004A38AE" w:rsidRPr="008340BB" w14:paraId="3DDEA679" w14:textId="77777777" w:rsidTr="006E3778">
        <w:trPr>
          <w:trHeight w:val="364"/>
        </w:trPr>
        <w:tc>
          <w:tcPr>
            <w:tcW w:w="2802" w:type="dxa"/>
            <w:gridSpan w:val="2"/>
          </w:tcPr>
          <w:p w14:paraId="1F768DDE" w14:textId="77777777" w:rsidR="004A38AE" w:rsidRPr="008340BB" w:rsidRDefault="004A38AE" w:rsidP="006E3778">
            <w:pPr>
              <w:autoSpaceDE w:val="0"/>
              <w:autoSpaceDN w:val="0"/>
              <w:adjustRightInd w:val="0"/>
              <w:spacing w:after="0"/>
              <w:jc w:val="left"/>
              <w:rPr>
                <w:bCs/>
                <w:sz w:val="20"/>
              </w:rPr>
            </w:pPr>
            <w:r w:rsidRPr="008340BB">
              <w:rPr>
                <w:b/>
                <w:sz w:val="18"/>
                <w:szCs w:val="18"/>
              </w:rPr>
              <w:t>Priority axis</w:t>
            </w:r>
            <w:r w:rsidRPr="008340BB" w:rsidDel="009B2310">
              <w:rPr>
                <w:bCs/>
                <w:sz w:val="20"/>
              </w:rPr>
              <w:t xml:space="preserve"> </w:t>
            </w:r>
          </w:p>
        </w:tc>
        <w:tc>
          <w:tcPr>
            <w:tcW w:w="5670" w:type="dxa"/>
            <w:gridSpan w:val="2"/>
          </w:tcPr>
          <w:p w14:paraId="6588182F" w14:textId="77777777" w:rsidR="000D6084" w:rsidRPr="000D6084" w:rsidRDefault="000D6084" w:rsidP="000D6084">
            <w:pPr>
              <w:autoSpaceDE w:val="0"/>
              <w:autoSpaceDN w:val="0"/>
              <w:adjustRightInd w:val="0"/>
              <w:spacing w:after="0"/>
              <w:rPr>
                <w:b/>
                <w:bCs/>
                <w:i/>
                <w:sz w:val="20"/>
              </w:rPr>
            </w:pPr>
            <w:r w:rsidRPr="000D6084">
              <w:rPr>
                <w:b/>
                <w:bCs/>
                <w:i/>
                <w:sz w:val="20"/>
              </w:rPr>
              <w:t xml:space="preserve">“Support for SMEs through the SAFE instrument” </w:t>
            </w:r>
          </w:p>
          <w:p w14:paraId="222D45E2" w14:textId="5CEAC9E5" w:rsidR="004A38AE" w:rsidRPr="008340BB" w:rsidRDefault="004A38AE" w:rsidP="006E3778">
            <w:pPr>
              <w:autoSpaceDE w:val="0"/>
              <w:autoSpaceDN w:val="0"/>
              <w:adjustRightInd w:val="0"/>
              <w:spacing w:after="0"/>
              <w:rPr>
                <w:bCs/>
                <w:sz w:val="20"/>
              </w:rPr>
            </w:pPr>
          </w:p>
        </w:tc>
      </w:tr>
      <w:tr w:rsidR="004A38AE" w:rsidRPr="008340BB" w14:paraId="6D3ABF27" w14:textId="77777777" w:rsidTr="006E3778">
        <w:trPr>
          <w:trHeight w:val="267"/>
        </w:trPr>
        <w:tc>
          <w:tcPr>
            <w:tcW w:w="1401" w:type="dxa"/>
          </w:tcPr>
          <w:p w14:paraId="21A552B7" w14:textId="77777777" w:rsidR="004A38AE" w:rsidRPr="008340BB" w:rsidRDefault="004A38AE" w:rsidP="006E3778">
            <w:pPr>
              <w:jc w:val="center"/>
              <w:rPr>
                <w:b/>
                <w:sz w:val="18"/>
                <w:szCs w:val="18"/>
              </w:rPr>
            </w:pPr>
            <w:r w:rsidRPr="008340BB">
              <w:rPr>
                <w:b/>
                <w:sz w:val="18"/>
                <w:szCs w:val="18"/>
              </w:rPr>
              <w:t>Fund</w:t>
            </w:r>
          </w:p>
        </w:tc>
        <w:tc>
          <w:tcPr>
            <w:tcW w:w="1401" w:type="dxa"/>
          </w:tcPr>
          <w:p w14:paraId="5E62F964" w14:textId="77777777" w:rsidR="004A38AE" w:rsidRPr="008340BB" w:rsidRDefault="004A38AE" w:rsidP="006E3778">
            <w:pPr>
              <w:jc w:val="center"/>
              <w:rPr>
                <w:b/>
                <w:sz w:val="18"/>
                <w:szCs w:val="18"/>
              </w:rPr>
            </w:pPr>
            <w:r w:rsidRPr="008340BB">
              <w:rPr>
                <w:b/>
                <w:sz w:val="18"/>
                <w:szCs w:val="18"/>
              </w:rPr>
              <w:t>Category of region</w:t>
            </w:r>
          </w:p>
        </w:tc>
        <w:tc>
          <w:tcPr>
            <w:tcW w:w="2693" w:type="dxa"/>
          </w:tcPr>
          <w:p w14:paraId="1606530A" w14:textId="77777777" w:rsidR="004A38AE" w:rsidRPr="008340BB" w:rsidRDefault="004A38AE" w:rsidP="006E3778">
            <w:pPr>
              <w:jc w:val="center"/>
              <w:rPr>
                <w:sz w:val="20"/>
              </w:rPr>
            </w:pPr>
            <w:r w:rsidRPr="008340BB">
              <w:rPr>
                <w:b/>
                <w:sz w:val="18"/>
                <w:szCs w:val="18"/>
              </w:rPr>
              <w:t>Code</w:t>
            </w:r>
          </w:p>
        </w:tc>
        <w:tc>
          <w:tcPr>
            <w:tcW w:w="2977" w:type="dxa"/>
          </w:tcPr>
          <w:p w14:paraId="0BAC54B8" w14:textId="77777777" w:rsidR="004A38AE" w:rsidRPr="008340BB" w:rsidRDefault="004A38AE" w:rsidP="006E3778">
            <w:pPr>
              <w:jc w:val="center"/>
              <w:rPr>
                <w:sz w:val="20"/>
              </w:rPr>
            </w:pPr>
            <w:r w:rsidRPr="008340BB">
              <w:rPr>
                <w:b/>
                <w:sz w:val="18"/>
                <w:szCs w:val="18"/>
              </w:rPr>
              <w:t>Amount (EUR)</w:t>
            </w:r>
          </w:p>
        </w:tc>
      </w:tr>
      <w:tr w:rsidR="004A38AE" w:rsidRPr="008340BB" w14:paraId="318B670B" w14:textId="77777777" w:rsidTr="006E3778">
        <w:tc>
          <w:tcPr>
            <w:tcW w:w="1401" w:type="dxa"/>
          </w:tcPr>
          <w:p w14:paraId="01C430BC" w14:textId="77777777" w:rsidR="004A38AE" w:rsidRPr="008340BB" w:rsidRDefault="004A38AE" w:rsidP="006E3778">
            <w:pPr>
              <w:pStyle w:val="Text1"/>
              <w:ind w:left="0"/>
              <w:jc w:val="left"/>
              <w:rPr>
                <w:b/>
                <w:sz w:val="18"/>
                <w:szCs w:val="18"/>
                <w:lang w:val="en-GB" w:eastAsia="en-GB"/>
              </w:rPr>
            </w:pPr>
            <w:r w:rsidRPr="008340BB">
              <w:rPr>
                <w:sz w:val="18"/>
                <w:szCs w:val="18"/>
                <w:lang w:val="en-GB" w:eastAsia="en-GB"/>
              </w:rPr>
              <w:lastRenderedPageBreak/>
              <w:t>ERDF</w:t>
            </w:r>
          </w:p>
        </w:tc>
        <w:tc>
          <w:tcPr>
            <w:tcW w:w="1401" w:type="dxa"/>
          </w:tcPr>
          <w:p w14:paraId="5E8E4F9F" w14:textId="77777777" w:rsidR="004A38AE" w:rsidRPr="008340BB" w:rsidRDefault="004A38AE" w:rsidP="006E3778">
            <w:pPr>
              <w:pStyle w:val="Text1"/>
              <w:ind w:left="0"/>
              <w:jc w:val="left"/>
              <w:rPr>
                <w:b/>
                <w:sz w:val="18"/>
                <w:szCs w:val="18"/>
                <w:lang w:val="en-GB" w:eastAsia="en-GB"/>
              </w:rPr>
            </w:pPr>
            <w:r w:rsidRPr="008340BB">
              <w:rPr>
                <w:sz w:val="18"/>
                <w:szCs w:val="18"/>
                <w:lang w:val="en-GB" w:eastAsia="en-GB"/>
              </w:rPr>
              <w:t>Less developed</w:t>
            </w:r>
          </w:p>
        </w:tc>
        <w:tc>
          <w:tcPr>
            <w:tcW w:w="2693" w:type="dxa"/>
          </w:tcPr>
          <w:p w14:paraId="149170DE" w14:textId="516F34D7" w:rsidR="004A38AE" w:rsidRPr="008340BB" w:rsidRDefault="000D6084" w:rsidP="006E3778">
            <w:pPr>
              <w:pStyle w:val="Text1"/>
              <w:ind w:left="0"/>
              <w:jc w:val="left"/>
              <w:rPr>
                <w:sz w:val="18"/>
                <w:szCs w:val="18"/>
                <w:lang w:val="en-GB" w:eastAsia="en-GB"/>
              </w:rPr>
            </w:pPr>
            <w:r w:rsidRPr="000D6084">
              <w:rPr>
                <w:sz w:val="18"/>
                <w:szCs w:val="18"/>
                <w:lang w:val="en-GB" w:eastAsia="en-GB"/>
              </w:rPr>
              <w:t>001</w:t>
            </w:r>
          </w:p>
        </w:tc>
        <w:tc>
          <w:tcPr>
            <w:tcW w:w="2977" w:type="dxa"/>
          </w:tcPr>
          <w:p w14:paraId="24E4D0EC" w14:textId="77777777" w:rsidR="000D6084" w:rsidRPr="000D6084" w:rsidRDefault="000D6084" w:rsidP="000D6084">
            <w:pPr>
              <w:pStyle w:val="Text1"/>
              <w:ind w:left="0"/>
              <w:jc w:val="left"/>
              <w:rPr>
                <w:b/>
                <w:bCs/>
                <w:sz w:val="18"/>
                <w:szCs w:val="18"/>
              </w:rPr>
            </w:pPr>
            <w:r w:rsidRPr="000D6084">
              <w:rPr>
                <w:b/>
                <w:bCs/>
                <w:sz w:val="18"/>
                <w:szCs w:val="18"/>
              </w:rPr>
              <w:t>4 500 000,00</w:t>
            </w:r>
          </w:p>
          <w:p w14:paraId="6253525B" w14:textId="77777777" w:rsidR="004A38AE" w:rsidRPr="000E75C4" w:rsidRDefault="004A38AE" w:rsidP="006E3778">
            <w:pPr>
              <w:pStyle w:val="Text1"/>
              <w:ind w:left="0"/>
              <w:jc w:val="left"/>
              <w:rPr>
                <w:sz w:val="18"/>
                <w:szCs w:val="18"/>
                <w:lang w:val="en-GB" w:eastAsia="en-GB"/>
              </w:rPr>
            </w:pPr>
          </w:p>
        </w:tc>
      </w:tr>
      <w:tr w:rsidR="004A38AE" w:rsidRPr="008340BB" w14:paraId="0B4BD6F9" w14:textId="77777777" w:rsidTr="006E3778">
        <w:tc>
          <w:tcPr>
            <w:tcW w:w="1401" w:type="dxa"/>
          </w:tcPr>
          <w:p w14:paraId="4BFCDFBF" w14:textId="327F7533" w:rsidR="004A38AE" w:rsidRPr="008340BB" w:rsidRDefault="009565BA" w:rsidP="006E3778">
            <w:pPr>
              <w:pStyle w:val="Text1"/>
              <w:ind w:left="0"/>
              <w:jc w:val="left"/>
              <w:rPr>
                <w:b/>
                <w:sz w:val="18"/>
                <w:szCs w:val="18"/>
                <w:lang w:val="en-GB" w:eastAsia="en-GB"/>
              </w:rPr>
            </w:pPr>
            <w:r>
              <w:rPr>
                <w:sz w:val="18"/>
                <w:szCs w:val="18"/>
                <w:lang w:val="en-US" w:eastAsia="en-GB"/>
              </w:rPr>
              <w:t>C</w:t>
            </w:r>
            <w:r w:rsidR="004A38AE" w:rsidRPr="008340BB">
              <w:rPr>
                <w:sz w:val="18"/>
                <w:szCs w:val="18"/>
                <w:lang w:val="en-GB" w:eastAsia="en-GB"/>
              </w:rPr>
              <w:t>F</w:t>
            </w:r>
          </w:p>
        </w:tc>
        <w:tc>
          <w:tcPr>
            <w:tcW w:w="1401" w:type="dxa"/>
          </w:tcPr>
          <w:p w14:paraId="3F20788E" w14:textId="08F3E14E" w:rsidR="004A38AE" w:rsidRPr="008340BB" w:rsidRDefault="00222750" w:rsidP="006E3778">
            <w:pPr>
              <w:pStyle w:val="Text1"/>
              <w:ind w:left="0"/>
              <w:jc w:val="left"/>
              <w:rPr>
                <w:b/>
                <w:sz w:val="18"/>
                <w:szCs w:val="18"/>
                <w:lang w:val="en-GB" w:eastAsia="en-GB"/>
              </w:rPr>
            </w:pPr>
            <w:r>
              <w:rPr>
                <w:sz w:val="18"/>
                <w:szCs w:val="18"/>
                <w:lang w:val="en-GB" w:eastAsia="en-GB"/>
              </w:rPr>
              <w:t>NA</w:t>
            </w:r>
          </w:p>
        </w:tc>
        <w:tc>
          <w:tcPr>
            <w:tcW w:w="2693" w:type="dxa"/>
          </w:tcPr>
          <w:p w14:paraId="5BBDB514" w14:textId="719F8B5F" w:rsidR="004A38AE" w:rsidRPr="008340BB" w:rsidRDefault="000D6084" w:rsidP="006E3778">
            <w:pPr>
              <w:pStyle w:val="Text1"/>
              <w:ind w:left="0"/>
              <w:jc w:val="left"/>
              <w:rPr>
                <w:sz w:val="18"/>
                <w:szCs w:val="18"/>
                <w:lang w:val="en-GB" w:eastAsia="en-GB"/>
              </w:rPr>
            </w:pPr>
            <w:r w:rsidRPr="000D6084">
              <w:rPr>
                <w:sz w:val="18"/>
                <w:szCs w:val="18"/>
                <w:lang w:val="en-GB" w:eastAsia="en-GB"/>
              </w:rPr>
              <w:t>001</w:t>
            </w:r>
          </w:p>
        </w:tc>
        <w:tc>
          <w:tcPr>
            <w:tcW w:w="2977" w:type="dxa"/>
          </w:tcPr>
          <w:p w14:paraId="4EA576B1" w14:textId="77777777" w:rsidR="000D6084" w:rsidRPr="000D6084" w:rsidRDefault="000D6084" w:rsidP="000D6084">
            <w:pPr>
              <w:pStyle w:val="Text1"/>
              <w:ind w:left="0"/>
              <w:jc w:val="left"/>
              <w:rPr>
                <w:b/>
                <w:bCs/>
                <w:sz w:val="18"/>
                <w:szCs w:val="18"/>
              </w:rPr>
            </w:pPr>
            <w:r w:rsidRPr="000D6084">
              <w:rPr>
                <w:b/>
                <w:bCs/>
                <w:sz w:val="18"/>
                <w:szCs w:val="18"/>
              </w:rPr>
              <w:t>140 500 000,00</w:t>
            </w:r>
          </w:p>
          <w:p w14:paraId="6D0F9ECC" w14:textId="77777777" w:rsidR="004A38AE" w:rsidRPr="000E75C4" w:rsidRDefault="004A38AE" w:rsidP="006E3778">
            <w:pPr>
              <w:pStyle w:val="Text1"/>
              <w:ind w:left="0"/>
              <w:jc w:val="left"/>
              <w:rPr>
                <w:sz w:val="18"/>
                <w:szCs w:val="18"/>
                <w:lang w:val="en-GB" w:eastAsia="en-GB"/>
              </w:rPr>
            </w:pPr>
          </w:p>
        </w:tc>
      </w:tr>
    </w:tbl>
    <w:p w14:paraId="08E88FFA" w14:textId="77777777" w:rsidR="004A38AE" w:rsidRPr="008340BB" w:rsidRDefault="004A38AE" w:rsidP="004A38A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4A38AE" w:rsidRPr="008340BB" w14:paraId="50EF3050" w14:textId="77777777" w:rsidTr="006E3778">
        <w:trPr>
          <w:trHeight w:val="364"/>
        </w:trPr>
        <w:tc>
          <w:tcPr>
            <w:tcW w:w="8472" w:type="dxa"/>
            <w:gridSpan w:val="4"/>
          </w:tcPr>
          <w:p w14:paraId="5CE82563" w14:textId="77777777" w:rsidR="004A38AE" w:rsidRPr="008340BB" w:rsidRDefault="004A38AE" w:rsidP="006E3778">
            <w:pPr>
              <w:autoSpaceDE w:val="0"/>
              <w:autoSpaceDN w:val="0"/>
              <w:adjustRightInd w:val="0"/>
              <w:spacing w:after="0"/>
              <w:jc w:val="left"/>
              <w:rPr>
                <w:rFonts w:ascii="TimesNewRoman" w:cs="TimesNewRoman"/>
                <w:b/>
                <w:color w:val="000000"/>
                <w:sz w:val="20"/>
              </w:rPr>
            </w:pPr>
            <w:r w:rsidRPr="008340BB">
              <w:rPr>
                <w:rFonts w:ascii="TimesNewRoman,Bold" w:hAnsi="TimesNewRoman,Bold" w:cs="TimesNewRoman,Bold"/>
                <w:b/>
                <w:bCs/>
                <w:color w:val="000000"/>
                <w:sz w:val="20"/>
              </w:rPr>
              <w:t>Table 8: Dimension 2 – Form of finance</w:t>
            </w:r>
          </w:p>
        </w:tc>
      </w:tr>
      <w:tr w:rsidR="004A38AE" w:rsidRPr="008340BB" w14:paraId="18F8A99A" w14:textId="77777777" w:rsidTr="006E3778">
        <w:trPr>
          <w:trHeight w:val="364"/>
        </w:trPr>
        <w:tc>
          <w:tcPr>
            <w:tcW w:w="2802" w:type="dxa"/>
            <w:gridSpan w:val="2"/>
          </w:tcPr>
          <w:p w14:paraId="031D55BE" w14:textId="77777777" w:rsidR="004A38AE" w:rsidRPr="008340BB" w:rsidRDefault="004A38AE" w:rsidP="006E3778">
            <w:pPr>
              <w:autoSpaceDE w:val="0"/>
              <w:autoSpaceDN w:val="0"/>
              <w:adjustRightInd w:val="0"/>
              <w:spacing w:after="0"/>
              <w:jc w:val="left"/>
              <w:rPr>
                <w:bCs/>
                <w:sz w:val="20"/>
              </w:rPr>
            </w:pPr>
            <w:r w:rsidRPr="008340BB">
              <w:rPr>
                <w:b/>
                <w:sz w:val="18"/>
                <w:szCs w:val="18"/>
              </w:rPr>
              <w:t>Priority axis</w:t>
            </w:r>
            <w:r w:rsidRPr="008340BB" w:rsidDel="009B2310">
              <w:rPr>
                <w:bCs/>
                <w:sz w:val="20"/>
              </w:rPr>
              <w:t xml:space="preserve"> </w:t>
            </w:r>
          </w:p>
        </w:tc>
        <w:tc>
          <w:tcPr>
            <w:tcW w:w="5670" w:type="dxa"/>
            <w:gridSpan w:val="2"/>
          </w:tcPr>
          <w:p w14:paraId="176F03FC" w14:textId="2E7F13C8" w:rsidR="004A38AE" w:rsidRPr="008340BB" w:rsidRDefault="004A38AE" w:rsidP="006E3778">
            <w:pPr>
              <w:autoSpaceDE w:val="0"/>
              <w:autoSpaceDN w:val="0"/>
              <w:adjustRightInd w:val="0"/>
              <w:spacing w:after="0"/>
              <w:rPr>
                <w:bCs/>
                <w:sz w:val="20"/>
              </w:rPr>
            </w:pPr>
          </w:p>
        </w:tc>
      </w:tr>
      <w:tr w:rsidR="004A38AE" w:rsidRPr="008340BB" w14:paraId="17BA4C6A" w14:textId="77777777" w:rsidTr="006E3778">
        <w:trPr>
          <w:trHeight w:val="421"/>
        </w:trPr>
        <w:tc>
          <w:tcPr>
            <w:tcW w:w="1401" w:type="dxa"/>
          </w:tcPr>
          <w:p w14:paraId="168F3544" w14:textId="77777777" w:rsidR="004A38AE" w:rsidRPr="008340BB" w:rsidRDefault="004A38AE" w:rsidP="006E3778">
            <w:pPr>
              <w:suppressAutoHyphens/>
              <w:jc w:val="center"/>
              <w:rPr>
                <w:i/>
                <w:color w:val="8DB3E2"/>
                <w:sz w:val="18"/>
                <w:szCs w:val="18"/>
              </w:rPr>
            </w:pPr>
            <w:r w:rsidRPr="008340BB">
              <w:rPr>
                <w:b/>
                <w:sz w:val="18"/>
                <w:szCs w:val="18"/>
              </w:rPr>
              <w:t>Fund</w:t>
            </w:r>
          </w:p>
        </w:tc>
        <w:tc>
          <w:tcPr>
            <w:tcW w:w="1401" w:type="dxa"/>
          </w:tcPr>
          <w:p w14:paraId="0EFB2DA6" w14:textId="77777777" w:rsidR="004A38AE" w:rsidRPr="008340BB" w:rsidRDefault="004A38AE" w:rsidP="006E3778">
            <w:pPr>
              <w:pStyle w:val="Text1"/>
              <w:ind w:left="0"/>
              <w:jc w:val="center"/>
              <w:rPr>
                <w:b/>
                <w:sz w:val="18"/>
                <w:szCs w:val="18"/>
                <w:lang w:val="en-GB" w:eastAsia="en-GB"/>
              </w:rPr>
            </w:pPr>
            <w:r w:rsidRPr="008340BB">
              <w:rPr>
                <w:b/>
                <w:sz w:val="18"/>
                <w:szCs w:val="18"/>
                <w:lang w:val="en-GB" w:eastAsia="en-GB"/>
              </w:rPr>
              <w:t>Category of region</w:t>
            </w:r>
          </w:p>
        </w:tc>
        <w:tc>
          <w:tcPr>
            <w:tcW w:w="2693" w:type="dxa"/>
          </w:tcPr>
          <w:p w14:paraId="5512F8C5" w14:textId="77777777" w:rsidR="004A38AE" w:rsidRPr="008340BB" w:rsidRDefault="004A38AE" w:rsidP="006E3778">
            <w:pPr>
              <w:jc w:val="center"/>
              <w:rPr>
                <w:sz w:val="20"/>
              </w:rPr>
            </w:pPr>
            <w:r w:rsidRPr="008340BB">
              <w:rPr>
                <w:b/>
                <w:sz w:val="18"/>
                <w:szCs w:val="18"/>
              </w:rPr>
              <w:t>Code</w:t>
            </w:r>
          </w:p>
        </w:tc>
        <w:tc>
          <w:tcPr>
            <w:tcW w:w="2977" w:type="dxa"/>
          </w:tcPr>
          <w:p w14:paraId="53DE71A3" w14:textId="77777777" w:rsidR="004A38AE" w:rsidRPr="008340BB" w:rsidRDefault="004A38AE" w:rsidP="006E3778">
            <w:pPr>
              <w:jc w:val="center"/>
              <w:rPr>
                <w:sz w:val="20"/>
              </w:rPr>
            </w:pPr>
            <w:r w:rsidRPr="008340BB">
              <w:rPr>
                <w:b/>
                <w:sz w:val="18"/>
                <w:szCs w:val="18"/>
              </w:rPr>
              <w:t>Amount (EUR)</w:t>
            </w:r>
          </w:p>
        </w:tc>
      </w:tr>
      <w:tr w:rsidR="004A38AE" w:rsidRPr="008340BB" w14:paraId="2A54EDBB" w14:textId="77777777" w:rsidTr="006E3778">
        <w:tc>
          <w:tcPr>
            <w:tcW w:w="1401" w:type="dxa"/>
          </w:tcPr>
          <w:p w14:paraId="066A6560" w14:textId="77777777" w:rsidR="004A38AE" w:rsidRDefault="004A38AE" w:rsidP="006E3778">
            <w:pPr>
              <w:pStyle w:val="Text1"/>
              <w:ind w:left="0"/>
              <w:jc w:val="left"/>
              <w:rPr>
                <w:sz w:val="18"/>
                <w:szCs w:val="18"/>
                <w:lang w:val="en-GB" w:eastAsia="en-GB"/>
              </w:rPr>
            </w:pPr>
            <w:r w:rsidRPr="008340BB">
              <w:rPr>
                <w:sz w:val="18"/>
                <w:szCs w:val="18"/>
                <w:lang w:val="en-GB" w:eastAsia="en-GB"/>
              </w:rPr>
              <w:t>ERDF</w:t>
            </w:r>
          </w:p>
          <w:p w14:paraId="0D714FD2" w14:textId="77777777" w:rsidR="00895F0C" w:rsidRDefault="00895F0C" w:rsidP="006E3778">
            <w:pPr>
              <w:pStyle w:val="Text1"/>
              <w:ind w:left="0"/>
              <w:jc w:val="left"/>
              <w:rPr>
                <w:sz w:val="18"/>
                <w:szCs w:val="18"/>
                <w:lang w:val="en-GB" w:eastAsia="en-GB"/>
              </w:rPr>
            </w:pPr>
          </w:p>
          <w:p w14:paraId="61123BF3" w14:textId="7F378602" w:rsidR="00895F0C" w:rsidRPr="008340BB" w:rsidRDefault="00895F0C" w:rsidP="006E3778">
            <w:pPr>
              <w:pStyle w:val="Text1"/>
              <w:ind w:left="0"/>
              <w:jc w:val="left"/>
              <w:rPr>
                <w:sz w:val="18"/>
                <w:szCs w:val="18"/>
                <w:lang w:val="en-GB" w:eastAsia="en-GB"/>
              </w:rPr>
            </w:pPr>
            <w:r>
              <w:rPr>
                <w:sz w:val="18"/>
                <w:szCs w:val="18"/>
                <w:lang w:val="en-GB" w:eastAsia="en-GB"/>
              </w:rPr>
              <w:t>CF</w:t>
            </w:r>
          </w:p>
        </w:tc>
        <w:tc>
          <w:tcPr>
            <w:tcW w:w="1401" w:type="dxa"/>
          </w:tcPr>
          <w:p w14:paraId="0DC149FE" w14:textId="77777777" w:rsidR="004A38AE" w:rsidRDefault="004A38AE" w:rsidP="006E3778">
            <w:pPr>
              <w:pStyle w:val="Text1"/>
              <w:ind w:left="0"/>
              <w:jc w:val="left"/>
              <w:rPr>
                <w:sz w:val="18"/>
                <w:szCs w:val="18"/>
                <w:lang w:val="en-GB" w:eastAsia="en-GB"/>
              </w:rPr>
            </w:pPr>
            <w:r w:rsidRPr="008340BB">
              <w:rPr>
                <w:sz w:val="18"/>
                <w:szCs w:val="18"/>
                <w:lang w:val="en-GB" w:eastAsia="en-GB"/>
              </w:rPr>
              <w:t>Less developed</w:t>
            </w:r>
          </w:p>
          <w:p w14:paraId="0EE4AFD9" w14:textId="77777777" w:rsidR="00895F0C" w:rsidRDefault="00895F0C" w:rsidP="006E3778">
            <w:pPr>
              <w:pStyle w:val="Text1"/>
              <w:ind w:left="0"/>
              <w:jc w:val="left"/>
              <w:rPr>
                <w:sz w:val="18"/>
                <w:szCs w:val="18"/>
                <w:lang w:val="en-GB" w:eastAsia="en-GB"/>
              </w:rPr>
            </w:pPr>
          </w:p>
          <w:p w14:paraId="1392B105" w14:textId="7D8DFE2F" w:rsidR="00895F0C" w:rsidRPr="008340BB" w:rsidRDefault="00895F0C" w:rsidP="006E3778">
            <w:pPr>
              <w:pStyle w:val="Text1"/>
              <w:ind w:left="0"/>
              <w:jc w:val="left"/>
              <w:rPr>
                <w:sz w:val="18"/>
                <w:szCs w:val="18"/>
                <w:lang w:val="en-GB" w:eastAsia="en-GB"/>
              </w:rPr>
            </w:pPr>
            <w:r w:rsidRPr="00895F0C">
              <w:rPr>
                <w:sz w:val="18"/>
                <w:szCs w:val="18"/>
                <w:lang w:val="en-GB" w:eastAsia="en-GB"/>
              </w:rPr>
              <w:t>NA</w:t>
            </w:r>
          </w:p>
        </w:tc>
        <w:tc>
          <w:tcPr>
            <w:tcW w:w="2693" w:type="dxa"/>
          </w:tcPr>
          <w:p w14:paraId="127ACCF1" w14:textId="77777777" w:rsidR="004A38AE" w:rsidRDefault="004A38AE" w:rsidP="006E3778">
            <w:pPr>
              <w:pStyle w:val="Text1"/>
              <w:ind w:left="0"/>
              <w:jc w:val="left"/>
              <w:rPr>
                <w:sz w:val="18"/>
                <w:szCs w:val="18"/>
                <w:lang w:val="en-GB" w:eastAsia="en-GB"/>
              </w:rPr>
            </w:pPr>
            <w:r w:rsidRPr="008340BB">
              <w:rPr>
                <w:sz w:val="18"/>
                <w:szCs w:val="18"/>
                <w:lang w:val="en-GB" w:eastAsia="en-GB"/>
              </w:rPr>
              <w:t xml:space="preserve">01 Non-repayable grant </w:t>
            </w:r>
          </w:p>
          <w:p w14:paraId="6C1BE3F8" w14:textId="77777777" w:rsidR="00895F0C" w:rsidRDefault="00895F0C" w:rsidP="006E3778">
            <w:pPr>
              <w:pStyle w:val="Text1"/>
              <w:ind w:left="0"/>
              <w:jc w:val="left"/>
              <w:rPr>
                <w:sz w:val="18"/>
                <w:szCs w:val="18"/>
                <w:lang w:val="en-GB" w:eastAsia="en-GB"/>
              </w:rPr>
            </w:pPr>
          </w:p>
          <w:p w14:paraId="7D9DDB30" w14:textId="114F0998" w:rsidR="00895F0C" w:rsidRPr="008340BB" w:rsidRDefault="00895F0C" w:rsidP="006E3778">
            <w:pPr>
              <w:pStyle w:val="Text1"/>
              <w:ind w:left="0"/>
              <w:jc w:val="left"/>
              <w:rPr>
                <w:sz w:val="18"/>
                <w:szCs w:val="18"/>
                <w:lang w:val="en-GB" w:eastAsia="en-GB"/>
              </w:rPr>
            </w:pPr>
            <w:r w:rsidRPr="00895F0C">
              <w:rPr>
                <w:sz w:val="18"/>
                <w:szCs w:val="18"/>
                <w:lang w:val="en-GB" w:eastAsia="en-GB"/>
              </w:rPr>
              <w:t>01 Non-repayable grant</w:t>
            </w:r>
          </w:p>
        </w:tc>
        <w:tc>
          <w:tcPr>
            <w:tcW w:w="2977" w:type="dxa"/>
          </w:tcPr>
          <w:p w14:paraId="57B1843E" w14:textId="77777777" w:rsidR="00D003C4" w:rsidRPr="00D003C4" w:rsidRDefault="00D003C4" w:rsidP="00D003C4">
            <w:pPr>
              <w:rPr>
                <w:b/>
                <w:bCs/>
                <w:sz w:val="18"/>
                <w:szCs w:val="18"/>
                <w:lang w:val="bg-BG"/>
              </w:rPr>
            </w:pPr>
            <w:r w:rsidRPr="00D003C4">
              <w:rPr>
                <w:b/>
                <w:bCs/>
                <w:sz w:val="18"/>
                <w:szCs w:val="18"/>
                <w:lang w:val="bg-BG"/>
              </w:rPr>
              <w:t>4 500 000,00</w:t>
            </w:r>
          </w:p>
          <w:p w14:paraId="45802BDD" w14:textId="77777777" w:rsidR="004A38AE" w:rsidRDefault="004A38AE" w:rsidP="00895F0C">
            <w:pPr>
              <w:rPr>
                <w:sz w:val="18"/>
                <w:szCs w:val="18"/>
              </w:rPr>
            </w:pPr>
          </w:p>
          <w:p w14:paraId="064E9504" w14:textId="77777777" w:rsidR="00D003C4" w:rsidRPr="00D003C4" w:rsidRDefault="00D003C4" w:rsidP="00D003C4">
            <w:pPr>
              <w:rPr>
                <w:b/>
                <w:bCs/>
                <w:sz w:val="18"/>
                <w:szCs w:val="18"/>
                <w:lang w:val="bg-BG"/>
              </w:rPr>
            </w:pPr>
            <w:r w:rsidRPr="00D003C4">
              <w:rPr>
                <w:b/>
                <w:bCs/>
                <w:sz w:val="18"/>
                <w:szCs w:val="18"/>
                <w:lang w:val="bg-BG"/>
              </w:rPr>
              <w:t>140 500 000,00</w:t>
            </w:r>
          </w:p>
          <w:p w14:paraId="015B6596" w14:textId="7DC68F9B" w:rsidR="00D003C4" w:rsidRPr="008340BB" w:rsidRDefault="00D003C4" w:rsidP="00895F0C">
            <w:pPr>
              <w:rPr>
                <w:sz w:val="18"/>
                <w:szCs w:val="18"/>
              </w:rPr>
            </w:pPr>
          </w:p>
        </w:tc>
      </w:tr>
    </w:tbl>
    <w:p w14:paraId="1730E84B" w14:textId="77777777" w:rsidR="004A38AE" w:rsidRPr="008340BB" w:rsidRDefault="004A38AE" w:rsidP="004A38A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4A38AE" w:rsidRPr="008340BB" w14:paraId="69E24A89" w14:textId="77777777" w:rsidTr="006E3778">
        <w:trPr>
          <w:trHeight w:val="364"/>
        </w:trPr>
        <w:tc>
          <w:tcPr>
            <w:tcW w:w="8472" w:type="dxa"/>
            <w:gridSpan w:val="4"/>
          </w:tcPr>
          <w:p w14:paraId="4A4C3D8E" w14:textId="77777777" w:rsidR="004A38AE" w:rsidRPr="008340BB" w:rsidRDefault="004A38AE" w:rsidP="006E3778">
            <w:pPr>
              <w:autoSpaceDE w:val="0"/>
              <w:autoSpaceDN w:val="0"/>
              <w:adjustRightInd w:val="0"/>
              <w:spacing w:after="0"/>
              <w:jc w:val="left"/>
              <w:rPr>
                <w:rFonts w:ascii="TimesNewRoman" w:cs="TimesNewRoman"/>
                <w:b/>
                <w:color w:val="000000"/>
                <w:sz w:val="20"/>
              </w:rPr>
            </w:pPr>
            <w:r w:rsidRPr="008340BB">
              <w:rPr>
                <w:rFonts w:ascii="TimesNewRoman,Bold" w:hAnsi="TimesNewRoman,Bold" w:cs="TimesNewRoman,Bold"/>
                <w:b/>
                <w:bCs/>
                <w:color w:val="000000"/>
                <w:sz w:val="20"/>
              </w:rPr>
              <w:t>Table 9: Dimension 3 – Territory type</w:t>
            </w:r>
          </w:p>
        </w:tc>
      </w:tr>
      <w:tr w:rsidR="004A38AE" w:rsidRPr="008340BB" w14:paraId="21AA84FB" w14:textId="77777777" w:rsidTr="006E3778">
        <w:trPr>
          <w:trHeight w:val="364"/>
        </w:trPr>
        <w:tc>
          <w:tcPr>
            <w:tcW w:w="2802" w:type="dxa"/>
            <w:gridSpan w:val="2"/>
          </w:tcPr>
          <w:p w14:paraId="2952591D" w14:textId="77777777" w:rsidR="004A38AE" w:rsidRPr="008340BB" w:rsidRDefault="004A38AE" w:rsidP="006E3778">
            <w:pPr>
              <w:autoSpaceDE w:val="0"/>
              <w:autoSpaceDN w:val="0"/>
              <w:adjustRightInd w:val="0"/>
              <w:spacing w:after="0"/>
              <w:jc w:val="left"/>
              <w:rPr>
                <w:bCs/>
                <w:sz w:val="20"/>
              </w:rPr>
            </w:pPr>
            <w:r w:rsidRPr="008340BB">
              <w:rPr>
                <w:b/>
                <w:sz w:val="18"/>
                <w:szCs w:val="18"/>
              </w:rPr>
              <w:t>Priority axis</w:t>
            </w:r>
            <w:r w:rsidRPr="008340BB" w:rsidDel="009B2310">
              <w:rPr>
                <w:bCs/>
                <w:sz w:val="20"/>
              </w:rPr>
              <w:t xml:space="preserve"> </w:t>
            </w:r>
          </w:p>
        </w:tc>
        <w:tc>
          <w:tcPr>
            <w:tcW w:w="5670" w:type="dxa"/>
            <w:gridSpan w:val="2"/>
          </w:tcPr>
          <w:p w14:paraId="5731843A" w14:textId="5A715491" w:rsidR="004A38AE" w:rsidRPr="008340BB" w:rsidRDefault="004A38AE" w:rsidP="006E3778">
            <w:pPr>
              <w:autoSpaceDE w:val="0"/>
              <w:autoSpaceDN w:val="0"/>
              <w:adjustRightInd w:val="0"/>
              <w:spacing w:after="0"/>
              <w:rPr>
                <w:bCs/>
                <w:sz w:val="20"/>
              </w:rPr>
            </w:pPr>
          </w:p>
        </w:tc>
      </w:tr>
      <w:tr w:rsidR="004A38AE" w:rsidRPr="008340BB" w14:paraId="111FBA23" w14:textId="77777777" w:rsidTr="006E3778">
        <w:trPr>
          <w:trHeight w:val="267"/>
        </w:trPr>
        <w:tc>
          <w:tcPr>
            <w:tcW w:w="1401" w:type="dxa"/>
          </w:tcPr>
          <w:p w14:paraId="25BC57D8" w14:textId="77777777" w:rsidR="004A38AE" w:rsidRPr="008340BB" w:rsidRDefault="004A38AE" w:rsidP="006E3778">
            <w:pPr>
              <w:jc w:val="center"/>
              <w:rPr>
                <w:b/>
                <w:sz w:val="18"/>
                <w:szCs w:val="18"/>
              </w:rPr>
            </w:pPr>
            <w:r w:rsidRPr="008340BB">
              <w:rPr>
                <w:b/>
                <w:sz w:val="18"/>
                <w:szCs w:val="18"/>
              </w:rPr>
              <w:t>Fund</w:t>
            </w:r>
          </w:p>
        </w:tc>
        <w:tc>
          <w:tcPr>
            <w:tcW w:w="1401" w:type="dxa"/>
          </w:tcPr>
          <w:p w14:paraId="4582B7F5" w14:textId="77777777" w:rsidR="004A38AE" w:rsidRPr="008340BB" w:rsidRDefault="004A38AE" w:rsidP="006E3778">
            <w:pPr>
              <w:jc w:val="center"/>
              <w:rPr>
                <w:b/>
                <w:sz w:val="18"/>
                <w:szCs w:val="18"/>
              </w:rPr>
            </w:pPr>
            <w:r w:rsidRPr="008340BB">
              <w:rPr>
                <w:b/>
                <w:sz w:val="18"/>
                <w:szCs w:val="18"/>
              </w:rPr>
              <w:t>Category of region</w:t>
            </w:r>
          </w:p>
        </w:tc>
        <w:tc>
          <w:tcPr>
            <w:tcW w:w="2693" w:type="dxa"/>
          </w:tcPr>
          <w:p w14:paraId="42D81E93" w14:textId="77777777" w:rsidR="004A38AE" w:rsidRPr="008340BB" w:rsidRDefault="004A38AE" w:rsidP="006E3778">
            <w:pPr>
              <w:jc w:val="center"/>
              <w:rPr>
                <w:sz w:val="20"/>
              </w:rPr>
            </w:pPr>
            <w:r w:rsidRPr="008340BB">
              <w:rPr>
                <w:b/>
                <w:sz w:val="18"/>
                <w:szCs w:val="18"/>
              </w:rPr>
              <w:t>Code</w:t>
            </w:r>
          </w:p>
        </w:tc>
        <w:tc>
          <w:tcPr>
            <w:tcW w:w="2977" w:type="dxa"/>
          </w:tcPr>
          <w:p w14:paraId="7819CECE" w14:textId="77777777" w:rsidR="004A38AE" w:rsidRPr="008340BB" w:rsidRDefault="004A38AE" w:rsidP="006E3778">
            <w:pPr>
              <w:jc w:val="center"/>
              <w:rPr>
                <w:sz w:val="20"/>
              </w:rPr>
            </w:pPr>
            <w:r w:rsidRPr="008340BB">
              <w:rPr>
                <w:b/>
                <w:sz w:val="18"/>
                <w:szCs w:val="18"/>
              </w:rPr>
              <w:t>Amount (EUR)</w:t>
            </w:r>
          </w:p>
        </w:tc>
      </w:tr>
      <w:tr w:rsidR="004A38AE" w:rsidRPr="008340BB" w14:paraId="1B1F23A2" w14:textId="77777777" w:rsidTr="006E3778">
        <w:tc>
          <w:tcPr>
            <w:tcW w:w="1401" w:type="dxa"/>
          </w:tcPr>
          <w:p w14:paraId="09608ED1" w14:textId="77777777" w:rsidR="004A38AE" w:rsidRDefault="004A38AE" w:rsidP="006E3778">
            <w:pPr>
              <w:pStyle w:val="Text1"/>
              <w:ind w:left="0"/>
              <w:jc w:val="left"/>
              <w:rPr>
                <w:sz w:val="18"/>
                <w:szCs w:val="18"/>
                <w:lang w:val="en-GB" w:eastAsia="en-GB"/>
              </w:rPr>
            </w:pPr>
            <w:r w:rsidRPr="008340BB">
              <w:rPr>
                <w:sz w:val="18"/>
                <w:szCs w:val="18"/>
                <w:lang w:val="en-GB" w:eastAsia="en-GB"/>
              </w:rPr>
              <w:t>ERDF</w:t>
            </w:r>
          </w:p>
          <w:p w14:paraId="0B98002B" w14:textId="77777777" w:rsidR="00B56EB2" w:rsidRDefault="00B56EB2" w:rsidP="006E3778">
            <w:pPr>
              <w:pStyle w:val="Text1"/>
              <w:ind w:left="0"/>
              <w:jc w:val="left"/>
              <w:rPr>
                <w:sz w:val="18"/>
                <w:szCs w:val="18"/>
                <w:lang w:val="en-GB" w:eastAsia="en-GB"/>
              </w:rPr>
            </w:pPr>
          </w:p>
          <w:p w14:paraId="09348997" w14:textId="5A704408" w:rsidR="00B56EB2" w:rsidRPr="008340BB" w:rsidRDefault="00B56EB2" w:rsidP="006E3778">
            <w:pPr>
              <w:pStyle w:val="Text1"/>
              <w:ind w:left="0"/>
              <w:jc w:val="left"/>
              <w:rPr>
                <w:sz w:val="18"/>
                <w:szCs w:val="18"/>
                <w:lang w:val="en-GB" w:eastAsia="en-GB"/>
              </w:rPr>
            </w:pPr>
            <w:r w:rsidRPr="00B56EB2">
              <w:rPr>
                <w:sz w:val="18"/>
                <w:szCs w:val="18"/>
                <w:lang w:val="en-GB" w:eastAsia="en-GB"/>
              </w:rPr>
              <w:t>CF</w:t>
            </w:r>
          </w:p>
        </w:tc>
        <w:tc>
          <w:tcPr>
            <w:tcW w:w="1401" w:type="dxa"/>
          </w:tcPr>
          <w:p w14:paraId="51B22380" w14:textId="77777777" w:rsidR="004A38AE" w:rsidRDefault="004A38AE" w:rsidP="006E3778">
            <w:pPr>
              <w:pStyle w:val="Text1"/>
              <w:ind w:left="0"/>
              <w:jc w:val="left"/>
              <w:rPr>
                <w:sz w:val="18"/>
                <w:szCs w:val="18"/>
                <w:lang w:val="en-GB" w:eastAsia="en-GB"/>
              </w:rPr>
            </w:pPr>
            <w:r w:rsidRPr="008340BB">
              <w:rPr>
                <w:sz w:val="18"/>
                <w:szCs w:val="18"/>
                <w:lang w:val="en-GB" w:eastAsia="en-GB"/>
              </w:rPr>
              <w:t>Less developed</w:t>
            </w:r>
          </w:p>
          <w:p w14:paraId="6B1BC3EE" w14:textId="77777777" w:rsidR="00B56EB2" w:rsidRDefault="00B56EB2" w:rsidP="006E3778">
            <w:pPr>
              <w:pStyle w:val="Text1"/>
              <w:ind w:left="0"/>
              <w:jc w:val="left"/>
              <w:rPr>
                <w:sz w:val="18"/>
                <w:szCs w:val="18"/>
                <w:lang w:val="en-GB" w:eastAsia="en-GB"/>
              </w:rPr>
            </w:pPr>
          </w:p>
          <w:p w14:paraId="3F8F1429" w14:textId="3F12F833" w:rsidR="00B56EB2" w:rsidRPr="008340BB" w:rsidRDefault="00B56EB2" w:rsidP="006E3778">
            <w:pPr>
              <w:pStyle w:val="Text1"/>
              <w:ind w:left="0"/>
              <w:jc w:val="left"/>
              <w:rPr>
                <w:sz w:val="18"/>
                <w:szCs w:val="18"/>
                <w:lang w:val="en-GB" w:eastAsia="en-GB"/>
              </w:rPr>
            </w:pPr>
            <w:r w:rsidRPr="00B56EB2">
              <w:rPr>
                <w:sz w:val="18"/>
                <w:szCs w:val="18"/>
                <w:lang w:val="en-GB" w:eastAsia="en-GB"/>
              </w:rPr>
              <w:t>NA</w:t>
            </w:r>
          </w:p>
        </w:tc>
        <w:tc>
          <w:tcPr>
            <w:tcW w:w="2693" w:type="dxa"/>
          </w:tcPr>
          <w:p w14:paraId="2C908E69" w14:textId="77777777" w:rsidR="004A38AE" w:rsidRDefault="004A38AE" w:rsidP="006E3778">
            <w:pPr>
              <w:pStyle w:val="Text1"/>
              <w:ind w:left="0"/>
              <w:jc w:val="left"/>
              <w:rPr>
                <w:sz w:val="18"/>
                <w:szCs w:val="18"/>
                <w:lang w:val="en-GB" w:eastAsia="en-GB"/>
              </w:rPr>
            </w:pPr>
            <w:r w:rsidRPr="008340BB">
              <w:rPr>
                <w:sz w:val="18"/>
                <w:szCs w:val="18"/>
                <w:lang w:val="en-GB" w:eastAsia="en-GB"/>
              </w:rPr>
              <w:t xml:space="preserve">00 Not applicable </w:t>
            </w:r>
          </w:p>
          <w:p w14:paraId="757E9B96" w14:textId="77777777" w:rsidR="00B56EB2" w:rsidRDefault="00B56EB2" w:rsidP="006E3778">
            <w:pPr>
              <w:pStyle w:val="Text1"/>
              <w:ind w:left="0"/>
              <w:jc w:val="left"/>
              <w:rPr>
                <w:sz w:val="18"/>
                <w:szCs w:val="18"/>
                <w:lang w:val="en-GB" w:eastAsia="en-GB"/>
              </w:rPr>
            </w:pPr>
          </w:p>
          <w:p w14:paraId="6F054C79" w14:textId="61FC2B73" w:rsidR="00B56EB2" w:rsidRPr="008340BB" w:rsidRDefault="00B56EB2" w:rsidP="006E3778">
            <w:pPr>
              <w:pStyle w:val="Text1"/>
              <w:ind w:left="0"/>
              <w:jc w:val="left"/>
              <w:rPr>
                <w:sz w:val="18"/>
                <w:szCs w:val="18"/>
                <w:lang w:val="en-GB" w:eastAsia="en-GB"/>
              </w:rPr>
            </w:pPr>
            <w:r w:rsidRPr="00B56EB2">
              <w:rPr>
                <w:sz w:val="18"/>
                <w:szCs w:val="18"/>
                <w:lang w:val="en-GB" w:eastAsia="en-GB"/>
              </w:rPr>
              <w:t>00 Not applicable</w:t>
            </w:r>
          </w:p>
        </w:tc>
        <w:tc>
          <w:tcPr>
            <w:tcW w:w="2977" w:type="dxa"/>
          </w:tcPr>
          <w:p w14:paraId="40DAAB98" w14:textId="2A269F66" w:rsidR="001436DA" w:rsidRDefault="001436DA" w:rsidP="001436DA">
            <w:pPr>
              <w:rPr>
                <w:b/>
                <w:bCs/>
                <w:sz w:val="18"/>
                <w:szCs w:val="18"/>
                <w:lang w:val="bg-BG"/>
              </w:rPr>
            </w:pPr>
            <w:r w:rsidRPr="001436DA">
              <w:rPr>
                <w:b/>
                <w:bCs/>
                <w:sz w:val="18"/>
                <w:szCs w:val="18"/>
                <w:lang w:val="bg-BG"/>
              </w:rPr>
              <w:t>4 500 000,00</w:t>
            </w:r>
          </w:p>
          <w:p w14:paraId="26BDD9AF" w14:textId="77777777" w:rsidR="001436DA" w:rsidRPr="001436DA" w:rsidRDefault="001436DA" w:rsidP="001436DA">
            <w:pPr>
              <w:rPr>
                <w:b/>
                <w:bCs/>
                <w:sz w:val="18"/>
                <w:szCs w:val="18"/>
                <w:lang w:val="bg-BG"/>
              </w:rPr>
            </w:pPr>
          </w:p>
          <w:p w14:paraId="166C7254" w14:textId="77777777" w:rsidR="001436DA" w:rsidRPr="001436DA" w:rsidRDefault="001436DA" w:rsidP="001436DA">
            <w:pPr>
              <w:rPr>
                <w:b/>
                <w:bCs/>
                <w:sz w:val="18"/>
                <w:szCs w:val="18"/>
                <w:lang w:val="bg-BG"/>
              </w:rPr>
            </w:pPr>
            <w:r w:rsidRPr="001436DA">
              <w:rPr>
                <w:b/>
                <w:bCs/>
                <w:sz w:val="18"/>
                <w:szCs w:val="18"/>
                <w:lang w:val="bg-BG"/>
              </w:rPr>
              <w:t>140 500 000,00</w:t>
            </w:r>
          </w:p>
          <w:p w14:paraId="3953A728" w14:textId="0A4A4672" w:rsidR="004A38AE" w:rsidRPr="005D16E3" w:rsidRDefault="004A38AE" w:rsidP="006E3778">
            <w:pPr>
              <w:rPr>
                <w:b/>
                <w:sz w:val="18"/>
                <w:szCs w:val="18"/>
              </w:rPr>
            </w:pPr>
          </w:p>
          <w:p w14:paraId="59408445" w14:textId="77777777" w:rsidR="004A38AE" w:rsidRPr="008340BB" w:rsidRDefault="004A38AE" w:rsidP="006E3778">
            <w:pPr>
              <w:pStyle w:val="Text1"/>
              <w:ind w:left="0"/>
              <w:jc w:val="left"/>
              <w:rPr>
                <w:sz w:val="18"/>
                <w:szCs w:val="18"/>
                <w:lang w:val="en-GB" w:eastAsia="en-GB"/>
              </w:rPr>
            </w:pPr>
          </w:p>
        </w:tc>
      </w:tr>
    </w:tbl>
    <w:p w14:paraId="14A6CC28" w14:textId="77777777" w:rsidR="004A38AE" w:rsidRPr="008340BB" w:rsidRDefault="004A38AE" w:rsidP="004A38A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4A38AE" w:rsidRPr="008340BB" w14:paraId="45C4E0AF" w14:textId="77777777" w:rsidTr="006E3778">
        <w:trPr>
          <w:trHeight w:val="364"/>
        </w:trPr>
        <w:tc>
          <w:tcPr>
            <w:tcW w:w="8472" w:type="dxa"/>
            <w:gridSpan w:val="4"/>
          </w:tcPr>
          <w:p w14:paraId="5DF2C6E3" w14:textId="77777777" w:rsidR="004A38AE" w:rsidRPr="008340BB" w:rsidRDefault="004A38AE" w:rsidP="006E3778">
            <w:pPr>
              <w:autoSpaceDE w:val="0"/>
              <w:autoSpaceDN w:val="0"/>
              <w:adjustRightInd w:val="0"/>
              <w:spacing w:after="0"/>
              <w:jc w:val="left"/>
              <w:rPr>
                <w:rFonts w:ascii="TimesNewRoman" w:cs="TimesNewRoman"/>
                <w:b/>
                <w:color w:val="000000"/>
                <w:sz w:val="20"/>
              </w:rPr>
            </w:pPr>
            <w:r w:rsidRPr="008340BB">
              <w:rPr>
                <w:rFonts w:ascii="TimesNewRoman,Bold" w:hAnsi="TimesNewRoman,Bold" w:cs="TimesNewRoman,Bold"/>
                <w:b/>
                <w:bCs/>
                <w:color w:val="000000"/>
                <w:sz w:val="20"/>
              </w:rPr>
              <w:t>Table 10: Dimension 4 – Territorial delivery mechanisms</w:t>
            </w:r>
          </w:p>
        </w:tc>
      </w:tr>
      <w:tr w:rsidR="004A38AE" w:rsidRPr="008340BB" w14:paraId="00016048" w14:textId="77777777" w:rsidTr="006E3778">
        <w:trPr>
          <w:trHeight w:val="364"/>
        </w:trPr>
        <w:tc>
          <w:tcPr>
            <w:tcW w:w="2802" w:type="dxa"/>
            <w:gridSpan w:val="2"/>
          </w:tcPr>
          <w:p w14:paraId="2CEC7AD5" w14:textId="77777777" w:rsidR="004A38AE" w:rsidRPr="008340BB" w:rsidRDefault="004A38AE" w:rsidP="006E3778">
            <w:pPr>
              <w:autoSpaceDE w:val="0"/>
              <w:autoSpaceDN w:val="0"/>
              <w:adjustRightInd w:val="0"/>
              <w:spacing w:after="0"/>
              <w:jc w:val="left"/>
              <w:rPr>
                <w:bCs/>
                <w:sz w:val="20"/>
              </w:rPr>
            </w:pPr>
            <w:r w:rsidRPr="008340BB">
              <w:rPr>
                <w:b/>
                <w:sz w:val="18"/>
                <w:szCs w:val="18"/>
              </w:rPr>
              <w:t>Priority axis</w:t>
            </w:r>
            <w:r w:rsidRPr="008340BB" w:rsidDel="009B2310">
              <w:rPr>
                <w:bCs/>
                <w:sz w:val="20"/>
              </w:rPr>
              <w:t xml:space="preserve"> </w:t>
            </w:r>
          </w:p>
        </w:tc>
        <w:tc>
          <w:tcPr>
            <w:tcW w:w="5670" w:type="dxa"/>
            <w:gridSpan w:val="2"/>
          </w:tcPr>
          <w:p w14:paraId="07310E61" w14:textId="1B7F260B" w:rsidR="004A38AE" w:rsidRPr="008340BB" w:rsidRDefault="004A38AE" w:rsidP="006E3778">
            <w:pPr>
              <w:autoSpaceDE w:val="0"/>
              <w:autoSpaceDN w:val="0"/>
              <w:adjustRightInd w:val="0"/>
              <w:spacing w:after="0"/>
              <w:rPr>
                <w:bCs/>
                <w:sz w:val="20"/>
              </w:rPr>
            </w:pPr>
          </w:p>
        </w:tc>
      </w:tr>
      <w:tr w:rsidR="004A38AE" w:rsidRPr="008340BB" w14:paraId="67E5C055" w14:textId="77777777" w:rsidTr="006E3778">
        <w:trPr>
          <w:trHeight w:val="475"/>
        </w:trPr>
        <w:tc>
          <w:tcPr>
            <w:tcW w:w="1401" w:type="dxa"/>
          </w:tcPr>
          <w:p w14:paraId="4FD750BE" w14:textId="77777777" w:rsidR="004A38AE" w:rsidRPr="008340BB" w:rsidRDefault="004A38AE" w:rsidP="006E3778">
            <w:pPr>
              <w:suppressAutoHyphens/>
              <w:jc w:val="center"/>
              <w:rPr>
                <w:i/>
                <w:color w:val="8DB3E2"/>
                <w:sz w:val="18"/>
                <w:szCs w:val="18"/>
              </w:rPr>
            </w:pPr>
            <w:r w:rsidRPr="008340BB">
              <w:rPr>
                <w:b/>
                <w:sz w:val="18"/>
                <w:szCs w:val="18"/>
              </w:rPr>
              <w:t>Fund</w:t>
            </w:r>
          </w:p>
        </w:tc>
        <w:tc>
          <w:tcPr>
            <w:tcW w:w="1401" w:type="dxa"/>
          </w:tcPr>
          <w:p w14:paraId="124177C6" w14:textId="77777777" w:rsidR="004A38AE" w:rsidRPr="008340BB" w:rsidRDefault="004A38AE" w:rsidP="006E3778">
            <w:pPr>
              <w:pStyle w:val="Text1"/>
              <w:ind w:left="0"/>
              <w:jc w:val="center"/>
              <w:rPr>
                <w:b/>
                <w:sz w:val="18"/>
                <w:szCs w:val="18"/>
                <w:lang w:val="en-GB" w:eastAsia="en-GB"/>
              </w:rPr>
            </w:pPr>
            <w:r w:rsidRPr="008340BB">
              <w:rPr>
                <w:b/>
                <w:sz w:val="18"/>
                <w:szCs w:val="18"/>
                <w:lang w:val="en-GB" w:eastAsia="en-GB"/>
              </w:rPr>
              <w:t>Category of region</w:t>
            </w:r>
          </w:p>
        </w:tc>
        <w:tc>
          <w:tcPr>
            <w:tcW w:w="2693" w:type="dxa"/>
          </w:tcPr>
          <w:p w14:paraId="749C93BC" w14:textId="77777777" w:rsidR="004A38AE" w:rsidRPr="008340BB" w:rsidRDefault="004A38AE" w:rsidP="006E3778">
            <w:pPr>
              <w:jc w:val="center"/>
              <w:rPr>
                <w:sz w:val="20"/>
              </w:rPr>
            </w:pPr>
            <w:r w:rsidRPr="008340BB">
              <w:rPr>
                <w:b/>
                <w:sz w:val="18"/>
                <w:szCs w:val="18"/>
              </w:rPr>
              <w:t>Code</w:t>
            </w:r>
          </w:p>
        </w:tc>
        <w:tc>
          <w:tcPr>
            <w:tcW w:w="2977" w:type="dxa"/>
          </w:tcPr>
          <w:p w14:paraId="35DC84F7" w14:textId="77777777" w:rsidR="004A38AE" w:rsidRPr="008340BB" w:rsidRDefault="004A38AE" w:rsidP="006E3778">
            <w:pPr>
              <w:jc w:val="center"/>
              <w:rPr>
                <w:sz w:val="20"/>
              </w:rPr>
            </w:pPr>
            <w:r w:rsidRPr="008340BB">
              <w:rPr>
                <w:b/>
                <w:sz w:val="18"/>
                <w:szCs w:val="18"/>
              </w:rPr>
              <w:t>Amount (EUR)</w:t>
            </w:r>
          </w:p>
        </w:tc>
      </w:tr>
      <w:tr w:rsidR="004A38AE" w:rsidRPr="008340BB" w14:paraId="330CCC2F" w14:textId="77777777" w:rsidTr="006E3778">
        <w:tc>
          <w:tcPr>
            <w:tcW w:w="1401" w:type="dxa"/>
          </w:tcPr>
          <w:p w14:paraId="47DC2108" w14:textId="77777777" w:rsidR="004A38AE" w:rsidRDefault="004A38AE" w:rsidP="006E3778">
            <w:pPr>
              <w:pStyle w:val="Text1"/>
              <w:ind w:left="0"/>
              <w:jc w:val="left"/>
              <w:rPr>
                <w:sz w:val="18"/>
                <w:szCs w:val="18"/>
                <w:lang w:val="en-GB" w:eastAsia="en-GB"/>
              </w:rPr>
            </w:pPr>
            <w:r w:rsidRPr="008340BB">
              <w:rPr>
                <w:sz w:val="18"/>
                <w:szCs w:val="18"/>
                <w:lang w:val="en-GB" w:eastAsia="en-GB"/>
              </w:rPr>
              <w:t>ERDF</w:t>
            </w:r>
          </w:p>
          <w:p w14:paraId="427A2882" w14:textId="77777777" w:rsidR="0031034E" w:rsidRDefault="0031034E" w:rsidP="006E3778">
            <w:pPr>
              <w:pStyle w:val="Text1"/>
              <w:ind w:left="0"/>
              <w:jc w:val="left"/>
              <w:rPr>
                <w:sz w:val="18"/>
                <w:szCs w:val="18"/>
                <w:lang w:val="en-GB" w:eastAsia="en-GB"/>
              </w:rPr>
            </w:pPr>
          </w:p>
          <w:p w14:paraId="74107D74" w14:textId="219392DA" w:rsidR="0031034E" w:rsidRPr="008340BB" w:rsidRDefault="0031034E" w:rsidP="006E3778">
            <w:pPr>
              <w:pStyle w:val="Text1"/>
              <w:ind w:left="0"/>
              <w:jc w:val="left"/>
              <w:rPr>
                <w:sz w:val="18"/>
                <w:szCs w:val="18"/>
                <w:lang w:val="en-GB" w:eastAsia="en-GB"/>
              </w:rPr>
            </w:pPr>
            <w:r>
              <w:rPr>
                <w:sz w:val="18"/>
                <w:szCs w:val="18"/>
                <w:lang w:val="en-GB" w:eastAsia="en-GB"/>
              </w:rPr>
              <w:t>CF</w:t>
            </w:r>
          </w:p>
        </w:tc>
        <w:tc>
          <w:tcPr>
            <w:tcW w:w="1401" w:type="dxa"/>
          </w:tcPr>
          <w:p w14:paraId="3E4F9381" w14:textId="77777777" w:rsidR="004A38AE" w:rsidRDefault="004A38AE" w:rsidP="006E3778">
            <w:pPr>
              <w:pStyle w:val="Text1"/>
              <w:ind w:left="0"/>
              <w:jc w:val="left"/>
              <w:rPr>
                <w:sz w:val="18"/>
                <w:szCs w:val="18"/>
                <w:lang w:val="en-GB" w:eastAsia="en-GB"/>
              </w:rPr>
            </w:pPr>
            <w:r w:rsidRPr="008340BB">
              <w:rPr>
                <w:sz w:val="18"/>
                <w:szCs w:val="18"/>
                <w:lang w:val="en-GB" w:eastAsia="en-GB"/>
              </w:rPr>
              <w:t>Less developed</w:t>
            </w:r>
          </w:p>
          <w:p w14:paraId="04C4D4C2" w14:textId="77777777" w:rsidR="0031034E" w:rsidRDefault="0031034E" w:rsidP="006E3778">
            <w:pPr>
              <w:pStyle w:val="Text1"/>
              <w:ind w:left="0"/>
              <w:jc w:val="left"/>
              <w:rPr>
                <w:sz w:val="18"/>
                <w:szCs w:val="18"/>
                <w:lang w:val="en-GB" w:eastAsia="en-GB"/>
              </w:rPr>
            </w:pPr>
          </w:p>
          <w:p w14:paraId="37A9BFA8" w14:textId="798E9C64" w:rsidR="0031034E" w:rsidRPr="008340BB" w:rsidRDefault="0031034E" w:rsidP="006E3778">
            <w:pPr>
              <w:pStyle w:val="Text1"/>
              <w:ind w:left="0"/>
              <w:jc w:val="left"/>
              <w:rPr>
                <w:sz w:val="18"/>
                <w:szCs w:val="18"/>
                <w:lang w:val="en-GB" w:eastAsia="en-GB"/>
              </w:rPr>
            </w:pPr>
            <w:r w:rsidRPr="0031034E">
              <w:rPr>
                <w:sz w:val="18"/>
                <w:szCs w:val="18"/>
                <w:lang w:val="en-GB" w:eastAsia="en-GB"/>
              </w:rPr>
              <w:t>NA</w:t>
            </w:r>
          </w:p>
        </w:tc>
        <w:tc>
          <w:tcPr>
            <w:tcW w:w="2693" w:type="dxa"/>
          </w:tcPr>
          <w:p w14:paraId="4737B0AE" w14:textId="77777777" w:rsidR="004A38AE" w:rsidRDefault="004A38AE" w:rsidP="006E3778">
            <w:pPr>
              <w:pStyle w:val="Text1"/>
              <w:ind w:left="0"/>
              <w:jc w:val="left"/>
              <w:rPr>
                <w:sz w:val="18"/>
                <w:szCs w:val="18"/>
                <w:lang w:val="en-GB" w:eastAsia="en-GB"/>
              </w:rPr>
            </w:pPr>
            <w:r w:rsidRPr="008340BB">
              <w:rPr>
                <w:sz w:val="18"/>
                <w:szCs w:val="18"/>
                <w:lang w:val="en-GB" w:eastAsia="en-GB"/>
              </w:rPr>
              <w:t xml:space="preserve">07 Not applicable </w:t>
            </w:r>
          </w:p>
          <w:p w14:paraId="1ABD826A" w14:textId="77777777" w:rsidR="0031034E" w:rsidRDefault="0031034E" w:rsidP="006E3778">
            <w:pPr>
              <w:pStyle w:val="Text1"/>
              <w:ind w:left="0"/>
              <w:jc w:val="left"/>
              <w:rPr>
                <w:sz w:val="18"/>
                <w:szCs w:val="18"/>
                <w:lang w:val="en-GB" w:eastAsia="en-GB"/>
              </w:rPr>
            </w:pPr>
          </w:p>
          <w:p w14:paraId="062A54E5" w14:textId="3844A3C8" w:rsidR="0031034E" w:rsidRPr="008340BB" w:rsidRDefault="0031034E" w:rsidP="006E3778">
            <w:pPr>
              <w:pStyle w:val="Text1"/>
              <w:ind w:left="0"/>
              <w:jc w:val="left"/>
              <w:rPr>
                <w:sz w:val="18"/>
                <w:szCs w:val="18"/>
                <w:lang w:val="en-GB" w:eastAsia="en-GB"/>
              </w:rPr>
            </w:pPr>
            <w:r w:rsidRPr="0031034E">
              <w:rPr>
                <w:sz w:val="18"/>
                <w:szCs w:val="18"/>
                <w:lang w:val="en-GB" w:eastAsia="en-GB"/>
              </w:rPr>
              <w:t>07 Not applicable</w:t>
            </w:r>
          </w:p>
        </w:tc>
        <w:tc>
          <w:tcPr>
            <w:tcW w:w="2977" w:type="dxa"/>
          </w:tcPr>
          <w:p w14:paraId="32B7B5BE" w14:textId="77777777" w:rsidR="001436DA" w:rsidRDefault="001436DA" w:rsidP="001436DA">
            <w:pPr>
              <w:rPr>
                <w:b/>
                <w:bCs/>
                <w:sz w:val="18"/>
                <w:szCs w:val="18"/>
                <w:lang w:val="bg-BG"/>
              </w:rPr>
            </w:pPr>
            <w:r w:rsidRPr="001436DA">
              <w:rPr>
                <w:b/>
                <w:bCs/>
                <w:sz w:val="18"/>
                <w:szCs w:val="18"/>
                <w:lang w:val="bg-BG"/>
              </w:rPr>
              <w:t>4 500 000,00</w:t>
            </w:r>
          </w:p>
          <w:p w14:paraId="4CC41A61" w14:textId="77777777" w:rsidR="001436DA" w:rsidRPr="001436DA" w:rsidRDefault="001436DA" w:rsidP="001436DA">
            <w:pPr>
              <w:rPr>
                <w:b/>
                <w:bCs/>
                <w:sz w:val="18"/>
                <w:szCs w:val="18"/>
                <w:lang w:val="bg-BG"/>
              </w:rPr>
            </w:pPr>
          </w:p>
          <w:p w14:paraId="1A34EBB5" w14:textId="77777777" w:rsidR="001436DA" w:rsidRPr="001436DA" w:rsidRDefault="001436DA" w:rsidP="001436DA">
            <w:pPr>
              <w:rPr>
                <w:b/>
                <w:bCs/>
                <w:sz w:val="18"/>
                <w:szCs w:val="18"/>
                <w:lang w:val="bg-BG"/>
              </w:rPr>
            </w:pPr>
            <w:r w:rsidRPr="001436DA">
              <w:rPr>
                <w:b/>
                <w:bCs/>
                <w:sz w:val="18"/>
                <w:szCs w:val="18"/>
                <w:lang w:val="bg-BG"/>
              </w:rPr>
              <w:t>140 500 000,00</w:t>
            </w:r>
          </w:p>
          <w:p w14:paraId="38A87E94" w14:textId="77777777" w:rsidR="004A38AE" w:rsidRPr="008340BB" w:rsidRDefault="004A38AE" w:rsidP="00895F0C">
            <w:pPr>
              <w:rPr>
                <w:sz w:val="18"/>
                <w:szCs w:val="18"/>
              </w:rPr>
            </w:pPr>
          </w:p>
        </w:tc>
      </w:tr>
    </w:tbl>
    <w:p w14:paraId="0D01E771" w14:textId="77777777" w:rsidR="004A38AE" w:rsidRPr="008340BB" w:rsidRDefault="004A38AE" w:rsidP="004A38A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2693"/>
        <w:gridCol w:w="2977"/>
      </w:tblGrid>
      <w:tr w:rsidR="004A38AE" w:rsidRPr="008340BB" w14:paraId="522563C6" w14:textId="77777777" w:rsidTr="006E3778">
        <w:trPr>
          <w:trHeight w:val="364"/>
        </w:trPr>
        <w:tc>
          <w:tcPr>
            <w:tcW w:w="8472" w:type="dxa"/>
            <w:gridSpan w:val="4"/>
          </w:tcPr>
          <w:p w14:paraId="1D188EA7" w14:textId="77777777" w:rsidR="004A38AE" w:rsidRPr="0067246B" w:rsidRDefault="004A38AE" w:rsidP="006E3778">
            <w:pPr>
              <w:autoSpaceDE w:val="0"/>
              <w:autoSpaceDN w:val="0"/>
              <w:adjustRightInd w:val="0"/>
              <w:spacing w:after="0"/>
              <w:jc w:val="left"/>
              <w:rPr>
                <w:rFonts w:ascii="TimesNewRoman" w:cs="TimesNewRoman"/>
                <w:b/>
                <w:color w:val="000000"/>
                <w:sz w:val="20"/>
              </w:rPr>
            </w:pPr>
            <w:r w:rsidRPr="00020ADD">
              <w:rPr>
                <w:rFonts w:ascii="TimesNewRoman,Bold" w:hAnsi="TimesNewRoman,Bold" w:cs="TimesNewRoman,Bold"/>
                <w:b/>
                <w:bCs/>
                <w:color w:val="000000"/>
                <w:sz w:val="20"/>
              </w:rPr>
              <w:t>Table 11: Dimension 6 – ESF secondary theme</w:t>
            </w:r>
            <w:r w:rsidRPr="008340BB">
              <w:rPr>
                <w:rStyle w:val="FootnoteReference"/>
                <w:rFonts w:ascii="TimesNewRoman,Bold" w:hAnsi="TimesNewRoman,Bold"/>
                <w:b/>
                <w:bCs/>
                <w:color w:val="000000"/>
                <w:sz w:val="20"/>
              </w:rPr>
              <w:footnoteReference w:id="76"/>
            </w:r>
            <w:r w:rsidRPr="008340BB">
              <w:rPr>
                <w:rFonts w:ascii="TimesNewRoman" w:eastAsia="Times New Roman" w:cs="TimesNewRoman"/>
                <w:b/>
                <w:color w:val="000000"/>
                <w:sz w:val="20"/>
              </w:rPr>
              <w:t xml:space="preserve"> </w:t>
            </w:r>
            <w:r w:rsidRPr="0067246B">
              <w:rPr>
                <w:rFonts w:ascii="TimesNewRoman,Bold" w:hAnsi="TimesNewRoman,Bold" w:cs="TimesNewRoman,Bold"/>
                <w:b/>
                <w:bCs/>
                <w:color w:val="000000"/>
                <w:sz w:val="20"/>
              </w:rPr>
              <w:t>(ESF only)</w:t>
            </w:r>
          </w:p>
        </w:tc>
      </w:tr>
      <w:tr w:rsidR="004A38AE" w:rsidRPr="008340BB" w14:paraId="421DC986" w14:textId="77777777" w:rsidTr="006E3778">
        <w:trPr>
          <w:trHeight w:val="364"/>
        </w:trPr>
        <w:tc>
          <w:tcPr>
            <w:tcW w:w="2802" w:type="dxa"/>
            <w:gridSpan w:val="2"/>
          </w:tcPr>
          <w:p w14:paraId="7F718B3A" w14:textId="77777777" w:rsidR="004A38AE" w:rsidRPr="008340BB" w:rsidRDefault="004A38AE" w:rsidP="006E3778">
            <w:pPr>
              <w:autoSpaceDE w:val="0"/>
              <w:autoSpaceDN w:val="0"/>
              <w:adjustRightInd w:val="0"/>
              <w:spacing w:after="0"/>
              <w:jc w:val="left"/>
              <w:rPr>
                <w:bCs/>
                <w:sz w:val="20"/>
              </w:rPr>
            </w:pPr>
            <w:r w:rsidRPr="008340BB">
              <w:rPr>
                <w:b/>
                <w:sz w:val="18"/>
                <w:szCs w:val="18"/>
              </w:rPr>
              <w:lastRenderedPageBreak/>
              <w:t>Priority axis</w:t>
            </w:r>
            <w:r w:rsidRPr="008340BB" w:rsidDel="009B2310">
              <w:rPr>
                <w:bCs/>
                <w:sz w:val="20"/>
              </w:rPr>
              <w:t xml:space="preserve"> </w:t>
            </w:r>
          </w:p>
        </w:tc>
        <w:tc>
          <w:tcPr>
            <w:tcW w:w="5670" w:type="dxa"/>
            <w:gridSpan w:val="2"/>
          </w:tcPr>
          <w:p w14:paraId="41F72A47" w14:textId="77777777" w:rsidR="004A38AE" w:rsidRPr="008340BB" w:rsidRDefault="004A38AE" w:rsidP="006E3778">
            <w:pPr>
              <w:autoSpaceDE w:val="0"/>
              <w:autoSpaceDN w:val="0"/>
              <w:adjustRightInd w:val="0"/>
              <w:spacing w:after="0"/>
              <w:jc w:val="left"/>
              <w:rPr>
                <w:bCs/>
                <w:sz w:val="20"/>
              </w:rPr>
            </w:pPr>
            <w:r w:rsidRPr="008340BB">
              <w:rPr>
                <w:b/>
                <w:sz w:val="18"/>
                <w:szCs w:val="18"/>
              </w:rPr>
              <w:t>“Innovations in management and services - establishment of modern infrastructure for traffic management and transport safety</w:t>
            </w:r>
            <w:r w:rsidRPr="008340BB">
              <w:rPr>
                <w:b/>
              </w:rPr>
              <w:t xml:space="preserve"> </w:t>
            </w:r>
            <w:r w:rsidRPr="008340BB">
              <w:rPr>
                <w:b/>
                <w:sz w:val="18"/>
                <w:szCs w:val="18"/>
              </w:rPr>
              <w:t>improvement”</w:t>
            </w:r>
          </w:p>
        </w:tc>
      </w:tr>
      <w:tr w:rsidR="004A38AE" w:rsidRPr="008340BB" w14:paraId="2277D5A2" w14:textId="77777777" w:rsidTr="006E3778">
        <w:trPr>
          <w:trHeight w:val="267"/>
        </w:trPr>
        <w:tc>
          <w:tcPr>
            <w:tcW w:w="1401" w:type="dxa"/>
          </w:tcPr>
          <w:p w14:paraId="0BC8EA75" w14:textId="77777777" w:rsidR="004A38AE" w:rsidRPr="008340BB" w:rsidRDefault="004A38AE" w:rsidP="006E3778">
            <w:pPr>
              <w:jc w:val="center"/>
              <w:rPr>
                <w:b/>
                <w:sz w:val="18"/>
                <w:szCs w:val="18"/>
              </w:rPr>
            </w:pPr>
            <w:r w:rsidRPr="008340BB">
              <w:rPr>
                <w:b/>
                <w:sz w:val="18"/>
                <w:szCs w:val="18"/>
              </w:rPr>
              <w:t>Fund</w:t>
            </w:r>
          </w:p>
        </w:tc>
        <w:tc>
          <w:tcPr>
            <w:tcW w:w="1401" w:type="dxa"/>
          </w:tcPr>
          <w:p w14:paraId="35D736A3" w14:textId="77777777" w:rsidR="004A38AE" w:rsidRPr="008340BB" w:rsidRDefault="004A38AE" w:rsidP="006E3778">
            <w:pPr>
              <w:jc w:val="center"/>
              <w:rPr>
                <w:b/>
                <w:sz w:val="18"/>
                <w:szCs w:val="18"/>
              </w:rPr>
            </w:pPr>
            <w:r w:rsidRPr="008340BB">
              <w:rPr>
                <w:b/>
                <w:sz w:val="18"/>
                <w:szCs w:val="18"/>
              </w:rPr>
              <w:t>Category of region</w:t>
            </w:r>
          </w:p>
        </w:tc>
        <w:tc>
          <w:tcPr>
            <w:tcW w:w="2693" w:type="dxa"/>
          </w:tcPr>
          <w:p w14:paraId="1C57E488" w14:textId="77777777" w:rsidR="004A38AE" w:rsidRPr="008340BB" w:rsidRDefault="004A38AE" w:rsidP="006E3778">
            <w:pPr>
              <w:jc w:val="center"/>
              <w:rPr>
                <w:sz w:val="20"/>
              </w:rPr>
            </w:pPr>
            <w:r w:rsidRPr="008340BB">
              <w:rPr>
                <w:b/>
                <w:sz w:val="18"/>
                <w:szCs w:val="18"/>
              </w:rPr>
              <w:t>Code</w:t>
            </w:r>
          </w:p>
        </w:tc>
        <w:tc>
          <w:tcPr>
            <w:tcW w:w="2977" w:type="dxa"/>
          </w:tcPr>
          <w:p w14:paraId="72E6FCA9" w14:textId="77777777" w:rsidR="004A38AE" w:rsidRPr="008340BB" w:rsidRDefault="004A38AE" w:rsidP="006E3778">
            <w:pPr>
              <w:jc w:val="center"/>
              <w:rPr>
                <w:sz w:val="20"/>
              </w:rPr>
            </w:pPr>
            <w:r w:rsidRPr="008340BB">
              <w:rPr>
                <w:b/>
                <w:sz w:val="18"/>
                <w:szCs w:val="18"/>
              </w:rPr>
              <w:t>Amount (EUR)</w:t>
            </w:r>
          </w:p>
        </w:tc>
      </w:tr>
      <w:tr w:rsidR="004A38AE" w:rsidRPr="008340BB" w14:paraId="11AC1DB4" w14:textId="77777777" w:rsidTr="006E3778">
        <w:tc>
          <w:tcPr>
            <w:tcW w:w="1401" w:type="dxa"/>
          </w:tcPr>
          <w:p w14:paraId="6A4B739A" w14:textId="77777777" w:rsidR="004A38AE" w:rsidRPr="008340BB" w:rsidRDefault="004A38AE" w:rsidP="006E3778">
            <w:pPr>
              <w:pStyle w:val="Text1"/>
              <w:ind w:left="0"/>
              <w:jc w:val="left"/>
              <w:rPr>
                <w:sz w:val="18"/>
                <w:szCs w:val="18"/>
                <w:lang w:val="en-GB" w:eastAsia="en-GB"/>
              </w:rPr>
            </w:pPr>
            <w:r w:rsidRPr="008340BB">
              <w:rPr>
                <w:i/>
                <w:sz w:val="18"/>
                <w:szCs w:val="18"/>
                <w:lang w:val="en-GB" w:eastAsia="en-GB"/>
              </w:rPr>
              <w:t>N/A</w:t>
            </w:r>
          </w:p>
        </w:tc>
        <w:tc>
          <w:tcPr>
            <w:tcW w:w="1401" w:type="dxa"/>
          </w:tcPr>
          <w:p w14:paraId="6B9ECD49" w14:textId="77777777" w:rsidR="004A38AE" w:rsidRPr="008340BB" w:rsidRDefault="004A38AE" w:rsidP="006E3778">
            <w:pPr>
              <w:pStyle w:val="Text1"/>
              <w:ind w:left="0"/>
              <w:jc w:val="left"/>
              <w:rPr>
                <w:sz w:val="18"/>
                <w:szCs w:val="18"/>
                <w:lang w:val="en-GB" w:eastAsia="en-GB"/>
              </w:rPr>
            </w:pPr>
            <w:r w:rsidRPr="008340BB">
              <w:rPr>
                <w:i/>
                <w:sz w:val="18"/>
                <w:szCs w:val="18"/>
                <w:lang w:val="en-GB" w:eastAsia="en-GB"/>
              </w:rPr>
              <w:t>N/A</w:t>
            </w:r>
          </w:p>
        </w:tc>
        <w:tc>
          <w:tcPr>
            <w:tcW w:w="2693" w:type="dxa"/>
          </w:tcPr>
          <w:p w14:paraId="46364A67" w14:textId="77777777" w:rsidR="004A38AE" w:rsidRPr="008340BB" w:rsidRDefault="004A38AE" w:rsidP="006E3778">
            <w:pPr>
              <w:pStyle w:val="Text1"/>
              <w:ind w:left="0"/>
              <w:jc w:val="left"/>
              <w:rPr>
                <w:sz w:val="18"/>
                <w:szCs w:val="18"/>
                <w:lang w:val="en-GB" w:eastAsia="en-GB"/>
              </w:rPr>
            </w:pPr>
            <w:r w:rsidRPr="008340BB">
              <w:rPr>
                <w:i/>
                <w:sz w:val="18"/>
                <w:szCs w:val="18"/>
                <w:lang w:val="en-GB" w:eastAsia="en-GB"/>
              </w:rPr>
              <w:t>N/A</w:t>
            </w:r>
          </w:p>
        </w:tc>
        <w:tc>
          <w:tcPr>
            <w:tcW w:w="2977" w:type="dxa"/>
          </w:tcPr>
          <w:p w14:paraId="2BD12603" w14:textId="77777777" w:rsidR="004A38AE" w:rsidRPr="008340BB" w:rsidRDefault="004A38AE" w:rsidP="006E3778">
            <w:pPr>
              <w:pStyle w:val="Text1"/>
              <w:ind w:left="0"/>
              <w:jc w:val="left"/>
              <w:rPr>
                <w:sz w:val="18"/>
                <w:szCs w:val="18"/>
                <w:lang w:val="en-GB" w:eastAsia="en-GB"/>
              </w:rPr>
            </w:pPr>
            <w:r w:rsidRPr="008340BB">
              <w:rPr>
                <w:i/>
                <w:sz w:val="18"/>
                <w:szCs w:val="18"/>
                <w:lang w:val="en-GB" w:eastAsia="en-GB"/>
              </w:rPr>
              <w:t>N/A</w:t>
            </w:r>
          </w:p>
        </w:tc>
      </w:tr>
    </w:tbl>
    <w:p w14:paraId="38909D6E" w14:textId="41EB610E" w:rsidR="004A38AE" w:rsidRDefault="004A38AE" w:rsidP="0068794B">
      <w:pPr>
        <w:rPr>
          <w:b/>
        </w:rPr>
      </w:pPr>
    </w:p>
    <w:p w14:paraId="7DF72535" w14:textId="77777777" w:rsidR="004A38AE" w:rsidRDefault="004A38AE" w:rsidP="0068794B">
      <w:pPr>
        <w:rPr>
          <w:b/>
        </w:rPr>
      </w:pPr>
    </w:p>
    <w:p w14:paraId="0BBC54A6" w14:textId="3B459807" w:rsidR="00F1341F" w:rsidRPr="008340BB" w:rsidRDefault="00F1341F" w:rsidP="0068794B">
      <w:pPr>
        <w:rPr>
          <w:b/>
        </w:rPr>
      </w:pPr>
      <w:r w:rsidRPr="008340BB">
        <w:rPr>
          <w:b/>
        </w:rPr>
        <w:t xml:space="preserve">2.B Description of the priority axes for technical assistance </w:t>
      </w:r>
    </w:p>
    <w:p w14:paraId="530820D9" w14:textId="34ECE559" w:rsidR="00F1341F" w:rsidRDefault="00F1341F" w:rsidP="00261A02">
      <w:pPr>
        <w:tabs>
          <w:tab w:val="left" w:pos="1843"/>
        </w:tabs>
        <w:ind w:left="1843" w:hanging="1843"/>
      </w:pPr>
      <w:r w:rsidRPr="008340BB">
        <w:t>(Reference: point (c) of the first subparagraph of Article 96(2) of Regulation (EU) No 1303/2013)</w:t>
      </w:r>
    </w:p>
    <w:p w14:paraId="7F274B70" w14:textId="090A9181" w:rsidR="00AD7D99" w:rsidRDefault="00AD7D99" w:rsidP="00261A02">
      <w:pPr>
        <w:tabs>
          <w:tab w:val="left" w:pos="1843"/>
        </w:tabs>
        <w:ind w:left="1843" w:hanging="1843"/>
      </w:pPr>
    </w:p>
    <w:p w14:paraId="757CC585" w14:textId="77777777" w:rsidR="00AD7D99" w:rsidRPr="008340BB" w:rsidRDefault="00AD7D99" w:rsidP="00261A02">
      <w:pPr>
        <w:tabs>
          <w:tab w:val="left" w:pos="1843"/>
        </w:tabs>
        <w:ind w:left="1843" w:hanging="1843"/>
      </w:pPr>
    </w:p>
    <w:p w14:paraId="79E0F5AD" w14:textId="77777777" w:rsidR="00F1341F" w:rsidRPr="008340BB" w:rsidRDefault="00F1341F" w:rsidP="003B600B">
      <w:pPr>
        <w:rPr>
          <w:b/>
        </w:rPr>
      </w:pPr>
      <w:r w:rsidRPr="008340BB">
        <w:rPr>
          <w:b/>
        </w:rPr>
        <w:t>2.B.1  Priority axis</w:t>
      </w:r>
      <w:r w:rsidRPr="008340BB">
        <w:t xml:space="preserve"> </w:t>
      </w:r>
      <w:r w:rsidRPr="008340BB">
        <w:rPr>
          <w:b/>
        </w:rPr>
        <w:t>“Technical Assistance”</w:t>
      </w:r>
    </w:p>
    <w:p w14:paraId="463DEDAD" w14:textId="77777777" w:rsidR="00F1341F" w:rsidRPr="008340BB" w:rsidRDefault="00F1341F" w:rsidP="00A44429">
      <w:pPr>
        <w:pStyle w:val="Text1"/>
        <w:ind w:left="0"/>
        <w:rPr>
          <w:b/>
          <w:lang w:val="en-GB"/>
        </w:rPr>
      </w:pPr>
    </w:p>
    <w:p w14:paraId="50D3DB31" w14:textId="77777777" w:rsidR="00F1341F" w:rsidRPr="008340BB" w:rsidRDefault="00F1341F" w:rsidP="00BF3391">
      <w:pPr>
        <w:ind w:left="1418" w:hanging="1418"/>
      </w:pPr>
      <w:r w:rsidRPr="008340BB">
        <w:rPr>
          <w:b/>
        </w:rPr>
        <w:t xml:space="preserve">2.B.2 </w:t>
      </w:r>
      <w:r w:rsidRPr="008340BB">
        <w:rPr>
          <w:b/>
        </w:rPr>
        <w:tab/>
        <w:t xml:space="preserve">Reasons for establishing a priority axis covering more than one category of region </w:t>
      </w:r>
      <w:r w:rsidRPr="008340BB">
        <w:t xml:space="preserve"> (where applicable)</w:t>
      </w:r>
    </w:p>
    <w:p w14:paraId="6A8CBC5E" w14:textId="77777777" w:rsidR="00F1341F" w:rsidRPr="008340BB" w:rsidRDefault="00F1341F" w:rsidP="00A44429">
      <w:pPr>
        <w:pStyle w:val="Text1"/>
        <w:ind w:left="0"/>
        <w:rPr>
          <w:lang w:val="en-GB"/>
        </w:rPr>
      </w:pPr>
      <w:r w:rsidRPr="008340BB">
        <w:rPr>
          <w:lang w:val="en-GB"/>
        </w:rPr>
        <w:t>(Reference: Article 96(1) of Regulation (EU) No 1303/2013)</w:t>
      </w:r>
    </w:p>
    <w:p w14:paraId="34234C9F" w14:textId="77777777" w:rsidR="00F1341F" w:rsidRPr="008340BB" w:rsidRDefault="00F1341F" w:rsidP="00A44429">
      <w:pPr>
        <w:pStyle w:val="Text1"/>
        <w:ind w:left="0"/>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F1341F" w:rsidRPr="008340BB" w14:paraId="1C9B4340" w14:textId="77777777" w:rsidTr="008C5B7C">
        <w:trPr>
          <w:trHeight w:val="421"/>
          <w:jc w:val="center"/>
        </w:trPr>
        <w:tc>
          <w:tcPr>
            <w:tcW w:w="9293" w:type="dxa"/>
          </w:tcPr>
          <w:p w14:paraId="493F4DDF" w14:textId="77777777" w:rsidR="00F1341F" w:rsidRPr="008340BB" w:rsidRDefault="00F1341F" w:rsidP="007F21D2">
            <w:pPr>
              <w:tabs>
                <w:tab w:val="left" w:pos="1787"/>
              </w:tabs>
              <w:rPr>
                <w:b/>
                <w:i/>
              </w:rPr>
            </w:pPr>
            <w:r w:rsidRPr="008340BB">
              <w:rPr>
                <w:i/>
                <w:szCs w:val="24"/>
              </w:rPr>
              <w:t>Not applicable.</w:t>
            </w:r>
          </w:p>
        </w:tc>
      </w:tr>
    </w:tbl>
    <w:p w14:paraId="0B6F9C8F" w14:textId="77777777" w:rsidR="00F1341F" w:rsidRPr="008340BB" w:rsidRDefault="00F1341F" w:rsidP="003B600B">
      <w:pPr>
        <w:rPr>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5812"/>
      </w:tblGrid>
      <w:tr w:rsidR="00F1341F" w:rsidRPr="008340BB" w14:paraId="6671163D" w14:textId="77777777" w:rsidTr="00BF3391">
        <w:trPr>
          <w:trHeight w:val="491"/>
        </w:trPr>
        <w:tc>
          <w:tcPr>
            <w:tcW w:w="3510" w:type="dxa"/>
          </w:tcPr>
          <w:p w14:paraId="53D5D72A" w14:textId="77777777" w:rsidR="00F1341F" w:rsidRPr="008340BB" w:rsidRDefault="00F1341F" w:rsidP="00F03C1E">
            <w:pPr>
              <w:rPr>
                <w:i/>
              </w:rPr>
            </w:pPr>
            <w:r w:rsidRPr="008340BB">
              <w:rPr>
                <w:i/>
              </w:rPr>
              <w:t>ID of the priority axis</w:t>
            </w:r>
          </w:p>
        </w:tc>
        <w:tc>
          <w:tcPr>
            <w:tcW w:w="5812" w:type="dxa"/>
          </w:tcPr>
          <w:p w14:paraId="4DAC4F75" w14:textId="77777777" w:rsidR="00F1341F" w:rsidRPr="008340BB" w:rsidRDefault="00F1341F" w:rsidP="00F03C1E">
            <w:pPr>
              <w:pStyle w:val="Text1"/>
              <w:ind w:left="0"/>
              <w:jc w:val="left"/>
              <w:rPr>
                <w:i/>
                <w:color w:val="8DB3E2"/>
                <w:sz w:val="18"/>
                <w:szCs w:val="18"/>
                <w:lang w:val="en-GB" w:eastAsia="en-GB"/>
              </w:rPr>
            </w:pPr>
            <w:r w:rsidRPr="008340BB">
              <w:rPr>
                <w:i/>
                <w:sz w:val="24"/>
                <w:szCs w:val="24"/>
                <w:lang w:val="en-GB" w:eastAsia="en-GB"/>
              </w:rPr>
              <w:t>5</w:t>
            </w:r>
          </w:p>
        </w:tc>
      </w:tr>
      <w:tr w:rsidR="00F1341F" w:rsidRPr="008340BB" w14:paraId="28C73BF9" w14:textId="77777777" w:rsidTr="00BF3391">
        <w:trPr>
          <w:trHeight w:val="466"/>
        </w:trPr>
        <w:tc>
          <w:tcPr>
            <w:tcW w:w="3510" w:type="dxa"/>
          </w:tcPr>
          <w:p w14:paraId="1B6F2117" w14:textId="77777777" w:rsidR="00F1341F" w:rsidRPr="008340BB" w:rsidRDefault="00F1341F" w:rsidP="00F03C1E">
            <w:pPr>
              <w:rPr>
                <w:i/>
              </w:rPr>
            </w:pPr>
            <w:r w:rsidRPr="008340BB">
              <w:rPr>
                <w:i/>
              </w:rPr>
              <w:t>Title of the priority axis</w:t>
            </w:r>
          </w:p>
        </w:tc>
        <w:tc>
          <w:tcPr>
            <w:tcW w:w="5812" w:type="dxa"/>
          </w:tcPr>
          <w:p w14:paraId="11553DA9" w14:textId="77777777" w:rsidR="00F1341F" w:rsidRPr="008340BB" w:rsidRDefault="00F1341F" w:rsidP="00A37579">
            <w:pPr>
              <w:rPr>
                <w:i/>
              </w:rPr>
            </w:pPr>
            <w:r w:rsidRPr="008340BB">
              <w:rPr>
                <w:i/>
              </w:rPr>
              <w:t>Technical Assistance</w:t>
            </w:r>
          </w:p>
          <w:p w14:paraId="0E2B28C1" w14:textId="77777777" w:rsidR="00F1341F" w:rsidRPr="008340BB" w:rsidRDefault="00F1341F" w:rsidP="00F03C1E">
            <w:pPr>
              <w:pStyle w:val="Text1"/>
              <w:ind w:left="0"/>
              <w:jc w:val="left"/>
              <w:rPr>
                <w:i/>
                <w:color w:val="8DB3E2"/>
                <w:sz w:val="18"/>
                <w:szCs w:val="18"/>
                <w:lang w:val="en-GB" w:eastAsia="en-GB"/>
              </w:rPr>
            </w:pPr>
          </w:p>
        </w:tc>
      </w:tr>
    </w:tbl>
    <w:p w14:paraId="7E547A59" w14:textId="77777777" w:rsidR="00F1341F" w:rsidRPr="008340BB" w:rsidRDefault="00F1341F" w:rsidP="00A14D00"/>
    <w:p w14:paraId="09E69FB2" w14:textId="77777777" w:rsidR="00F1341F" w:rsidRPr="008340BB" w:rsidRDefault="00F1341F" w:rsidP="00445D2B">
      <w:pPr>
        <w:pStyle w:val="Text1"/>
        <w:ind w:left="0"/>
        <w:rPr>
          <w:b/>
          <w:lang w:val="en-GB"/>
        </w:rPr>
      </w:pPr>
      <w:r w:rsidRPr="008340BB">
        <w:rPr>
          <w:b/>
          <w:lang w:val="en-GB"/>
        </w:rPr>
        <w:t>2.B.3 Fund and category of region (repeated for each combination under the priority axis)</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532"/>
      </w:tblGrid>
      <w:tr w:rsidR="00F1341F" w:rsidRPr="008340BB" w14:paraId="795E003D" w14:textId="77777777" w:rsidTr="00BF3391">
        <w:tc>
          <w:tcPr>
            <w:tcW w:w="2824" w:type="dxa"/>
          </w:tcPr>
          <w:p w14:paraId="6F8930C6" w14:textId="77777777" w:rsidR="00F1341F" w:rsidRPr="008340BB" w:rsidRDefault="00F1341F" w:rsidP="00F03C1E">
            <w:pPr>
              <w:rPr>
                <w:i/>
              </w:rPr>
            </w:pPr>
            <w:r w:rsidRPr="008340BB">
              <w:rPr>
                <w:i/>
              </w:rPr>
              <w:t>Fund</w:t>
            </w:r>
          </w:p>
        </w:tc>
        <w:tc>
          <w:tcPr>
            <w:tcW w:w="6532" w:type="dxa"/>
          </w:tcPr>
          <w:p w14:paraId="7D211636" w14:textId="77777777" w:rsidR="00F1341F" w:rsidRPr="008340BB" w:rsidRDefault="00F1341F" w:rsidP="00F03C1E">
            <w:pPr>
              <w:pStyle w:val="Text1"/>
              <w:ind w:left="0"/>
              <w:jc w:val="left"/>
              <w:rPr>
                <w:i/>
                <w:color w:val="8DB3E2"/>
                <w:sz w:val="18"/>
                <w:szCs w:val="18"/>
                <w:lang w:val="en-GB" w:eastAsia="en-GB"/>
              </w:rPr>
            </w:pPr>
            <w:r w:rsidRPr="008340BB">
              <w:rPr>
                <w:i/>
                <w:sz w:val="24"/>
                <w:szCs w:val="24"/>
                <w:lang w:val="en-GB" w:eastAsia="en-GB"/>
              </w:rPr>
              <w:t>European Regional Development Fund</w:t>
            </w:r>
            <w:r w:rsidRPr="008340BB">
              <w:rPr>
                <w:i/>
                <w:color w:val="8DB3E2"/>
                <w:sz w:val="18"/>
                <w:szCs w:val="18"/>
                <w:lang w:val="en-GB" w:eastAsia="en-GB"/>
              </w:rPr>
              <w:t xml:space="preserve"> </w:t>
            </w:r>
          </w:p>
        </w:tc>
      </w:tr>
      <w:tr w:rsidR="00F1341F" w:rsidRPr="008340BB" w14:paraId="4294C811" w14:textId="77777777" w:rsidTr="00BF3391">
        <w:tc>
          <w:tcPr>
            <w:tcW w:w="2824" w:type="dxa"/>
          </w:tcPr>
          <w:p w14:paraId="263C1049" w14:textId="77777777" w:rsidR="00F1341F" w:rsidRPr="008340BB" w:rsidRDefault="00F1341F" w:rsidP="00F03C1E">
            <w:pPr>
              <w:rPr>
                <w:i/>
              </w:rPr>
            </w:pPr>
            <w:r w:rsidRPr="008340BB">
              <w:rPr>
                <w:i/>
              </w:rPr>
              <w:t>Category of region</w:t>
            </w:r>
          </w:p>
        </w:tc>
        <w:tc>
          <w:tcPr>
            <w:tcW w:w="6532" w:type="dxa"/>
          </w:tcPr>
          <w:p w14:paraId="69497830" w14:textId="77777777" w:rsidR="00F1341F" w:rsidRPr="008340BB" w:rsidRDefault="00F1341F" w:rsidP="00F03C1E">
            <w:pPr>
              <w:pStyle w:val="Text1"/>
              <w:ind w:left="0"/>
              <w:jc w:val="left"/>
              <w:rPr>
                <w:i/>
                <w:color w:val="8DB3E2"/>
                <w:sz w:val="18"/>
                <w:szCs w:val="18"/>
                <w:lang w:val="en-GB" w:eastAsia="en-GB"/>
              </w:rPr>
            </w:pPr>
            <w:r w:rsidRPr="008340BB">
              <w:rPr>
                <w:i/>
                <w:sz w:val="24"/>
                <w:szCs w:val="24"/>
                <w:lang w:val="en-GB" w:eastAsia="en-GB"/>
              </w:rPr>
              <w:t>Less developed</w:t>
            </w:r>
            <w:r w:rsidRPr="008340BB">
              <w:rPr>
                <w:i/>
                <w:color w:val="8DB3E2"/>
                <w:sz w:val="18"/>
                <w:szCs w:val="18"/>
                <w:lang w:val="en-GB" w:eastAsia="en-GB"/>
              </w:rPr>
              <w:t xml:space="preserve"> </w:t>
            </w:r>
          </w:p>
        </w:tc>
      </w:tr>
      <w:tr w:rsidR="00F1341F" w:rsidRPr="008340BB" w14:paraId="7D86B78B" w14:textId="77777777" w:rsidTr="00BC69FB">
        <w:tc>
          <w:tcPr>
            <w:tcW w:w="2824" w:type="dxa"/>
          </w:tcPr>
          <w:p w14:paraId="60CC0CF7" w14:textId="77777777" w:rsidR="00F1341F" w:rsidRPr="008340BB" w:rsidRDefault="00F1341F" w:rsidP="00D4256D">
            <w:pPr>
              <w:rPr>
                <w:i/>
              </w:rPr>
            </w:pPr>
            <w:r w:rsidRPr="008340BB">
              <w:rPr>
                <w:i/>
              </w:rPr>
              <w:t>Calculation basis</w:t>
            </w:r>
          </w:p>
        </w:tc>
        <w:tc>
          <w:tcPr>
            <w:tcW w:w="6532" w:type="dxa"/>
          </w:tcPr>
          <w:p w14:paraId="0F1A42F0" w14:textId="77777777" w:rsidR="00F1341F" w:rsidRPr="008340BB" w:rsidRDefault="00F1341F" w:rsidP="00D4256D">
            <w:pPr>
              <w:pStyle w:val="Text1"/>
              <w:ind w:left="0"/>
              <w:jc w:val="left"/>
              <w:rPr>
                <w:i/>
                <w:color w:val="8DB3E2"/>
                <w:sz w:val="18"/>
                <w:szCs w:val="18"/>
                <w:lang w:val="en-GB" w:eastAsia="en-GB"/>
              </w:rPr>
            </w:pPr>
            <w:r w:rsidRPr="008340BB">
              <w:rPr>
                <w:i/>
                <w:sz w:val="24"/>
                <w:szCs w:val="24"/>
                <w:lang w:val="en-GB" w:eastAsia="en-GB"/>
              </w:rPr>
              <w:t xml:space="preserve">public </w:t>
            </w:r>
          </w:p>
        </w:tc>
      </w:tr>
    </w:tbl>
    <w:p w14:paraId="343C3ED7" w14:textId="77777777" w:rsidR="00F1341F" w:rsidRPr="008340BB" w:rsidRDefault="00F1341F" w:rsidP="00A14D00"/>
    <w:p w14:paraId="064394F4" w14:textId="77777777" w:rsidR="00F1341F" w:rsidRPr="008340BB" w:rsidRDefault="00F1341F" w:rsidP="00E017FB">
      <w:r w:rsidRPr="008340BB">
        <w:rPr>
          <w:b/>
        </w:rPr>
        <w:t xml:space="preserve">2.B.4 </w:t>
      </w:r>
      <w:r w:rsidRPr="008340BB">
        <w:rPr>
          <w:b/>
        </w:rPr>
        <w:tab/>
        <w:t>Specific objectives and expected results</w:t>
      </w:r>
      <w:r w:rsidRPr="008340BB">
        <w:t xml:space="preserve"> </w:t>
      </w:r>
    </w:p>
    <w:p w14:paraId="69B5F5C2" w14:textId="77777777" w:rsidR="00F1341F" w:rsidRPr="008340BB" w:rsidRDefault="00F1341F" w:rsidP="009F2641">
      <w:r w:rsidRPr="008340BB">
        <w:t>(repeated for each specific objective under the priority axis)</w:t>
      </w:r>
    </w:p>
    <w:p w14:paraId="04A1F842" w14:textId="77777777" w:rsidR="00F1341F" w:rsidRPr="008340BB" w:rsidRDefault="00F1341F" w:rsidP="009F2641">
      <w:r w:rsidRPr="008340BB">
        <w:t xml:space="preserve"> (Reference: points (c)(i) and (ii) of the first subparagraph of Article 96(2) of Regulation (EU) No 1303/2013)</w:t>
      </w:r>
    </w:p>
    <w:p w14:paraId="54BDBB37" w14:textId="77777777" w:rsidR="00F1341F" w:rsidRPr="008340BB" w:rsidRDefault="00F1341F" w:rsidP="00A14D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5103"/>
      </w:tblGrid>
      <w:tr w:rsidR="00F1341F" w:rsidRPr="008340BB" w14:paraId="415D78B3" w14:textId="77777777" w:rsidTr="00F03C1E">
        <w:trPr>
          <w:trHeight w:val="491"/>
        </w:trPr>
        <w:tc>
          <w:tcPr>
            <w:tcW w:w="3510" w:type="dxa"/>
          </w:tcPr>
          <w:p w14:paraId="0DC41283" w14:textId="77777777" w:rsidR="00F1341F" w:rsidRPr="008340BB" w:rsidRDefault="00F1341F" w:rsidP="00F03C1E">
            <w:pPr>
              <w:rPr>
                <w:i/>
              </w:rPr>
            </w:pPr>
            <w:r w:rsidRPr="008340BB">
              <w:rPr>
                <w:i/>
              </w:rPr>
              <w:t>ID</w:t>
            </w:r>
          </w:p>
        </w:tc>
        <w:tc>
          <w:tcPr>
            <w:tcW w:w="5103" w:type="dxa"/>
          </w:tcPr>
          <w:p w14:paraId="3606E3C9" w14:textId="77777777" w:rsidR="00F1341F" w:rsidRPr="008340BB" w:rsidRDefault="00F1341F" w:rsidP="00F03C1E">
            <w:pPr>
              <w:pStyle w:val="Text1"/>
              <w:ind w:left="0"/>
              <w:jc w:val="left"/>
              <w:rPr>
                <w:i/>
                <w:color w:val="8DB3E2"/>
                <w:sz w:val="18"/>
                <w:szCs w:val="18"/>
                <w:lang w:val="en-GB" w:eastAsia="en-GB"/>
              </w:rPr>
            </w:pPr>
            <w:r w:rsidRPr="008340BB">
              <w:rPr>
                <w:i/>
                <w:sz w:val="24"/>
                <w:szCs w:val="24"/>
                <w:lang w:val="en-GB" w:eastAsia="en-GB"/>
              </w:rPr>
              <w:t>1</w:t>
            </w:r>
          </w:p>
        </w:tc>
      </w:tr>
      <w:tr w:rsidR="00F1341F" w:rsidRPr="008340BB" w14:paraId="23E542D3" w14:textId="77777777" w:rsidTr="00F03C1E">
        <w:trPr>
          <w:trHeight w:val="360"/>
        </w:trPr>
        <w:tc>
          <w:tcPr>
            <w:tcW w:w="3510" w:type="dxa"/>
          </w:tcPr>
          <w:p w14:paraId="39EC4D55" w14:textId="77777777" w:rsidR="00F1341F" w:rsidRPr="008340BB" w:rsidRDefault="00F1341F" w:rsidP="00F03C1E">
            <w:pPr>
              <w:rPr>
                <w:i/>
              </w:rPr>
            </w:pPr>
            <w:r w:rsidRPr="008340BB">
              <w:rPr>
                <w:i/>
              </w:rPr>
              <w:t xml:space="preserve">Specific objective </w:t>
            </w:r>
          </w:p>
        </w:tc>
        <w:tc>
          <w:tcPr>
            <w:tcW w:w="5103" w:type="dxa"/>
          </w:tcPr>
          <w:p w14:paraId="395F9BB5" w14:textId="77777777" w:rsidR="00F1341F" w:rsidRPr="00CD1188" w:rsidRDefault="008E6665" w:rsidP="00435AC3">
            <w:pPr>
              <w:widowControl w:val="0"/>
              <w:autoSpaceDE w:val="0"/>
              <w:autoSpaceDN w:val="0"/>
              <w:adjustRightInd w:val="0"/>
              <w:ind w:right="61"/>
              <w:rPr>
                <w:i/>
                <w:szCs w:val="24"/>
                <w:lang w:val="en-US"/>
              </w:rPr>
            </w:pPr>
            <w:r w:rsidRPr="00CD1188">
              <w:rPr>
                <w:i/>
                <w:szCs w:val="24"/>
                <w:lang w:val="en-US"/>
              </w:rPr>
              <w:t>Establishment of necessary conditions for successful completion of OPT 2007-2013 and implementation of OPTTI 2014-2020, strengthening the administrative capacity and public awareness of OPTTI</w:t>
            </w:r>
          </w:p>
        </w:tc>
      </w:tr>
      <w:tr w:rsidR="00F1341F" w:rsidRPr="008340BB" w14:paraId="77988649" w14:textId="77777777" w:rsidTr="00F03C1E">
        <w:trPr>
          <w:trHeight w:val="360"/>
        </w:trPr>
        <w:tc>
          <w:tcPr>
            <w:tcW w:w="3510" w:type="dxa"/>
          </w:tcPr>
          <w:p w14:paraId="2D416ADA" w14:textId="77777777" w:rsidR="00F1341F" w:rsidRPr="008340BB" w:rsidRDefault="00F1341F" w:rsidP="008C66F2">
            <w:pPr>
              <w:rPr>
                <w:i/>
              </w:rPr>
            </w:pPr>
            <w:r w:rsidRPr="008340BB">
              <w:rPr>
                <w:i/>
              </w:rPr>
              <w:t>Results that the Member State seeks to achieve with Union support</w:t>
            </w:r>
            <w:r w:rsidRPr="008340BB">
              <w:rPr>
                <w:rStyle w:val="FootnoteReference"/>
                <w:i/>
              </w:rPr>
              <w:footnoteReference w:id="77"/>
            </w:r>
          </w:p>
        </w:tc>
        <w:tc>
          <w:tcPr>
            <w:tcW w:w="5103" w:type="dxa"/>
          </w:tcPr>
          <w:p w14:paraId="41ACEAA3" w14:textId="77777777" w:rsidR="00F1341F" w:rsidRPr="00020ADD" w:rsidRDefault="00F1341F" w:rsidP="00BD4445">
            <w:pPr>
              <w:pStyle w:val="ListParagraph"/>
              <w:numPr>
                <w:ilvl w:val="0"/>
                <w:numId w:val="53"/>
              </w:numPr>
              <w:overflowPunct w:val="0"/>
              <w:autoSpaceDE w:val="0"/>
              <w:autoSpaceDN w:val="0"/>
              <w:adjustRightInd w:val="0"/>
              <w:spacing w:before="120" w:after="120"/>
              <w:ind w:left="459" w:hanging="283"/>
              <w:textAlignment w:val="baseline"/>
              <w:rPr>
                <w:i/>
                <w:szCs w:val="24"/>
              </w:rPr>
            </w:pPr>
            <w:r w:rsidRPr="00020ADD">
              <w:rPr>
                <w:i/>
                <w:szCs w:val="24"/>
              </w:rPr>
              <w:t>strengthened and enhanced capacity of the MA and the beneficiaries by continuing use of good practices established in the previous programming period and inclusion of new measures to achieve the required capacity related to the preparation, implementation, monitoring and control of the OPTTI;</w:t>
            </w:r>
          </w:p>
          <w:p w14:paraId="21B246F5" w14:textId="77777777" w:rsidR="00F1341F" w:rsidRPr="00DC0475" w:rsidRDefault="00F1341F" w:rsidP="00BD4445">
            <w:pPr>
              <w:pStyle w:val="ListParagraph"/>
              <w:numPr>
                <w:ilvl w:val="0"/>
                <w:numId w:val="53"/>
              </w:numPr>
              <w:overflowPunct w:val="0"/>
              <w:autoSpaceDE w:val="0"/>
              <w:autoSpaceDN w:val="0"/>
              <w:adjustRightInd w:val="0"/>
              <w:spacing w:before="120" w:after="120"/>
              <w:ind w:left="459" w:hanging="283"/>
              <w:textAlignment w:val="baseline"/>
              <w:rPr>
                <w:i/>
                <w:szCs w:val="24"/>
              </w:rPr>
            </w:pPr>
            <w:r w:rsidRPr="00020ADD">
              <w:rPr>
                <w:i/>
                <w:szCs w:val="24"/>
              </w:rPr>
              <w:t>provided external expertise necessary for the development of strategic and programme documents/plans/manuals; technical studies and databases; of i</w:t>
            </w:r>
            <w:r w:rsidRPr="00DC0475">
              <w:rPr>
                <w:i/>
                <w:szCs w:val="24"/>
              </w:rPr>
              <w:t>ndependent analyses and assessments and other relevant activities;</w:t>
            </w:r>
          </w:p>
          <w:p w14:paraId="4F58F361" w14:textId="77777777" w:rsidR="00F1341F" w:rsidRPr="00A828C5" w:rsidRDefault="00F1341F" w:rsidP="00BD4445">
            <w:pPr>
              <w:pStyle w:val="ListParagraph"/>
              <w:numPr>
                <w:ilvl w:val="0"/>
                <w:numId w:val="53"/>
              </w:numPr>
              <w:overflowPunct w:val="0"/>
              <w:autoSpaceDE w:val="0"/>
              <w:autoSpaceDN w:val="0"/>
              <w:adjustRightInd w:val="0"/>
              <w:spacing w:before="120" w:after="120"/>
              <w:ind w:left="459" w:hanging="283"/>
              <w:textAlignment w:val="baseline"/>
              <w:rPr>
                <w:i/>
                <w:szCs w:val="24"/>
              </w:rPr>
            </w:pPr>
            <w:r w:rsidRPr="00B5130A">
              <w:rPr>
                <w:i/>
                <w:szCs w:val="24"/>
              </w:rPr>
              <w:t>provided information and publicity of the OPTTI and promoting it to the general public;</w:t>
            </w:r>
          </w:p>
          <w:p w14:paraId="227DA9EE" w14:textId="77777777" w:rsidR="00F1341F" w:rsidRPr="008340BB" w:rsidRDefault="00F1341F" w:rsidP="00BD4445">
            <w:pPr>
              <w:pStyle w:val="ListParagraph"/>
              <w:numPr>
                <w:ilvl w:val="0"/>
                <w:numId w:val="53"/>
              </w:numPr>
              <w:overflowPunct w:val="0"/>
              <w:autoSpaceDE w:val="0"/>
              <w:autoSpaceDN w:val="0"/>
              <w:adjustRightInd w:val="0"/>
              <w:spacing w:before="120" w:after="120"/>
              <w:ind w:left="459" w:hanging="283"/>
              <w:textAlignment w:val="baseline"/>
              <w:rPr>
                <w:i/>
                <w:szCs w:val="24"/>
              </w:rPr>
            </w:pPr>
            <w:r w:rsidRPr="008340BB">
              <w:rPr>
                <w:i/>
                <w:szCs w:val="24"/>
              </w:rPr>
              <w:t>ensured adequate level of administrative and logistics of the OPTTI;</w:t>
            </w:r>
          </w:p>
          <w:p w14:paraId="49ECD332" w14:textId="77777777" w:rsidR="00F1341F" w:rsidRPr="008340BB" w:rsidRDefault="00F1341F" w:rsidP="00BD4445">
            <w:pPr>
              <w:pStyle w:val="ListParagraph"/>
              <w:numPr>
                <w:ilvl w:val="0"/>
                <w:numId w:val="53"/>
              </w:numPr>
              <w:overflowPunct w:val="0"/>
              <w:autoSpaceDE w:val="0"/>
              <w:autoSpaceDN w:val="0"/>
              <w:adjustRightInd w:val="0"/>
              <w:spacing w:before="120" w:after="120"/>
              <w:ind w:left="459" w:hanging="283"/>
              <w:textAlignment w:val="baseline"/>
              <w:rPr>
                <w:i/>
                <w:szCs w:val="24"/>
              </w:rPr>
            </w:pPr>
            <w:r w:rsidRPr="008340BB">
              <w:rPr>
                <w:i/>
                <w:szCs w:val="24"/>
              </w:rPr>
              <w:t>successfully completed OPT 2007-2013;</w:t>
            </w:r>
          </w:p>
          <w:p w14:paraId="1D6F06CC" w14:textId="77777777" w:rsidR="00F1341F" w:rsidRPr="008340BB" w:rsidRDefault="00F1341F" w:rsidP="00BD4445">
            <w:pPr>
              <w:pStyle w:val="ListParagraph"/>
              <w:numPr>
                <w:ilvl w:val="0"/>
                <w:numId w:val="53"/>
              </w:numPr>
              <w:overflowPunct w:val="0"/>
              <w:autoSpaceDE w:val="0"/>
              <w:autoSpaceDN w:val="0"/>
              <w:adjustRightInd w:val="0"/>
              <w:spacing w:before="120" w:after="120"/>
              <w:ind w:left="459" w:hanging="283"/>
              <w:textAlignment w:val="baseline"/>
              <w:rPr>
                <w:i/>
                <w:szCs w:val="24"/>
              </w:rPr>
            </w:pPr>
            <w:r w:rsidRPr="008340BB">
              <w:rPr>
                <w:i/>
                <w:szCs w:val="24"/>
              </w:rPr>
              <w:t>successfully implemented reforms in relevant sectors and respectively introduced policies.</w:t>
            </w:r>
          </w:p>
          <w:p w14:paraId="47648D96" w14:textId="77777777" w:rsidR="00F1341F" w:rsidRPr="008340BB" w:rsidRDefault="00F1341F" w:rsidP="00F03C1E">
            <w:pPr>
              <w:pStyle w:val="Text1"/>
              <w:ind w:left="0"/>
              <w:jc w:val="left"/>
              <w:rPr>
                <w:i/>
                <w:color w:val="8DB3E2"/>
                <w:sz w:val="18"/>
                <w:szCs w:val="18"/>
                <w:lang w:val="en-GB" w:eastAsia="en-GB"/>
              </w:rPr>
            </w:pPr>
          </w:p>
        </w:tc>
      </w:tr>
    </w:tbl>
    <w:p w14:paraId="316493B5" w14:textId="77777777" w:rsidR="00F1341F" w:rsidRPr="008340BB" w:rsidRDefault="00F1341F" w:rsidP="003B600B"/>
    <w:p w14:paraId="7A8363E3" w14:textId="77777777" w:rsidR="00F1341F" w:rsidRPr="008340BB" w:rsidRDefault="00F1341F" w:rsidP="00BF3391">
      <w:pPr>
        <w:ind w:left="1418" w:hanging="1418"/>
        <w:rPr>
          <w:b/>
        </w:rPr>
      </w:pPr>
      <w:r w:rsidRPr="008340BB">
        <w:rPr>
          <w:b/>
        </w:rPr>
        <w:t xml:space="preserve">2.B.5 </w:t>
      </w:r>
      <w:r w:rsidRPr="008340BB">
        <w:rPr>
          <w:b/>
        </w:rPr>
        <w:tab/>
        <w:t>Result indicators</w:t>
      </w:r>
      <w:r w:rsidRPr="008340BB">
        <w:rPr>
          <w:rStyle w:val="FootnoteReference"/>
          <w:b/>
        </w:rPr>
        <w:footnoteReference w:id="78"/>
      </w:r>
      <w:r w:rsidRPr="008340BB">
        <w:rPr>
          <w:b/>
        </w:rPr>
        <w:t xml:space="preserve"> </w:t>
      </w:r>
    </w:p>
    <w:p w14:paraId="1D9BF334" w14:textId="77777777" w:rsidR="00F1341F" w:rsidRPr="00020ADD" w:rsidRDefault="00F1341F" w:rsidP="00593B3C">
      <w:pPr>
        <w:ind w:firstLine="1"/>
      </w:pPr>
      <w:r w:rsidRPr="0067246B">
        <w:rPr>
          <w:b/>
        </w:rPr>
        <w:t>Table 12:</w:t>
      </w:r>
      <w:r w:rsidRPr="0067246B">
        <w:rPr>
          <w:b/>
        </w:rPr>
        <w:tab/>
      </w:r>
      <w:r w:rsidRPr="0067246B">
        <w:rPr>
          <w:b/>
          <w:szCs w:val="24"/>
        </w:rPr>
        <w:t>Programme</w:t>
      </w:r>
      <w:r w:rsidRPr="00020ADD">
        <w:rPr>
          <w:b/>
        </w:rPr>
        <w:t xml:space="preserve">-specific result indicators </w:t>
      </w:r>
      <w:r w:rsidRPr="00020ADD">
        <w:t xml:space="preserve">(by specific objective) </w:t>
      </w:r>
    </w:p>
    <w:p w14:paraId="02CDCF90" w14:textId="77777777" w:rsidR="00F1341F" w:rsidRPr="00020ADD" w:rsidRDefault="00F1341F" w:rsidP="00E017FB">
      <w:pPr>
        <w:ind w:firstLine="1"/>
      </w:pPr>
      <w:r w:rsidRPr="00020ADD">
        <w:t>(for ERDF/ESF/Cohesion Fund)</w:t>
      </w:r>
    </w:p>
    <w:p w14:paraId="2CA0673C" w14:textId="77777777" w:rsidR="00F1341F" w:rsidRPr="008340BB" w:rsidRDefault="00F1341F" w:rsidP="00E017FB">
      <w:pPr>
        <w:ind w:firstLine="1"/>
      </w:pPr>
      <w:r w:rsidRPr="00020ADD">
        <w:t xml:space="preserve"> (Reference: point (c)(ii) o</w:t>
      </w:r>
      <w:r w:rsidRPr="00EE05CB">
        <w:t>f the first subparagraph of Article 96(2) of Regulation (EU) No 1303/2013</w:t>
      </w:r>
      <w:r w:rsidRPr="00DC0475" w:rsidDel="00947D2A">
        <w:t xml:space="preserve"> </w:t>
      </w:r>
      <w:r w:rsidRPr="00B5130A">
        <w:t>)</w:t>
      </w:r>
      <w:r w:rsidRPr="00A828C5">
        <w:rPr>
          <w:rStyle w:val="FootnoteReference"/>
        </w:rPr>
        <w:t xml:space="preserve"> </w:t>
      </w:r>
    </w:p>
    <w:p w14:paraId="20A52AD0" w14:textId="77777777" w:rsidR="00F1341F" w:rsidRPr="008340BB" w:rsidRDefault="00F1341F" w:rsidP="00593B3C">
      <w:pPr>
        <w:ind w:firstLine="1"/>
        <w:rPr>
          <w:b/>
        </w:rPr>
      </w:pPr>
    </w:p>
    <w:tbl>
      <w:tblPr>
        <w:tblW w:w="9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1342"/>
        <w:gridCol w:w="992"/>
        <w:gridCol w:w="1134"/>
        <w:gridCol w:w="992"/>
        <w:gridCol w:w="992"/>
        <w:gridCol w:w="1276"/>
        <w:gridCol w:w="2092"/>
      </w:tblGrid>
      <w:tr w:rsidR="00F1341F" w:rsidRPr="008340BB" w14:paraId="4B753CE3" w14:textId="77777777" w:rsidTr="009361FA">
        <w:trPr>
          <w:trHeight w:val="365"/>
        </w:trPr>
        <w:tc>
          <w:tcPr>
            <w:tcW w:w="2896" w:type="dxa"/>
            <w:gridSpan w:val="3"/>
          </w:tcPr>
          <w:p w14:paraId="7B683903" w14:textId="77777777" w:rsidR="00F1341F" w:rsidRPr="008340BB" w:rsidRDefault="00F1341F" w:rsidP="005C0259">
            <w:pPr>
              <w:rPr>
                <w:b/>
                <w:i/>
                <w:sz w:val="18"/>
                <w:szCs w:val="18"/>
              </w:rPr>
            </w:pPr>
            <w:r w:rsidRPr="008340BB">
              <w:rPr>
                <w:b/>
                <w:i/>
                <w:sz w:val="18"/>
                <w:szCs w:val="18"/>
              </w:rPr>
              <w:t xml:space="preserve">Priority axis </w:t>
            </w:r>
          </w:p>
        </w:tc>
        <w:tc>
          <w:tcPr>
            <w:tcW w:w="6486" w:type="dxa"/>
            <w:gridSpan w:val="5"/>
          </w:tcPr>
          <w:p w14:paraId="686024EB" w14:textId="77777777" w:rsidR="00890060" w:rsidRPr="00435AC3" w:rsidRDefault="00890060" w:rsidP="00435AC3">
            <w:pPr>
              <w:widowControl w:val="0"/>
              <w:autoSpaceDE w:val="0"/>
              <w:autoSpaceDN w:val="0"/>
              <w:adjustRightInd w:val="0"/>
              <w:ind w:right="61"/>
              <w:rPr>
                <w:i/>
                <w:szCs w:val="24"/>
                <w:lang w:val="bg-BG"/>
              </w:rPr>
            </w:pPr>
            <w:r>
              <w:rPr>
                <w:i/>
                <w:lang w:val="en-US"/>
              </w:rPr>
              <w:t>“Technical assistance”</w:t>
            </w:r>
          </w:p>
        </w:tc>
      </w:tr>
      <w:tr w:rsidR="00F1341F" w:rsidRPr="008340BB" w14:paraId="15B801AC" w14:textId="77777777" w:rsidTr="009361FA">
        <w:trPr>
          <w:trHeight w:val="865"/>
        </w:trPr>
        <w:tc>
          <w:tcPr>
            <w:tcW w:w="562" w:type="dxa"/>
          </w:tcPr>
          <w:p w14:paraId="6BADB16B" w14:textId="77777777" w:rsidR="00F1341F" w:rsidRPr="008340BB" w:rsidRDefault="00F1341F" w:rsidP="00F03C1E">
            <w:pPr>
              <w:rPr>
                <w:b/>
                <w:i/>
                <w:sz w:val="18"/>
                <w:szCs w:val="18"/>
              </w:rPr>
            </w:pPr>
            <w:r w:rsidRPr="008340BB">
              <w:rPr>
                <w:b/>
                <w:i/>
                <w:sz w:val="18"/>
                <w:szCs w:val="18"/>
              </w:rPr>
              <w:lastRenderedPageBreak/>
              <w:t>ID</w:t>
            </w:r>
          </w:p>
        </w:tc>
        <w:tc>
          <w:tcPr>
            <w:tcW w:w="1342" w:type="dxa"/>
          </w:tcPr>
          <w:p w14:paraId="017C57BA" w14:textId="77777777" w:rsidR="00F1341F" w:rsidRPr="008340BB" w:rsidRDefault="00F1341F" w:rsidP="00F03C1E">
            <w:pPr>
              <w:rPr>
                <w:b/>
                <w:i/>
                <w:sz w:val="18"/>
                <w:szCs w:val="18"/>
              </w:rPr>
            </w:pPr>
            <w:r w:rsidRPr="008340BB">
              <w:rPr>
                <w:b/>
                <w:i/>
                <w:sz w:val="18"/>
                <w:szCs w:val="18"/>
              </w:rPr>
              <w:t xml:space="preserve">Indicator </w:t>
            </w:r>
          </w:p>
        </w:tc>
        <w:tc>
          <w:tcPr>
            <w:tcW w:w="992" w:type="dxa"/>
          </w:tcPr>
          <w:p w14:paraId="1A3E25CE" w14:textId="77777777" w:rsidR="00F1341F" w:rsidRPr="008340BB" w:rsidRDefault="00F1341F" w:rsidP="005C0259">
            <w:pPr>
              <w:rPr>
                <w:b/>
                <w:i/>
                <w:sz w:val="18"/>
                <w:szCs w:val="18"/>
              </w:rPr>
            </w:pPr>
            <w:r w:rsidRPr="008340BB">
              <w:rPr>
                <w:b/>
                <w:i/>
                <w:sz w:val="18"/>
                <w:szCs w:val="18"/>
              </w:rPr>
              <w:t>Measurement unit</w:t>
            </w:r>
          </w:p>
        </w:tc>
        <w:tc>
          <w:tcPr>
            <w:tcW w:w="1134" w:type="dxa"/>
          </w:tcPr>
          <w:p w14:paraId="5D3D2242" w14:textId="77777777" w:rsidR="00F1341F" w:rsidRPr="008340BB" w:rsidRDefault="00F1341F" w:rsidP="005C0259">
            <w:pPr>
              <w:snapToGrid w:val="0"/>
              <w:rPr>
                <w:b/>
                <w:i/>
                <w:sz w:val="18"/>
                <w:szCs w:val="18"/>
              </w:rPr>
            </w:pPr>
            <w:r w:rsidRPr="008340BB">
              <w:rPr>
                <w:b/>
                <w:i/>
                <w:sz w:val="18"/>
                <w:szCs w:val="18"/>
              </w:rPr>
              <w:t xml:space="preserve">Baseline value </w:t>
            </w:r>
          </w:p>
        </w:tc>
        <w:tc>
          <w:tcPr>
            <w:tcW w:w="992" w:type="dxa"/>
          </w:tcPr>
          <w:p w14:paraId="0D581BD4" w14:textId="77777777" w:rsidR="00F1341F" w:rsidRPr="008340BB" w:rsidRDefault="00F1341F" w:rsidP="005C0259">
            <w:pPr>
              <w:rPr>
                <w:b/>
                <w:i/>
                <w:sz w:val="18"/>
                <w:szCs w:val="18"/>
              </w:rPr>
            </w:pPr>
            <w:r w:rsidRPr="008340BB">
              <w:rPr>
                <w:b/>
                <w:i/>
                <w:sz w:val="18"/>
                <w:szCs w:val="18"/>
              </w:rPr>
              <w:t>Baseline year</w:t>
            </w:r>
          </w:p>
        </w:tc>
        <w:tc>
          <w:tcPr>
            <w:tcW w:w="992" w:type="dxa"/>
          </w:tcPr>
          <w:p w14:paraId="083047B8" w14:textId="77777777" w:rsidR="00F1341F" w:rsidRPr="008340BB" w:rsidRDefault="00F1341F" w:rsidP="005C0259">
            <w:pPr>
              <w:snapToGrid w:val="0"/>
              <w:rPr>
                <w:b/>
                <w:i/>
                <w:sz w:val="18"/>
                <w:szCs w:val="18"/>
              </w:rPr>
            </w:pPr>
            <w:r w:rsidRPr="008340BB">
              <w:rPr>
                <w:b/>
                <w:i/>
                <w:sz w:val="18"/>
                <w:szCs w:val="18"/>
              </w:rPr>
              <w:t>Target value</w:t>
            </w:r>
            <w:r w:rsidRPr="008340BB">
              <w:rPr>
                <w:rStyle w:val="FootnoteReference"/>
                <w:b/>
                <w:i/>
                <w:sz w:val="18"/>
              </w:rPr>
              <w:footnoteReference w:id="79"/>
            </w:r>
            <w:r w:rsidRPr="008340BB">
              <w:rPr>
                <w:b/>
                <w:i/>
                <w:sz w:val="18"/>
                <w:szCs w:val="18"/>
              </w:rPr>
              <w:t xml:space="preserve"> (2023) </w:t>
            </w:r>
          </w:p>
        </w:tc>
        <w:tc>
          <w:tcPr>
            <w:tcW w:w="1276" w:type="dxa"/>
          </w:tcPr>
          <w:p w14:paraId="3F3C1E0F" w14:textId="77777777" w:rsidR="00F1341F" w:rsidRPr="0067246B" w:rsidRDefault="00F1341F" w:rsidP="005C0259">
            <w:pPr>
              <w:rPr>
                <w:b/>
                <w:i/>
                <w:sz w:val="18"/>
                <w:szCs w:val="18"/>
              </w:rPr>
            </w:pPr>
            <w:r w:rsidRPr="0067246B">
              <w:rPr>
                <w:b/>
                <w:i/>
                <w:sz w:val="18"/>
                <w:szCs w:val="18"/>
              </w:rPr>
              <w:t>Source of data</w:t>
            </w:r>
          </w:p>
        </w:tc>
        <w:tc>
          <w:tcPr>
            <w:tcW w:w="2092" w:type="dxa"/>
          </w:tcPr>
          <w:p w14:paraId="0059F27B" w14:textId="77777777" w:rsidR="00F1341F" w:rsidRPr="00020ADD" w:rsidRDefault="00F1341F" w:rsidP="00F03C1E">
            <w:pPr>
              <w:rPr>
                <w:b/>
                <w:i/>
                <w:sz w:val="18"/>
                <w:szCs w:val="18"/>
              </w:rPr>
            </w:pPr>
            <w:r w:rsidRPr="00020ADD">
              <w:rPr>
                <w:b/>
                <w:i/>
                <w:sz w:val="18"/>
                <w:szCs w:val="18"/>
              </w:rPr>
              <w:t>Frequency of reporting</w:t>
            </w:r>
          </w:p>
        </w:tc>
      </w:tr>
      <w:tr w:rsidR="00F1341F" w:rsidRPr="008340BB" w14:paraId="3146C02F" w14:textId="77777777" w:rsidTr="009361FA">
        <w:trPr>
          <w:trHeight w:val="472"/>
        </w:trPr>
        <w:tc>
          <w:tcPr>
            <w:tcW w:w="562" w:type="dxa"/>
          </w:tcPr>
          <w:p w14:paraId="4F24E4AC" w14:textId="77777777" w:rsidR="00F1341F" w:rsidRPr="00B13FA5" w:rsidRDefault="008C5D28" w:rsidP="00F03C1E">
            <w:pPr>
              <w:jc w:val="left"/>
              <w:rPr>
                <w:sz w:val="20"/>
              </w:rPr>
            </w:pPr>
            <w:r>
              <w:rPr>
                <w:sz w:val="20"/>
              </w:rPr>
              <w:t>14</w:t>
            </w:r>
          </w:p>
        </w:tc>
        <w:tc>
          <w:tcPr>
            <w:tcW w:w="1342" w:type="dxa"/>
          </w:tcPr>
          <w:p w14:paraId="556583BD" w14:textId="77777777" w:rsidR="00F1341F" w:rsidRPr="008340BB" w:rsidRDefault="00F1341F" w:rsidP="00F03C1E">
            <w:pPr>
              <w:jc w:val="left"/>
              <w:rPr>
                <w:b/>
                <w:sz w:val="20"/>
              </w:rPr>
            </w:pPr>
            <w:r w:rsidRPr="008340BB">
              <w:rPr>
                <w:sz w:val="20"/>
              </w:rPr>
              <w:t>Trained people according to training programs</w:t>
            </w:r>
          </w:p>
        </w:tc>
        <w:tc>
          <w:tcPr>
            <w:tcW w:w="992" w:type="dxa"/>
          </w:tcPr>
          <w:p w14:paraId="327BD33C" w14:textId="77777777" w:rsidR="00F1341F" w:rsidRPr="008340BB" w:rsidRDefault="00F1341F" w:rsidP="00F03C1E">
            <w:pPr>
              <w:rPr>
                <w:b/>
                <w:sz w:val="20"/>
              </w:rPr>
            </w:pPr>
            <w:r w:rsidRPr="008340BB">
              <w:rPr>
                <w:sz w:val="20"/>
              </w:rPr>
              <w:t>%</w:t>
            </w:r>
          </w:p>
        </w:tc>
        <w:tc>
          <w:tcPr>
            <w:tcW w:w="1134" w:type="dxa"/>
          </w:tcPr>
          <w:p w14:paraId="53637C03" w14:textId="77777777" w:rsidR="00F1341F" w:rsidRPr="008340BB" w:rsidRDefault="00F1341F" w:rsidP="00F03C1E">
            <w:pPr>
              <w:snapToGrid w:val="0"/>
              <w:rPr>
                <w:b/>
                <w:sz w:val="20"/>
              </w:rPr>
            </w:pPr>
            <w:r w:rsidRPr="008340BB">
              <w:rPr>
                <w:sz w:val="20"/>
              </w:rPr>
              <w:t>0</w:t>
            </w:r>
          </w:p>
        </w:tc>
        <w:tc>
          <w:tcPr>
            <w:tcW w:w="992" w:type="dxa"/>
          </w:tcPr>
          <w:p w14:paraId="2A99696A" w14:textId="77777777" w:rsidR="00F1341F" w:rsidRPr="008340BB" w:rsidRDefault="00F1341F" w:rsidP="00F03C1E">
            <w:pPr>
              <w:rPr>
                <w:b/>
                <w:sz w:val="20"/>
              </w:rPr>
            </w:pPr>
            <w:r w:rsidRPr="008340BB">
              <w:rPr>
                <w:sz w:val="20"/>
              </w:rPr>
              <w:t>2013</w:t>
            </w:r>
          </w:p>
        </w:tc>
        <w:tc>
          <w:tcPr>
            <w:tcW w:w="992" w:type="dxa"/>
          </w:tcPr>
          <w:p w14:paraId="5A6DD7AE" w14:textId="77777777" w:rsidR="00F1341F" w:rsidRPr="008340BB" w:rsidRDefault="00F1341F" w:rsidP="00F03C1E">
            <w:pPr>
              <w:snapToGrid w:val="0"/>
              <w:rPr>
                <w:b/>
                <w:sz w:val="20"/>
              </w:rPr>
            </w:pPr>
            <w:r w:rsidRPr="008340BB">
              <w:rPr>
                <w:sz w:val="20"/>
              </w:rPr>
              <w:t>100</w:t>
            </w:r>
          </w:p>
        </w:tc>
        <w:tc>
          <w:tcPr>
            <w:tcW w:w="1276" w:type="dxa"/>
          </w:tcPr>
          <w:p w14:paraId="42F815B0" w14:textId="77777777" w:rsidR="00F1341F" w:rsidRPr="008340BB" w:rsidRDefault="00F1341F" w:rsidP="00F03C1E">
            <w:pPr>
              <w:rPr>
                <w:b/>
                <w:sz w:val="20"/>
              </w:rPr>
            </w:pPr>
            <w:r w:rsidRPr="008340BB">
              <w:rPr>
                <w:sz w:val="20"/>
              </w:rPr>
              <w:t>Managing authority and beneficiaries</w:t>
            </w:r>
          </w:p>
        </w:tc>
        <w:tc>
          <w:tcPr>
            <w:tcW w:w="2092" w:type="dxa"/>
          </w:tcPr>
          <w:p w14:paraId="4264D4DB" w14:textId="77777777" w:rsidR="00F1341F" w:rsidRPr="008340BB" w:rsidRDefault="004F2F5A">
            <w:pPr>
              <w:rPr>
                <w:b/>
                <w:sz w:val="20"/>
              </w:rPr>
            </w:pPr>
            <w:r>
              <w:rPr>
                <w:sz w:val="20"/>
              </w:rPr>
              <w:t>annually</w:t>
            </w:r>
          </w:p>
        </w:tc>
      </w:tr>
      <w:tr w:rsidR="00F1341F" w:rsidRPr="008340BB" w14:paraId="349DB040" w14:textId="77777777" w:rsidTr="009361FA">
        <w:trPr>
          <w:trHeight w:val="472"/>
        </w:trPr>
        <w:tc>
          <w:tcPr>
            <w:tcW w:w="562" w:type="dxa"/>
          </w:tcPr>
          <w:p w14:paraId="024790C3" w14:textId="77777777" w:rsidR="00F1341F" w:rsidRPr="00B13FA5" w:rsidRDefault="008C5D28" w:rsidP="00F03C1E">
            <w:pPr>
              <w:jc w:val="left"/>
              <w:rPr>
                <w:sz w:val="20"/>
              </w:rPr>
            </w:pPr>
            <w:r>
              <w:rPr>
                <w:sz w:val="20"/>
              </w:rPr>
              <w:t>15</w:t>
            </w:r>
          </w:p>
        </w:tc>
        <w:tc>
          <w:tcPr>
            <w:tcW w:w="1342" w:type="dxa"/>
          </w:tcPr>
          <w:p w14:paraId="0E893979" w14:textId="77777777" w:rsidR="00F1341F" w:rsidRPr="00DC0475" w:rsidRDefault="00F1341F" w:rsidP="00F03C1E">
            <w:pPr>
              <w:jc w:val="left"/>
              <w:rPr>
                <w:sz w:val="20"/>
              </w:rPr>
            </w:pPr>
            <w:r w:rsidRPr="00DC0475">
              <w:rPr>
                <w:sz w:val="20"/>
              </w:rPr>
              <w:t>Completed activities under the Communication Plan</w:t>
            </w:r>
          </w:p>
        </w:tc>
        <w:tc>
          <w:tcPr>
            <w:tcW w:w="992" w:type="dxa"/>
          </w:tcPr>
          <w:p w14:paraId="416E8604" w14:textId="77777777" w:rsidR="00F1341F" w:rsidRPr="00B5130A" w:rsidRDefault="00F1341F" w:rsidP="00F03C1E">
            <w:pPr>
              <w:rPr>
                <w:sz w:val="20"/>
              </w:rPr>
            </w:pPr>
            <w:r w:rsidRPr="00B5130A">
              <w:rPr>
                <w:sz w:val="20"/>
              </w:rPr>
              <w:t>%</w:t>
            </w:r>
          </w:p>
        </w:tc>
        <w:tc>
          <w:tcPr>
            <w:tcW w:w="1134" w:type="dxa"/>
          </w:tcPr>
          <w:p w14:paraId="481814A1" w14:textId="77777777" w:rsidR="00F1341F" w:rsidRPr="00A828C5" w:rsidRDefault="00F1341F" w:rsidP="00F03C1E">
            <w:pPr>
              <w:snapToGrid w:val="0"/>
              <w:rPr>
                <w:sz w:val="20"/>
              </w:rPr>
            </w:pPr>
            <w:r w:rsidRPr="00A828C5">
              <w:rPr>
                <w:sz w:val="20"/>
              </w:rPr>
              <w:t>0</w:t>
            </w:r>
          </w:p>
        </w:tc>
        <w:tc>
          <w:tcPr>
            <w:tcW w:w="992" w:type="dxa"/>
          </w:tcPr>
          <w:p w14:paraId="5EDC41C6" w14:textId="77777777" w:rsidR="00F1341F" w:rsidRPr="008340BB" w:rsidRDefault="00F1341F" w:rsidP="00F03C1E">
            <w:pPr>
              <w:rPr>
                <w:sz w:val="20"/>
              </w:rPr>
            </w:pPr>
            <w:r w:rsidRPr="008340BB">
              <w:rPr>
                <w:sz w:val="20"/>
              </w:rPr>
              <w:t>2013</w:t>
            </w:r>
          </w:p>
        </w:tc>
        <w:tc>
          <w:tcPr>
            <w:tcW w:w="992" w:type="dxa"/>
          </w:tcPr>
          <w:p w14:paraId="42D4283D" w14:textId="77777777" w:rsidR="00F1341F" w:rsidRPr="008340BB" w:rsidRDefault="00F1341F" w:rsidP="00F03C1E">
            <w:pPr>
              <w:snapToGrid w:val="0"/>
              <w:rPr>
                <w:sz w:val="20"/>
              </w:rPr>
            </w:pPr>
            <w:r w:rsidRPr="008340BB">
              <w:rPr>
                <w:sz w:val="20"/>
              </w:rPr>
              <w:t>100%</w:t>
            </w:r>
          </w:p>
        </w:tc>
        <w:tc>
          <w:tcPr>
            <w:tcW w:w="1276" w:type="dxa"/>
          </w:tcPr>
          <w:p w14:paraId="601887CC" w14:textId="77777777" w:rsidR="00F1341F" w:rsidRPr="008340BB" w:rsidRDefault="00F1341F" w:rsidP="00F03C1E">
            <w:pPr>
              <w:rPr>
                <w:sz w:val="20"/>
              </w:rPr>
            </w:pPr>
            <w:r w:rsidRPr="008340BB">
              <w:rPr>
                <w:sz w:val="20"/>
              </w:rPr>
              <w:t xml:space="preserve">Managing authority </w:t>
            </w:r>
          </w:p>
        </w:tc>
        <w:tc>
          <w:tcPr>
            <w:tcW w:w="2092" w:type="dxa"/>
          </w:tcPr>
          <w:p w14:paraId="281E7C92" w14:textId="77777777" w:rsidR="00F1341F" w:rsidRPr="008340BB" w:rsidRDefault="004F2F5A" w:rsidP="00F03C1E">
            <w:pPr>
              <w:rPr>
                <w:sz w:val="20"/>
              </w:rPr>
            </w:pPr>
            <w:r>
              <w:rPr>
                <w:sz w:val="20"/>
              </w:rPr>
              <w:t>annually</w:t>
            </w:r>
          </w:p>
        </w:tc>
      </w:tr>
      <w:tr w:rsidR="00F1341F" w:rsidRPr="008340BB" w14:paraId="0D6390B6" w14:textId="77777777" w:rsidTr="009361FA">
        <w:trPr>
          <w:trHeight w:val="472"/>
        </w:trPr>
        <w:tc>
          <w:tcPr>
            <w:tcW w:w="562" w:type="dxa"/>
          </w:tcPr>
          <w:p w14:paraId="207F5E78" w14:textId="77777777" w:rsidR="00F1341F" w:rsidRPr="00B13FA5" w:rsidRDefault="008C5D28" w:rsidP="00F03C1E">
            <w:pPr>
              <w:jc w:val="left"/>
              <w:rPr>
                <w:sz w:val="20"/>
              </w:rPr>
            </w:pPr>
            <w:r>
              <w:rPr>
                <w:sz w:val="20"/>
              </w:rPr>
              <w:t>16</w:t>
            </w:r>
          </w:p>
        </w:tc>
        <w:tc>
          <w:tcPr>
            <w:tcW w:w="1342" w:type="dxa"/>
          </w:tcPr>
          <w:p w14:paraId="5157E58E" w14:textId="77777777" w:rsidR="00F1341F" w:rsidRPr="00B5130A" w:rsidRDefault="00F1341F">
            <w:pPr>
              <w:jc w:val="left"/>
              <w:rPr>
                <w:sz w:val="20"/>
              </w:rPr>
            </w:pPr>
            <w:r w:rsidRPr="00DC0475">
              <w:rPr>
                <w:sz w:val="20"/>
              </w:rPr>
              <w:t>Average time r</w:t>
            </w:r>
            <w:r w:rsidRPr="00B5130A">
              <w:rPr>
                <w:sz w:val="20"/>
              </w:rPr>
              <w:t xml:space="preserve">equired to pay beneficiary from the </w:t>
            </w:r>
            <w:r w:rsidR="006E31AF">
              <w:rPr>
                <w:sz w:val="20"/>
              </w:rPr>
              <w:t xml:space="preserve">date of </w:t>
            </w:r>
            <w:r w:rsidRPr="00B5130A">
              <w:rPr>
                <w:sz w:val="20"/>
              </w:rPr>
              <w:t xml:space="preserve">submission of the </w:t>
            </w:r>
            <w:r w:rsidR="006E31AF" w:rsidRPr="00B5130A">
              <w:rPr>
                <w:sz w:val="20"/>
              </w:rPr>
              <w:t xml:space="preserve">application </w:t>
            </w:r>
            <w:r w:rsidR="006E31AF">
              <w:rPr>
                <w:sz w:val="20"/>
              </w:rPr>
              <w:t xml:space="preserve">for </w:t>
            </w:r>
            <w:r w:rsidRPr="00B5130A">
              <w:rPr>
                <w:sz w:val="20"/>
              </w:rPr>
              <w:t xml:space="preserve">reimbursement </w:t>
            </w:r>
          </w:p>
        </w:tc>
        <w:tc>
          <w:tcPr>
            <w:tcW w:w="992" w:type="dxa"/>
          </w:tcPr>
          <w:p w14:paraId="340E48C3" w14:textId="77777777" w:rsidR="00F1341F" w:rsidRPr="00A828C5" w:rsidRDefault="00F1341F" w:rsidP="00F03C1E">
            <w:pPr>
              <w:rPr>
                <w:sz w:val="20"/>
              </w:rPr>
            </w:pPr>
            <w:r w:rsidRPr="00A828C5">
              <w:rPr>
                <w:sz w:val="20"/>
              </w:rPr>
              <w:t>days</w:t>
            </w:r>
          </w:p>
        </w:tc>
        <w:tc>
          <w:tcPr>
            <w:tcW w:w="1134" w:type="dxa"/>
          </w:tcPr>
          <w:p w14:paraId="230A21F4" w14:textId="76D13FB0" w:rsidR="00F1341F" w:rsidRPr="009467B1" w:rsidRDefault="00C818A1" w:rsidP="009467B1">
            <w:pPr>
              <w:snapToGrid w:val="0"/>
              <w:rPr>
                <w:sz w:val="20"/>
              </w:rPr>
            </w:pPr>
            <w:r>
              <w:rPr>
                <w:sz w:val="20"/>
              </w:rPr>
              <w:t>90</w:t>
            </w:r>
          </w:p>
        </w:tc>
        <w:tc>
          <w:tcPr>
            <w:tcW w:w="992" w:type="dxa"/>
          </w:tcPr>
          <w:p w14:paraId="56C5618F" w14:textId="77777777" w:rsidR="00F1341F" w:rsidRPr="009467B1" w:rsidRDefault="00F1341F" w:rsidP="00F03C1E">
            <w:pPr>
              <w:rPr>
                <w:sz w:val="20"/>
              </w:rPr>
            </w:pPr>
            <w:r w:rsidRPr="009467B1">
              <w:rPr>
                <w:sz w:val="20"/>
              </w:rPr>
              <w:t>2013</w:t>
            </w:r>
          </w:p>
        </w:tc>
        <w:tc>
          <w:tcPr>
            <w:tcW w:w="992" w:type="dxa"/>
          </w:tcPr>
          <w:p w14:paraId="6D3C9592" w14:textId="54853ABF" w:rsidR="00F1341F" w:rsidRPr="009467B1" w:rsidRDefault="00C818A1" w:rsidP="009467B1">
            <w:pPr>
              <w:snapToGrid w:val="0"/>
              <w:rPr>
                <w:sz w:val="20"/>
              </w:rPr>
            </w:pPr>
            <w:r>
              <w:rPr>
                <w:sz w:val="20"/>
              </w:rPr>
              <w:t>80</w:t>
            </w:r>
          </w:p>
        </w:tc>
        <w:tc>
          <w:tcPr>
            <w:tcW w:w="1276" w:type="dxa"/>
          </w:tcPr>
          <w:p w14:paraId="4842EE16" w14:textId="77777777" w:rsidR="00F1341F" w:rsidRPr="009467B1" w:rsidRDefault="00F1341F" w:rsidP="00F03C1E">
            <w:pPr>
              <w:rPr>
                <w:sz w:val="20"/>
              </w:rPr>
            </w:pPr>
            <w:r w:rsidRPr="009467B1">
              <w:rPr>
                <w:sz w:val="20"/>
              </w:rPr>
              <w:t xml:space="preserve">Managing authority </w:t>
            </w:r>
          </w:p>
        </w:tc>
        <w:tc>
          <w:tcPr>
            <w:tcW w:w="2092" w:type="dxa"/>
          </w:tcPr>
          <w:p w14:paraId="4AB49922" w14:textId="77777777" w:rsidR="00F1341F" w:rsidRPr="00DC0475" w:rsidRDefault="004F2F5A" w:rsidP="00F03C1E">
            <w:pPr>
              <w:rPr>
                <w:sz w:val="20"/>
              </w:rPr>
            </w:pPr>
            <w:r>
              <w:rPr>
                <w:sz w:val="20"/>
              </w:rPr>
              <w:t>annually</w:t>
            </w:r>
          </w:p>
        </w:tc>
      </w:tr>
      <w:tr w:rsidR="00F1341F" w:rsidRPr="008340BB" w14:paraId="3A2E302F" w14:textId="77777777" w:rsidTr="009C28A4">
        <w:trPr>
          <w:trHeight w:val="472"/>
        </w:trPr>
        <w:tc>
          <w:tcPr>
            <w:tcW w:w="562" w:type="dxa"/>
          </w:tcPr>
          <w:p w14:paraId="3FB3440C" w14:textId="77777777" w:rsidR="00F1341F" w:rsidRPr="00B13FA5" w:rsidRDefault="008C5D28" w:rsidP="00F03C1E">
            <w:pPr>
              <w:jc w:val="left"/>
              <w:rPr>
                <w:sz w:val="20"/>
              </w:rPr>
            </w:pPr>
            <w:r>
              <w:rPr>
                <w:sz w:val="20"/>
              </w:rPr>
              <w:t>17</w:t>
            </w:r>
          </w:p>
        </w:tc>
        <w:tc>
          <w:tcPr>
            <w:tcW w:w="1342" w:type="dxa"/>
          </w:tcPr>
          <w:p w14:paraId="5B466776" w14:textId="77777777" w:rsidR="00F1341F" w:rsidRPr="00DC0475" w:rsidRDefault="00F1341F" w:rsidP="00B54BED">
            <w:pPr>
              <w:jc w:val="left"/>
              <w:rPr>
                <w:sz w:val="20"/>
              </w:rPr>
            </w:pPr>
            <w:r w:rsidRPr="00DC0475">
              <w:rPr>
                <w:sz w:val="20"/>
              </w:rPr>
              <w:t>Average time for evaluation of project</w:t>
            </w:r>
          </w:p>
        </w:tc>
        <w:tc>
          <w:tcPr>
            <w:tcW w:w="992" w:type="dxa"/>
          </w:tcPr>
          <w:p w14:paraId="36FBF14F" w14:textId="77777777" w:rsidR="00F1341F" w:rsidRPr="00B5130A" w:rsidRDefault="00F1341F" w:rsidP="00F03C1E">
            <w:pPr>
              <w:rPr>
                <w:sz w:val="20"/>
              </w:rPr>
            </w:pPr>
            <w:r w:rsidRPr="00B5130A">
              <w:rPr>
                <w:sz w:val="20"/>
              </w:rPr>
              <w:t>days</w:t>
            </w:r>
          </w:p>
        </w:tc>
        <w:tc>
          <w:tcPr>
            <w:tcW w:w="1134" w:type="dxa"/>
          </w:tcPr>
          <w:p w14:paraId="7A653C90" w14:textId="2008F9E3" w:rsidR="00F1341F" w:rsidRPr="00A828C5" w:rsidRDefault="00CB1B5A" w:rsidP="00F03C1E">
            <w:pPr>
              <w:snapToGrid w:val="0"/>
              <w:rPr>
                <w:sz w:val="20"/>
              </w:rPr>
            </w:pPr>
            <w:r>
              <w:rPr>
                <w:sz w:val="20"/>
              </w:rPr>
              <w:t>90</w:t>
            </w:r>
          </w:p>
        </w:tc>
        <w:tc>
          <w:tcPr>
            <w:tcW w:w="992" w:type="dxa"/>
          </w:tcPr>
          <w:p w14:paraId="18D14A7D" w14:textId="77777777" w:rsidR="00F1341F" w:rsidRPr="008340BB" w:rsidRDefault="00F1341F" w:rsidP="00F03C1E">
            <w:pPr>
              <w:rPr>
                <w:sz w:val="20"/>
              </w:rPr>
            </w:pPr>
            <w:r w:rsidRPr="008340BB">
              <w:rPr>
                <w:sz w:val="20"/>
              </w:rPr>
              <w:t>2013</w:t>
            </w:r>
          </w:p>
        </w:tc>
        <w:tc>
          <w:tcPr>
            <w:tcW w:w="992" w:type="dxa"/>
          </w:tcPr>
          <w:p w14:paraId="30235FB9" w14:textId="136738EF" w:rsidR="00F1341F" w:rsidRPr="008340BB" w:rsidRDefault="00CB1B5A" w:rsidP="00F03C1E">
            <w:pPr>
              <w:snapToGrid w:val="0"/>
              <w:rPr>
                <w:sz w:val="20"/>
              </w:rPr>
            </w:pPr>
            <w:r>
              <w:rPr>
                <w:sz w:val="20"/>
              </w:rPr>
              <w:t>8</w:t>
            </w:r>
            <w:r w:rsidR="00F1341F" w:rsidRPr="008340BB">
              <w:rPr>
                <w:sz w:val="20"/>
              </w:rPr>
              <w:t>5</w:t>
            </w:r>
          </w:p>
        </w:tc>
        <w:tc>
          <w:tcPr>
            <w:tcW w:w="1276" w:type="dxa"/>
          </w:tcPr>
          <w:p w14:paraId="581C0C87" w14:textId="77777777" w:rsidR="00F1341F" w:rsidRPr="008340BB" w:rsidRDefault="00F1341F" w:rsidP="00F03C1E">
            <w:pPr>
              <w:rPr>
                <w:sz w:val="20"/>
              </w:rPr>
            </w:pPr>
            <w:r w:rsidRPr="008340BB">
              <w:rPr>
                <w:sz w:val="20"/>
              </w:rPr>
              <w:t xml:space="preserve">Managing authority </w:t>
            </w:r>
          </w:p>
        </w:tc>
        <w:tc>
          <w:tcPr>
            <w:tcW w:w="2092" w:type="dxa"/>
          </w:tcPr>
          <w:p w14:paraId="47198C75" w14:textId="77777777" w:rsidR="00F1341F" w:rsidRPr="008340BB" w:rsidRDefault="004F2F5A" w:rsidP="00F03C1E">
            <w:pPr>
              <w:rPr>
                <w:sz w:val="20"/>
              </w:rPr>
            </w:pPr>
            <w:r>
              <w:rPr>
                <w:sz w:val="20"/>
              </w:rPr>
              <w:t>annually</w:t>
            </w:r>
          </w:p>
        </w:tc>
      </w:tr>
      <w:tr w:rsidR="00F1341F" w:rsidRPr="008340BB" w14:paraId="50E5C80D" w14:textId="77777777" w:rsidTr="009C28A4">
        <w:trPr>
          <w:trHeight w:val="472"/>
        </w:trPr>
        <w:tc>
          <w:tcPr>
            <w:tcW w:w="562" w:type="dxa"/>
          </w:tcPr>
          <w:p w14:paraId="18FB4016" w14:textId="77777777" w:rsidR="00F1341F" w:rsidRPr="00B13FA5" w:rsidRDefault="008C5D28" w:rsidP="00F03C1E">
            <w:pPr>
              <w:jc w:val="left"/>
              <w:rPr>
                <w:sz w:val="20"/>
              </w:rPr>
            </w:pPr>
            <w:r>
              <w:rPr>
                <w:sz w:val="20"/>
              </w:rPr>
              <w:t>18</w:t>
            </w:r>
          </w:p>
        </w:tc>
        <w:tc>
          <w:tcPr>
            <w:tcW w:w="1342" w:type="dxa"/>
          </w:tcPr>
          <w:p w14:paraId="79D64AA1" w14:textId="77777777" w:rsidR="00F1341F" w:rsidRPr="00B5130A" w:rsidRDefault="00F1341F" w:rsidP="00B54BED">
            <w:pPr>
              <w:jc w:val="left"/>
              <w:rPr>
                <w:sz w:val="20"/>
              </w:rPr>
            </w:pPr>
            <w:r w:rsidRPr="00DC0475">
              <w:rPr>
                <w:sz w:val="20"/>
              </w:rPr>
              <w:t>Degree of public awarene</w:t>
            </w:r>
            <w:r w:rsidRPr="00B5130A">
              <w:rPr>
                <w:sz w:val="20"/>
              </w:rPr>
              <w:t>ss</w:t>
            </w:r>
            <w:r w:rsidR="00296EC1">
              <w:rPr>
                <w:sz w:val="20"/>
              </w:rPr>
              <w:t xml:space="preserve"> of OPTTI</w:t>
            </w:r>
          </w:p>
        </w:tc>
        <w:tc>
          <w:tcPr>
            <w:tcW w:w="992" w:type="dxa"/>
          </w:tcPr>
          <w:p w14:paraId="2CF9FCFF" w14:textId="77777777" w:rsidR="00F1341F" w:rsidRPr="00A828C5" w:rsidRDefault="00F1341F" w:rsidP="00F03C1E">
            <w:pPr>
              <w:rPr>
                <w:sz w:val="20"/>
              </w:rPr>
            </w:pPr>
            <w:r w:rsidRPr="00A828C5">
              <w:rPr>
                <w:sz w:val="20"/>
              </w:rPr>
              <w:t>%</w:t>
            </w:r>
          </w:p>
        </w:tc>
        <w:tc>
          <w:tcPr>
            <w:tcW w:w="1134" w:type="dxa"/>
          </w:tcPr>
          <w:p w14:paraId="0D6B9BE1" w14:textId="77777777" w:rsidR="00F1341F" w:rsidRPr="008340BB" w:rsidRDefault="00F1341F" w:rsidP="00F03C1E">
            <w:pPr>
              <w:snapToGrid w:val="0"/>
              <w:rPr>
                <w:sz w:val="20"/>
              </w:rPr>
            </w:pPr>
            <w:r w:rsidRPr="008340BB">
              <w:rPr>
                <w:sz w:val="20"/>
              </w:rPr>
              <w:t>0</w:t>
            </w:r>
          </w:p>
        </w:tc>
        <w:tc>
          <w:tcPr>
            <w:tcW w:w="992" w:type="dxa"/>
          </w:tcPr>
          <w:p w14:paraId="7447C706" w14:textId="77777777" w:rsidR="00F1341F" w:rsidRPr="008340BB" w:rsidRDefault="00F1341F" w:rsidP="00F03C1E">
            <w:pPr>
              <w:rPr>
                <w:sz w:val="20"/>
              </w:rPr>
            </w:pPr>
            <w:r w:rsidRPr="008340BB">
              <w:rPr>
                <w:sz w:val="20"/>
              </w:rPr>
              <w:t>2013</w:t>
            </w:r>
          </w:p>
        </w:tc>
        <w:tc>
          <w:tcPr>
            <w:tcW w:w="992" w:type="dxa"/>
          </w:tcPr>
          <w:p w14:paraId="00AB2B8B" w14:textId="77777777" w:rsidR="00F1341F" w:rsidRPr="00EE05CB" w:rsidRDefault="00EE05CB" w:rsidP="00EE05CB">
            <w:pPr>
              <w:snapToGrid w:val="0"/>
              <w:rPr>
                <w:sz w:val="20"/>
              </w:rPr>
            </w:pPr>
            <w:r>
              <w:rPr>
                <w:sz w:val="20"/>
              </w:rPr>
              <w:t>30%</w:t>
            </w:r>
          </w:p>
        </w:tc>
        <w:tc>
          <w:tcPr>
            <w:tcW w:w="1276" w:type="dxa"/>
          </w:tcPr>
          <w:p w14:paraId="41B21870" w14:textId="77777777" w:rsidR="00F1341F" w:rsidRPr="00DC0475" w:rsidRDefault="00F1341F" w:rsidP="00F03C1E">
            <w:pPr>
              <w:rPr>
                <w:sz w:val="20"/>
              </w:rPr>
            </w:pPr>
            <w:r w:rsidRPr="00DC0475">
              <w:rPr>
                <w:sz w:val="20"/>
              </w:rPr>
              <w:t xml:space="preserve">Managing authority </w:t>
            </w:r>
          </w:p>
        </w:tc>
        <w:tc>
          <w:tcPr>
            <w:tcW w:w="2092" w:type="dxa"/>
          </w:tcPr>
          <w:p w14:paraId="68604938" w14:textId="77777777" w:rsidR="00F1341F" w:rsidRPr="00B5130A" w:rsidRDefault="004F2F5A" w:rsidP="00F03C1E">
            <w:pPr>
              <w:rPr>
                <w:sz w:val="20"/>
              </w:rPr>
            </w:pPr>
            <w:r>
              <w:rPr>
                <w:sz w:val="20"/>
              </w:rPr>
              <w:t>annually</w:t>
            </w:r>
          </w:p>
        </w:tc>
      </w:tr>
      <w:tr w:rsidR="00FF1EBA" w:rsidRPr="008340BB" w14:paraId="4ED3494F" w14:textId="77777777" w:rsidTr="009C28A4">
        <w:trPr>
          <w:trHeight w:val="472"/>
        </w:trPr>
        <w:tc>
          <w:tcPr>
            <w:tcW w:w="562" w:type="dxa"/>
          </w:tcPr>
          <w:p w14:paraId="1A388B58" w14:textId="77777777" w:rsidR="00FF1EBA" w:rsidRPr="00B13FA5" w:rsidRDefault="008C5D28" w:rsidP="00F03C1E">
            <w:pPr>
              <w:jc w:val="left"/>
              <w:rPr>
                <w:sz w:val="20"/>
              </w:rPr>
            </w:pPr>
            <w:r>
              <w:rPr>
                <w:sz w:val="20"/>
              </w:rPr>
              <w:t>19</w:t>
            </w:r>
          </w:p>
        </w:tc>
        <w:tc>
          <w:tcPr>
            <w:tcW w:w="1342" w:type="dxa"/>
          </w:tcPr>
          <w:p w14:paraId="064662AC" w14:textId="77777777" w:rsidR="00FF1EBA" w:rsidRPr="00DC0475" w:rsidRDefault="00FF1EBA" w:rsidP="00B54BED">
            <w:pPr>
              <w:jc w:val="left"/>
              <w:rPr>
                <w:sz w:val="20"/>
              </w:rPr>
            </w:pPr>
            <w:r w:rsidRPr="00AC1DDF">
              <w:rPr>
                <w:sz w:val="20"/>
              </w:rPr>
              <w:t>Share of expenditure covered by on the spot</w:t>
            </w:r>
            <w:r w:rsidRPr="00AC1DDF">
              <w:t xml:space="preserve"> </w:t>
            </w:r>
            <w:r w:rsidR="00E70ACF">
              <w:rPr>
                <w:sz w:val="20"/>
              </w:rPr>
              <w:t>checks</w:t>
            </w:r>
          </w:p>
        </w:tc>
        <w:tc>
          <w:tcPr>
            <w:tcW w:w="992" w:type="dxa"/>
          </w:tcPr>
          <w:p w14:paraId="554420B2" w14:textId="77777777" w:rsidR="00FF1EBA" w:rsidRPr="00A828C5" w:rsidRDefault="00FF1EBA" w:rsidP="00F03C1E">
            <w:pPr>
              <w:rPr>
                <w:sz w:val="20"/>
              </w:rPr>
            </w:pPr>
            <w:r>
              <w:rPr>
                <w:sz w:val="20"/>
              </w:rPr>
              <w:t>%</w:t>
            </w:r>
          </w:p>
        </w:tc>
        <w:tc>
          <w:tcPr>
            <w:tcW w:w="1134" w:type="dxa"/>
          </w:tcPr>
          <w:p w14:paraId="31A7400E" w14:textId="77777777" w:rsidR="00FF1EBA" w:rsidRPr="008340BB" w:rsidRDefault="00FF1EBA" w:rsidP="00F03C1E">
            <w:pPr>
              <w:snapToGrid w:val="0"/>
              <w:rPr>
                <w:sz w:val="20"/>
              </w:rPr>
            </w:pPr>
            <w:r>
              <w:rPr>
                <w:sz w:val="20"/>
              </w:rPr>
              <w:t>0</w:t>
            </w:r>
          </w:p>
        </w:tc>
        <w:tc>
          <w:tcPr>
            <w:tcW w:w="992" w:type="dxa"/>
          </w:tcPr>
          <w:p w14:paraId="7851286F" w14:textId="77777777" w:rsidR="00FF1EBA" w:rsidRPr="008340BB" w:rsidRDefault="00FF1EBA" w:rsidP="00F03C1E">
            <w:pPr>
              <w:rPr>
                <w:sz w:val="20"/>
              </w:rPr>
            </w:pPr>
            <w:r>
              <w:rPr>
                <w:sz w:val="20"/>
              </w:rPr>
              <w:t>2013</w:t>
            </w:r>
          </w:p>
        </w:tc>
        <w:tc>
          <w:tcPr>
            <w:tcW w:w="992" w:type="dxa"/>
          </w:tcPr>
          <w:p w14:paraId="5C8911E0" w14:textId="77777777" w:rsidR="00FF1EBA" w:rsidRDefault="00FF1EBA" w:rsidP="00FF1EBA">
            <w:pPr>
              <w:snapToGrid w:val="0"/>
              <w:rPr>
                <w:sz w:val="20"/>
              </w:rPr>
            </w:pPr>
            <w:r>
              <w:rPr>
                <w:sz w:val="20"/>
              </w:rPr>
              <w:t>100%</w:t>
            </w:r>
          </w:p>
        </w:tc>
        <w:tc>
          <w:tcPr>
            <w:tcW w:w="1276" w:type="dxa"/>
          </w:tcPr>
          <w:p w14:paraId="117F996B" w14:textId="77777777" w:rsidR="00FF1EBA" w:rsidRPr="00DC0475" w:rsidRDefault="00FF1EBA" w:rsidP="00F03C1E">
            <w:pPr>
              <w:rPr>
                <w:sz w:val="20"/>
              </w:rPr>
            </w:pPr>
            <w:r w:rsidRPr="00DC0475">
              <w:rPr>
                <w:sz w:val="20"/>
              </w:rPr>
              <w:t xml:space="preserve">Managing authority </w:t>
            </w:r>
          </w:p>
        </w:tc>
        <w:tc>
          <w:tcPr>
            <w:tcW w:w="2092" w:type="dxa"/>
          </w:tcPr>
          <w:p w14:paraId="672D4595" w14:textId="77777777" w:rsidR="00FF1EBA" w:rsidRDefault="00FF1EBA" w:rsidP="00F03C1E">
            <w:pPr>
              <w:rPr>
                <w:sz w:val="20"/>
              </w:rPr>
            </w:pPr>
            <w:r>
              <w:rPr>
                <w:sz w:val="20"/>
              </w:rPr>
              <w:t>annually</w:t>
            </w:r>
          </w:p>
        </w:tc>
      </w:tr>
    </w:tbl>
    <w:p w14:paraId="1AB02FEC" w14:textId="77777777" w:rsidR="00F1341F" w:rsidRPr="008340BB" w:rsidRDefault="00F1341F" w:rsidP="00355925">
      <w:pPr>
        <w:rPr>
          <w:b/>
        </w:rPr>
      </w:pPr>
    </w:p>
    <w:p w14:paraId="742B2A80" w14:textId="77777777" w:rsidR="00F1341F" w:rsidRPr="008340BB" w:rsidRDefault="00F1341F" w:rsidP="00355925">
      <w:pPr>
        <w:rPr>
          <w:b/>
        </w:rPr>
      </w:pPr>
      <w:r w:rsidRPr="008340BB">
        <w:rPr>
          <w:b/>
        </w:rPr>
        <w:t xml:space="preserve">2.B.6 </w:t>
      </w:r>
      <w:r w:rsidRPr="008340BB">
        <w:rPr>
          <w:b/>
        </w:rPr>
        <w:tab/>
        <w:t xml:space="preserve">Actions to be supported and their expected contribution to the specific objectives </w:t>
      </w:r>
      <w:r w:rsidRPr="008340BB">
        <w:t>(by priority axis)</w:t>
      </w:r>
    </w:p>
    <w:p w14:paraId="370A726D" w14:textId="77777777" w:rsidR="00F1341F" w:rsidRPr="008340BB" w:rsidRDefault="00F1341F" w:rsidP="00355925">
      <w:r w:rsidRPr="008340BB">
        <w:t xml:space="preserve"> (Reference: points (c)(i) and (ii) of the first subparagraph of Article 96(2) of Regulation (EU) No 1303/2013) </w:t>
      </w:r>
    </w:p>
    <w:p w14:paraId="26D4983D" w14:textId="77777777" w:rsidR="00F1341F" w:rsidRPr="008340BB" w:rsidRDefault="00F1341F" w:rsidP="00355925"/>
    <w:p w14:paraId="44E1316E" w14:textId="77777777" w:rsidR="00F1341F" w:rsidRPr="008340BB" w:rsidRDefault="00F1341F" w:rsidP="00355925">
      <w:pPr>
        <w:ind w:left="851" w:hanging="851"/>
        <w:rPr>
          <w:i/>
        </w:rPr>
      </w:pPr>
      <w:r w:rsidRPr="008340BB">
        <w:rPr>
          <w:b/>
          <w:i/>
        </w:rPr>
        <w:lastRenderedPageBreak/>
        <w:t>2.B.6.1</w:t>
      </w:r>
      <w:r w:rsidRPr="008340BB">
        <w:rPr>
          <w:b/>
          <w:i/>
        </w:rPr>
        <w:tab/>
      </w:r>
      <w:r w:rsidRPr="008340BB">
        <w:rPr>
          <w:i/>
        </w:rPr>
        <w:t>A description of actions to be supported and their expected contribution to the specific objectives</w:t>
      </w:r>
    </w:p>
    <w:p w14:paraId="0E321790" w14:textId="77777777" w:rsidR="00F1341F" w:rsidRPr="008340BB" w:rsidRDefault="00F1341F" w:rsidP="00355925">
      <w:pPr>
        <w:ind w:left="851" w:hanging="851"/>
      </w:pPr>
      <w:r w:rsidRPr="008340BB">
        <w:rPr>
          <w:i/>
        </w:rPr>
        <w:t xml:space="preserve"> </w:t>
      </w:r>
      <w:r w:rsidRPr="008340BB">
        <w:t>(Reference: points (c)(i) and (iii) of the first subparagraph of Article 96(2) of Regulation (EU) No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43"/>
      </w:tblGrid>
      <w:tr w:rsidR="00F1341F" w:rsidRPr="008340BB" w14:paraId="24981331" w14:textId="77777777" w:rsidTr="00F03C1E">
        <w:trPr>
          <w:trHeight w:val="518"/>
        </w:trPr>
        <w:tc>
          <w:tcPr>
            <w:tcW w:w="2235" w:type="dxa"/>
          </w:tcPr>
          <w:p w14:paraId="32BEB78B" w14:textId="77777777" w:rsidR="00F1341F" w:rsidRPr="008340BB" w:rsidRDefault="00F1341F" w:rsidP="00F03C1E">
            <w:pPr>
              <w:rPr>
                <w:i/>
                <w:color w:val="8DB3E2"/>
                <w:sz w:val="18"/>
                <w:szCs w:val="18"/>
              </w:rPr>
            </w:pPr>
            <w:r w:rsidRPr="008340BB">
              <w:rPr>
                <w:i/>
              </w:rPr>
              <w:t>Priority axis</w:t>
            </w:r>
          </w:p>
        </w:tc>
        <w:tc>
          <w:tcPr>
            <w:tcW w:w="6443" w:type="dxa"/>
          </w:tcPr>
          <w:p w14:paraId="59942D3B" w14:textId="77777777" w:rsidR="00F1341F" w:rsidRPr="008340BB" w:rsidRDefault="00F1341F" w:rsidP="00F03C1E">
            <w:pPr>
              <w:rPr>
                <w:i/>
                <w:color w:val="8DB3E2"/>
                <w:sz w:val="18"/>
                <w:szCs w:val="18"/>
              </w:rPr>
            </w:pPr>
            <w:r w:rsidRPr="008340BB">
              <w:rPr>
                <w:i/>
              </w:rPr>
              <w:t>“Technical Assistance”</w:t>
            </w:r>
          </w:p>
        </w:tc>
      </w:tr>
      <w:tr w:rsidR="00F1341F" w:rsidRPr="008340BB" w14:paraId="70AACA01" w14:textId="77777777" w:rsidTr="00F03C1E">
        <w:trPr>
          <w:trHeight w:val="662"/>
        </w:trPr>
        <w:tc>
          <w:tcPr>
            <w:tcW w:w="8678" w:type="dxa"/>
            <w:gridSpan w:val="2"/>
          </w:tcPr>
          <w:p w14:paraId="792501B5" w14:textId="77777777" w:rsidR="00F1341F" w:rsidRPr="008340BB" w:rsidRDefault="00F1341F" w:rsidP="00772958">
            <w:pPr>
              <w:pStyle w:val="ListParagraph"/>
              <w:overflowPunct w:val="0"/>
              <w:autoSpaceDE w:val="0"/>
              <w:autoSpaceDN w:val="0"/>
              <w:adjustRightInd w:val="0"/>
              <w:spacing w:before="100" w:beforeAutospacing="1" w:after="120"/>
              <w:ind w:left="0"/>
              <w:contextualSpacing/>
              <w:textAlignment w:val="baseline"/>
              <w:rPr>
                <w:b/>
                <w:szCs w:val="24"/>
              </w:rPr>
            </w:pPr>
            <w:r w:rsidRPr="008340BB">
              <w:rPr>
                <w:b/>
                <w:szCs w:val="24"/>
              </w:rPr>
              <w:t>Activities aimed at the successful completion of the OPT (2007-2013 programming period) and the preparation of the next 2021-2027 programming period:</w:t>
            </w:r>
          </w:p>
          <w:p w14:paraId="1BBF84D4" w14:textId="77777777" w:rsidR="00F1341F" w:rsidRPr="008340BB" w:rsidRDefault="00F1341F" w:rsidP="007B4B42">
            <w:pPr>
              <w:pStyle w:val="ListParagraph"/>
              <w:numPr>
                <w:ilvl w:val="0"/>
                <w:numId w:val="53"/>
              </w:numPr>
              <w:overflowPunct w:val="0"/>
              <w:autoSpaceDE w:val="0"/>
              <w:autoSpaceDN w:val="0"/>
              <w:adjustRightInd w:val="0"/>
              <w:spacing w:before="100" w:beforeAutospacing="1" w:after="120"/>
              <w:ind w:left="714" w:hanging="357"/>
              <w:textAlignment w:val="baseline"/>
              <w:rPr>
                <w:szCs w:val="24"/>
              </w:rPr>
            </w:pPr>
            <w:r w:rsidRPr="008340BB">
              <w:rPr>
                <w:szCs w:val="24"/>
              </w:rPr>
              <w:t>preparation of surveys, analyses and evaluations in relation to the implementation and completion of the OPT 2007-2013;</w:t>
            </w:r>
          </w:p>
          <w:p w14:paraId="1D576719"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carrying out specific activities of verification, control and audit in relation to the completion of the OPT 2007-2013;</w:t>
            </w:r>
          </w:p>
          <w:p w14:paraId="3D1AF8C2"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preparation of the necessary documents in relation to the completion of the OPT 2007-2013, including the final report and statement of completion of the programme;</w:t>
            </w:r>
          </w:p>
          <w:p w14:paraId="4EC5F9AD"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implementation of envisaged communication activities and information and publicity activities in relation to the completion of the OPT 2007-2013, including holding of the final meetings of the Monitoring Committee of the programme;</w:t>
            </w:r>
          </w:p>
          <w:p w14:paraId="1C083B77"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supporting the preparation of the operational programme for the period 2014-2020 (consultations, surveys, manuals, etc.).</w:t>
            </w:r>
          </w:p>
          <w:p w14:paraId="02DE0100" w14:textId="77777777" w:rsidR="00F1341F" w:rsidRPr="008340BB" w:rsidRDefault="00F1341F" w:rsidP="00772958">
            <w:pPr>
              <w:pStyle w:val="ListParagraph"/>
              <w:overflowPunct w:val="0"/>
              <w:autoSpaceDE w:val="0"/>
              <w:autoSpaceDN w:val="0"/>
              <w:adjustRightInd w:val="0"/>
              <w:spacing w:before="100" w:beforeAutospacing="1" w:after="120"/>
              <w:ind w:left="0"/>
              <w:contextualSpacing/>
              <w:textAlignment w:val="baseline"/>
              <w:rPr>
                <w:b/>
                <w:szCs w:val="24"/>
              </w:rPr>
            </w:pPr>
            <w:r w:rsidRPr="008340BB">
              <w:rPr>
                <w:b/>
                <w:szCs w:val="24"/>
              </w:rPr>
              <w:t>Activities aimed at strengthening and enhancing the administrative capacity of the Managing Authority and the beneficiaries of the OPTTI:</w:t>
            </w:r>
          </w:p>
          <w:p w14:paraId="19D91C64" w14:textId="77777777" w:rsidR="00F1341F" w:rsidRPr="008340BB" w:rsidRDefault="00F1341F" w:rsidP="007B4B42">
            <w:pPr>
              <w:pStyle w:val="ListParagraph"/>
              <w:numPr>
                <w:ilvl w:val="0"/>
                <w:numId w:val="53"/>
              </w:numPr>
              <w:overflowPunct w:val="0"/>
              <w:autoSpaceDE w:val="0"/>
              <w:autoSpaceDN w:val="0"/>
              <w:adjustRightInd w:val="0"/>
              <w:spacing w:before="100" w:beforeAutospacing="1" w:after="120"/>
              <w:ind w:left="714" w:hanging="357"/>
              <w:textAlignment w:val="baseline"/>
              <w:rPr>
                <w:szCs w:val="24"/>
              </w:rPr>
            </w:pPr>
            <w:r w:rsidRPr="008340BB">
              <w:rPr>
                <w:szCs w:val="24"/>
              </w:rPr>
              <w:t xml:space="preserve">ensuring the implementation of motivational scheme for employees of the Managing Authority and the beneficiaries of the programme for regular and overtime work on management and carrying out of activities related to the Structural and Cohesion Funds; ensuring </w:t>
            </w:r>
            <w:r w:rsidRPr="008340BB">
              <w:rPr>
                <w:rStyle w:val="st"/>
                <w:szCs w:val="24"/>
              </w:rPr>
              <w:t>financial resources</w:t>
            </w:r>
            <w:r w:rsidRPr="008340BB">
              <w:rPr>
                <w:szCs w:val="24"/>
              </w:rPr>
              <w:t xml:space="preserve"> for remuneration, overtime work and social contributions for employees - in accordance with the established national rules;</w:t>
            </w:r>
          </w:p>
          <w:p w14:paraId="3922F56F"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providing funds for accommodation and travel expenses for employees responsible for the management and implementation of activities under the Structural and Cohesion Funds, for example in relation to conducting audits and on-the-spot checks, trips abroad, in relation to the programme management;</w:t>
            </w:r>
          </w:p>
          <w:p w14:paraId="0D2E6A49" w14:textId="77777777" w:rsidR="00F1341F" w:rsidRPr="008340BB" w:rsidRDefault="00F1341F" w:rsidP="00C96635">
            <w:pPr>
              <w:pStyle w:val="ListParagraph"/>
              <w:numPr>
                <w:ilvl w:val="0"/>
                <w:numId w:val="53"/>
              </w:numPr>
              <w:overflowPunct w:val="0"/>
              <w:autoSpaceDE w:val="0"/>
              <w:autoSpaceDN w:val="0"/>
              <w:adjustRightInd w:val="0"/>
              <w:spacing w:before="120" w:after="120"/>
              <w:textAlignment w:val="baseline"/>
              <w:rPr>
                <w:szCs w:val="24"/>
              </w:rPr>
            </w:pPr>
            <w:r w:rsidRPr="008340BB">
              <w:rPr>
                <w:szCs w:val="24"/>
              </w:rPr>
              <w:t>preparing, organising and conducting specialised training courses for the employees responsible for the management and implementation of activities under the Structural and Cohesion Funds, including the room and equipment hire costs, lecturer fees, fees for participation in training courses for employees, preparation and photocopying of materials, and catering costs, where appropriate;</w:t>
            </w:r>
          </w:p>
          <w:p w14:paraId="48B02685"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improving the physical infrastructure, including rental, leasing, purchase and/or insurance of equipment needed by the personnel of the Managing Authority and beneficiaries to carry out their activities in programming/identification, preparation, financial management, monitoring, reporting and control of the implementation of projects/operations under the OPTTI;</w:t>
            </w:r>
          </w:p>
          <w:p w14:paraId="28C29868"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 xml:space="preserve">organisation of the activities of the Monitoring Committee of the OPTTI, meetings of monitoring sub-committees, in case such are established in the </w:t>
            </w:r>
            <w:r w:rsidRPr="008340BB">
              <w:rPr>
                <w:szCs w:val="24"/>
              </w:rPr>
              <w:lastRenderedPageBreak/>
              <w:t>process of implementation of the programme (including administrative and logistics costs);</w:t>
            </w:r>
          </w:p>
          <w:p w14:paraId="4C5D8A53"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organisation of seminars, workshops, including the room and multimedia equipment and audio systems hire costs, preparation, photocopying/printing and distribution of reports and other documents, as well as for translation and interpretation services, catering costs, if necessary;</w:t>
            </w:r>
          </w:p>
          <w:p w14:paraId="3B906300"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assistance from IFI’s in specific area as development of sector policy, advisory support in project management, capacity building measures, etc.</w:t>
            </w:r>
          </w:p>
          <w:p w14:paraId="2D32D077" w14:textId="77777777" w:rsidR="00F1341F" w:rsidRPr="008340BB" w:rsidRDefault="00F1341F" w:rsidP="00AB5DA9">
            <w:pPr>
              <w:pStyle w:val="ListParagraph"/>
              <w:overflowPunct w:val="0"/>
              <w:autoSpaceDE w:val="0"/>
              <w:autoSpaceDN w:val="0"/>
              <w:adjustRightInd w:val="0"/>
              <w:spacing w:before="100" w:beforeAutospacing="1" w:after="120"/>
              <w:ind w:left="0"/>
              <w:contextualSpacing/>
              <w:textAlignment w:val="baseline"/>
              <w:rPr>
                <w:b/>
                <w:szCs w:val="24"/>
              </w:rPr>
            </w:pPr>
            <w:r w:rsidRPr="008340BB">
              <w:rPr>
                <w:b/>
                <w:szCs w:val="24"/>
              </w:rPr>
              <w:t xml:space="preserve">Activities aimed at effective preparation, implementation, monitoring, control,  evaluation and promotion of the transport investments: </w:t>
            </w:r>
          </w:p>
          <w:p w14:paraId="11743A6D" w14:textId="77777777" w:rsidR="00F1341F" w:rsidRPr="008340BB" w:rsidRDefault="00F1341F" w:rsidP="007B4B42">
            <w:pPr>
              <w:pStyle w:val="ListParagraph"/>
              <w:numPr>
                <w:ilvl w:val="0"/>
                <w:numId w:val="53"/>
              </w:numPr>
              <w:overflowPunct w:val="0"/>
              <w:autoSpaceDE w:val="0"/>
              <w:autoSpaceDN w:val="0"/>
              <w:adjustRightInd w:val="0"/>
              <w:spacing w:before="100" w:beforeAutospacing="1" w:after="120"/>
              <w:ind w:left="714" w:hanging="357"/>
              <w:textAlignment w:val="baseline"/>
              <w:rPr>
                <w:szCs w:val="24"/>
              </w:rPr>
            </w:pPr>
            <w:r w:rsidRPr="008340BB">
              <w:rPr>
                <w:szCs w:val="24"/>
              </w:rPr>
              <w:t>preparation and update of strategic and programme documents in the field of transport including implementation of ex-ante conditionalities in the transport sector for programming period 2014-2020, mid-term review and update of the Strategy for the Development of the Transport System of the Republic of Bulgaria until 2020, update of the transport model /</w:t>
            </w:r>
            <w:r w:rsidRPr="008340BB">
              <w:rPr>
                <w:szCs w:val="24"/>
                <w:lang w:eastAsia="bg-BG"/>
              </w:rPr>
              <w:t xml:space="preserve">General </w:t>
            </w:r>
            <w:r w:rsidRPr="008340BB">
              <w:rPr>
                <w:iCs/>
                <w:szCs w:val="24"/>
                <w:lang w:eastAsia="bg-BG"/>
              </w:rPr>
              <w:t>Transport Master</w:t>
            </w:r>
            <w:r w:rsidRPr="008340BB">
              <w:rPr>
                <w:szCs w:val="24"/>
                <w:lang w:eastAsia="bg-BG"/>
              </w:rPr>
              <w:t xml:space="preserve"> Plan</w:t>
            </w:r>
            <w:r w:rsidRPr="008340BB">
              <w:rPr>
                <w:szCs w:val="24"/>
              </w:rPr>
              <w:t>/, etc., in accordance with the latest trends in European and national policies and in accordance with recommendations of the European Commission;</w:t>
            </w:r>
          </w:p>
          <w:p w14:paraId="32F22F3B"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preparation and update of feasibility studies, technical surveys and databases etc.;</w:t>
            </w:r>
          </w:p>
          <w:p w14:paraId="100AB6CA" w14:textId="77777777" w:rsidR="00F1341F" w:rsidRPr="008340BB" w:rsidRDefault="00F1341F" w:rsidP="00C96635">
            <w:pPr>
              <w:pStyle w:val="ListParagraph"/>
              <w:numPr>
                <w:ilvl w:val="0"/>
                <w:numId w:val="53"/>
              </w:numPr>
              <w:overflowPunct w:val="0"/>
              <w:autoSpaceDE w:val="0"/>
              <w:autoSpaceDN w:val="0"/>
              <w:adjustRightInd w:val="0"/>
              <w:spacing w:before="120" w:after="120"/>
              <w:textAlignment w:val="baseline"/>
              <w:rPr>
                <w:szCs w:val="24"/>
              </w:rPr>
            </w:pPr>
            <w:r w:rsidRPr="008340BB">
              <w:rPr>
                <w:szCs w:val="24"/>
              </w:rPr>
              <w:t>developing and implementing a plan for environmental monitoring;</w:t>
            </w:r>
          </w:p>
          <w:p w14:paraId="06131A62"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development of a manual for the preparation and implementation of measures to mitigate the negative environmental impacts during the implementation of infrastructure projects;</w:t>
            </w:r>
          </w:p>
          <w:p w14:paraId="25E7E184"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provision of technical assistance, including surveys, analyses and evaluations (ex-ante, on-going and ex-post), as well as advice from national and international experts on various aspects of the management and implementation of activities under the Structural and Cohesion Funds, including preparation of tender specifications;</w:t>
            </w:r>
          </w:p>
          <w:p w14:paraId="4BC35C78"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specialised external expertise in the implementation of activities on monitoring, management and financial control of the programme;</w:t>
            </w:r>
          </w:p>
          <w:p w14:paraId="20BF476E"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ensuring support for the preparation of projects for funding within the OPTTI framework;</w:t>
            </w:r>
          </w:p>
          <w:p w14:paraId="652406A6"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preparation, monitoring and update of the Communication Plan of the programme;</w:t>
            </w:r>
          </w:p>
          <w:p w14:paraId="321FF748" w14:textId="77777777" w:rsidR="00F1341F" w:rsidRPr="008340BB" w:rsidRDefault="00F1341F" w:rsidP="00C96635">
            <w:pPr>
              <w:pStyle w:val="ListParagraph"/>
              <w:numPr>
                <w:ilvl w:val="0"/>
                <w:numId w:val="53"/>
              </w:numPr>
              <w:overflowPunct w:val="0"/>
              <w:autoSpaceDE w:val="0"/>
              <w:autoSpaceDN w:val="0"/>
              <w:adjustRightInd w:val="0"/>
              <w:spacing w:before="120" w:after="120"/>
              <w:textAlignment w:val="baseline"/>
              <w:rPr>
                <w:szCs w:val="24"/>
              </w:rPr>
            </w:pPr>
            <w:r w:rsidRPr="008340BB">
              <w:rPr>
                <w:szCs w:val="24"/>
              </w:rPr>
              <w:t>organisation of large-scale information campaigns;</w:t>
            </w:r>
          </w:p>
          <w:p w14:paraId="0F5E4AFE"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holding seminars and conferences, room, multimedia and audio systems hire costs;</w:t>
            </w:r>
          </w:p>
          <w:p w14:paraId="2F6FB0D7"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szCs w:val="24"/>
              </w:rPr>
            </w:pPr>
            <w:r w:rsidRPr="008340BB">
              <w:rPr>
                <w:szCs w:val="24"/>
              </w:rPr>
              <w:t xml:space="preserve">disseminating information and promoting the related activities at the programme level, including preparation, photocopying/printing and publishing of promotional materials, use of respective media and communication tools (publications, exhibitions, posters, radio, TV, VCR/DVD, websites). This includes targeted initiatives to raise the profile of the programme among the various partner organisations, initiatives promoting the programme through presentations, accessible for people with disabilities (costs of venue hire and fees </w:t>
            </w:r>
            <w:r w:rsidRPr="008340BB">
              <w:rPr>
                <w:szCs w:val="24"/>
              </w:rPr>
              <w:lastRenderedPageBreak/>
              <w:t>of speakers, printing and promotion, creating websites, translation services, and use the services of intermediaries);</w:t>
            </w:r>
          </w:p>
          <w:p w14:paraId="6ADFF548" w14:textId="77777777" w:rsidR="00F1341F" w:rsidRPr="008340BB" w:rsidRDefault="00F1341F" w:rsidP="007B4B42">
            <w:pPr>
              <w:pStyle w:val="ListParagraph"/>
              <w:numPr>
                <w:ilvl w:val="0"/>
                <w:numId w:val="53"/>
              </w:numPr>
              <w:overflowPunct w:val="0"/>
              <w:autoSpaceDE w:val="0"/>
              <w:autoSpaceDN w:val="0"/>
              <w:adjustRightInd w:val="0"/>
              <w:spacing w:before="120" w:after="120"/>
              <w:ind w:left="714" w:hanging="357"/>
              <w:textAlignment w:val="baseline"/>
              <w:rPr>
                <w:rFonts w:cs="SymbolMT"/>
              </w:rPr>
            </w:pPr>
            <w:r w:rsidRPr="008340BB">
              <w:rPr>
                <w:szCs w:val="24"/>
              </w:rPr>
              <w:tab/>
              <w:t>conducting sociological surveys.</w:t>
            </w:r>
          </w:p>
          <w:p w14:paraId="2CD1A872" w14:textId="77777777" w:rsidR="00F1341F" w:rsidRPr="008340BB" w:rsidRDefault="00F1341F" w:rsidP="00F03C1E">
            <w:r w:rsidRPr="008340BB">
              <w:rPr>
                <w:rStyle w:val="hps"/>
                <w:b/>
              </w:rPr>
              <w:t>Activities aimed at</w:t>
            </w:r>
            <w:r w:rsidRPr="008340BB">
              <w:rPr>
                <w:b/>
              </w:rPr>
              <w:t xml:space="preserve"> </w:t>
            </w:r>
            <w:r w:rsidRPr="008340BB">
              <w:rPr>
                <w:rStyle w:val="hps"/>
                <w:b/>
              </w:rPr>
              <w:t>the implementation of Directive</w:t>
            </w:r>
            <w:r w:rsidRPr="008340BB">
              <w:rPr>
                <w:b/>
              </w:rPr>
              <w:t xml:space="preserve"> </w:t>
            </w:r>
            <w:r w:rsidRPr="008340BB">
              <w:rPr>
                <w:rStyle w:val="hps"/>
                <w:b/>
              </w:rPr>
              <w:t>2014/24</w:t>
            </w:r>
            <w:r w:rsidRPr="008340BB">
              <w:rPr>
                <w:b/>
              </w:rPr>
              <w:t xml:space="preserve"> </w:t>
            </w:r>
            <w:r w:rsidRPr="008340BB">
              <w:rPr>
                <w:rStyle w:val="st"/>
                <w:b/>
              </w:rPr>
              <w:t xml:space="preserve">of the European Parliament of the Council </w:t>
            </w:r>
            <w:r w:rsidRPr="008340BB">
              <w:rPr>
                <w:rStyle w:val="hps"/>
                <w:b/>
              </w:rPr>
              <w:t>of</w:t>
            </w:r>
            <w:r w:rsidRPr="008340BB">
              <w:rPr>
                <w:b/>
              </w:rPr>
              <w:t xml:space="preserve"> </w:t>
            </w:r>
            <w:r w:rsidRPr="008340BB">
              <w:rPr>
                <w:rStyle w:val="hps"/>
                <w:b/>
              </w:rPr>
              <w:t>26 February 2014</w:t>
            </w:r>
            <w:r w:rsidRPr="008340BB">
              <w:t xml:space="preserve"> </w:t>
            </w:r>
            <w:r w:rsidRPr="008340BB">
              <w:rPr>
                <w:rStyle w:val="hps"/>
              </w:rPr>
              <w:t>on the</w:t>
            </w:r>
            <w:r w:rsidRPr="008340BB">
              <w:t xml:space="preserve"> </w:t>
            </w:r>
            <w:r w:rsidRPr="008340BB">
              <w:rPr>
                <w:rStyle w:val="hps"/>
              </w:rPr>
              <w:t xml:space="preserve">mandatory </w:t>
            </w:r>
            <w:r w:rsidRPr="008340BB">
              <w:t>transmission of the tenders (electronic submission);</w:t>
            </w:r>
          </w:p>
          <w:p w14:paraId="0237D670" w14:textId="77777777" w:rsidR="00F1341F" w:rsidRDefault="00F1341F" w:rsidP="00F03C1E">
            <w:r w:rsidRPr="008340BB">
              <w:rPr>
                <w:rStyle w:val="hps"/>
                <w:b/>
              </w:rPr>
              <w:t>Activities aimed</w:t>
            </w:r>
            <w:r w:rsidRPr="008340BB">
              <w:rPr>
                <w:b/>
              </w:rPr>
              <w:t xml:space="preserve"> </w:t>
            </w:r>
            <w:r w:rsidRPr="008340BB">
              <w:rPr>
                <w:rStyle w:val="hps"/>
                <w:b/>
              </w:rPr>
              <w:t>at supporting the</w:t>
            </w:r>
            <w:r w:rsidRPr="008340BB">
              <w:rPr>
                <w:b/>
              </w:rPr>
              <w:t xml:space="preserve"> </w:t>
            </w:r>
            <w:r w:rsidRPr="008340BB">
              <w:rPr>
                <w:rStyle w:val="hps"/>
                <w:b/>
              </w:rPr>
              <w:t>MTITC</w:t>
            </w:r>
            <w:r w:rsidRPr="008340BB">
              <w:rPr>
                <w:b/>
              </w:rPr>
              <w:t xml:space="preserve"> </w:t>
            </w:r>
            <w:r w:rsidRPr="008340BB">
              <w:rPr>
                <w:rStyle w:val="hps"/>
                <w:b/>
              </w:rPr>
              <w:t>in the field of strategic</w:t>
            </w:r>
            <w:r w:rsidRPr="008340BB">
              <w:rPr>
                <w:b/>
              </w:rPr>
              <w:t xml:space="preserve"> </w:t>
            </w:r>
            <w:r w:rsidRPr="008340BB">
              <w:rPr>
                <w:rStyle w:val="hps"/>
                <w:b/>
              </w:rPr>
              <w:t>management</w:t>
            </w:r>
            <w:r w:rsidRPr="008340BB">
              <w:rPr>
                <w:b/>
              </w:rPr>
              <w:t xml:space="preserve"> </w:t>
            </w:r>
            <w:r w:rsidRPr="008340BB">
              <w:rPr>
                <w:rStyle w:val="hps"/>
                <w:b/>
              </w:rPr>
              <w:t>of the railway sector</w:t>
            </w:r>
            <w:r w:rsidRPr="008340BB">
              <w:t xml:space="preserve">, including for </w:t>
            </w:r>
            <w:r w:rsidRPr="008340BB">
              <w:rPr>
                <w:rStyle w:val="hps"/>
              </w:rPr>
              <w:t>reforms</w:t>
            </w:r>
            <w:r w:rsidRPr="008340BB">
              <w:t xml:space="preserve"> implementation </w:t>
            </w:r>
            <w:r w:rsidRPr="008340BB">
              <w:rPr>
                <w:rStyle w:val="hps"/>
              </w:rPr>
              <w:t>in the said sector;</w:t>
            </w:r>
            <w:r w:rsidRPr="008340BB">
              <w:t xml:space="preserve"> </w:t>
            </w:r>
          </w:p>
          <w:p w14:paraId="43936217" w14:textId="7B8A123D" w:rsidR="00236D0F" w:rsidRPr="00236D0F" w:rsidRDefault="00236D0F" w:rsidP="00F03C1E">
            <w:pPr>
              <w:rPr>
                <w:lang w:val="en-US"/>
              </w:rPr>
            </w:pPr>
            <w:r>
              <w:rPr>
                <w:lang w:val="en-US"/>
              </w:rPr>
              <w:t>Activities aimed at supporting MTITC in the field of strategic management of the aviation sector including the attracting of private investments</w:t>
            </w:r>
            <w:r w:rsidRPr="00236D0F">
              <w:rPr>
                <w:lang w:val="en-US"/>
              </w:rPr>
              <w:t>.</w:t>
            </w:r>
            <w:r>
              <w:rPr>
                <w:lang w:val="en-US"/>
              </w:rPr>
              <w:t xml:space="preserve"> </w:t>
            </w:r>
          </w:p>
          <w:p w14:paraId="332A42EE" w14:textId="77777777" w:rsidR="00F1341F" w:rsidRDefault="00F1341F" w:rsidP="00F03C1E">
            <w:pPr>
              <w:rPr>
                <w:rStyle w:val="hps"/>
              </w:rPr>
            </w:pPr>
            <w:r w:rsidRPr="008340BB">
              <w:rPr>
                <w:rStyle w:val="hps"/>
                <w:b/>
              </w:rPr>
              <w:t>Activities aimed</w:t>
            </w:r>
            <w:r w:rsidRPr="008340BB">
              <w:rPr>
                <w:b/>
              </w:rPr>
              <w:t xml:space="preserve"> </w:t>
            </w:r>
            <w:r w:rsidRPr="008340BB">
              <w:rPr>
                <w:rStyle w:val="hps"/>
                <w:b/>
              </w:rPr>
              <w:t>at supporting the</w:t>
            </w:r>
            <w:r w:rsidRPr="008340BB">
              <w:rPr>
                <w:b/>
              </w:rPr>
              <w:t xml:space="preserve"> </w:t>
            </w:r>
            <w:r w:rsidRPr="008340BB">
              <w:rPr>
                <w:rStyle w:val="hps"/>
                <w:b/>
              </w:rPr>
              <w:t>MA</w:t>
            </w:r>
            <w:r w:rsidRPr="008340BB">
              <w:rPr>
                <w:b/>
              </w:rPr>
              <w:t xml:space="preserve"> of the </w:t>
            </w:r>
            <w:r w:rsidRPr="008340BB">
              <w:rPr>
                <w:rStyle w:val="hps"/>
                <w:b/>
              </w:rPr>
              <w:t>OPTTI,</w:t>
            </w:r>
            <w:r w:rsidRPr="008340BB">
              <w:rPr>
                <w:b/>
              </w:rPr>
              <w:t xml:space="preserve"> </w:t>
            </w:r>
            <w:r w:rsidRPr="008340BB">
              <w:rPr>
                <w:rStyle w:val="hps"/>
                <w:b/>
              </w:rPr>
              <w:t>together</w:t>
            </w:r>
            <w:r w:rsidRPr="008340BB">
              <w:rPr>
                <w:b/>
              </w:rPr>
              <w:t xml:space="preserve"> </w:t>
            </w:r>
            <w:r w:rsidRPr="008340BB">
              <w:rPr>
                <w:rStyle w:val="hps"/>
                <w:b/>
              </w:rPr>
              <w:t>with MF</w:t>
            </w:r>
            <w:r w:rsidRPr="008340BB">
              <w:rPr>
                <w:b/>
              </w:rPr>
              <w:t xml:space="preserve"> </w:t>
            </w:r>
            <w:r w:rsidRPr="008340BB">
              <w:rPr>
                <w:rStyle w:val="hps"/>
                <w:b/>
              </w:rPr>
              <w:t>in the application</w:t>
            </w:r>
            <w:r w:rsidRPr="008340BB">
              <w:rPr>
                <w:b/>
              </w:rPr>
              <w:t xml:space="preserve"> </w:t>
            </w:r>
            <w:r w:rsidRPr="008340BB">
              <w:rPr>
                <w:rStyle w:val="hps"/>
                <w:b/>
              </w:rPr>
              <w:t>of</w:t>
            </w:r>
            <w:r w:rsidRPr="008340BB">
              <w:rPr>
                <w:b/>
              </w:rPr>
              <w:t xml:space="preserve"> the </w:t>
            </w:r>
            <w:r w:rsidRPr="008340BB">
              <w:rPr>
                <w:rStyle w:val="hps"/>
                <w:b/>
              </w:rPr>
              <w:t>state aid rules</w:t>
            </w:r>
            <w:r w:rsidRPr="008340BB">
              <w:rPr>
                <w:b/>
              </w:rPr>
              <w:t xml:space="preserve">, including </w:t>
            </w:r>
            <w:r w:rsidRPr="008340BB">
              <w:rPr>
                <w:rStyle w:val="hps"/>
                <w:b/>
              </w:rPr>
              <w:t>training</w:t>
            </w:r>
            <w:r w:rsidRPr="008340BB">
              <w:rPr>
                <w:b/>
              </w:rPr>
              <w:t xml:space="preserve">, exchange of experience, development of </w:t>
            </w:r>
            <w:r w:rsidRPr="008340BB">
              <w:rPr>
                <w:rStyle w:val="hps"/>
                <w:b/>
              </w:rPr>
              <w:t>procedures and other</w:t>
            </w:r>
            <w:r w:rsidRPr="008340BB">
              <w:rPr>
                <w:b/>
              </w:rPr>
              <w:t xml:space="preserve"> </w:t>
            </w:r>
            <w:r w:rsidRPr="008340BB">
              <w:rPr>
                <w:rStyle w:val="hps"/>
                <w:b/>
              </w:rPr>
              <w:t>relevant</w:t>
            </w:r>
            <w:r w:rsidRPr="008340BB">
              <w:rPr>
                <w:rStyle w:val="hps"/>
              </w:rPr>
              <w:t xml:space="preserve"> activities</w:t>
            </w:r>
            <w:r w:rsidRPr="008340BB">
              <w:t xml:space="preserve"> </w:t>
            </w:r>
            <w:r w:rsidRPr="008340BB">
              <w:rPr>
                <w:rStyle w:val="hps"/>
              </w:rPr>
              <w:t>in the sector.</w:t>
            </w:r>
          </w:p>
          <w:p w14:paraId="77567FCC" w14:textId="77777777" w:rsidR="00F2519E" w:rsidRDefault="00F2519E" w:rsidP="00F2519E">
            <w:pPr>
              <w:rPr>
                <w:i/>
                <w:sz w:val="18"/>
                <w:szCs w:val="18"/>
              </w:rPr>
            </w:pPr>
          </w:p>
          <w:p w14:paraId="4C71B60F" w14:textId="77777777" w:rsidR="00F2519E" w:rsidRPr="00EA04DF" w:rsidRDefault="00F2519E" w:rsidP="00F2519E">
            <w:pPr>
              <w:rPr>
                <w:b/>
                <w:szCs w:val="24"/>
              </w:rPr>
            </w:pPr>
            <w:r w:rsidRPr="00EA04DF">
              <w:rPr>
                <w:b/>
                <w:szCs w:val="24"/>
              </w:rPr>
              <w:t>Potential beneficiaries:</w:t>
            </w:r>
          </w:p>
          <w:p w14:paraId="41624E84" w14:textId="77777777" w:rsidR="00F2519E" w:rsidRDefault="00F2519E" w:rsidP="00F2519E">
            <w:pPr>
              <w:rPr>
                <w:szCs w:val="24"/>
              </w:rPr>
            </w:pPr>
            <w:r w:rsidRPr="00F2519E">
              <w:rPr>
                <w:szCs w:val="24"/>
              </w:rPr>
              <w:t>-</w:t>
            </w:r>
            <w:r>
              <w:rPr>
                <w:szCs w:val="24"/>
              </w:rPr>
              <w:t xml:space="preserve"> Managing Authority of OPTTI;</w:t>
            </w:r>
          </w:p>
          <w:p w14:paraId="736AFB76" w14:textId="77777777" w:rsidR="00F2519E" w:rsidRDefault="00F2519E" w:rsidP="00F2519E">
            <w:pPr>
              <w:rPr>
                <w:szCs w:val="24"/>
              </w:rPr>
            </w:pPr>
            <w:r>
              <w:rPr>
                <w:szCs w:val="24"/>
              </w:rPr>
              <w:t>- National Railway Infrastructure Company;</w:t>
            </w:r>
          </w:p>
          <w:p w14:paraId="6A3DD214" w14:textId="3DB3FD70" w:rsidR="00326FEE" w:rsidRDefault="00326FEE" w:rsidP="00326FEE">
            <w:pPr>
              <w:rPr>
                <w:szCs w:val="24"/>
              </w:rPr>
            </w:pPr>
            <w:r w:rsidRPr="00F2519E">
              <w:rPr>
                <w:szCs w:val="24"/>
              </w:rPr>
              <w:t>-</w:t>
            </w:r>
            <w:r>
              <w:rPr>
                <w:szCs w:val="24"/>
              </w:rPr>
              <w:t xml:space="preserve"> </w:t>
            </w:r>
            <w:r w:rsidRPr="00402107">
              <w:rPr>
                <w:szCs w:val="24"/>
              </w:rPr>
              <w:t>Road Infrastructure Agency;</w:t>
            </w:r>
          </w:p>
          <w:p w14:paraId="3D0E8109" w14:textId="53650398" w:rsidR="00100D01" w:rsidRPr="00402107" w:rsidRDefault="00100D01" w:rsidP="00326FEE">
            <w:pPr>
              <w:rPr>
                <w:szCs w:val="24"/>
              </w:rPr>
            </w:pPr>
            <w:r>
              <w:rPr>
                <w:szCs w:val="24"/>
              </w:rPr>
              <w:t xml:space="preserve">- </w:t>
            </w:r>
            <w:r w:rsidR="00F67D11" w:rsidRPr="00F67D11">
              <w:rPr>
                <w:szCs w:val="24"/>
              </w:rPr>
              <w:t>Metropolitan EAD</w:t>
            </w:r>
            <w:r w:rsidR="003D03C1">
              <w:rPr>
                <w:szCs w:val="24"/>
              </w:rPr>
              <w:t>;</w:t>
            </w:r>
          </w:p>
          <w:p w14:paraId="60B13EFA" w14:textId="77777777" w:rsidR="00F2519E" w:rsidRPr="00EA04DF" w:rsidRDefault="00F2519E" w:rsidP="00F2519E">
            <w:pPr>
              <w:rPr>
                <w:szCs w:val="24"/>
              </w:rPr>
            </w:pPr>
            <w:r>
              <w:rPr>
                <w:szCs w:val="24"/>
              </w:rPr>
              <w:t xml:space="preserve">- </w:t>
            </w:r>
            <w:r w:rsidRPr="00EA04DF">
              <w:rPr>
                <w:szCs w:val="24"/>
              </w:rPr>
              <w:t>Executive Agency for Exploration and Maintenance of the Danube River;</w:t>
            </w:r>
          </w:p>
          <w:p w14:paraId="0AC9E460" w14:textId="77777777" w:rsidR="00F2519E" w:rsidRPr="00EA04DF" w:rsidRDefault="00F2519E" w:rsidP="00F2519E">
            <w:pPr>
              <w:rPr>
                <w:szCs w:val="24"/>
              </w:rPr>
            </w:pPr>
            <w:r w:rsidRPr="00F2519E">
              <w:rPr>
                <w:szCs w:val="24"/>
              </w:rPr>
              <w:t>-</w:t>
            </w:r>
            <w:r>
              <w:rPr>
                <w:szCs w:val="24"/>
              </w:rPr>
              <w:t xml:space="preserve"> </w:t>
            </w:r>
            <w:r w:rsidRPr="00EA04DF">
              <w:rPr>
                <w:szCs w:val="24"/>
              </w:rPr>
              <w:t>State Enterprise Port Infrastructure;</w:t>
            </w:r>
          </w:p>
          <w:p w14:paraId="7E4AEB65" w14:textId="79FFD687" w:rsidR="00F2519E" w:rsidRPr="00EA04DF" w:rsidRDefault="00F2519E" w:rsidP="00F2519E">
            <w:pPr>
              <w:rPr>
                <w:szCs w:val="24"/>
              </w:rPr>
            </w:pPr>
            <w:r w:rsidRPr="00F2519E">
              <w:rPr>
                <w:szCs w:val="24"/>
              </w:rPr>
              <w:t>-</w:t>
            </w:r>
            <w:r>
              <w:rPr>
                <w:szCs w:val="24"/>
              </w:rPr>
              <w:t xml:space="preserve"> </w:t>
            </w:r>
            <w:r w:rsidRPr="00EA04DF">
              <w:rPr>
                <w:szCs w:val="24"/>
              </w:rPr>
              <w:t>Executive Agency “Maritime Administration”</w:t>
            </w:r>
            <w:r w:rsidR="00A77565">
              <w:rPr>
                <w:szCs w:val="24"/>
              </w:rPr>
              <w:t>.</w:t>
            </w:r>
          </w:p>
          <w:p w14:paraId="1B358E8F" w14:textId="03DFC70B" w:rsidR="00F2519E" w:rsidRPr="008340BB" w:rsidRDefault="00F2519E" w:rsidP="00F2519E">
            <w:pPr>
              <w:rPr>
                <w:i/>
                <w:sz w:val="18"/>
                <w:szCs w:val="18"/>
              </w:rPr>
            </w:pPr>
          </w:p>
        </w:tc>
      </w:tr>
    </w:tbl>
    <w:p w14:paraId="63148232" w14:textId="77777777" w:rsidR="00F1341F" w:rsidRPr="008340BB" w:rsidRDefault="00F1341F" w:rsidP="00A14D00"/>
    <w:p w14:paraId="24D39F7E" w14:textId="77777777" w:rsidR="00F1341F" w:rsidRPr="008340BB" w:rsidRDefault="00F1341F" w:rsidP="00355925">
      <w:pPr>
        <w:ind w:left="851" w:hanging="851"/>
        <w:rPr>
          <w:b/>
          <w:i/>
        </w:rPr>
      </w:pPr>
      <w:r w:rsidRPr="008340BB">
        <w:rPr>
          <w:b/>
          <w:i/>
        </w:rPr>
        <w:t>2.B.6.2</w:t>
      </w:r>
      <w:r w:rsidRPr="008340BB">
        <w:rPr>
          <w:b/>
          <w:i/>
        </w:rPr>
        <w:tab/>
      </w:r>
      <w:r w:rsidRPr="008340BB">
        <w:rPr>
          <w:i/>
        </w:rPr>
        <w:t xml:space="preserve">Output indicators expected to contribute  to results  (by priority axis) </w:t>
      </w:r>
      <w:r w:rsidRPr="008340BB">
        <w:rPr>
          <w:b/>
          <w:i/>
        </w:rPr>
        <w:t xml:space="preserve"> </w:t>
      </w:r>
    </w:p>
    <w:p w14:paraId="659A6AC1" w14:textId="77777777" w:rsidR="00F1341F" w:rsidRPr="008340BB" w:rsidRDefault="00F1341F" w:rsidP="00355925">
      <w:pPr>
        <w:ind w:left="851" w:hanging="851"/>
      </w:pPr>
      <w:r w:rsidRPr="008340BB">
        <w:t>(Reference: point (c)(iv) of the first subparagraph of Article 96(2) of Regulation (EU) No 1303/2013)</w:t>
      </w:r>
    </w:p>
    <w:p w14:paraId="6FFE60FA" w14:textId="77777777" w:rsidR="00F1341F" w:rsidRPr="008340BB" w:rsidRDefault="00F1341F" w:rsidP="00686A86">
      <w:pPr>
        <w:ind w:left="851" w:hanging="851"/>
        <w:rPr>
          <w:i/>
        </w:rPr>
      </w:pPr>
    </w:p>
    <w:p w14:paraId="0CDB421F" w14:textId="77777777" w:rsidR="00F1341F" w:rsidRPr="008340BB" w:rsidRDefault="00F1341F" w:rsidP="00F03C1E">
      <w:pPr>
        <w:rPr>
          <w:b/>
        </w:rPr>
      </w:pPr>
      <w:r w:rsidRPr="008340BB">
        <w:rPr>
          <w:b/>
        </w:rPr>
        <w:t xml:space="preserve">Table 13: </w:t>
      </w:r>
      <w:r w:rsidRPr="008340BB">
        <w:rPr>
          <w:b/>
        </w:rPr>
        <w:tab/>
        <w:t xml:space="preserve">Output indicators </w:t>
      </w:r>
      <w:r w:rsidRPr="008340BB">
        <w:t>(by priority axis)</w:t>
      </w:r>
    </w:p>
    <w:p w14:paraId="528456EF" w14:textId="77777777" w:rsidR="00F1341F" w:rsidRPr="008340BB" w:rsidRDefault="00F1341F" w:rsidP="00F03C1E">
      <w:r w:rsidRPr="008340BB">
        <w:t>(for ERDF/ESF/Cohesion Fund)</w:t>
      </w:r>
    </w:p>
    <w:tbl>
      <w:tblPr>
        <w:tblW w:w="9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1"/>
        <w:gridCol w:w="2115"/>
        <w:gridCol w:w="1525"/>
        <w:gridCol w:w="2334"/>
        <w:gridCol w:w="1691"/>
      </w:tblGrid>
      <w:tr w:rsidR="00F1341F" w:rsidRPr="008340BB" w14:paraId="19DF0CA6" w14:textId="77777777" w:rsidTr="003B60AB">
        <w:trPr>
          <w:trHeight w:val="497"/>
        </w:trPr>
        <w:tc>
          <w:tcPr>
            <w:tcW w:w="3736" w:type="dxa"/>
            <w:gridSpan w:val="2"/>
          </w:tcPr>
          <w:p w14:paraId="3A07E717" w14:textId="77777777" w:rsidR="00F1341F" w:rsidRPr="008340BB" w:rsidRDefault="00F1341F" w:rsidP="000B2F46">
            <w:pPr>
              <w:ind w:left="283" w:hanging="283"/>
              <w:rPr>
                <w:b/>
                <w:i/>
                <w:sz w:val="20"/>
              </w:rPr>
            </w:pPr>
            <w:r w:rsidRPr="008340BB">
              <w:rPr>
                <w:b/>
                <w:i/>
                <w:sz w:val="20"/>
              </w:rPr>
              <w:t>Priority axis</w:t>
            </w:r>
          </w:p>
        </w:tc>
        <w:tc>
          <w:tcPr>
            <w:tcW w:w="5550" w:type="dxa"/>
            <w:gridSpan w:val="3"/>
          </w:tcPr>
          <w:p w14:paraId="5C393625" w14:textId="77777777" w:rsidR="00F1341F" w:rsidRPr="008340BB" w:rsidRDefault="00F1341F" w:rsidP="000B2F46">
            <w:pPr>
              <w:rPr>
                <w:b/>
                <w:i/>
                <w:sz w:val="20"/>
              </w:rPr>
            </w:pPr>
            <w:r w:rsidRPr="008340BB">
              <w:rPr>
                <w:b/>
                <w:i/>
                <w:sz w:val="20"/>
              </w:rPr>
              <w:t>“Technical assistance”</w:t>
            </w:r>
          </w:p>
        </w:tc>
      </w:tr>
      <w:tr w:rsidR="00F1341F" w:rsidRPr="008340BB" w14:paraId="213280E8" w14:textId="77777777" w:rsidTr="003B60AB">
        <w:trPr>
          <w:trHeight w:val="856"/>
        </w:trPr>
        <w:tc>
          <w:tcPr>
            <w:tcW w:w="1621" w:type="dxa"/>
          </w:tcPr>
          <w:p w14:paraId="1CF502AA" w14:textId="77777777" w:rsidR="00F1341F" w:rsidRPr="008340BB" w:rsidRDefault="00F1341F" w:rsidP="000B2F46">
            <w:pPr>
              <w:ind w:left="283" w:hanging="283"/>
              <w:rPr>
                <w:b/>
                <w:i/>
                <w:sz w:val="20"/>
              </w:rPr>
            </w:pPr>
            <w:r w:rsidRPr="008340BB">
              <w:rPr>
                <w:b/>
                <w:i/>
                <w:sz w:val="20"/>
              </w:rPr>
              <w:t>ID</w:t>
            </w:r>
          </w:p>
        </w:tc>
        <w:tc>
          <w:tcPr>
            <w:tcW w:w="2115" w:type="dxa"/>
          </w:tcPr>
          <w:p w14:paraId="7E73FCBC" w14:textId="77777777" w:rsidR="00F1341F" w:rsidRPr="008340BB" w:rsidRDefault="00F1341F" w:rsidP="000B2F46">
            <w:pPr>
              <w:ind w:left="283" w:hanging="283"/>
              <w:rPr>
                <w:b/>
                <w:i/>
                <w:sz w:val="20"/>
              </w:rPr>
            </w:pPr>
            <w:r w:rsidRPr="008340BB">
              <w:rPr>
                <w:b/>
                <w:i/>
                <w:sz w:val="20"/>
              </w:rPr>
              <w:t>Indicator</w:t>
            </w:r>
            <w:r w:rsidRPr="008340BB">
              <w:rPr>
                <w:rStyle w:val="FootnoteReference"/>
                <w:b/>
                <w:i/>
                <w:sz w:val="20"/>
              </w:rPr>
              <w:footnoteReference w:id="80"/>
            </w:r>
          </w:p>
        </w:tc>
        <w:tc>
          <w:tcPr>
            <w:tcW w:w="1525" w:type="dxa"/>
          </w:tcPr>
          <w:p w14:paraId="42B3B55A" w14:textId="77777777" w:rsidR="00F1341F" w:rsidRPr="0067246B" w:rsidRDefault="00F1341F" w:rsidP="000B2F46">
            <w:pPr>
              <w:rPr>
                <w:b/>
                <w:i/>
                <w:sz w:val="20"/>
              </w:rPr>
            </w:pPr>
            <w:r w:rsidRPr="0067246B">
              <w:rPr>
                <w:b/>
                <w:i/>
                <w:sz w:val="20"/>
              </w:rPr>
              <w:t>Measurement unit</w:t>
            </w:r>
          </w:p>
        </w:tc>
        <w:tc>
          <w:tcPr>
            <w:tcW w:w="2334" w:type="dxa"/>
          </w:tcPr>
          <w:p w14:paraId="03411DAF" w14:textId="77777777" w:rsidR="00F1341F" w:rsidRPr="008340BB" w:rsidRDefault="00F1341F" w:rsidP="000B2F46">
            <w:pPr>
              <w:rPr>
                <w:b/>
                <w:i/>
                <w:sz w:val="20"/>
              </w:rPr>
            </w:pPr>
            <w:r w:rsidRPr="00020ADD">
              <w:rPr>
                <w:b/>
                <w:i/>
                <w:sz w:val="20"/>
              </w:rPr>
              <w:t>Target value (2023)</w:t>
            </w:r>
            <w:r w:rsidRPr="008340BB">
              <w:rPr>
                <w:rStyle w:val="FootnoteReference"/>
                <w:b/>
                <w:i/>
                <w:sz w:val="20"/>
              </w:rPr>
              <w:footnoteReference w:id="81"/>
            </w:r>
          </w:p>
          <w:p w14:paraId="741C69D5" w14:textId="77777777" w:rsidR="00F1341F" w:rsidRPr="0067246B" w:rsidRDefault="00F1341F" w:rsidP="00BF3391">
            <w:pPr>
              <w:rPr>
                <w:b/>
                <w:i/>
                <w:sz w:val="20"/>
              </w:rPr>
            </w:pPr>
            <w:r w:rsidRPr="0067246B">
              <w:rPr>
                <w:b/>
                <w:i/>
                <w:sz w:val="20"/>
              </w:rPr>
              <w:t>(optional)</w:t>
            </w:r>
          </w:p>
        </w:tc>
        <w:tc>
          <w:tcPr>
            <w:tcW w:w="1691" w:type="dxa"/>
          </w:tcPr>
          <w:p w14:paraId="0115177B" w14:textId="77777777" w:rsidR="00F1341F" w:rsidRPr="00020ADD" w:rsidRDefault="00F1341F" w:rsidP="000B2F46">
            <w:pPr>
              <w:rPr>
                <w:b/>
                <w:i/>
                <w:sz w:val="20"/>
              </w:rPr>
            </w:pPr>
            <w:r w:rsidRPr="00020ADD">
              <w:rPr>
                <w:b/>
                <w:i/>
                <w:sz w:val="20"/>
              </w:rPr>
              <w:t>Source of data</w:t>
            </w:r>
          </w:p>
        </w:tc>
      </w:tr>
      <w:tr w:rsidR="00F1341F" w:rsidRPr="008340BB" w14:paraId="6E1B072A" w14:textId="77777777" w:rsidTr="003B60AB">
        <w:trPr>
          <w:trHeight w:val="79"/>
        </w:trPr>
        <w:tc>
          <w:tcPr>
            <w:tcW w:w="1621" w:type="dxa"/>
            <w:vAlign w:val="center"/>
          </w:tcPr>
          <w:p w14:paraId="2988191A" w14:textId="77777777" w:rsidR="00F1341F" w:rsidRPr="00C95708" w:rsidRDefault="002E36EA" w:rsidP="0032122C">
            <w:pPr>
              <w:pStyle w:val="ListDash"/>
              <w:numPr>
                <w:ilvl w:val="0"/>
                <w:numId w:val="0"/>
              </w:numPr>
              <w:jc w:val="left"/>
              <w:rPr>
                <w:i/>
                <w:sz w:val="18"/>
                <w:szCs w:val="18"/>
              </w:rPr>
            </w:pPr>
            <w:r w:rsidRPr="00C95708">
              <w:rPr>
                <w:i/>
                <w:sz w:val="18"/>
                <w:szCs w:val="18"/>
              </w:rPr>
              <w:lastRenderedPageBreak/>
              <w:t>25</w:t>
            </w:r>
          </w:p>
        </w:tc>
        <w:tc>
          <w:tcPr>
            <w:tcW w:w="2115" w:type="dxa"/>
            <w:vAlign w:val="center"/>
          </w:tcPr>
          <w:p w14:paraId="6537D119" w14:textId="77777777" w:rsidR="00F1341F" w:rsidRPr="008340BB" w:rsidRDefault="00F1341F" w:rsidP="0032122C">
            <w:pPr>
              <w:pStyle w:val="Text1"/>
              <w:ind w:left="0"/>
              <w:jc w:val="left"/>
              <w:rPr>
                <w:i/>
                <w:color w:val="8DB3E2"/>
                <w:sz w:val="18"/>
                <w:szCs w:val="18"/>
                <w:lang w:val="en-GB" w:eastAsia="en-GB"/>
              </w:rPr>
            </w:pPr>
            <w:r w:rsidRPr="008340BB">
              <w:rPr>
                <w:sz w:val="20"/>
                <w:lang w:val="en-GB" w:eastAsia="en-GB"/>
              </w:rPr>
              <w:t>Number of trainings of employees of Managing Authority and beneficiaries</w:t>
            </w:r>
          </w:p>
        </w:tc>
        <w:tc>
          <w:tcPr>
            <w:tcW w:w="1525" w:type="dxa"/>
          </w:tcPr>
          <w:p w14:paraId="295D9BB0" w14:textId="77777777" w:rsidR="00F1341F" w:rsidRPr="008340BB" w:rsidRDefault="00F1341F" w:rsidP="00C81D1B">
            <w:pPr>
              <w:pStyle w:val="ListDash"/>
              <w:numPr>
                <w:ilvl w:val="0"/>
                <w:numId w:val="0"/>
              </w:numPr>
              <w:spacing w:before="120"/>
              <w:rPr>
                <w:i/>
                <w:color w:val="8DB3E2"/>
                <w:sz w:val="18"/>
                <w:szCs w:val="18"/>
              </w:rPr>
            </w:pPr>
            <w:r w:rsidRPr="008340BB">
              <w:rPr>
                <w:sz w:val="20"/>
              </w:rPr>
              <w:t>number</w:t>
            </w:r>
          </w:p>
        </w:tc>
        <w:tc>
          <w:tcPr>
            <w:tcW w:w="2334" w:type="dxa"/>
          </w:tcPr>
          <w:p w14:paraId="072A8ACE" w14:textId="77777777" w:rsidR="00F1341F" w:rsidRPr="008340BB" w:rsidRDefault="00F1341F" w:rsidP="00080158">
            <w:pPr>
              <w:jc w:val="left"/>
              <w:rPr>
                <w:i/>
                <w:sz w:val="20"/>
              </w:rPr>
            </w:pPr>
            <w:r w:rsidRPr="008340BB">
              <w:rPr>
                <w:sz w:val="20"/>
              </w:rPr>
              <w:t>1</w:t>
            </w:r>
            <w:r w:rsidR="005F4C19" w:rsidRPr="008340BB">
              <w:rPr>
                <w:sz w:val="20"/>
              </w:rPr>
              <w:t xml:space="preserve"> </w:t>
            </w:r>
            <w:r w:rsidRPr="008340BB">
              <w:rPr>
                <w:sz w:val="20"/>
              </w:rPr>
              <w:t>000.00</w:t>
            </w:r>
          </w:p>
        </w:tc>
        <w:tc>
          <w:tcPr>
            <w:tcW w:w="1691" w:type="dxa"/>
          </w:tcPr>
          <w:p w14:paraId="061BA87A" w14:textId="77777777" w:rsidR="00F1341F" w:rsidRPr="008340BB" w:rsidRDefault="00F1341F" w:rsidP="00080158">
            <w:pPr>
              <w:jc w:val="left"/>
              <w:rPr>
                <w:sz w:val="20"/>
              </w:rPr>
            </w:pPr>
            <w:r w:rsidRPr="008340BB">
              <w:rPr>
                <w:sz w:val="20"/>
              </w:rPr>
              <w:t>Managing Authority and beneficiaries</w:t>
            </w:r>
          </w:p>
        </w:tc>
      </w:tr>
      <w:tr w:rsidR="00F1341F" w:rsidRPr="008340BB" w14:paraId="6E5B996A" w14:textId="77777777" w:rsidTr="003B60AB">
        <w:trPr>
          <w:trHeight w:val="79"/>
        </w:trPr>
        <w:tc>
          <w:tcPr>
            <w:tcW w:w="1621" w:type="dxa"/>
            <w:vAlign w:val="center"/>
          </w:tcPr>
          <w:p w14:paraId="1DEED4F7" w14:textId="77777777" w:rsidR="00F1341F" w:rsidRPr="00C95708" w:rsidRDefault="002E36EA" w:rsidP="0032122C">
            <w:pPr>
              <w:pStyle w:val="ListDash"/>
              <w:numPr>
                <w:ilvl w:val="0"/>
                <w:numId w:val="0"/>
              </w:numPr>
              <w:jc w:val="left"/>
              <w:rPr>
                <w:i/>
                <w:sz w:val="18"/>
                <w:szCs w:val="18"/>
              </w:rPr>
            </w:pPr>
            <w:r w:rsidRPr="00C95708">
              <w:rPr>
                <w:i/>
                <w:sz w:val="18"/>
                <w:szCs w:val="18"/>
              </w:rPr>
              <w:t>26</w:t>
            </w:r>
          </w:p>
        </w:tc>
        <w:tc>
          <w:tcPr>
            <w:tcW w:w="2115" w:type="dxa"/>
            <w:vAlign w:val="center"/>
          </w:tcPr>
          <w:p w14:paraId="6E6CC133" w14:textId="77777777" w:rsidR="00F1341F" w:rsidRPr="008340BB" w:rsidRDefault="00F1341F" w:rsidP="0032122C">
            <w:pPr>
              <w:pStyle w:val="ListDash"/>
              <w:numPr>
                <w:ilvl w:val="0"/>
                <w:numId w:val="0"/>
              </w:numPr>
              <w:spacing w:before="120" w:after="120"/>
              <w:jc w:val="left"/>
              <w:rPr>
                <w:sz w:val="20"/>
              </w:rPr>
            </w:pPr>
            <w:r w:rsidRPr="008340BB">
              <w:rPr>
                <w:sz w:val="20"/>
              </w:rPr>
              <w:t>Adopted communication Strategy</w:t>
            </w:r>
          </w:p>
        </w:tc>
        <w:tc>
          <w:tcPr>
            <w:tcW w:w="1525" w:type="dxa"/>
          </w:tcPr>
          <w:p w14:paraId="5D3CA794" w14:textId="77777777" w:rsidR="00F1341F" w:rsidRPr="008340BB" w:rsidRDefault="00F1341F" w:rsidP="00181789">
            <w:pPr>
              <w:pStyle w:val="ListDash"/>
              <w:numPr>
                <w:ilvl w:val="0"/>
                <w:numId w:val="0"/>
              </w:numPr>
              <w:spacing w:before="120" w:after="120"/>
              <w:rPr>
                <w:sz w:val="20"/>
              </w:rPr>
            </w:pPr>
            <w:r w:rsidRPr="008340BB">
              <w:rPr>
                <w:sz w:val="20"/>
              </w:rPr>
              <w:t>number</w:t>
            </w:r>
          </w:p>
        </w:tc>
        <w:tc>
          <w:tcPr>
            <w:tcW w:w="2334" w:type="dxa"/>
          </w:tcPr>
          <w:p w14:paraId="7AF5C1E3" w14:textId="77777777" w:rsidR="00F1341F" w:rsidRPr="008340BB" w:rsidRDefault="00F1341F" w:rsidP="00181789">
            <w:pPr>
              <w:pStyle w:val="ListDash"/>
              <w:numPr>
                <w:ilvl w:val="0"/>
                <w:numId w:val="0"/>
              </w:numPr>
              <w:spacing w:before="120" w:after="120"/>
              <w:rPr>
                <w:sz w:val="20"/>
              </w:rPr>
            </w:pPr>
            <w:r w:rsidRPr="008340BB">
              <w:rPr>
                <w:sz w:val="20"/>
              </w:rPr>
              <w:t>1.00</w:t>
            </w:r>
          </w:p>
        </w:tc>
        <w:tc>
          <w:tcPr>
            <w:tcW w:w="1691" w:type="dxa"/>
          </w:tcPr>
          <w:p w14:paraId="411C1B99" w14:textId="77777777" w:rsidR="00F1341F" w:rsidRPr="008340BB" w:rsidRDefault="00F1341F" w:rsidP="00181789">
            <w:pPr>
              <w:pStyle w:val="ListDash"/>
              <w:numPr>
                <w:ilvl w:val="0"/>
                <w:numId w:val="0"/>
              </w:numPr>
              <w:spacing w:before="120" w:after="120"/>
              <w:rPr>
                <w:sz w:val="20"/>
              </w:rPr>
            </w:pPr>
            <w:r w:rsidRPr="008340BB">
              <w:rPr>
                <w:sz w:val="20"/>
              </w:rPr>
              <w:t>Managing Authority</w:t>
            </w:r>
          </w:p>
        </w:tc>
      </w:tr>
      <w:tr w:rsidR="00F1341F" w:rsidRPr="008340BB" w14:paraId="5B982DB5" w14:textId="77777777" w:rsidTr="003B60AB">
        <w:trPr>
          <w:trHeight w:val="79"/>
        </w:trPr>
        <w:tc>
          <w:tcPr>
            <w:tcW w:w="1621" w:type="dxa"/>
            <w:vAlign w:val="center"/>
          </w:tcPr>
          <w:p w14:paraId="4B1979BC" w14:textId="77777777" w:rsidR="00F1341F" w:rsidRPr="00C95708" w:rsidRDefault="002E36EA" w:rsidP="0032122C">
            <w:pPr>
              <w:pStyle w:val="ListDash"/>
              <w:numPr>
                <w:ilvl w:val="0"/>
                <w:numId w:val="0"/>
              </w:numPr>
              <w:jc w:val="left"/>
              <w:rPr>
                <w:i/>
                <w:sz w:val="18"/>
                <w:szCs w:val="18"/>
              </w:rPr>
            </w:pPr>
            <w:r w:rsidRPr="00C95708">
              <w:rPr>
                <w:i/>
                <w:sz w:val="18"/>
                <w:szCs w:val="18"/>
              </w:rPr>
              <w:t>20</w:t>
            </w:r>
          </w:p>
        </w:tc>
        <w:tc>
          <w:tcPr>
            <w:tcW w:w="2115" w:type="dxa"/>
            <w:vAlign w:val="center"/>
          </w:tcPr>
          <w:p w14:paraId="2B5FEF73" w14:textId="77777777" w:rsidR="00F1341F" w:rsidRPr="008340BB" w:rsidRDefault="00F1341F" w:rsidP="0032122C">
            <w:pPr>
              <w:pStyle w:val="ListDash"/>
              <w:numPr>
                <w:ilvl w:val="0"/>
                <w:numId w:val="0"/>
              </w:numPr>
              <w:spacing w:before="120" w:after="120"/>
              <w:jc w:val="left"/>
              <w:rPr>
                <w:sz w:val="20"/>
              </w:rPr>
            </w:pPr>
            <w:r w:rsidRPr="008340BB">
              <w:rPr>
                <w:sz w:val="20"/>
              </w:rPr>
              <w:t>Adopted Evaluation plan</w:t>
            </w:r>
          </w:p>
        </w:tc>
        <w:tc>
          <w:tcPr>
            <w:tcW w:w="1525" w:type="dxa"/>
          </w:tcPr>
          <w:p w14:paraId="1A71D390" w14:textId="77777777" w:rsidR="00F1341F" w:rsidRPr="008340BB" w:rsidRDefault="00F1341F" w:rsidP="00181789">
            <w:pPr>
              <w:pStyle w:val="ListDash"/>
              <w:numPr>
                <w:ilvl w:val="0"/>
                <w:numId w:val="0"/>
              </w:numPr>
              <w:spacing w:before="120" w:after="120"/>
              <w:rPr>
                <w:sz w:val="20"/>
              </w:rPr>
            </w:pPr>
            <w:r w:rsidRPr="008340BB">
              <w:rPr>
                <w:sz w:val="20"/>
              </w:rPr>
              <w:t>number</w:t>
            </w:r>
          </w:p>
        </w:tc>
        <w:tc>
          <w:tcPr>
            <w:tcW w:w="2334" w:type="dxa"/>
          </w:tcPr>
          <w:p w14:paraId="1BCE0B6A" w14:textId="77777777" w:rsidR="00F1341F" w:rsidRPr="008340BB" w:rsidRDefault="00F1341F" w:rsidP="00181789">
            <w:pPr>
              <w:pStyle w:val="ListDash"/>
              <w:numPr>
                <w:ilvl w:val="0"/>
                <w:numId w:val="0"/>
              </w:numPr>
              <w:spacing w:before="120" w:after="120"/>
              <w:rPr>
                <w:sz w:val="20"/>
              </w:rPr>
            </w:pPr>
            <w:r w:rsidRPr="008340BB">
              <w:rPr>
                <w:sz w:val="20"/>
              </w:rPr>
              <w:t>1.00</w:t>
            </w:r>
          </w:p>
        </w:tc>
        <w:tc>
          <w:tcPr>
            <w:tcW w:w="1691" w:type="dxa"/>
          </w:tcPr>
          <w:p w14:paraId="4A989BA7" w14:textId="77777777" w:rsidR="00F1341F" w:rsidRPr="008340BB" w:rsidRDefault="00F1341F" w:rsidP="00181789">
            <w:pPr>
              <w:pStyle w:val="ListDash"/>
              <w:numPr>
                <w:ilvl w:val="0"/>
                <w:numId w:val="0"/>
              </w:numPr>
              <w:spacing w:before="120" w:after="120"/>
              <w:rPr>
                <w:sz w:val="20"/>
              </w:rPr>
            </w:pPr>
            <w:r w:rsidRPr="008340BB">
              <w:rPr>
                <w:sz w:val="20"/>
              </w:rPr>
              <w:t>Managing Authority</w:t>
            </w:r>
          </w:p>
        </w:tc>
      </w:tr>
      <w:tr w:rsidR="0069575B" w:rsidRPr="008340BB" w14:paraId="49EBB6AA" w14:textId="77777777" w:rsidTr="003B60AB">
        <w:trPr>
          <w:trHeight w:val="1136"/>
        </w:trPr>
        <w:tc>
          <w:tcPr>
            <w:tcW w:w="1621" w:type="dxa"/>
            <w:vAlign w:val="center"/>
          </w:tcPr>
          <w:p w14:paraId="781E6300" w14:textId="77777777" w:rsidR="0069575B" w:rsidRPr="00C95708" w:rsidRDefault="002E36EA" w:rsidP="0069575B">
            <w:pPr>
              <w:pStyle w:val="ListDash"/>
              <w:numPr>
                <w:ilvl w:val="0"/>
                <w:numId w:val="0"/>
              </w:numPr>
              <w:jc w:val="left"/>
              <w:rPr>
                <w:i/>
                <w:sz w:val="18"/>
                <w:szCs w:val="18"/>
              </w:rPr>
            </w:pPr>
            <w:r w:rsidRPr="00C95708">
              <w:rPr>
                <w:i/>
                <w:sz w:val="18"/>
                <w:szCs w:val="18"/>
                <w:lang w:val="en-US"/>
              </w:rPr>
              <w:t>21</w:t>
            </w:r>
            <w:r w:rsidR="0069575B" w:rsidRPr="00C95708">
              <w:rPr>
                <w:i/>
                <w:sz w:val="18"/>
                <w:szCs w:val="18"/>
              </w:rPr>
              <w:tab/>
            </w:r>
            <w:r w:rsidR="0069575B" w:rsidRPr="00C95708">
              <w:rPr>
                <w:i/>
                <w:sz w:val="18"/>
                <w:szCs w:val="18"/>
              </w:rPr>
              <w:tab/>
            </w:r>
            <w:r w:rsidR="0069575B" w:rsidRPr="00C95708">
              <w:rPr>
                <w:i/>
                <w:sz w:val="18"/>
                <w:szCs w:val="18"/>
              </w:rPr>
              <w:tab/>
            </w:r>
          </w:p>
          <w:p w14:paraId="40C8E692" w14:textId="77777777" w:rsidR="0069575B" w:rsidRPr="00C95708" w:rsidRDefault="0069575B" w:rsidP="0069575B">
            <w:pPr>
              <w:pStyle w:val="ListDash"/>
              <w:numPr>
                <w:ilvl w:val="0"/>
                <w:numId w:val="0"/>
              </w:numPr>
              <w:jc w:val="left"/>
              <w:rPr>
                <w:i/>
                <w:sz w:val="18"/>
                <w:szCs w:val="18"/>
              </w:rPr>
            </w:pPr>
          </w:p>
          <w:p w14:paraId="76423458" w14:textId="77777777" w:rsidR="0069575B" w:rsidRPr="00C95708" w:rsidRDefault="0069575B" w:rsidP="0069575B">
            <w:pPr>
              <w:pStyle w:val="ListDash"/>
              <w:numPr>
                <w:ilvl w:val="0"/>
                <w:numId w:val="0"/>
              </w:numPr>
              <w:jc w:val="left"/>
              <w:rPr>
                <w:i/>
                <w:sz w:val="18"/>
                <w:szCs w:val="18"/>
              </w:rPr>
            </w:pPr>
          </w:p>
        </w:tc>
        <w:tc>
          <w:tcPr>
            <w:tcW w:w="2115" w:type="dxa"/>
            <w:vAlign w:val="center"/>
          </w:tcPr>
          <w:p w14:paraId="64DF14D8" w14:textId="77777777" w:rsidR="0069575B" w:rsidRDefault="0069575B" w:rsidP="0032122C">
            <w:pPr>
              <w:pStyle w:val="ListDash"/>
              <w:numPr>
                <w:ilvl w:val="0"/>
                <w:numId w:val="0"/>
              </w:numPr>
              <w:spacing w:before="120" w:after="120"/>
              <w:jc w:val="left"/>
              <w:rPr>
                <w:sz w:val="20"/>
              </w:rPr>
            </w:pPr>
            <w:r w:rsidRPr="0069575B">
              <w:rPr>
                <w:sz w:val="20"/>
              </w:rPr>
              <w:t>Meetings held of the MC</w:t>
            </w:r>
          </w:p>
          <w:p w14:paraId="5D2F8C7E" w14:textId="77777777" w:rsidR="0069575B" w:rsidRDefault="0069575B" w:rsidP="0032122C">
            <w:pPr>
              <w:pStyle w:val="ListDash"/>
              <w:numPr>
                <w:ilvl w:val="0"/>
                <w:numId w:val="0"/>
              </w:numPr>
              <w:spacing w:before="120" w:after="120"/>
              <w:jc w:val="left"/>
              <w:rPr>
                <w:sz w:val="20"/>
              </w:rPr>
            </w:pPr>
          </w:p>
          <w:p w14:paraId="042D9871" w14:textId="77777777" w:rsidR="0069575B" w:rsidRDefault="0069575B" w:rsidP="0032122C">
            <w:pPr>
              <w:pStyle w:val="ListDash"/>
              <w:numPr>
                <w:ilvl w:val="0"/>
                <w:numId w:val="0"/>
              </w:numPr>
              <w:spacing w:before="120" w:after="120"/>
              <w:jc w:val="left"/>
              <w:rPr>
                <w:sz w:val="20"/>
              </w:rPr>
            </w:pPr>
          </w:p>
          <w:p w14:paraId="643DD248" w14:textId="77777777" w:rsidR="0069575B" w:rsidRDefault="0069575B" w:rsidP="0032122C">
            <w:pPr>
              <w:pStyle w:val="ListDash"/>
              <w:numPr>
                <w:ilvl w:val="0"/>
                <w:numId w:val="0"/>
              </w:numPr>
              <w:spacing w:before="120" w:after="120"/>
              <w:jc w:val="left"/>
              <w:rPr>
                <w:sz w:val="20"/>
              </w:rPr>
            </w:pPr>
          </w:p>
          <w:p w14:paraId="32B90CF1" w14:textId="77777777" w:rsidR="0069575B" w:rsidRPr="008340BB" w:rsidRDefault="0069575B" w:rsidP="0032122C">
            <w:pPr>
              <w:pStyle w:val="ListDash"/>
              <w:numPr>
                <w:ilvl w:val="0"/>
                <w:numId w:val="0"/>
              </w:numPr>
              <w:spacing w:before="120" w:after="120"/>
              <w:jc w:val="left"/>
              <w:rPr>
                <w:sz w:val="20"/>
              </w:rPr>
            </w:pPr>
          </w:p>
        </w:tc>
        <w:tc>
          <w:tcPr>
            <w:tcW w:w="1525" w:type="dxa"/>
          </w:tcPr>
          <w:p w14:paraId="00324BE7" w14:textId="77777777" w:rsidR="0069575B" w:rsidRPr="008340BB" w:rsidRDefault="0069575B" w:rsidP="00181789">
            <w:pPr>
              <w:pStyle w:val="ListDash"/>
              <w:numPr>
                <w:ilvl w:val="0"/>
                <w:numId w:val="0"/>
              </w:numPr>
              <w:spacing w:before="120" w:after="120"/>
              <w:rPr>
                <w:sz w:val="20"/>
              </w:rPr>
            </w:pPr>
            <w:r w:rsidRPr="0069575B">
              <w:rPr>
                <w:sz w:val="20"/>
              </w:rPr>
              <w:t>number</w:t>
            </w:r>
          </w:p>
        </w:tc>
        <w:tc>
          <w:tcPr>
            <w:tcW w:w="2334" w:type="dxa"/>
          </w:tcPr>
          <w:p w14:paraId="249681EF" w14:textId="77777777" w:rsidR="0069575B" w:rsidRPr="008340BB" w:rsidRDefault="0069575B" w:rsidP="00181789">
            <w:pPr>
              <w:pStyle w:val="ListDash"/>
              <w:numPr>
                <w:ilvl w:val="0"/>
                <w:numId w:val="0"/>
              </w:numPr>
              <w:spacing w:before="120" w:after="120"/>
              <w:rPr>
                <w:sz w:val="20"/>
              </w:rPr>
            </w:pPr>
            <w:r>
              <w:rPr>
                <w:sz w:val="20"/>
              </w:rPr>
              <w:t>16</w:t>
            </w:r>
          </w:p>
        </w:tc>
        <w:tc>
          <w:tcPr>
            <w:tcW w:w="1691" w:type="dxa"/>
          </w:tcPr>
          <w:p w14:paraId="3D037D53" w14:textId="77777777" w:rsidR="0069575B" w:rsidRPr="008340BB" w:rsidRDefault="0069575B" w:rsidP="00181789">
            <w:pPr>
              <w:pStyle w:val="ListDash"/>
              <w:numPr>
                <w:ilvl w:val="0"/>
                <w:numId w:val="0"/>
              </w:numPr>
              <w:spacing w:before="120" w:after="120"/>
              <w:rPr>
                <w:sz w:val="20"/>
              </w:rPr>
            </w:pPr>
            <w:r w:rsidRPr="0069575B">
              <w:rPr>
                <w:sz w:val="20"/>
              </w:rPr>
              <w:t>Managing Authority</w:t>
            </w:r>
          </w:p>
        </w:tc>
      </w:tr>
      <w:tr w:rsidR="00A13C37" w:rsidRPr="00A13C37" w14:paraId="62E3F2F8" w14:textId="77777777" w:rsidTr="003B60AB">
        <w:trPr>
          <w:trHeight w:val="79"/>
        </w:trPr>
        <w:tc>
          <w:tcPr>
            <w:tcW w:w="1621" w:type="dxa"/>
            <w:vAlign w:val="center"/>
          </w:tcPr>
          <w:p w14:paraId="72CB659B" w14:textId="77777777" w:rsidR="00A13C37" w:rsidRPr="00C95708" w:rsidRDefault="002E36EA" w:rsidP="0032122C">
            <w:pPr>
              <w:pStyle w:val="ListDash"/>
              <w:numPr>
                <w:ilvl w:val="0"/>
                <w:numId w:val="0"/>
              </w:numPr>
              <w:jc w:val="left"/>
              <w:rPr>
                <w:i/>
                <w:sz w:val="18"/>
                <w:szCs w:val="18"/>
                <w:lang w:val="en-US"/>
              </w:rPr>
            </w:pPr>
            <w:r w:rsidRPr="00C95708">
              <w:rPr>
                <w:i/>
                <w:sz w:val="18"/>
                <w:szCs w:val="18"/>
                <w:lang w:val="en-US"/>
              </w:rPr>
              <w:t>22</w:t>
            </w:r>
          </w:p>
        </w:tc>
        <w:tc>
          <w:tcPr>
            <w:tcW w:w="2115" w:type="dxa"/>
            <w:vAlign w:val="center"/>
          </w:tcPr>
          <w:p w14:paraId="0005E0F3" w14:textId="77777777" w:rsidR="00A13C37" w:rsidRPr="00435AC3" w:rsidRDefault="00A13C37">
            <w:pPr>
              <w:pStyle w:val="ListDash"/>
              <w:numPr>
                <w:ilvl w:val="0"/>
                <w:numId w:val="0"/>
              </w:numPr>
              <w:spacing w:before="120" w:after="120"/>
              <w:jc w:val="left"/>
              <w:rPr>
                <w:i/>
                <w:color w:val="8DB3E2"/>
                <w:sz w:val="18"/>
                <w:szCs w:val="18"/>
              </w:rPr>
            </w:pPr>
            <w:r w:rsidRPr="00CD1188">
              <w:rPr>
                <w:sz w:val="20"/>
              </w:rPr>
              <w:t>Number of employees (Full-time equivalents, FTEs) whose salaries are co-financed by technical assistance</w:t>
            </w:r>
            <w:r>
              <w:rPr>
                <w:sz w:val="20"/>
              </w:rPr>
              <w:t xml:space="preserve"> </w:t>
            </w:r>
          </w:p>
        </w:tc>
        <w:tc>
          <w:tcPr>
            <w:tcW w:w="1525" w:type="dxa"/>
          </w:tcPr>
          <w:p w14:paraId="7C9384A5" w14:textId="77777777" w:rsidR="00A13C37" w:rsidRPr="00A13C37" w:rsidRDefault="00A13C37">
            <w:pPr>
              <w:pStyle w:val="ListDash"/>
              <w:numPr>
                <w:ilvl w:val="0"/>
                <w:numId w:val="0"/>
              </w:numPr>
              <w:spacing w:before="120" w:after="120"/>
              <w:rPr>
                <w:sz w:val="20"/>
              </w:rPr>
            </w:pPr>
            <w:r>
              <w:rPr>
                <w:sz w:val="20"/>
              </w:rPr>
              <w:t>number</w:t>
            </w:r>
          </w:p>
        </w:tc>
        <w:tc>
          <w:tcPr>
            <w:tcW w:w="2334" w:type="dxa"/>
          </w:tcPr>
          <w:p w14:paraId="42549AE4" w14:textId="77777777" w:rsidR="00A13C37" w:rsidRPr="00435AC3" w:rsidRDefault="00326E5F">
            <w:pPr>
              <w:pStyle w:val="ListDash"/>
              <w:numPr>
                <w:ilvl w:val="0"/>
                <w:numId w:val="0"/>
              </w:numPr>
              <w:spacing w:before="120" w:after="120"/>
              <w:rPr>
                <w:sz w:val="20"/>
                <w:lang w:val="bg-BG"/>
              </w:rPr>
            </w:pPr>
            <w:r w:rsidRPr="00CD1188">
              <w:rPr>
                <w:sz w:val="20"/>
                <w:lang w:val="bg-BG"/>
              </w:rPr>
              <w:t>45</w:t>
            </w:r>
          </w:p>
        </w:tc>
        <w:tc>
          <w:tcPr>
            <w:tcW w:w="1691" w:type="dxa"/>
          </w:tcPr>
          <w:p w14:paraId="42C6E249" w14:textId="77777777" w:rsidR="00A13C37" w:rsidRPr="00435AC3" w:rsidRDefault="00EA1AC1" w:rsidP="00435AC3">
            <w:pPr>
              <w:pStyle w:val="ListDash"/>
              <w:numPr>
                <w:ilvl w:val="0"/>
                <w:numId w:val="0"/>
              </w:numPr>
              <w:jc w:val="left"/>
              <w:rPr>
                <w:i/>
                <w:color w:val="8DB3E2"/>
                <w:sz w:val="18"/>
                <w:szCs w:val="18"/>
              </w:rPr>
            </w:pPr>
            <w:r w:rsidRPr="0069575B">
              <w:rPr>
                <w:sz w:val="20"/>
              </w:rPr>
              <w:t>Managing Authority</w:t>
            </w:r>
          </w:p>
        </w:tc>
      </w:tr>
      <w:tr w:rsidR="006E31AF" w:rsidRPr="00A13C37" w14:paraId="3239736D" w14:textId="77777777" w:rsidTr="003B60AB">
        <w:trPr>
          <w:trHeight w:val="79"/>
        </w:trPr>
        <w:tc>
          <w:tcPr>
            <w:tcW w:w="1621" w:type="dxa"/>
            <w:vAlign w:val="center"/>
          </w:tcPr>
          <w:p w14:paraId="5DECF5E0" w14:textId="77777777" w:rsidR="006E31AF" w:rsidRPr="00C95708" w:rsidRDefault="002E36EA" w:rsidP="0032122C">
            <w:pPr>
              <w:pStyle w:val="ListDash"/>
              <w:numPr>
                <w:ilvl w:val="0"/>
                <w:numId w:val="0"/>
              </w:numPr>
              <w:jc w:val="left"/>
              <w:rPr>
                <w:i/>
                <w:sz w:val="18"/>
                <w:szCs w:val="18"/>
                <w:lang w:val="en-US"/>
              </w:rPr>
            </w:pPr>
            <w:r w:rsidRPr="00C95708">
              <w:rPr>
                <w:i/>
                <w:sz w:val="18"/>
                <w:szCs w:val="18"/>
                <w:lang w:val="en-US"/>
              </w:rPr>
              <w:t>23</w:t>
            </w:r>
          </w:p>
        </w:tc>
        <w:tc>
          <w:tcPr>
            <w:tcW w:w="2115" w:type="dxa"/>
            <w:vAlign w:val="center"/>
          </w:tcPr>
          <w:p w14:paraId="66A16DC9" w14:textId="77777777" w:rsidR="0069575B" w:rsidRPr="00A13C37" w:rsidRDefault="00C95708" w:rsidP="00C95708">
            <w:pPr>
              <w:pStyle w:val="ListDash"/>
              <w:numPr>
                <w:ilvl w:val="0"/>
                <w:numId w:val="0"/>
              </w:numPr>
              <w:spacing w:before="120" w:after="120"/>
              <w:jc w:val="left"/>
              <w:rPr>
                <w:sz w:val="20"/>
                <w:highlight w:val="yellow"/>
              </w:rPr>
            </w:pPr>
            <w:r>
              <w:rPr>
                <w:sz w:val="20"/>
              </w:rPr>
              <w:t>Major  information activities</w:t>
            </w:r>
          </w:p>
        </w:tc>
        <w:tc>
          <w:tcPr>
            <w:tcW w:w="1525" w:type="dxa"/>
          </w:tcPr>
          <w:p w14:paraId="59FDA8EF" w14:textId="77777777" w:rsidR="006E31AF" w:rsidRDefault="000E47CF" w:rsidP="00A13C37">
            <w:pPr>
              <w:pStyle w:val="ListDash"/>
              <w:numPr>
                <w:ilvl w:val="0"/>
                <w:numId w:val="0"/>
              </w:numPr>
              <w:spacing w:before="120" w:after="120"/>
              <w:rPr>
                <w:sz w:val="20"/>
              </w:rPr>
            </w:pPr>
            <w:r>
              <w:rPr>
                <w:sz w:val="20"/>
              </w:rPr>
              <w:t>number</w:t>
            </w:r>
          </w:p>
        </w:tc>
        <w:tc>
          <w:tcPr>
            <w:tcW w:w="2334" w:type="dxa"/>
          </w:tcPr>
          <w:p w14:paraId="7346CEC2" w14:textId="77777777" w:rsidR="006E31AF" w:rsidRPr="00435AC3" w:rsidRDefault="00C95708" w:rsidP="00A13C37">
            <w:pPr>
              <w:pStyle w:val="ListDash"/>
              <w:numPr>
                <w:ilvl w:val="0"/>
                <w:numId w:val="0"/>
              </w:numPr>
              <w:spacing w:before="120" w:after="120"/>
              <w:rPr>
                <w:sz w:val="20"/>
                <w:highlight w:val="yellow"/>
                <w:lang w:val="bg-BG"/>
              </w:rPr>
            </w:pPr>
            <w:r>
              <w:rPr>
                <w:sz w:val="20"/>
                <w:lang w:val="bg-BG"/>
              </w:rPr>
              <w:t>8</w:t>
            </w:r>
          </w:p>
        </w:tc>
        <w:tc>
          <w:tcPr>
            <w:tcW w:w="1691" w:type="dxa"/>
          </w:tcPr>
          <w:p w14:paraId="7E76E4EE" w14:textId="77777777" w:rsidR="006E31AF" w:rsidRPr="00A13C37" w:rsidRDefault="00EA1AC1" w:rsidP="00A13C37">
            <w:pPr>
              <w:pStyle w:val="ListDash"/>
              <w:numPr>
                <w:ilvl w:val="0"/>
                <w:numId w:val="0"/>
              </w:numPr>
              <w:jc w:val="left"/>
              <w:rPr>
                <w:i/>
                <w:color w:val="8DB3E2"/>
                <w:sz w:val="18"/>
                <w:szCs w:val="18"/>
              </w:rPr>
            </w:pPr>
            <w:r w:rsidRPr="0069575B">
              <w:rPr>
                <w:sz w:val="20"/>
              </w:rPr>
              <w:t>Managing Authority</w:t>
            </w:r>
          </w:p>
        </w:tc>
      </w:tr>
      <w:tr w:rsidR="006E31AF" w:rsidRPr="00A13C37" w14:paraId="29309CA1" w14:textId="77777777" w:rsidTr="003B60AB">
        <w:trPr>
          <w:trHeight w:val="79"/>
        </w:trPr>
        <w:tc>
          <w:tcPr>
            <w:tcW w:w="1621" w:type="dxa"/>
            <w:vAlign w:val="center"/>
          </w:tcPr>
          <w:p w14:paraId="610DE4E7" w14:textId="77777777" w:rsidR="006E31AF" w:rsidRPr="00C95708" w:rsidRDefault="002E36EA" w:rsidP="0032122C">
            <w:pPr>
              <w:pStyle w:val="ListDash"/>
              <w:numPr>
                <w:ilvl w:val="0"/>
                <w:numId w:val="0"/>
              </w:numPr>
              <w:jc w:val="left"/>
              <w:rPr>
                <w:i/>
                <w:sz w:val="18"/>
                <w:szCs w:val="18"/>
                <w:lang w:val="en-US"/>
              </w:rPr>
            </w:pPr>
            <w:r w:rsidRPr="00C95708">
              <w:rPr>
                <w:i/>
                <w:sz w:val="18"/>
                <w:szCs w:val="18"/>
                <w:lang w:val="en-US"/>
              </w:rPr>
              <w:t>24</w:t>
            </w:r>
          </w:p>
        </w:tc>
        <w:tc>
          <w:tcPr>
            <w:tcW w:w="2115" w:type="dxa"/>
            <w:vAlign w:val="center"/>
          </w:tcPr>
          <w:p w14:paraId="6D13569F" w14:textId="77777777" w:rsidR="006E31AF" w:rsidRPr="006E31AF" w:rsidRDefault="006E31AF" w:rsidP="009507A9">
            <w:pPr>
              <w:pStyle w:val="ListDash"/>
              <w:numPr>
                <w:ilvl w:val="0"/>
                <w:numId w:val="0"/>
              </w:numPr>
              <w:spacing w:before="120" w:after="120"/>
              <w:jc w:val="left"/>
              <w:rPr>
                <w:sz w:val="20"/>
                <w:highlight w:val="yellow"/>
              </w:rPr>
            </w:pPr>
            <w:r w:rsidRPr="00CD1188">
              <w:rPr>
                <w:sz w:val="20"/>
              </w:rPr>
              <w:t xml:space="preserve">Number of public information events </w:t>
            </w:r>
          </w:p>
        </w:tc>
        <w:tc>
          <w:tcPr>
            <w:tcW w:w="1525" w:type="dxa"/>
          </w:tcPr>
          <w:p w14:paraId="19EEF066" w14:textId="77777777" w:rsidR="006E31AF" w:rsidRDefault="000E47CF" w:rsidP="00A13C37">
            <w:pPr>
              <w:pStyle w:val="ListDash"/>
              <w:numPr>
                <w:ilvl w:val="0"/>
                <w:numId w:val="0"/>
              </w:numPr>
              <w:spacing w:before="120" w:after="120"/>
              <w:rPr>
                <w:sz w:val="20"/>
              </w:rPr>
            </w:pPr>
            <w:r>
              <w:rPr>
                <w:sz w:val="20"/>
              </w:rPr>
              <w:t>number</w:t>
            </w:r>
          </w:p>
        </w:tc>
        <w:tc>
          <w:tcPr>
            <w:tcW w:w="2334" w:type="dxa"/>
          </w:tcPr>
          <w:p w14:paraId="7E893C69" w14:textId="6D7BFD4C" w:rsidR="006E31AF" w:rsidRPr="00435AC3" w:rsidRDefault="00AC7CA7" w:rsidP="00A13C37">
            <w:pPr>
              <w:pStyle w:val="ListDash"/>
              <w:numPr>
                <w:ilvl w:val="0"/>
                <w:numId w:val="0"/>
              </w:numPr>
              <w:spacing w:before="120" w:after="120"/>
              <w:rPr>
                <w:sz w:val="20"/>
                <w:highlight w:val="yellow"/>
                <w:lang w:val="bg-BG"/>
              </w:rPr>
            </w:pPr>
            <w:r>
              <w:rPr>
                <w:sz w:val="20"/>
                <w:lang w:val="bg-BG"/>
              </w:rPr>
              <w:t>10</w:t>
            </w:r>
          </w:p>
        </w:tc>
        <w:tc>
          <w:tcPr>
            <w:tcW w:w="1691" w:type="dxa"/>
          </w:tcPr>
          <w:p w14:paraId="71DF93A9" w14:textId="77777777" w:rsidR="006E31AF" w:rsidRPr="00A13C37" w:rsidRDefault="00EA1AC1" w:rsidP="00A13C37">
            <w:pPr>
              <w:pStyle w:val="ListDash"/>
              <w:numPr>
                <w:ilvl w:val="0"/>
                <w:numId w:val="0"/>
              </w:numPr>
              <w:jc w:val="left"/>
              <w:rPr>
                <w:i/>
                <w:color w:val="8DB3E2"/>
                <w:sz w:val="18"/>
                <w:szCs w:val="18"/>
              </w:rPr>
            </w:pPr>
            <w:r w:rsidRPr="0069575B">
              <w:rPr>
                <w:sz w:val="20"/>
              </w:rPr>
              <w:t>Managing Authority</w:t>
            </w:r>
          </w:p>
        </w:tc>
      </w:tr>
      <w:tr w:rsidR="00ED744E" w:rsidRPr="00A13C37" w14:paraId="1EA89663" w14:textId="77777777" w:rsidTr="003B60AB">
        <w:trPr>
          <w:trHeight w:val="79"/>
        </w:trPr>
        <w:tc>
          <w:tcPr>
            <w:tcW w:w="1621" w:type="dxa"/>
            <w:vAlign w:val="center"/>
          </w:tcPr>
          <w:p w14:paraId="48F5850F" w14:textId="77777777" w:rsidR="00ED744E" w:rsidRPr="00C95708" w:rsidRDefault="002E36EA" w:rsidP="0032122C">
            <w:pPr>
              <w:pStyle w:val="ListDash"/>
              <w:numPr>
                <w:ilvl w:val="0"/>
                <w:numId w:val="0"/>
              </w:numPr>
              <w:jc w:val="left"/>
              <w:rPr>
                <w:i/>
                <w:sz w:val="18"/>
                <w:szCs w:val="18"/>
                <w:lang w:val="en-US"/>
              </w:rPr>
            </w:pPr>
            <w:r w:rsidRPr="00C95708">
              <w:rPr>
                <w:i/>
                <w:sz w:val="18"/>
                <w:szCs w:val="18"/>
                <w:lang w:val="en-US"/>
              </w:rPr>
              <w:t>27</w:t>
            </w:r>
          </w:p>
        </w:tc>
        <w:tc>
          <w:tcPr>
            <w:tcW w:w="2115" w:type="dxa"/>
            <w:vAlign w:val="center"/>
          </w:tcPr>
          <w:p w14:paraId="0DFE6F9D" w14:textId="77777777" w:rsidR="00ED744E" w:rsidRPr="00CD1188" w:rsidRDefault="00ED744E" w:rsidP="00E70ACF">
            <w:pPr>
              <w:pStyle w:val="ListDash"/>
              <w:numPr>
                <w:ilvl w:val="0"/>
                <w:numId w:val="0"/>
              </w:numPr>
              <w:spacing w:before="120" w:after="120"/>
              <w:jc w:val="left"/>
              <w:rPr>
                <w:sz w:val="20"/>
              </w:rPr>
            </w:pPr>
            <w:r w:rsidRPr="00B13FA5">
              <w:rPr>
                <w:sz w:val="20"/>
              </w:rPr>
              <w:t xml:space="preserve">Number of on the spot </w:t>
            </w:r>
            <w:r w:rsidR="00E70ACF">
              <w:rPr>
                <w:sz w:val="20"/>
              </w:rPr>
              <w:t>checks</w:t>
            </w:r>
          </w:p>
        </w:tc>
        <w:tc>
          <w:tcPr>
            <w:tcW w:w="1525" w:type="dxa"/>
          </w:tcPr>
          <w:p w14:paraId="750C815F" w14:textId="77777777" w:rsidR="00ED744E" w:rsidRDefault="00ED744E" w:rsidP="00A13C37">
            <w:pPr>
              <w:pStyle w:val="ListDash"/>
              <w:numPr>
                <w:ilvl w:val="0"/>
                <w:numId w:val="0"/>
              </w:numPr>
              <w:spacing w:before="120" w:after="120"/>
              <w:rPr>
                <w:sz w:val="20"/>
              </w:rPr>
            </w:pPr>
            <w:r>
              <w:rPr>
                <w:sz w:val="20"/>
              </w:rPr>
              <w:t>number</w:t>
            </w:r>
          </w:p>
        </w:tc>
        <w:tc>
          <w:tcPr>
            <w:tcW w:w="2334" w:type="dxa"/>
          </w:tcPr>
          <w:p w14:paraId="7BCC0136" w14:textId="77777777" w:rsidR="00ED744E" w:rsidRPr="00B13FA5" w:rsidRDefault="00ED744E" w:rsidP="00A13C37">
            <w:pPr>
              <w:pStyle w:val="ListDash"/>
              <w:numPr>
                <w:ilvl w:val="0"/>
                <w:numId w:val="0"/>
              </w:numPr>
              <w:spacing w:before="120" w:after="120"/>
              <w:rPr>
                <w:sz w:val="20"/>
                <w:lang w:val="en-US"/>
              </w:rPr>
            </w:pPr>
            <w:r>
              <w:rPr>
                <w:sz w:val="20"/>
                <w:lang w:val="en-US"/>
              </w:rPr>
              <w:t>120</w:t>
            </w:r>
          </w:p>
        </w:tc>
        <w:tc>
          <w:tcPr>
            <w:tcW w:w="1691" w:type="dxa"/>
          </w:tcPr>
          <w:p w14:paraId="5C575D71" w14:textId="77777777" w:rsidR="00ED744E" w:rsidRPr="0069575B" w:rsidRDefault="00ED744E" w:rsidP="00A13C37">
            <w:pPr>
              <w:pStyle w:val="ListDash"/>
              <w:numPr>
                <w:ilvl w:val="0"/>
                <w:numId w:val="0"/>
              </w:numPr>
              <w:jc w:val="left"/>
              <w:rPr>
                <w:sz w:val="20"/>
              </w:rPr>
            </w:pPr>
            <w:r w:rsidRPr="0069575B">
              <w:rPr>
                <w:sz w:val="20"/>
              </w:rPr>
              <w:t>Managing Authority</w:t>
            </w:r>
          </w:p>
        </w:tc>
      </w:tr>
    </w:tbl>
    <w:p w14:paraId="449E21BE" w14:textId="7E035081" w:rsidR="00F1341F" w:rsidRPr="008340BB" w:rsidRDefault="003B60AB" w:rsidP="00445D2B">
      <w:r w:rsidRPr="003B60AB">
        <w:t xml:space="preserve">The pandemic of COVID 19 in 2020 and 2021 and the drastic restrictive measures taken to reduce the spread of the virus, led to the impossibility of holding various public events. Due to which the initially pledged 20 public events for OPTTI will not be realized until the end of 2023. In this regard, </w:t>
      </w:r>
      <w:r>
        <w:t xml:space="preserve">the indicator </w:t>
      </w:r>
      <w:r>
        <w:rPr>
          <w:lang w:val="en-US"/>
        </w:rPr>
        <w:t>was</w:t>
      </w:r>
      <w:r w:rsidRPr="003B60AB">
        <w:t xml:space="preserve"> updated to 10 public events.</w:t>
      </w:r>
    </w:p>
    <w:p w14:paraId="01813E55" w14:textId="77777777" w:rsidR="00F1341F" w:rsidRPr="008340BB" w:rsidRDefault="00F1341F" w:rsidP="00355925">
      <w:pPr>
        <w:rPr>
          <w:b/>
        </w:rPr>
      </w:pPr>
    </w:p>
    <w:p w14:paraId="56410138" w14:textId="77777777" w:rsidR="00F1341F" w:rsidRPr="008340BB" w:rsidRDefault="00F1341F" w:rsidP="00355925">
      <w:pPr>
        <w:rPr>
          <w:b/>
        </w:rPr>
      </w:pPr>
      <w:r w:rsidRPr="008340BB">
        <w:rPr>
          <w:b/>
        </w:rPr>
        <w:t xml:space="preserve">2.B.7 </w:t>
      </w:r>
      <w:r w:rsidRPr="008340BB">
        <w:rPr>
          <w:b/>
        </w:rPr>
        <w:tab/>
        <w:t xml:space="preserve">Categories of intervention </w:t>
      </w:r>
      <w:r w:rsidRPr="008340BB">
        <w:t>(by priority axis)</w:t>
      </w:r>
    </w:p>
    <w:p w14:paraId="16D89FFB" w14:textId="77777777" w:rsidR="00F1341F" w:rsidRPr="008340BB" w:rsidRDefault="00F1341F" w:rsidP="00F03C1E">
      <w:pPr>
        <w:suppressAutoHyphens/>
      </w:pPr>
      <w:r w:rsidRPr="008340BB">
        <w:t xml:space="preserve">(Reference: points (c)(v) of the first subparagraph of Article 96(2) of Regulation (EU) No 1303/2013) </w:t>
      </w:r>
    </w:p>
    <w:p w14:paraId="0F7E2EF0" w14:textId="77777777" w:rsidR="00F1341F" w:rsidRPr="008340BB" w:rsidRDefault="00F1341F" w:rsidP="00F03C1E">
      <w:pPr>
        <w:suppressAutoHyphens/>
      </w:pPr>
      <w:r w:rsidRPr="008340BB">
        <w:t>Corresponding categories of intervention based on a nomenclature adopted by the Commission, and an indicative breakdown of Union support.</w:t>
      </w:r>
    </w:p>
    <w:p w14:paraId="76DB5CFD" w14:textId="77777777" w:rsidR="00F1341F" w:rsidRPr="008340BB" w:rsidRDefault="00F1341F" w:rsidP="00BF3391">
      <w:pPr>
        <w:ind w:left="1560" w:hanging="1560"/>
        <w:rPr>
          <w:b/>
        </w:rPr>
      </w:pPr>
    </w:p>
    <w:p w14:paraId="588B51C4" w14:textId="77777777" w:rsidR="00F1341F" w:rsidRPr="008340BB" w:rsidRDefault="00F1341F" w:rsidP="00BF3391">
      <w:pPr>
        <w:ind w:left="1560" w:hanging="1560"/>
      </w:pPr>
      <w:r w:rsidRPr="008340BB">
        <w:rPr>
          <w:b/>
        </w:rPr>
        <w:t xml:space="preserve">Tables 14-16: </w:t>
      </w:r>
      <w:r w:rsidRPr="008340BB">
        <w:rPr>
          <w:b/>
        </w:rPr>
        <w:tab/>
        <w:t>Categories of intervention</w:t>
      </w:r>
      <w:r w:rsidRPr="008340BB">
        <w:rPr>
          <w:rStyle w:val="FootnoteReference"/>
          <w:b/>
        </w:rPr>
        <w:footnoteReference w:id="8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546"/>
        <w:gridCol w:w="2147"/>
        <w:gridCol w:w="2977"/>
      </w:tblGrid>
      <w:tr w:rsidR="00F1341F" w:rsidRPr="008340BB" w14:paraId="0E8074DC" w14:textId="77777777" w:rsidTr="00F03C1E">
        <w:trPr>
          <w:trHeight w:val="364"/>
        </w:trPr>
        <w:tc>
          <w:tcPr>
            <w:tcW w:w="8472" w:type="dxa"/>
            <w:gridSpan w:val="5"/>
          </w:tcPr>
          <w:p w14:paraId="73CCAFC8" w14:textId="77777777" w:rsidR="00F1341F" w:rsidRPr="0067246B" w:rsidRDefault="00F1341F" w:rsidP="00F03C1E">
            <w:pPr>
              <w:autoSpaceDE w:val="0"/>
              <w:autoSpaceDN w:val="0"/>
              <w:adjustRightInd w:val="0"/>
              <w:spacing w:after="0"/>
              <w:jc w:val="left"/>
              <w:rPr>
                <w:rFonts w:ascii="TimesNewRoman" w:cs="TimesNewRoman"/>
                <w:b/>
                <w:color w:val="000000"/>
                <w:sz w:val="20"/>
              </w:rPr>
            </w:pPr>
            <w:r w:rsidRPr="0067246B">
              <w:rPr>
                <w:rFonts w:ascii="TimesNewRoman,Bold" w:hAnsi="TimesNewRoman,Bold" w:cs="TimesNewRoman,Bold"/>
                <w:b/>
                <w:bCs/>
                <w:color w:val="000000"/>
                <w:sz w:val="20"/>
              </w:rPr>
              <w:lastRenderedPageBreak/>
              <w:t>Table 14: Dimension 1 – Intervention field</w:t>
            </w:r>
          </w:p>
        </w:tc>
      </w:tr>
      <w:tr w:rsidR="00F1341F" w:rsidRPr="008340BB" w14:paraId="2DC3A8CD" w14:textId="77777777" w:rsidTr="007E0E4A">
        <w:trPr>
          <w:trHeight w:val="364"/>
        </w:trPr>
        <w:tc>
          <w:tcPr>
            <w:tcW w:w="3348" w:type="dxa"/>
            <w:gridSpan w:val="3"/>
          </w:tcPr>
          <w:p w14:paraId="710FD04B" w14:textId="77777777" w:rsidR="00F1341F" w:rsidRPr="008340BB" w:rsidRDefault="00F1341F" w:rsidP="00F03C1E">
            <w:pPr>
              <w:autoSpaceDE w:val="0"/>
              <w:autoSpaceDN w:val="0"/>
              <w:adjustRightInd w:val="0"/>
              <w:spacing w:after="0"/>
              <w:jc w:val="left"/>
              <w:rPr>
                <w:rFonts w:ascii="TimesNewRoman,Bold" w:hAnsi="TimesNewRoman,Bold" w:cs="TimesNewRoman,Bold"/>
                <w:b/>
                <w:bCs/>
                <w:color w:val="000000"/>
                <w:sz w:val="20"/>
              </w:rPr>
            </w:pPr>
            <w:r w:rsidRPr="008340BB">
              <w:rPr>
                <w:b/>
                <w:i/>
                <w:sz w:val="20"/>
              </w:rPr>
              <w:t>Priority axis</w:t>
            </w:r>
            <w:r w:rsidRPr="008340BB" w:rsidDel="007E0E4A">
              <w:rPr>
                <w:rFonts w:ascii="TimesNewRoman,Bold" w:hAnsi="TimesNewRoman,Bold" w:cs="TimesNewRoman,Bold"/>
                <w:b/>
                <w:bCs/>
                <w:color w:val="000000"/>
                <w:sz w:val="20"/>
              </w:rPr>
              <w:t xml:space="preserve"> </w:t>
            </w:r>
          </w:p>
        </w:tc>
        <w:tc>
          <w:tcPr>
            <w:tcW w:w="5124" w:type="dxa"/>
            <w:gridSpan w:val="2"/>
          </w:tcPr>
          <w:p w14:paraId="06B6CC2E" w14:textId="77777777" w:rsidR="00F1341F" w:rsidRPr="008340BB" w:rsidRDefault="00F1341F" w:rsidP="00F03C1E">
            <w:pPr>
              <w:autoSpaceDE w:val="0"/>
              <w:autoSpaceDN w:val="0"/>
              <w:adjustRightInd w:val="0"/>
              <w:spacing w:after="0"/>
              <w:jc w:val="left"/>
              <w:rPr>
                <w:rFonts w:ascii="TimesNewRoman,Bold" w:hAnsi="TimesNewRoman,Bold" w:cs="TimesNewRoman,Bold"/>
                <w:b/>
                <w:bCs/>
                <w:i/>
                <w:color w:val="000000"/>
                <w:sz w:val="20"/>
              </w:rPr>
            </w:pPr>
            <w:r w:rsidRPr="008340BB">
              <w:rPr>
                <w:rFonts w:ascii="TimesNewRoman,Bold" w:hAnsi="TimesNewRoman,Bold" w:cs="TimesNewRoman,Bold"/>
                <w:b/>
                <w:bCs/>
                <w:i/>
                <w:color w:val="000000"/>
                <w:sz w:val="20"/>
              </w:rPr>
              <w:t>“Technical assistance”</w:t>
            </w:r>
          </w:p>
        </w:tc>
      </w:tr>
      <w:tr w:rsidR="00F1341F" w:rsidRPr="008340BB" w14:paraId="1FC54BBE" w14:textId="77777777" w:rsidTr="00263449">
        <w:trPr>
          <w:trHeight w:val="254"/>
        </w:trPr>
        <w:tc>
          <w:tcPr>
            <w:tcW w:w="1401" w:type="dxa"/>
          </w:tcPr>
          <w:p w14:paraId="462F7AC4" w14:textId="77777777" w:rsidR="00F1341F" w:rsidRPr="008340BB" w:rsidRDefault="00F1341F" w:rsidP="00F03C1E">
            <w:pPr>
              <w:jc w:val="center"/>
              <w:rPr>
                <w:b/>
                <w:i/>
                <w:sz w:val="18"/>
                <w:szCs w:val="18"/>
              </w:rPr>
            </w:pPr>
            <w:r w:rsidRPr="008340BB">
              <w:rPr>
                <w:b/>
                <w:i/>
                <w:sz w:val="18"/>
                <w:szCs w:val="18"/>
              </w:rPr>
              <w:t>Fund</w:t>
            </w:r>
          </w:p>
        </w:tc>
        <w:tc>
          <w:tcPr>
            <w:tcW w:w="1401" w:type="dxa"/>
          </w:tcPr>
          <w:p w14:paraId="2685972F" w14:textId="77777777" w:rsidR="00F1341F" w:rsidRPr="008340BB" w:rsidRDefault="00F1341F" w:rsidP="00F03C1E">
            <w:pPr>
              <w:jc w:val="center"/>
              <w:rPr>
                <w:b/>
                <w:i/>
                <w:sz w:val="18"/>
                <w:szCs w:val="18"/>
              </w:rPr>
            </w:pPr>
            <w:r w:rsidRPr="008340BB">
              <w:rPr>
                <w:b/>
                <w:i/>
                <w:sz w:val="18"/>
                <w:szCs w:val="18"/>
              </w:rPr>
              <w:t>Category of region</w:t>
            </w:r>
          </w:p>
        </w:tc>
        <w:tc>
          <w:tcPr>
            <w:tcW w:w="2693" w:type="dxa"/>
            <w:gridSpan w:val="2"/>
          </w:tcPr>
          <w:p w14:paraId="6E05A1B7" w14:textId="77777777" w:rsidR="00F1341F" w:rsidRPr="008340BB" w:rsidRDefault="00F1341F" w:rsidP="00F03C1E">
            <w:pPr>
              <w:jc w:val="center"/>
              <w:rPr>
                <w:i/>
                <w:sz w:val="20"/>
              </w:rPr>
            </w:pPr>
            <w:r w:rsidRPr="008340BB">
              <w:rPr>
                <w:b/>
                <w:i/>
                <w:sz w:val="18"/>
                <w:szCs w:val="18"/>
              </w:rPr>
              <w:t>Code</w:t>
            </w:r>
          </w:p>
        </w:tc>
        <w:tc>
          <w:tcPr>
            <w:tcW w:w="2977" w:type="dxa"/>
          </w:tcPr>
          <w:p w14:paraId="6919D9CC" w14:textId="77777777" w:rsidR="00F1341F" w:rsidRPr="008340BB" w:rsidRDefault="00F1341F" w:rsidP="00F03C1E">
            <w:pPr>
              <w:jc w:val="center"/>
              <w:rPr>
                <w:i/>
                <w:sz w:val="20"/>
              </w:rPr>
            </w:pPr>
            <w:r w:rsidRPr="008340BB">
              <w:rPr>
                <w:b/>
                <w:sz w:val="18"/>
                <w:szCs w:val="18"/>
              </w:rPr>
              <w:t>Amount (EUR)</w:t>
            </w:r>
          </w:p>
        </w:tc>
      </w:tr>
      <w:tr w:rsidR="00F1341F" w:rsidRPr="008340BB" w14:paraId="22A19664" w14:textId="77777777" w:rsidTr="00263449">
        <w:tc>
          <w:tcPr>
            <w:tcW w:w="1401" w:type="dxa"/>
          </w:tcPr>
          <w:p w14:paraId="6EF76953" w14:textId="77777777" w:rsidR="00F1341F" w:rsidRPr="008340BB" w:rsidRDefault="00F1341F" w:rsidP="00F03C1E">
            <w:pPr>
              <w:pStyle w:val="Text1"/>
              <w:ind w:left="0"/>
              <w:jc w:val="left"/>
              <w:rPr>
                <w:sz w:val="20"/>
                <w:lang w:val="en-GB" w:eastAsia="en-GB"/>
              </w:rPr>
            </w:pPr>
            <w:r w:rsidRPr="008340BB">
              <w:rPr>
                <w:sz w:val="20"/>
                <w:lang w:val="en-GB" w:eastAsia="en-GB"/>
              </w:rPr>
              <w:t>ERDF</w:t>
            </w:r>
          </w:p>
        </w:tc>
        <w:tc>
          <w:tcPr>
            <w:tcW w:w="1401" w:type="dxa"/>
          </w:tcPr>
          <w:p w14:paraId="249082ED" w14:textId="77777777" w:rsidR="00F1341F" w:rsidRPr="008340BB" w:rsidRDefault="00F1341F" w:rsidP="00F03C1E">
            <w:pPr>
              <w:pStyle w:val="Text1"/>
              <w:ind w:left="0"/>
              <w:jc w:val="left"/>
              <w:rPr>
                <w:sz w:val="20"/>
                <w:lang w:val="en-GB" w:eastAsia="en-GB"/>
              </w:rPr>
            </w:pPr>
            <w:r w:rsidRPr="008340BB">
              <w:rPr>
                <w:sz w:val="20"/>
                <w:lang w:val="en-GB" w:eastAsia="en-GB"/>
              </w:rPr>
              <w:t>Less developed regions</w:t>
            </w:r>
          </w:p>
        </w:tc>
        <w:tc>
          <w:tcPr>
            <w:tcW w:w="2693" w:type="dxa"/>
            <w:gridSpan w:val="2"/>
          </w:tcPr>
          <w:p w14:paraId="56FB759E" w14:textId="77777777" w:rsidR="00F1341F" w:rsidRPr="008340BB" w:rsidRDefault="00F1341F" w:rsidP="00F03C1E">
            <w:pPr>
              <w:pStyle w:val="Text1"/>
              <w:ind w:left="0"/>
              <w:jc w:val="left"/>
              <w:rPr>
                <w:sz w:val="20"/>
                <w:lang w:val="en-GB" w:eastAsia="en-GB"/>
              </w:rPr>
            </w:pPr>
            <w:r w:rsidRPr="008340BB">
              <w:rPr>
                <w:sz w:val="20"/>
                <w:lang w:val="en-GB" w:eastAsia="en-GB"/>
              </w:rPr>
              <w:t>121 Preparation, implementation, monitoring and inspection</w:t>
            </w:r>
          </w:p>
        </w:tc>
        <w:tc>
          <w:tcPr>
            <w:tcW w:w="2977" w:type="dxa"/>
          </w:tcPr>
          <w:p w14:paraId="4FC8B0EE" w14:textId="77777777" w:rsidR="00C4522C" w:rsidRPr="00C4522C" w:rsidRDefault="00C4522C" w:rsidP="00C4522C">
            <w:pPr>
              <w:pStyle w:val="Text1"/>
              <w:ind w:left="0"/>
              <w:jc w:val="left"/>
              <w:rPr>
                <w:b/>
                <w:bCs/>
                <w:sz w:val="20"/>
                <w:lang w:val="x-none"/>
              </w:rPr>
            </w:pPr>
            <w:r w:rsidRPr="009B475E">
              <w:rPr>
                <w:b/>
                <w:bCs/>
                <w:sz w:val="20"/>
                <w:lang w:val="x-none"/>
              </w:rPr>
              <w:t>25 440 196,88</w:t>
            </w:r>
          </w:p>
          <w:p w14:paraId="09216CB1" w14:textId="515DFEDD" w:rsidR="00443C68" w:rsidRPr="00443C68" w:rsidRDefault="00443C68" w:rsidP="00443C68">
            <w:pPr>
              <w:pStyle w:val="Text1"/>
              <w:ind w:left="0"/>
              <w:jc w:val="left"/>
              <w:rPr>
                <w:b/>
                <w:bCs/>
                <w:sz w:val="20"/>
              </w:rPr>
            </w:pPr>
          </w:p>
          <w:p w14:paraId="07DC1F18" w14:textId="48B13B47" w:rsidR="00F1341F" w:rsidRPr="008340BB" w:rsidRDefault="00F1341F" w:rsidP="00B2225E">
            <w:pPr>
              <w:pStyle w:val="Text1"/>
              <w:ind w:left="0"/>
              <w:jc w:val="left"/>
              <w:rPr>
                <w:sz w:val="20"/>
                <w:lang w:val="en-GB" w:eastAsia="en-GB"/>
              </w:rPr>
            </w:pPr>
          </w:p>
        </w:tc>
      </w:tr>
      <w:tr w:rsidR="00F1341F" w:rsidRPr="008340BB" w14:paraId="3E6B5550" w14:textId="77777777" w:rsidTr="00263449">
        <w:tc>
          <w:tcPr>
            <w:tcW w:w="1401" w:type="dxa"/>
          </w:tcPr>
          <w:p w14:paraId="2C13366C" w14:textId="77777777" w:rsidR="00F1341F" w:rsidRPr="008340BB" w:rsidRDefault="00F1341F" w:rsidP="00F03C1E">
            <w:pPr>
              <w:pStyle w:val="Text1"/>
              <w:ind w:left="0"/>
              <w:jc w:val="left"/>
              <w:rPr>
                <w:sz w:val="20"/>
                <w:lang w:val="en-GB" w:eastAsia="en-GB"/>
              </w:rPr>
            </w:pPr>
            <w:r w:rsidRPr="008340BB">
              <w:rPr>
                <w:sz w:val="20"/>
                <w:lang w:val="en-GB" w:eastAsia="en-GB"/>
              </w:rPr>
              <w:t>ERDF</w:t>
            </w:r>
          </w:p>
        </w:tc>
        <w:tc>
          <w:tcPr>
            <w:tcW w:w="1401" w:type="dxa"/>
          </w:tcPr>
          <w:p w14:paraId="781B9AA2" w14:textId="77777777" w:rsidR="00F1341F" w:rsidRPr="008340BB" w:rsidRDefault="00F1341F" w:rsidP="00F03C1E">
            <w:pPr>
              <w:pStyle w:val="Text1"/>
              <w:ind w:left="0"/>
              <w:jc w:val="left"/>
              <w:rPr>
                <w:sz w:val="20"/>
                <w:lang w:val="en-GB" w:eastAsia="en-GB"/>
              </w:rPr>
            </w:pPr>
            <w:r w:rsidRPr="008340BB">
              <w:rPr>
                <w:sz w:val="20"/>
                <w:lang w:val="en-GB" w:eastAsia="en-GB"/>
              </w:rPr>
              <w:t>Less developed regions</w:t>
            </w:r>
          </w:p>
        </w:tc>
        <w:tc>
          <w:tcPr>
            <w:tcW w:w="2693" w:type="dxa"/>
            <w:gridSpan w:val="2"/>
          </w:tcPr>
          <w:p w14:paraId="56082B0B" w14:textId="77777777" w:rsidR="00F1341F" w:rsidRPr="008340BB" w:rsidRDefault="00F1341F" w:rsidP="00F03C1E">
            <w:pPr>
              <w:pStyle w:val="Text1"/>
              <w:ind w:left="0"/>
              <w:jc w:val="left"/>
              <w:rPr>
                <w:sz w:val="20"/>
                <w:lang w:val="en-GB" w:eastAsia="en-GB"/>
              </w:rPr>
            </w:pPr>
            <w:r w:rsidRPr="008340BB">
              <w:rPr>
                <w:sz w:val="20"/>
                <w:lang w:val="en-GB" w:eastAsia="en-GB"/>
              </w:rPr>
              <w:t>122 Evaluation and studies</w:t>
            </w:r>
          </w:p>
        </w:tc>
        <w:tc>
          <w:tcPr>
            <w:tcW w:w="2977" w:type="dxa"/>
          </w:tcPr>
          <w:p w14:paraId="5A3BF542" w14:textId="77777777" w:rsidR="00443C68" w:rsidRPr="00443C68" w:rsidRDefault="00443C68" w:rsidP="00443C68">
            <w:pPr>
              <w:pStyle w:val="Text1"/>
              <w:ind w:left="0"/>
              <w:jc w:val="left"/>
              <w:rPr>
                <w:b/>
                <w:bCs/>
                <w:sz w:val="20"/>
                <w:lang w:val="x-none"/>
              </w:rPr>
            </w:pPr>
            <w:r w:rsidRPr="00443C68">
              <w:rPr>
                <w:b/>
                <w:bCs/>
                <w:sz w:val="20"/>
                <w:lang w:val="x-none"/>
              </w:rPr>
              <w:t>3 268 109,31</w:t>
            </w:r>
          </w:p>
          <w:p w14:paraId="126817F2" w14:textId="523BF792" w:rsidR="00F1341F" w:rsidRPr="008340BB" w:rsidRDefault="00F1341F" w:rsidP="00181789">
            <w:pPr>
              <w:pStyle w:val="Text1"/>
              <w:ind w:left="0"/>
              <w:jc w:val="left"/>
              <w:rPr>
                <w:sz w:val="20"/>
                <w:lang w:val="en-GB" w:eastAsia="en-GB"/>
              </w:rPr>
            </w:pPr>
          </w:p>
        </w:tc>
      </w:tr>
      <w:tr w:rsidR="00F1341F" w:rsidRPr="008340BB" w14:paraId="62C4DD15" w14:textId="77777777" w:rsidTr="00263449">
        <w:tc>
          <w:tcPr>
            <w:tcW w:w="1401" w:type="dxa"/>
          </w:tcPr>
          <w:p w14:paraId="36B4B2F5" w14:textId="77777777" w:rsidR="00F1341F" w:rsidRPr="008340BB" w:rsidRDefault="00F1341F" w:rsidP="00F03C1E">
            <w:pPr>
              <w:pStyle w:val="Text1"/>
              <w:ind w:left="0"/>
              <w:jc w:val="left"/>
              <w:rPr>
                <w:sz w:val="20"/>
                <w:lang w:val="en-GB" w:eastAsia="en-GB"/>
              </w:rPr>
            </w:pPr>
            <w:r w:rsidRPr="008340BB">
              <w:rPr>
                <w:sz w:val="20"/>
                <w:lang w:val="en-GB" w:eastAsia="en-GB"/>
              </w:rPr>
              <w:t>ERDF</w:t>
            </w:r>
          </w:p>
        </w:tc>
        <w:tc>
          <w:tcPr>
            <w:tcW w:w="1401" w:type="dxa"/>
          </w:tcPr>
          <w:p w14:paraId="4D423320" w14:textId="77777777" w:rsidR="00F1341F" w:rsidRPr="008340BB" w:rsidRDefault="00F1341F" w:rsidP="00F03C1E">
            <w:pPr>
              <w:pStyle w:val="Text1"/>
              <w:ind w:left="0"/>
              <w:jc w:val="left"/>
              <w:rPr>
                <w:sz w:val="20"/>
                <w:lang w:val="en-GB" w:eastAsia="en-GB"/>
              </w:rPr>
            </w:pPr>
            <w:r w:rsidRPr="008340BB">
              <w:rPr>
                <w:sz w:val="20"/>
                <w:lang w:val="en-GB" w:eastAsia="en-GB"/>
              </w:rPr>
              <w:t>Less developed regions</w:t>
            </w:r>
          </w:p>
        </w:tc>
        <w:tc>
          <w:tcPr>
            <w:tcW w:w="2693" w:type="dxa"/>
            <w:gridSpan w:val="2"/>
          </w:tcPr>
          <w:p w14:paraId="7FB02F75" w14:textId="77777777" w:rsidR="00F1341F" w:rsidRPr="008340BB" w:rsidRDefault="00F1341F" w:rsidP="00F03C1E">
            <w:pPr>
              <w:pStyle w:val="Text1"/>
              <w:ind w:left="0"/>
              <w:jc w:val="left"/>
              <w:rPr>
                <w:sz w:val="20"/>
                <w:lang w:val="en-GB" w:eastAsia="en-GB"/>
              </w:rPr>
            </w:pPr>
            <w:r w:rsidRPr="008340BB">
              <w:rPr>
                <w:sz w:val="20"/>
                <w:lang w:val="en-GB" w:eastAsia="en-GB"/>
              </w:rPr>
              <w:t>123 Information and communication</w:t>
            </w:r>
          </w:p>
        </w:tc>
        <w:tc>
          <w:tcPr>
            <w:tcW w:w="2977" w:type="dxa"/>
          </w:tcPr>
          <w:p w14:paraId="50328499" w14:textId="77777777" w:rsidR="00443C68" w:rsidRPr="00443C68" w:rsidRDefault="00443C68" w:rsidP="00443C68">
            <w:pPr>
              <w:autoSpaceDE w:val="0"/>
              <w:autoSpaceDN w:val="0"/>
              <w:adjustRightInd w:val="0"/>
              <w:rPr>
                <w:sz w:val="20"/>
                <w:lang w:val="bg-BG"/>
              </w:rPr>
            </w:pPr>
            <w:r w:rsidRPr="00443C68">
              <w:rPr>
                <w:b/>
                <w:bCs/>
                <w:sz w:val="20"/>
                <w:lang w:val="bg-BG"/>
              </w:rPr>
              <w:t>1 509 009,81</w:t>
            </w:r>
          </w:p>
          <w:p w14:paraId="25199DBB" w14:textId="619581A4" w:rsidR="00F1341F" w:rsidRPr="008340BB" w:rsidRDefault="00F1341F" w:rsidP="00181789">
            <w:pPr>
              <w:autoSpaceDE w:val="0"/>
              <w:autoSpaceDN w:val="0"/>
              <w:adjustRightInd w:val="0"/>
              <w:rPr>
                <w:sz w:val="20"/>
              </w:rPr>
            </w:pPr>
          </w:p>
        </w:tc>
      </w:tr>
    </w:tbl>
    <w:p w14:paraId="356259C7" w14:textId="77777777" w:rsidR="00F1341F" w:rsidRPr="008340BB" w:rsidRDefault="00F1341F"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1086"/>
        <w:gridCol w:w="1607"/>
        <w:gridCol w:w="2977"/>
      </w:tblGrid>
      <w:tr w:rsidR="00F1341F" w:rsidRPr="008340BB" w14:paraId="3A9197D6" w14:textId="77777777" w:rsidTr="00F03C1E">
        <w:trPr>
          <w:trHeight w:val="364"/>
        </w:trPr>
        <w:tc>
          <w:tcPr>
            <w:tcW w:w="8472" w:type="dxa"/>
            <w:gridSpan w:val="5"/>
          </w:tcPr>
          <w:p w14:paraId="191AF765" w14:textId="77777777" w:rsidR="00F1341F" w:rsidRPr="008340BB" w:rsidRDefault="00F1341F" w:rsidP="00F03C1E">
            <w:pPr>
              <w:autoSpaceDE w:val="0"/>
              <w:autoSpaceDN w:val="0"/>
              <w:adjustRightInd w:val="0"/>
              <w:spacing w:after="0"/>
              <w:jc w:val="left"/>
              <w:rPr>
                <w:rFonts w:ascii="TimesNewRoman" w:cs="TimesNewRoman"/>
                <w:b/>
                <w:color w:val="000000"/>
                <w:sz w:val="20"/>
              </w:rPr>
            </w:pPr>
            <w:r w:rsidRPr="008340BB">
              <w:rPr>
                <w:rFonts w:ascii="TimesNewRoman,Bold" w:hAnsi="TimesNewRoman,Bold" w:cs="TimesNewRoman,Bold"/>
                <w:b/>
                <w:bCs/>
                <w:color w:val="000000"/>
                <w:sz w:val="20"/>
              </w:rPr>
              <w:t>Table 15: Dimension 2</w:t>
            </w:r>
            <w:r w:rsidRPr="008340BB">
              <w:rPr>
                <w:rFonts w:ascii="TimesNewRoman" w:hAnsi="TimesNewRoman" w:cs="TimesNewRoman"/>
                <w:color w:val="000000"/>
                <w:sz w:val="20"/>
              </w:rPr>
              <w:t xml:space="preserve"> – </w:t>
            </w:r>
            <w:r w:rsidRPr="008340BB">
              <w:rPr>
                <w:rFonts w:ascii="TimesNewRoman,Bold" w:hAnsi="TimesNewRoman,Bold" w:cs="TimesNewRoman,Bold"/>
                <w:b/>
                <w:bCs/>
                <w:color w:val="000000"/>
                <w:sz w:val="20"/>
              </w:rPr>
              <w:t>Form of finance</w:t>
            </w:r>
          </w:p>
        </w:tc>
      </w:tr>
      <w:tr w:rsidR="00F1341F" w:rsidRPr="008340BB" w14:paraId="04678BA4" w14:textId="77777777" w:rsidTr="005B685C">
        <w:trPr>
          <w:trHeight w:val="364"/>
        </w:trPr>
        <w:tc>
          <w:tcPr>
            <w:tcW w:w="3888" w:type="dxa"/>
            <w:gridSpan w:val="3"/>
          </w:tcPr>
          <w:p w14:paraId="7E7AC4C8" w14:textId="77777777" w:rsidR="00F1341F" w:rsidRPr="008340BB" w:rsidRDefault="00F1341F" w:rsidP="00F03C1E">
            <w:pPr>
              <w:autoSpaceDE w:val="0"/>
              <w:autoSpaceDN w:val="0"/>
              <w:adjustRightInd w:val="0"/>
              <w:spacing w:after="0"/>
              <w:jc w:val="left"/>
              <w:rPr>
                <w:rFonts w:ascii="TimesNewRoman,Bold" w:hAnsi="TimesNewRoman,Bold" w:cs="TimesNewRoman,Bold"/>
                <w:b/>
                <w:bCs/>
                <w:color w:val="000000"/>
                <w:sz w:val="20"/>
              </w:rPr>
            </w:pPr>
            <w:r w:rsidRPr="008340BB">
              <w:rPr>
                <w:b/>
                <w:i/>
                <w:sz w:val="20"/>
              </w:rPr>
              <w:t>Priority axis</w:t>
            </w:r>
            <w:r w:rsidRPr="008340BB" w:rsidDel="007E0E4A">
              <w:rPr>
                <w:rFonts w:ascii="TimesNewRoman,Bold" w:hAnsi="TimesNewRoman,Bold" w:cs="TimesNewRoman,Bold"/>
                <w:b/>
                <w:bCs/>
                <w:color w:val="000000"/>
                <w:sz w:val="20"/>
              </w:rPr>
              <w:t xml:space="preserve"> </w:t>
            </w:r>
          </w:p>
        </w:tc>
        <w:tc>
          <w:tcPr>
            <w:tcW w:w="4584" w:type="dxa"/>
            <w:gridSpan w:val="2"/>
          </w:tcPr>
          <w:p w14:paraId="46DC16E8" w14:textId="77777777" w:rsidR="00F1341F" w:rsidRPr="008340BB" w:rsidRDefault="00F1341F" w:rsidP="00F03C1E">
            <w:pPr>
              <w:autoSpaceDE w:val="0"/>
              <w:autoSpaceDN w:val="0"/>
              <w:adjustRightInd w:val="0"/>
              <w:spacing w:after="0"/>
              <w:jc w:val="left"/>
              <w:rPr>
                <w:rFonts w:ascii="TimesNewRoman,Bold" w:hAnsi="TimesNewRoman,Bold" w:cs="TimesNewRoman,Bold"/>
                <w:b/>
                <w:bCs/>
                <w:color w:val="000000"/>
                <w:sz w:val="20"/>
              </w:rPr>
            </w:pPr>
            <w:r w:rsidRPr="008340BB">
              <w:rPr>
                <w:rFonts w:ascii="TimesNewRoman,Bold" w:hAnsi="TimesNewRoman,Bold" w:cs="TimesNewRoman,Bold"/>
                <w:b/>
                <w:bCs/>
                <w:i/>
                <w:color w:val="000000"/>
                <w:sz w:val="20"/>
              </w:rPr>
              <w:t>“Technical assistance”</w:t>
            </w:r>
          </w:p>
        </w:tc>
      </w:tr>
      <w:tr w:rsidR="00F1341F" w:rsidRPr="008340BB" w14:paraId="4C1EC249" w14:textId="77777777" w:rsidTr="00263449">
        <w:trPr>
          <w:trHeight w:val="254"/>
        </w:trPr>
        <w:tc>
          <w:tcPr>
            <w:tcW w:w="1401" w:type="dxa"/>
          </w:tcPr>
          <w:p w14:paraId="1364BF63" w14:textId="77777777" w:rsidR="00F1341F" w:rsidRPr="008340BB" w:rsidRDefault="00F1341F" w:rsidP="00F03C1E">
            <w:pPr>
              <w:suppressAutoHyphens/>
              <w:rPr>
                <w:i/>
                <w:color w:val="8DB3E2"/>
                <w:sz w:val="18"/>
                <w:szCs w:val="18"/>
              </w:rPr>
            </w:pPr>
            <w:r w:rsidRPr="008340BB">
              <w:rPr>
                <w:b/>
                <w:i/>
                <w:sz w:val="18"/>
                <w:szCs w:val="18"/>
              </w:rPr>
              <w:t>Fund</w:t>
            </w:r>
          </w:p>
        </w:tc>
        <w:tc>
          <w:tcPr>
            <w:tcW w:w="1401" w:type="dxa"/>
          </w:tcPr>
          <w:p w14:paraId="1B0F0445" w14:textId="77777777" w:rsidR="00F1341F" w:rsidRPr="008340BB" w:rsidRDefault="00F1341F" w:rsidP="00F03C1E">
            <w:pPr>
              <w:pStyle w:val="Text1"/>
              <w:ind w:left="0"/>
              <w:jc w:val="left"/>
              <w:rPr>
                <w:b/>
                <w:i/>
                <w:sz w:val="18"/>
                <w:szCs w:val="18"/>
                <w:lang w:val="en-GB" w:eastAsia="en-GB"/>
              </w:rPr>
            </w:pPr>
            <w:r w:rsidRPr="008340BB">
              <w:rPr>
                <w:b/>
                <w:i/>
                <w:sz w:val="18"/>
                <w:szCs w:val="18"/>
                <w:lang w:val="en-GB" w:eastAsia="en-GB"/>
              </w:rPr>
              <w:t>Category of region</w:t>
            </w:r>
          </w:p>
        </w:tc>
        <w:tc>
          <w:tcPr>
            <w:tcW w:w="2693" w:type="dxa"/>
            <w:gridSpan w:val="2"/>
          </w:tcPr>
          <w:p w14:paraId="2A239399" w14:textId="77777777" w:rsidR="00F1341F" w:rsidRPr="008340BB" w:rsidRDefault="00F1341F" w:rsidP="00F03C1E">
            <w:pPr>
              <w:jc w:val="center"/>
              <w:rPr>
                <w:i/>
                <w:sz w:val="20"/>
              </w:rPr>
            </w:pPr>
            <w:r w:rsidRPr="008340BB">
              <w:rPr>
                <w:b/>
                <w:i/>
                <w:sz w:val="18"/>
                <w:szCs w:val="18"/>
              </w:rPr>
              <w:t>Code</w:t>
            </w:r>
          </w:p>
        </w:tc>
        <w:tc>
          <w:tcPr>
            <w:tcW w:w="2977" w:type="dxa"/>
          </w:tcPr>
          <w:p w14:paraId="31E227D4" w14:textId="77777777" w:rsidR="00F1341F" w:rsidRPr="008340BB" w:rsidRDefault="00F1341F" w:rsidP="00F03C1E">
            <w:pPr>
              <w:jc w:val="center"/>
              <w:rPr>
                <w:i/>
                <w:sz w:val="20"/>
              </w:rPr>
            </w:pPr>
            <w:r w:rsidRPr="008340BB">
              <w:rPr>
                <w:b/>
                <w:sz w:val="18"/>
                <w:szCs w:val="18"/>
              </w:rPr>
              <w:t>Amount (EUR)</w:t>
            </w:r>
          </w:p>
        </w:tc>
      </w:tr>
      <w:tr w:rsidR="00F1341F" w:rsidRPr="008340BB" w14:paraId="2F9B4334" w14:textId="77777777" w:rsidTr="00263449">
        <w:tc>
          <w:tcPr>
            <w:tcW w:w="1401" w:type="dxa"/>
          </w:tcPr>
          <w:p w14:paraId="5310554B" w14:textId="77777777" w:rsidR="00F1341F" w:rsidRPr="008340BB" w:rsidRDefault="00F1341F" w:rsidP="00F03C1E">
            <w:pPr>
              <w:pStyle w:val="Text1"/>
              <w:ind w:left="0"/>
              <w:jc w:val="left"/>
              <w:rPr>
                <w:sz w:val="20"/>
                <w:lang w:val="en-GB" w:eastAsia="en-GB"/>
              </w:rPr>
            </w:pPr>
            <w:r w:rsidRPr="008340BB">
              <w:rPr>
                <w:sz w:val="20"/>
                <w:lang w:val="en-GB" w:eastAsia="en-GB"/>
              </w:rPr>
              <w:t>ERDF</w:t>
            </w:r>
          </w:p>
        </w:tc>
        <w:tc>
          <w:tcPr>
            <w:tcW w:w="1401" w:type="dxa"/>
          </w:tcPr>
          <w:p w14:paraId="34A4F1DE" w14:textId="77777777" w:rsidR="00F1341F" w:rsidRPr="008340BB" w:rsidRDefault="00F1341F" w:rsidP="00F03C1E">
            <w:pPr>
              <w:pStyle w:val="Text1"/>
              <w:ind w:left="0"/>
              <w:jc w:val="left"/>
              <w:rPr>
                <w:sz w:val="20"/>
                <w:lang w:val="en-GB" w:eastAsia="en-GB"/>
              </w:rPr>
            </w:pPr>
            <w:r w:rsidRPr="008340BB">
              <w:rPr>
                <w:sz w:val="20"/>
                <w:lang w:val="en-GB" w:eastAsia="en-GB"/>
              </w:rPr>
              <w:t>Less developed regions</w:t>
            </w:r>
          </w:p>
        </w:tc>
        <w:tc>
          <w:tcPr>
            <w:tcW w:w="2693" w:type="dxa"/>
            <w:gridSpan w:val="2"/>
          </w:tcPr>
          <w:p w14:paraId="36DFA066" w14:textId="77777777" w:rsidR="00F1341F" w:rsidRPr="008340BB" w:rsidRDefault="00F1341F" w:rsidP="00F03C1E">
            <w:pPr>
              <w:pStyle w:val="Text1"/>
              <w:ind w:left="0"/>
              <w:jc w:val="left"/>
              <w:rPr>
                <w:sz w:val="20"/>
                <w:lang w:val="en-GB" w:eastAsia="en-GB"/>
              </w:rPr>
            </w:pPr>
            <w:r w:rsidRPr="008340BB">
              <w:rPr>
                <w:sz w:val="20"/>
                <w:lang w:val="en-GB" w:eastAsia="en-GB"/>
              </w:rPr>
              <w:t xml:space="preserve">01 Non-repayable grant </w:t>
            </w:r>
          </w:p>
        </w:tc>
        <w:tc>
          <w:tcPr>
            <w:tcW w:w="2977" w:type="dxa"/>
          </w:tcPr>
          <w:p w14:paraId="5BBD1AD7" w14:textId="77777777" w:rsidR="00C65CF8" w:rsidRPr="00C65CF8" w:rsidRDefault="00C65CF8" w:rsidP="00C65CF8">
            <w:pPr>
              <w:rPr>
                <w:b/>
                <w:bCs/>
                <w:sz w:val="20"/>
                <w:szCs w:val="22"/>
                <w:lang w:val="bg-BG" w:eastAsia="bg-BG"/>
              </w:rPr>
            </w:pPr>
            <w:r w:rsidRPr="009B475E">
              <w:rPr>
                <w:b/>
                <w:bCs/>
                <w:sz w:val="20"/>
                <w:szCs w:val="22"/>
                <w:lang w:val="bg-BG" w:eastAsia="bg-BG"/>
              </w:rPr>
              <w:t>30 217 316,00</w:t>
            </w:r>
          </w:p>
          <w:p w14:paraId="32CF674E" w14:textId="38D421B8" w:rsidR="006D0D74" w:rsidRPr="006D0D74" w:rsidRDefault="006D0D74" w:rsidP="006D0D74">
            <w:pPr>
              <w:pStyle w:val="Text1"/>
              <w:ind w:left="0"/>
              <w:jc w:val="left"/>
              <w:rPr>
                <w:b/>
                <w:bCs/>
                <w:sz w:val="20"/>
              </w:rPr>
            </w:pPr>
          </w:p>
          <w:p w14:paraId="3C193F39" w14:textId="1DF05A9E" w:rsidR="00F1341F" w:rsidRPr="008340BB" w:rsidRDefault="00F1341F" w:rsidP="00494C72">
            <w:pPr>
              <w:pStyle w:val="Text1"/>
              <w:ind w:left="0"/>
              <w:jc w:val="left"/>
              <w:rPr>
                <w:sz w:val="20"/>
                <w:lang w:val="en-GB" w:eastAsia="en-GB"/>
              </w:rPr>
            </w:pPr>
          </w:p>
        </w:tc>
      </w:tr>
    </w:tbl>
    <w:p w14:paraId="726DDF08" w14:textId="77777777" w:rsidR="00F1341F" w:rsidRPr="008340BB" w:rsidRDefault="00F1341F"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1401"/>
        <w:gridCol w:w="1086"/>
        <w:gridCol w:w="1607"/>
        <w:gridCol w:w="2977"/>
      </w:tblGrid>
      <w:tr w:rsidR="00F1341F" w:rsidRPr="008340BB" w14:paraId="5D34D5A6" w14:textId="77777777" w:rsidTr="00F03C1E">
        <w:trPr>
          <w:trHeight w:val="364"/>
        </w:trPr>
        <w:tc>
          <w:tcPr>
            <w:tcW w:w="8472" w:type="dxa"/>
            <w:gridSpan w:val="5"/>
          </w:tcPr>
          <w:p w14:paraId="7C121822" w14:textId="77777777" w:rsidR="00F1341F" w:rsidRPr="008340BB" w:rsidRDefault="00F1341F" w:rsidP="00F03C1E">
            <w:pPr>
              <w:autoSpaceDE w:val="0"/>
              <w:autoSpaceDN w:val="0"/>
              <w:adjustRightInd w:val="0"/>
              <w:spacing w:after="0"/>
              <w:jc w:val="left"/>
              <w:rPr>
                <w:rFonts w:ascii="TimesNewRoman" w:cs="TimesNewRoman"/>
                <w:b/>
                <w:color w:val="000000"/>
                <w:sz w:val="20"/>
              </w:rPr>
            </w:pPr>
            <w:r w:rsidRPr="008340BB">
              <w:rPr>
                <w:rFonts w:ascii="TimesNewRoman,Bold" w:hAnsi="TimesNewRoman,Bold" w:cs="TimesNewRoman,Bold"/>
                <w:b/>
                <w:bCs/>
                <w:color w:val="000000"/>
                <w:sz w:val="20"/>
              </w:rPr>
              <w:t>Table 16: Dimension 3 – Territory type</w:t>
            </w:r>
          </w:p>
        </w:tc>
      </w:tr>
      <w:tr w:rsidR="00F1341F" w:rsidRPr="008340BB" w14:paraId="46B9F60D" w14:textId="77777777" w:rsidTr="003456C9">
        <w:trPr>
          <w:trHeight w:val="364"/>
        </w:trPr>
        <w:tc>
          <w:tcPr>
            <w:tcW w:w="3888" w:type="dxa"/>
            <w:gridSpan w:val="3"/>
          </w:tcPr>
          <w:p w14:paraId="4EF5208A" w14:textId="77777777" w:rsidR="00F1341F" w:rsidRPr="008340BB" w:rsidRDefault="00F1341F" w:rsidP="00F03C1E">
            <w:pPr>
              <w:autoSpaceDE w:val="0"/>
              <w:autoSpaceDN w:val="0"/>
              <w:adjustRightInd w:val="0"/>
              <w:spacing w:after="0"/>
              <w:jc w:val="left"/>
              <w:rPr>
                <w:rFonts w:ascii="TimesNewRoman,Bold" w:hAnsi="TimesNewRoman,Bold" w:cs="TimesNewRoman,Bold"/>
                <w:b/>
                <w:bCs/>
                <w:color w:val="000000"/>
                <w:sz w:val="20"/>
              </w:rPr>
            </w:pPr>
            <w:r w:rsidRPr="008340BB">
              <w:rPr>
                <w:b/>
                <w:i/>
                <w:sz w:val="20"/>
              </w:rPr>
              <w:t>Priority axis</w:t>
            </w:r>
            <w:r w:rsidRPr="008340BB" w:rsidDel="007E0E4A">
              <w:rPr>
                <w:rFonts w:ascii="TimesNewRoman,Bold" w:hAnsi="TimesNewRoman,Bold" w:cs="TimesNewRoman,Bold"/>
                <w:b/>
                <w:bCs/>
                <w:color w:val="000000"/>
                <w:sz w:val="20"/>
              </w:rPr>
              <w:t xml:space="preserve"> </w:t>
            </w:r>
          </w:p>
        </w:tc>
        <w:tc>
          <w:tcPr>
            <w:tcW w:w="4584" w:type="dxa"/>
            <w:gridSpan w:val="2"/>
          </w:tcPr>
          <w:p w14:paraId="2CEE22CE" w14:textId="77777777" w:rsidR="00F1341F" w:rsidRPr="008340BB" w:rsidRDefault="00F1341F" w:rsidP="00F03C1E">
            <w:pPr>
              <w:autoSpaceDE w:val="0"/>
              <w:autoSpaceDN w:val="0"/>
              <w:adjustRightInd w:val="0"/>
              <w:spacing w:after="0"/>
              <w:jc w:val="left"/>
              <w:rPr>
                <w:rFonts w:ascii="TimesNewRoman,Bold" w:hAnsi="TimesNewRoman,Bold" w:cs="TimesNewRoman,Bold"/>
                <w:b/>
                <w:bCs/>
                <w:color w:val="000000"/>
                <w:sz w:val="20"/>
              </w:rPr>
            </w:pPr>
            <w:r w:rsidRPr="008340BB">
              <w:rPr>
                <w:rFonts w:ascii="TimesNewRoman,Bold" w:hAnsi="TimesNewRoman,Bold" w:cs="TimesNewRoman,Bold"/>
                <w:b/>
                <w:bCs/>
                <w:i/>
                <w:color w:val="000000"/>
                <w:sz w:val="20"/>
              </w:rPr>
              <w:t>“Technical assistance”</w:t>
            </w:r>
          </w:p>
        </w:tc>
      </w:tr>
      <w:tr w:rsidR="00F1341F" w:rsidRPr="008340BB" w14:paraId="13548069" w14:textId="77777777" w:rsidTr="002C20BA">
        <w:trPr>
          <w:trHeight w:val="277"/>
        </w:trPr>
        <w:tc>
          <w:tcPr>
            <w:tcW w:w="1401" w:type="dxa"/>
          </w:tcPr>
          <w:p w14:paraId="672139EB" w14:textId="77777777" w:rsidR="00F1341F" w:rsidRPr="008340BB" w:rsidRDefault="00F1341F" w:rsidP="00F03C1E">
            <w:pPr>
              <w:suppressAutoHyphens/>
              <w:rPr>
                <w:i/>
                <w:color w:val="8DB3E2"/>
                <w:sz w:val="18"/>
                <w:szCs w:val="18"/>
              </w:rPr>
            </w:pPr>
            <w:r w:rsidRPr="008340BB">
              <w:rPr>
                <w:b/>
                <w:i/>
                <w:sz w:val="18"/>
                <w:szCs w:val="18"/>
              </w:rPr>
              <w:t>Fund</w:t>
            </w:r>
          </w:p>
        </w:tc>
        <w:tc>
          <w:tcPr>
            <w:tcW w:w="1401" w:type="dxa"/>
          </w:tcPr>
          <w:p w14:paraId="00B7ED7A" w14:textId="77777777" w:rsidR="00F1341F" w:rsidRPr="008340BB" w:rsidRDefault="00F1341F" w:rsidP="00F03C1E">
            <w:pPr>
              <w:pStyle w:val="Text1"/>
              <w:ind w:left="0"/>
              <w:jc w:val="left"/>
              <w:rPr>
                <w:b/>
                <w:i/>
                <w:sz w:val="18"/>
                <w:szCs w:val="18"/>
                <w:lang w:val="en-GB" w:eastAsia="en-GB"/>
              </w:rPr>
            </w:pPr>
            <w:r w:rsidRPr="008340BB">
              <w:rPr>
                <w:b/>
                <w:i/>
                <w:sz w:val="18"/>
                <w:szCs w:val="18"/>
                <w:lang w:val="en-GB" w:eastAsia="en-GB"/>
              </w:rPr>
              <w:t>Category of region</w:t>
            </w:r>
          </w:p>
        </w:tc>
        <w:tc>
          <w:tcPr>
            <w:tcW w:w="2693" w:type="dxa"/>
            <w:gridSpan w:val="2"/>
          </w:tcPr>
          <w:p w14:paraId="2B1E1386" w14:textId="77777777" w:rsidR="00F1341F" w:rsidRPr="008340BB" w:rsidRDefault="00F1341F" w:rsidP="00F03C1E">
            <w:pPr>
              <w:jc w:val="center"/>
              <w:rPr>
                <w:i/>
                <w:sz w:val="20"/>
              </w:rPr>
            </w:pPr>
            <w:r w:rsidRPr="008340BB">
              <w:rPr>
                <w:b/>
                <w:i/>
                <w:sz w:val="18"/>
                <w:szCs w:val="18"/>
              </w:rPr>
              <w:t>Code</w:t>
            </w:r>
          </w:p>
        </w:tc>
        <w:tc>
          <w:tcPr>
            <w:tcW w:w="2977" w:type="dxa"/>
          </w:tcPr>
          <w:p w14:paraId="3BDFC9FB" w14:textId="77777777" w:rsidR="00F1341F" w:rsidRPr="008340BB" w:rsidRDefault="00F1341F" w:rsidP="00F03C1E">
            <w:pPr>
              <w:jc w:val="center"/>
              <w:rPr>
                <w:i/>
                <w:sz w:val="20"/>
              </w:rPr>
            </w:pPr>
            <w:r w:rsidRPr="008340BB">
              <w:rPr>
                <w:b/>
                <w:sz w:val="18"/>
                <w:szCs w:val="18"/>
              </w:rPr>
              <w:t>Amount (EUR)</w:t>
            </w:r>
          </w:p>
        </w:tc>
      </w:tr>
      <w:tr w:rsidR="00F1341F" w:rsidRPr="008340BB" w14:paraId="27C90CE8" w14:textId="77777777" w:rsidTr="00263449">
        <w:tc>
          <w:tcPr>
            <w:tcW w:w="1401" w:type="dxa"/>
          </w:tcPr>
          <w:p w14:paraId="2BCEEC40" w14:textId="77777777" w:rsidR="00F1341F" w:rsidRPr="008340BB" w:rsidRDefault="00F1341F" w:rsidP="00F03C1E">
            <w:pPr>
              <w:pStyle w:val="Text1"/>
              <w:ind w:left="0"/>
              <w:jc w:val="left"/>
              <w:rPr>
                <w:sz w:val="20"/>
                <w:lang w:val="en-GB" w:eastAsia="en-GB"/>
              </w:rPr>
            </w:pPr>
            <w:r w:rsidRPr="008340BB">
              <w:rPr>
                <w:sz w:val="20"/>
                <w:lang w:val="en-GB" w:eastAsia="en-GB"/>
              </w:rPr>
              <w:t>ERDF</w:t>
            </w:r>
          </w:p>
        </w:tc>
        <w:tc>
          <w:tcPr>
            <w:tcW w:w="1401" w:type="dxa"/>
          </w:tcPr>
          <w:p w14:paraId="3C4A1E41" w14:textId="77777777" w:rsidR="00F1341F" w:rsidRPr="008340BB" w:rsidRDefault="00F1341F" w:rsidP="00F03C1E">
            <w:pPr>
              <w:pStyle w:val="Text1"/>
              <w:ind w:left="0"/>
              <w:jc w:val="left"/>
              <w:rPr>
                <w:sz w:val="20"/>
                <w:lang w:val="en-GB" w:eastAsia="en-GB"/>
              </w:rPr>
            </w:pPr>
            <w:r w:rsidRPr="008340BB">
              <w:rPr>
                <w:sz w:val="20"/>
                <w:lang w:val="en-GB" w:eastAsia="en-GB"/>
              </w:rPr>
              <w:t>Less developed regions</w:t>
            </w:r>
          </w:p>
        </w:tc>
        <w:tc>
          <w:tcPr>
            <w:tcW w:w="2693" w:type="dxa"/>
            <w:gridSpan w:val="2"/>
          </w:tcPr>
          <w:p w14:paraId="027776A3" w14:textId="77777777" w:rsidR="00F1341F" w:rsidRPr="008340BB" w:rsidRDefault="00F1341F" w:rsidP="00F03C1E">
            <w:pPr>
              <w:pStyle w:val="Text1"/>
              <w:ind w:left="0"/>
              <w:jc w:val="left"/>
              <w:rPr>
                <w:sz w:val="20"/>
                <w:lang w:val="en-GB" w:eastAsia="en-GB"/>
              </w:rPr>
            </w:pPr>
            <w:r w:rsidRPr="008340BB">
              <w:rPr>
                <w:sz w:val="20"/>
                <w:lang w:val="en-GB" w:eastAsia="en-GB"/>
              </w:rPr>
              <w:t xml:space="preserve">07 Not applicable </w:t>
            </w:r>
          </w:p>
        </w:tc>
        <w:tc>
          <w:tcPr>
            <w:tcW w:w="2977" w:type="dxa"/>
          </w:tcPr>
          <w:p w14:paraId="18212D3A" w14:textId="77777777" w:rsidR="00F72E9C" w:rsidRPr="00F72E9C" w:rsidRDefault="00F72E9C" w:rsidP="00F72E9C">
            <w:pPr>
              <w:rPr>
                <w:b/>
                <w:bCs/>
                <w:sz w:val="20"/>
                <w:szCs w:val="22"/>
                <w:lang w:val="bg-BG" w:eastAsia="bg-BG"/>
              </w:rPr>
            </w:pPr>
            <w:r w:rsidRPr="009B475E">
              <w:rPr>
                <w:b/>
                <w:bCs/>
                <w:sz w:val="20"/>
                <w:szCs w:val="22"/>
                <w:lang w:val="bg-BG" w:eastAsia="bg-BG"/>
              </w:rPr>
              <w:t>30 217 316,00</w:t>
            </w:r>
          </w:p>
          <w:p w14:paraId="20E722C2" w14:textId="4F177DB0" w:rsidR="006D0D74" w:rsidRPr="006D0D74" w:rsidRDefault="006D0D74" w:rsidP="006D0D74">
            <w:pPr>
              <w:pStyle w:val="Text1"/>
              <w:ind w:left="0"/>
              <w:jc w:val="left"/>
              <w:rPr>
                <w:b/>
                <w:bCs/>
                <w:sz w:val="20"/>
              </w:rPr>
            </w:pPr>
          </w:p>
          <w:p w14:paraId="3C0F0895" w14:textId="224DE22E" w:rsidR="00F1341F" w:rsidRPr="008340BB" w:rsidRDefault="00F1341F" w:rsidP="000E2AC8">
            <w:pPr>
              <w:pStyle w:val="Text1"/>
              <w:ind w:left="0"/>
              <w:jc w:val="left"/>
              <w:rPr>
                <w:sz w:val="20"/>
                <w:lang w:val="en-GB" w:eastAsia="en-GB"/>
              </w:rPr>
            </w:pPr>
          </w:p>
        </w:tc>
      </w:tr>
    </w:tbl>
    <w:p w14:paraId="6700E36A" w14:textId="77777777" w:rsidR="00F1341F" w:rsidRPr="008340BB" w:rsidRDefault="00F1341F" w:rsidP="003B600B">
      <w:pPr>
        <w:sectPr w:rsidR="00F1341F" w:rsidRPr="008340BB" w:rsidSect="001E1D6F">
          <w:headerReference w:type="default" r:id="rId88"/>
          <w:footerReference w:type="default" r:id="rId89"/>
          <w:headerReference w:type="first" r:id="rId90"/>
          <w:footerReference w:type="first" r:id="rId91"/>
          <w:pgSz w:w="11906" w:h="16838"/>
          <w:pgMar w:top="1021" w:right="1418" w:bottom="1021" w:left="1418" w:header="601" w:footer="1077" w:gutter="0"/>
          <w:cols w:space="708"/>
          <w:docGrid w:linePitch="326"/>
        </w:sectPr>
      </w:pPr>
    </w:p>
    <w:p w14:paraId="2821501F" w14:textId="77777777" w:rsidR="00F1341F" w:rsidRPr="008340BB" w:rsidRDefault="00F1341F" w:rsidP="00445D2B">
      <w:pPr>
        <w:pStyle w:val="ManualHeading1"/>
      </w:pPr>
      <w:r w:rsidRPr="008340BB">
        <w:lastRenderedPageBreak/>
        <w:t>SECTION 3</w:t>
      </w:r>
      <w:r w:rsidRPr="008340BB">
        <w:tab/>
        <w:t xml:space="preserve">Financing plan </w:t>
      </w:r>
    </w:p>
    <w:p w14:paraId="210B7D58" w14:textId="77777777" w:rsidR="00F1341F" w:rsidRPr="008340BB" w:rsidRDefault="00F1341F" w:rsidP="00BF3391">
      <w:r w:rsidRPr="008340BB">
        <w:t>(Reference: point (d) of the first subparagraph of Article 96(2) of Regulation (EU) No 1303/2013)</w:t>
      </w:r>
    </w:p>
    <w:p w14:paraId="50D468C4" w14:textId="77777777" w:rsidR="00F1341F" w:rsidRPr="008340BB" w:rsidRDefault="00F1341F" w:rsidP="00445D2B">
      <w:pPr>
        <w:pStyle w:val="ManualHeading2"/>
      </w:pPr>
      <w:r w:rsidRPr="008340BB">
        <w:t xml:space="preserve">3.1 </w:t>
      </w:r>
      <w:r w:rsidRPr="008340BB">
        <w:tab/>
        <w:t>Financial appropriation from each fund and amounts for performance reserve</w:t>
      </w:r>
    </w:p>
    <w:p w14:paraId="7FC41232" w14:textId="77777777" w:rsidR="00F1341F" w:rsidRPr="00C936ED" w:rsidRDefault="00F1341F" w:rsidP="00445D2B">
      <w:pPr>
        <w:pStyle w:val="ManualHeading2"/>
        <w:rPr>
          <w:b w:val="0"/>
        </w:rPr>
      </w:pPr>
      <w:r w:rsidRPr="008340BB">
        <w:rPr>
          <w:b w:val="0"/>
        </w:rPr>
        <w:t>(Reference: point (d)(i) of the first subparagraph of Article 96(2) of Regulation (EU) No 1303/2013)</w:t>
      </w:r>
    </w:p>
    <w:p w14:paraId="1FFB170E" w14:textId="77777777" w:rsidR="00F1341F" w:rsidRPr="008340BB" w:rsidRDefault="00F1341F" w:rsidP="00F03C1E">
      <w:pPr>
        <w:jc w:val="left"/>
        <w:rPr>
          <w:rFonts w:eastAsia="Arial Unicode MS"/>
          <w:b/>
        </w:rPr>
      </w:pPr>
    </w:p>
    <w:p w14:paraId="7EB0368B" w14:textId="77777777" w:rsidR="00F1341F" w:rsidRPr="008340BB" w:rsidRDefault="00F1341F" w:rsidP="00F03C1E">
      <w:pPr>
        <w:jc w:val="left"/>
        <w:rPr>
          <w:rFonts w:eastAsia="Arial Unicode MS"/>
          <w:b/>
        </w:rPr>
      </w:pPr>
      <w:r w:rsidRPr="007F5691">
        <w:rPr>
          <w:rFonts w:eastAsia="Arial Unicode MS"/>
          <w:b/>
        </w:rPr>
        <w:t>Table 17</w:t>
      </w:r>
    </w:p>
    <w:tbl>
      <w:tblPr>
        <w:tblW w:w="5266" w:type="pct"/>
        <w:tblInd w:w="-318" w:type="dxa"/>
        <w:tblLayout w:type="fixed"/>
        <w:tblLook w:val="0000" w:firstRow="0" w:lastRow="0" w:firstColumn="0" w:lastColumn="0" w:noHBand="0" w:noVBand="0"/>
      </w:tblPr>
      <w:tblGrid>
        <w:gridCol w:w="282"/>
        <w:gridCol w:w="850"/>
        <w:gridCol w:w="548"/>
        <w:gridCol w:w="875"/>
        <w:gridCol w:w="872"/>
        <w:gridCol w:w="832"/>
        <w:gridCol w:w="841"/>
        <w:gridCol w:w="832"/>
        <w:gridCol w:w="838"/>
        <w:gridCol w:w="832"/>
        <w:gridCol w:w="838"/>
        <w:gridCol w:w="1065"/>
        <w:gridCol w:w="928"/>
        <w:gridCol w:w="975"/>
        <w:gridCol w:w="838"/>
        <w:gridCol w:w="832"/>
        <w:gridCol w:w="838"/>
        <w:gridCol w:w="744"/>
        <w:gridCol w:w="913"/>
      </w:tblGrid>
      <w:tr w:rsidR="00F1341F" w:rsidRPr="008340BB" w14:paraId="07970D5E" w14:textId="77777777" w:rsidTr="00435AC3">
        <w:trPr>
          <w:trHeight w:val="525"/>
        </w:trPr>
        <w:tc>
          <w:tcPr>
            <w:tcW w:w="91" w:type="pct"/>
            <w:tcBorders>
              <w:top w:val="single" w:sz="4" w:space="0" w:color="auto"/>
              <w:left w:val="single" w:sz="4" w:space="0" w:color="auto"/>
              <w:bottom w:val="single" w:sz="4" w:space="0" w:color="auto"/>
              <w:right w:val="single" w:sz="4" w:space="0" w:color="auto"/>
            </w:tcBorders>
          </w:tcPr>
          <w:p w14:paraId="4929771E" w14:textId="77777777" w:rsidR="00F1341F" w:rsidRPr="008340BB" w:rsidRDefault="00F1341F" w:rsidP="001B2954">
            <w:pPr>
              <w:snapToGrid w:val="0"/>
              <w:rPr>
                <w:b/>
                <w:sz w:val="13"/>
                <w:szCs w:val="13"/>
              </w:rPr>
            </w:pPr>
          </w:p>
          <w:p w14:paraId="56CBA738" w14:textId="77777777" w:rsidR="00F1341F" w:rsidRPr="008340BB" w:rsidRDefault="00F1341F" w:rsidP="001B2954">
            <w:pPr>
              <w:snapToGrid w:val="0"/>
              <w:rPr>
                <w:b/>
                <w:sz w:val="13"/>
                <w:szCs w:val="13"/>
              </w:rPr>
            </w:pPr>
          </w:p>
        </w:tc>
        <w:tc>
          <w:tcPr>
            <w:tcW w:w="273" w:type="pct"/>
            <w:tcBorders>
              <w:top w:val="single" w:sz="4" w:space="0" w:color="auto"/>
              <w:left w:val="single" w:sz="4" w:space="0" w:color="auto"/>
              <w:bottom w:val="single" w:sz="4" w:space="0" w:color="auto"/>
              <w:right w:val="single" w:sz="4" w:space="0" w:color="auto"/>
            </w:tcBorders>
          </w:tcPr>
          <w:p w14:paraId="5DDAE9B5" w14:textId="77777777" w:rsidR="00F1341F" w:rsidRPr="008340BB" w:rsidRDefault="00F1341F" w:rsidP="001B2954">
            <w:pPr>
              <w:snapToGrid w:val="0"/>
              <w:rPr>
                <w:b/>
                <w:sz w:val="13"/>
                <w:szCs w:val="13"/>
              </w:rPr>
            </w:pPr>
            <w:r w:rsidRPr="008340BB">
              <w:rPr>
                <w:b/>
                <w:sz w:val="13"/>
                <w:szCs w:val="13"/>
              </w:rPr>
              <w:t>Fund</w:t>
            </w:r>
          </w:p>
        </w:tc>
        <w:tc>
          <w:tcPr>
            <w:tcW w:w="176" w:type="pct"/>
            <w:tcBorders>
              <w:top w:val="single" w:sz="4" w:space="0" w:color="auto"/>
              <w:left w:val="single" w:sz="4" w:space="0" w:color="auto"/>
              <w:bottom w:val="single" w:sz="4" w:space="0" w:color="auto"/>
              <w:right w:val="single" w:sz="4" w:space="0" w:color="auto"/>
            </w:tcBorders>
          </w:tcPr>
          <w:p w14:paraId="3244A0D8" w14:textId="77777777" w:rsidR="00F1341F" w:rsidRPr="008340BB" w:rsidRDefault="00F1341F" w:rsidP="001B2954">
            <w:pPr>
              <w:snapToGrid w:val="0"/>
              <w:ind w:left="-108" w:right="-105"/>
              <w:jc w:val="left"/>
              <w:rPr>
                <w:b/>
                <w:sz w:val="13"/>
                <w:szCs w:val="13"/>
              </w:rPr>
            </w:pPr>
            <w:r w:rsidRPr="008340BB">
              <w:rPr>
                <w:b/>
                <w:sz w:val="13"/>
                <w:szCs w:val="13"/>
              </w:rPr>
              <w:t xml:space="preserve">Category </w:t>
            </w:r>
          </w:p>
          <w:p w14:paraId="0DDB3B04" w14:textId="77777777" w:rsidR="00F1341F" w:rsidRPr="008340BB" w:rsidRDefault="00F1341F" w:rsidP="001B2954">
            <w:pPr>
              <w:snapToGrid w:val="0"/>
              <w:ind w:left="-109"/>
              <w:jc w:val="left"/>
              <w:rPr>
                <w:b/>
                <w:sz w:val="13"/>
                <w:szCs w:val="13"/>
              </w:rPr>
            </w:pPr>
            <w:r w:rsidRPr="008340BB">
              <w:rPr>
                <w:b/>
                <w:sz w:val="13"/>
                <w:szCs w:val="13"/>
              </w:rPr>
              <w:t>of region</w:t>
            </w:r>
          </w:p>
        </w:tc>
        <w:tc>
          <w:tcPr>
            <w:tcW w:w="561" w:type="pct"/>
            <w:gridSpan w:val="2"/>
            <w:tcBorders>
              <w:top w:val="single" w:sz="4" w:space="0" w:color="auto"/>
              <w:left w:val="single" w:sz="4" w:space="0" w:color="auto"/>
              <w:bottom w:val="single" w:sz="4" w:space="0" w:color="auto"/>
              <w:right w:val="single" w:sz="4" w:space="0" w:color="auto"/>
            </w:tcBorders>
          </w:tcPr>
          <w:p w14:paraId="2E73B2F0" w14:textId="77777777" w:rsidR="00F1341F" w:rsidRPr="008340BB" w:rsidRDefault="00F1341F" w:rsidP="001B2954">
            <w:pPr>
              <w:snapToGrid w:val="0"/>
              <w:jc w:val="center"/>
              <w:rPr>
                <w:b/>
                <w:sz w:val="13"/>
                <w:szCs w:val="13"/>
              </w:rPr>
            </w:pPr>
            <w:r w:rsidRPr="008340BB">
              <w:rPr>
                <w:b/>
                <w:sz w:val="13"/>
              </w:rPr>
              <w:t>2014 г.</w:t>
            </w:r>
          </w:p>
        </w:tc>
        <w:tc>
          <w:tcPr>
            <w:tcW w:w="537" w:type="pct"/>
            <w:gridSpan w:val="2"/>
            <w:tcBorders>
              <w:top w:val="single" w:sz="4" w:space="0" w:color="auto"/>
              <w:left w:val="single" w:sz="4" w:space="0" w:color="auto"/>
              <w:bottom w:val="single" w:sz="4" w:space="0" w:color="auto"/>
              <w:right w:val="single" w:sz="4" w:space="0" w:color="auto"/>
            </w:tcBorders>
          </w:tcPr>
          <w:p w14:paraId="27A47AA7" w14:textId="77777777" w:rsidR="00F1341F" w:rsidRPr="008340BB" w:rsidRDefault="00F1341F" w:rsidP="001B2954">
            <w:pPr>
              <w:snapToGrid w:val="0"/>
              <w:jc w:val="center"/>
              <w:rPr>
                <w:b/>
                <w:sz w:val="13"/>
                <w:szCs w:val="13"/>
              </w:rPr>
            </w:pPr>
            <w:r w:rsidRPr="008340BB">
              <w:rPr>
                <w:b/>
                <w:sz w:val="13"/>
              </w:rPr>
              <w:t>2015 г.</w:t>
            </w:r>
          </w:p>
        </w:tc>
        <w:tc>
          <w:tcPr>
            <w:tcW w:w="536" w:type="pct"/>
            <w:gridSpan w:val="2"/>
            <w:tcBorders>
              <w:top w:val="single" w:sz="4" w:space="0" w:color="auto"/>
              <w:left w:val="single" w:sz="4" w:space="0" w:color="auto"/>
              <w:bottom w:val="single" w:sz="4" w:space="0" w:color="auto"/>
              <w:right w:val="single" w:sz="4" w:space="0" w:color="auto"/>
            </w:tcBorders>
          </w:tcPr>
          <w:p w14:paraId="6C022DDC" w14:textId="77777777" w:rsidR="00F1341F" w:rsidRPr="008340BB" w:rsidRDefault="00F1341F" w:rsidP="001B2954">
            <w:pPr>
              <w:snapToGrid w:val="0"/>
              <w:jc w:val="center"/>
              <w:rPr>
                <w:b/>
                <w:sz w:val="13"/>
                <w:szCs w:val="13"/>
              </w:rPr>
            </w:pPr>
            <w:r w:rsidRPr="008340BB">
              <w:rPr>
                <w:b/>
                <w:sz w:val="13"/>
              </w:rPr>
              <w:t>2016 г.</w:t>
            </w:r>
          </w:p>
        </w:tc>
        <w:tc>
          <w:tcPr>
            <w:tcW w:w="536" w:type="pct"/>
            <w:gridSpan w:val="2"/>
            <w:tcBorders>
              <w:top w:val="single" w:sz="4" w:space="0" w:color="auto"/>
              <w:left w:val="single" w:sz="4" w:space="0" w:color="auto"/>
              <w:bottom w:val="single" w:sz="4" w:space="0" w:color="auto"/>
              <w:right w:val="single" w:sz="4" w:space="0" w:color="auto"/>
            </w:tcBorders>
          </w:tcPr>
          <w:p w14:paraId="2AA63EEB" w14:textId="77777777" w:rsidR="00F1341F" w:rsidRPr="008340BB" w:rsidRDefault="00F1341F" w:rsidP="001B2954">
            <w:pPr>
              <w:snapToGrid w:val="0"/>
              <w:jc w:val="center"/>
              <w:rPr>
                <w:b/>
                <w:sz w:val="13"/>
                <w:szCs w:val="13"/>
              </w:rPr>
            </w:pPr>
            <w:r w:rsidRPr="008340BB">
              <w:rPr>
                <w:b/>
                <w:sz w:val="13"/>
              </w:rPr>
              <w:t>2017 г.</w:t>
            </w:r>
          </w:p>
        </w:tc>
        <w:tc>
          <w:tcPr>
            <w:tcW w:w="640" w:type="pct"/>
            <w:gridSpan w:val="2"/>
            <w:tcBorders>
              <w:top w:val="single" w:sz="4" w:space="0" w:color="auto"/>
              <w:left w:val="single" w:sz="4" w:space="0" w:color="auto"/>
              <w:bottom w:val="single" w:sz="4" w:space="0" w:color="auto"/>
              <w:right w:val="single" w:sz="4" w:space="0" w:color="auto"/>
            </w:tcBorders>
          </w:tcPr>
          <w:p w14:paraId="46C889B9" w14:textId="77777777" w:rsidR="00F1341F" w:rsidRPr="008340BB" w:rsidRDefault="00F1341F" w:rsidP="001B2954">
            <w:pPr>
              <w:snapToGrid w:val="0"/>
              <w:jc w:val="center"/>
              <w:rPr>
                <w:b/>
                <w:sz w:val="13"/>
                <w:szCs w:val="13"/>
              </w:rPr>
            </w:pPr>
            <w:r w:rsidRPr="008340BB">
              <w:rPr>
                <w:b/>
                <w:sz w:val="13"/>
              </w:rPr>
              <w:t>2018 г.</w:t>
            </w:r>
          </w:p>
        </w:tc>
        <w:tc>
          <w:tcPr>
            <w:tcW w:w="582" w:type="pct"/>
            <w:gridSpan w:val="2"/>
            <w:tcBorders>
              <w:top w:val="single" w:sz="4" w:space="0" w:color="auto"/>
              <w:left w:val="single" w:sz="4" w:space="0" w:color="auto"/>
              <w:bottom w:val="single" w:sz="4" w:space="0" w:color="auto"/>
              <w:right w:val="single" w:sz="4" w:space="0" w:color="auto"/>
            </w:tcBorders>
          </w:tcPr>
          <w:p w14:paraId="16585B92" w14:textId="77777777" w:rsidR="00F1341F" w:rsidRPr="008340BB" w:rsidRDefault="00F1341F" w:rsidP="001B2954">
            <w:pPr>
              <w:snapToGrid w:val="0"/>
              <w:jc w:val="center"/>
              <w:rPr>
                <w:b/>
                <w:sz w:val="13"/>
                <w:szCs w:val="13"/>
              </w:rPr>
            </w:pPr>
            <w:r w:rsidRPr="008340BB">
              <w:rPr>
                <w:b/>
                <w:sz w:val="13"/>
              </w:rPr>
              <w:t>2019 г.</w:t>
            </w:r>
          </w:p>
        </w:tc>
        <w:tc>
          <w:tcPr>
            <w:tcW w:w="536" w:type="pct"/>
            <w:gridSpan w:val="2"/>
            <w:tcBorders>
              <w:top w:val="single" w:sz="4" w:space="0" w:color="auto"/>
              <w:left w:val="single" w:sz="4" w:space="0" w:color="auto"/>
              <w:bottom w:val="single" w:sz="4" w:space="0" w:color="auto"/>
              <w:right w:val="single" w:sz="4" w:space="0" w:color="auto"/>
            </w:tcBorders>
          </w:tcPr>
          <w:p w14:paraId="56BDAFF4" w14:textId="77777777" w:rsidR="00F1341F" w:rsidRPr="008340BB" w:rsidRDefault="00F1341F" w:rsidP="001B2954">
            <w:pPr>
              <w:snapToGrid w:val="0"/>
              <w:jc w:val="center"/>
              <w:rPr>
                <w:b/>
                <w:sz w:val="13"/>
                <w:szCs w:val="13"/>
              </w:rPr>
            </w:pPr>
            <w:r w:rsidRPr="008340BB">
              <w:rPr>
                <w:b/>
                <w:sz w:val="13"/>
              </w:rPr>
              <w:t>2020 г.</w:t>
            </w:r>
          </w:p>
        </w:tc>
        <w:tc>
          <w:tcPr>
            <w:tcW w:w="532" w:type="pct"/>
            <w:gridSpan w:val="2"/>
            <w:tcBorders>
              <w:top w:val="single" w:sz="4" w:space="0" w:color="auto"/>
              <w:left w:val="single" w:sz="4" w:space="0" w:color="auto"/>
              <w:bottom w:val="single" w:sz="4" w:space="0" w:color="auto"/>
              <w:right w:val="single" w:sz="4" w:space="0" w:color="auto"/>
            </w:tcBorders>
          </w:tcPr>
          <w:p w14:paraId="4613FB28" w14:textId="77777777" w:rsidR="00F1341F" w:rsidRPr="008340BB" w:rsidRDefault="00F1341F" w:rsidP="001B2954">
            <w:pPr>
              <w:snapToGrid w:val="0"/>
              <w:jc w:val="center"/>
              <w:rPr>
                <w:b/>
                <w:sz w:val="13"/>
                <w:szCs w:val="13"/>
              </w:rPr>
            </w:pPr>
            <w:r w:rsidRPr="008340BB">
              <w:rPr>
                <w:b/>
                <w:sz w:val="13"/>
                <w:szCs w:val="13"/>
              </w:rPr>
              <w:t>Total</w:t>
            </w:r>
          </w:p>
        </w:tc>
      </w:tr>
      <w:tr w:rsidR="00834ACE" w:rsidRPr="008340BB" w14:paraId="08600541" w14:textId="77777777" w:rsidTr="00435A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25"/>
        </w:trPr>
        <w:tc>
          <w:tcPr>
            <w:tcW w:w="91" w:type="pct"/>
            <w:tcBorders>
              <w:top w:val="single" w:sz="4" w:space="0" w:color="auto"/>
            </w:tcBorders>
          </w:tcPr>
          <w:p w14:paraId="48E88ED6" w14:textId="77777777" w:rsidR="00F1341F" w:rsidRPr="008340BB" w:rsidRDefault="00F1341F" w:rsidP="001B2954">
            <w:pPr>
              <w:snapToGrid w:val="0"/>
              <w:rPr>
                <w:b/>
                <w:sz w:val="13"/>
                <w:szCs w:val="13"/>
                <w:highlight w:val="green"/>
              </w:rPr>
            </w:pPr>
          </w:p>
        </w:tc>
        <w:tc>
          <w:tcPr>
            <w:tcW w:w="273" w:type="pct"/>
            <w:tcBorders>
              <w:top w:val="single" w:sz="4" w:space="0" w:color="auto"/>
            </w:tcBorders>
          </w:tcPr>
          <w:p w14:paraId="1CBC90B8" w14:textId="77777777" w:rsidR="00F1341F" w:rsidRPr="008340BB" w:rsidRDefault="00F1341F" w:rsidP="001B2954">
            <w:pPr>
              <w:snapToGrid w:val="0"/>
              <w:rPr>
                <w:b/>
                <w:sz w:val="13"/>
                <w:szCs w:val="13"/>
              </w:rPr>
            </w:pPr>
          </w:p>
        </w:tc>
        <w:tc>
          <w:tcPr>
            <w:tcW w:w="176" w:type="pct"/>
            <w:tcBorders>
              <w:top w:val="single" w:sz="4" w:space="0" w:color="auto"/>
            </w:tcBorders>
          </w:tcPr>
          <w:p w14:paraId="0908A8AE" w14:textId="77777777" w:rsidR="00F1341F" w:rsidRPr="008340BB" w:rsidRDefault="00F1341F" w:rsidP="001B2954">
            <w:pPr>
              <w:snapToGrid w:val="0"/>
              <w:rPr>
                <w:b/>
                <w:sz w:val="13"/>
                <w:szCs w:val="13"/>
              </w:rPr>
            </w:pPr>
          </w:p>
        </w:tc>
        <w:tc>
          <w:tcPr>
            <w:tcW w:w="281" w:type="pct"/>
            <w:tcBorders>
              <w:top w:val="single" w:sz="4" w:space="0" w:color="auto"/>
            </w:tcBorders>
          </w:tcPr>
          <w:p w14:paraId="2C3BD9C7" w14:textId="77777777" w:rsidR="00F1341F" w:rsidRPr="008340BB" w:rsidRDefault="00F1341F" w:rsidP="001B2954">
            <w:pPr>
              <w:snapToGrid w:val="0"/>
              <w:rPr>
                <w:b/>
                <w:sz w:val="13"/>
                <w:szCs w:val="13"/>
              </w:rPr>
            </w:pPr>
            <w:r w:rsidRPr="008340BB">
              <w:rPr>
                <w:b/>
                <w:sz w:val="13"/>
                <w:szCs w:val="13"/>
              </w:rPr>
              <w:t>Main allocation</w:t>
            </w:r>
            <w:r w:rsidRPr="008340BB">
              <w:rPr>
                <w:rStyle w:val="FootnoteReference"/>
                <w:b/>
                <w:sz w:val="13"/>
                <w:szCs w:val="13"/>
              </w:rPr>
              <w:footnoteReference w:id="83"/>
            </w:r>
          </w:p>
        </w:tc>
        <w:tc>
          <w:tcPr>
            <w:tcW w:w="280" w:type="pct"/>
            <w:tcBorders>
              <w:top w:val="single" w:sz="4" w:space="0" w:color="auto"/>
            </w:tcBorders>
          </w:tcPr>
          <w:p w14:paraId="0F1E7479" w14:textId="77777777" w:rsidR="00F1341F" w:rsidRPr="0067246B" w:rsidRDefault="00F1341F" w:rsidP="001B2954">
            <w:pPr>
              <w:snapToGrid w:val="0"/>
              <w:rPr>
                <w:b/>
                <w:sz w:val="13"/>
                <w:szCs w:val="13"/>
              </w:rPr>
            </w:pPr>
            <w:r w:rsidRPr="0067246B">
              <w:rPr>
                <w:b/>
                <w:sz w:val="13"/>
                <w:szCs w:val="13"/>
              </w:rPr>
              <w:t xml:space="preserve">Performance reserve </w:t>
            </w:r>
          </w:p>
        </w:tc>
        <w:tc>
          <w:tcPr>
            <w:tcW w:w="267" w:type="pct"/>
            <w:tcBorders>
              <w:top w:val="single" w:sz="4" w:space="0" w:color="auto"/>
            </w:tcBorders>
          </w:tcPr>
          <w:p w14:paraId="1E66FCE2" w14:textId="77777777" w:rsidR="00F1341F" w:rsidRPr="00020ADD" w:rsidRDefault="00F1341F" w:rsidP="001B2954">
            <w:pPr>
              <w:snapToGrid w:val="0"/>
              <w:rPr>
                <w:b/>
                <w:sz w:val="13"/>
                <w:szCs w:val="13"/>
              </w:rPr>
            </w:pPr>
            <w:r w:rsidRPr="00020ADD">
              <w:rPr>
                <w:b/>
                <w:sz w:val="13"/>
                <w:szCs w:val="13"/>
              </w:rPr>
              <w:t xml:space="preserve">Main allocation </w:t>
            </w:r>
          </w:p>
        </w:tc>
        <w:tc>
          <w:tcPr>
            <w:tcW w:w="270" w:type="pct"/>
            <w:tcBorders>
              <w:top w:val="single" w:sz="4" w:space="0" w:color="auto"/>
            </w:tcBorders>
          </w:tcPr>
          <w:p w14:paraId="7000230B" w14:textId="77777777" w:rsidR="00F1341F" w:rsidRPr="00020ADD" w:rsidRDefault="00F1341F" w:rsidP="001B2954">
            <w:pPr>
              <w:snapToGrid w:val="0"/>
              <w:rPr>
                <w:b/>
                <w:sz w:val="13"/>
                <w:szCs w:val="13"/>
              </w:rPr>
            </w:pPr>
            <w:r w:rsidRPr="00020ADD">
              <w:rPr>
                <w:b/>
                <w:sz w:val="13"/>
                <w:szCs w:val="13"/>
              </w:rPr>
              <w:t xml:space="preserve">Performance reserve </w:t>
            </w:r>
          </w:p>
        </w:tc>
        <w:tc>
          <w:tcPr>
            <w:tcW w:w="267" w:type="pct"/>
            <w:tcBorders>
              <w:top w:val="single" w:sz="4" w:space="0" w:color="auto"/>
            </w:tcBorders>
          </w:tcPr>
          <w:p w14:paraId="504D5EFF" w14:textId="77777777" w:rsidR="00F1341F" w:rsidRPr="00020ADD" w:rsidRDefault="00F1341F" w:rsidP="001B2954">
            <w:pPr>
              <w:snapToGrid w:val="0"/>
              <w:rPr>
                <w:b/>
                <w:sz w:val="13"/>
                <w:szCs w:val="13"/>
              </w:rPr>
            </w:pPr>
            <w:r w:rsidRPr="00020ADD">
              <w:rPr>
                <w:b/>
                <w:sz w:val="13"/>
                <w:szCs w:val="13"/>
              </w:rPr>
              <w:t xml:space="preserve">Main allocation </w:t>
            </w:r>
          </w:p>
        </w:tc>
        <w:tc>
          <w:tcPr>
            <w:tcW w:w="269" w:type="pct"/>
            <w:tcBorders>
              <w:top w:val="single" w:sz="4" w:space="0" w:color="auto"/>
            </w:tcBorders>
          </w:tcPr>
          <w:p w14:paraId="43423C2C" w14:textId="77777777" w:rsidR="00F1341F" w:rsidRPr="00834ACE" w:rsidRDefault="00F1341F" w:rsidP="001B2954">
            <w:pPr>
              <w:snapToGrid w:val="0"/>
              <w:rPr>
                <w:b/>
                <w:sz w:val="13"/>
                <w:szCs w:val="13"/>
              </w:rPr>
            </w:pPr>
            <w:r w:rsidRPr="00834ACE">
              <w:rPr>
                <w:b/>
                <w:sz w:val="13"/>
                <w:szCs w:val="13"/>
              </w:rPr>
              <w:t xml:space="preserve">Performance reserve </w:t>
            </w:r>
          </w:p>
        </w:tc>
        <w:tc>
          <w:tcPr>
            <w:tcW w:w="267" w:type="pct"/>
            <w:tcBorders>
              <w:top w:val="single" w:sz="4" w:space="0" w:color="auto"/>
            </w:tcBorders>
          </w:tcPr>
          <w:p w14:paraId="5F0B2E29" w14:textId="77777777" w:rsidR="00F1341F" w:rsidRPr="00834ACE" w:rsidRDefault="00F1341F" w:rsidP="001B2954">
            <w:pPr>
              <w:snapToGrid w:val="0"/>
              <w:rPr>
                <w:b/>
                <w:sz w:val="13"/>
                <w:szCs w:val="13"/>
              </w:rPr>
            </w:pPr>
            <w:r w:rsidRPr="00834ACE">
              <w:rPr>
                <w:b/>
                <w:sz w:val="13"/>
                <w:szCs w:val="13"/>
              </w:rPr>
              <w:t xml:space="preserve">Main allocation </w:t>
            </w:r>
          </w:p>
        </w:tc>
        <w:tc>
          <w:tcPr>
            <w:tcW w:w="269" w:type="pct"/>
            <w:tcBorders>
              <w:top w:val="single" w:sz="4" w:space="0" w:color="auto"/>
            </w:tcBorders>
          </w:tcPr>
          <w:p w14:paraId="4AF6D45A" w14:textId="77777777" w:rsidR="00F1341F" w:rsidRPr="00834ACE" w:rsidRDefault="00F1341F" w:rsidP="001B2954">
            <w:pPr>
              <w:snapToGrid w:val="0"/>
              <w:rPr>
                <w:b/>
                <w:sz w:val="13"/>
                <w:szCs w:val="13"/>
              </w:rPr>
            </w:pPr>
            <w:r w:rsidRPr="00834ACE">
              <w:rPr>
                <w:b/>
                <w:sz w:val="13"/>
                <w:szCs w:val="13"/>
              </w:rPr>
              <w:t xml:space="preserve">Performance reserve </w:t>
            </w:r>
          </w:p>
        </w:tc>
        <w:tc>
          <w:tcPr>
            <w:tcW w:w="342" w:type="pct"/>
            <w:tcBorders>
              <w:top w:val="single" w:sz="4" w:space="0" w:color="auto"/>
            </w:tcBorders>
          </w:tcPr>
          <w:p w14:paraId="7A3D6B64" w14:textId="77777777" w:rsidR="00F1341F" w:rsidRPr="00DC0475" w:rsidRDefault="00F1341F" w:rsidP="001B2954">
            <w:pPr>
              <w:snapToGrid w:val="0"/>
              <w:rPr>
                <w:b/>
                <w:sz w:val="13"/>
                <w:szCs w:val="13"/>
              </w:rPr>
            </w:pPr>
            <w:r w:rsidRPr="00DC0475">
              <w:rPr>
                <w:b/>
                <w:sz w:val="13"/>
                <w:szCs w:val="13"/>
              </w:rPr>
              <w:t xml:space="preserve">Main allocation </w:t>
            </w:r>
          </w:p>
        </w:tc>
        <w:tc>
          <w:tcPr>
            <w:tcW w:w="298" w:type="pct"/>
            <w:tcBorders>
              <w:top w:val="single" w:sz="4" w:space="0" w:color="auto"/>
            </w:tcBorders>
          </w:tcPr>
          <w:p w14:paraId="214DCE58" w14:textId="77777777" w:rsidR="00F1341F" w:rsidRPr="00B5130A" w:rsidRDefault="00F1341F" w:rsidP="001B2954">
            <w:pPr>
              <w:snapToGrid w:val="0"/>
              <w:rPr>
                <w:b/>
                <w:sz w:val="13"/>
                <w:szCs w:val="13"/>
              </w:rPr>
            </w:pPr>
            <w:r w:rsidRPr="00B5130A">
              <w:rPr>
                <w:b/>
                <w:sz w:val="13"/>
                <w:szCs w:val="13"/>
              </w:rPr>
              <w:t xml:space="preserve">Performance reserve </w:t>
            </w:r>
          </w:p>
        </w:tc>
        <w:tc>
          <w:tcPr>
            <w:tcW w:w="313" w:type="pct"/>
            <w:tcBorders>
              <w:top w:val="single" w:sz="4" w:space="0" w:color="auto"/>
            </w:tcBorders>
          </w:tcPr>
          <w:p w14:paraId="40F1D8EA" w14:textId="77777777" w:rsidR="00F1341F" w:rsidRPr="00A828C5" w:rsidRDefault="00F1341F" w:rsidP="001B2954">
            <w:pPr>
              <w:snapToGrid w:val="0"/>
              <w:rPr>
                <w:b/>
                <w:sz w:val="13"/>
                <w:szCs w:val="13"/>
              </w:rPr>
            </w:pPr>
            <w:r w:rsidRPr="00A828C5">
              <w:rPr>
                <w:b/>
                <w:sz w:val="13"/>
                <w:szCs w:val="13"/>
              </w:rPr>
              <w:t xml:space="preserve">Main allocation </w:t>
            </w:r>
          </w:p>
        </w:tc>
        <w:tc>
          <w:tcPr>
            <w:tcW w:w="269" w:type="pct"/>
            <w:tcBorders>
              <w:top w:val="single" w:sz="4" w:space="0" w:color="auto"/>
            </w:tcBorders>
          </w:tcPr>
          <w:p w14:paraId="191B65C6" w14:textId="77777777" w:rsidR="00F1341F" w:rsidRPr="008340BB" w:rsidRDefault="00F1341F" w:rsidP="001B2954">
            <w:pPr>
              <w:snapToGrid w:val="0"/>
              <w:rPr>
                <w:b/>
                <w:sz w:val="13"/>
                <w:szCs w:val="13"/>
              </w:rPr>
            </w:pPr>
            <w:r w:rsidRPr="008340BB">
              <w:rPr>
                <w:b/>
                <w:sz w:val="13"/>
                <w:szCs w:val="13"/>
              </w:rPr>
              <w:t xml:space="preserve">Performance reserve </w:t>
            </w:r>
          </w:p>
        </w:tc>
        <w:tc>
          <w:tcPr>
            <w:tcW w:w="267" w:type="pct"/>
            <w:tcBorders>
              <w:top w:val="single" w:sz="4" w:space="0" w:color="auto"/>
            </w:tcBorders>
          </w:tcPr>
          <w:p w14:paraId="4B1C0B76" w14:textId="77777777" w:rsidR="00F1341F" w:rsidRPr="008340BB" w:rsidRDefault="00F1341F" w:rsidP="001B2954">
            <w:pPr>
              <w:snapToGrid w:val="0"/>
              <w:rPr>
                <w:b/>
                <w:sz w:val="13"/>
                <w:szCs w:val="13"/>
              </w:rPr>
            </w:pPr>
            <w:r w:rsidRPr="008340BB">
              <w:rPr>
                <w:b/>
                <w:sz w:val="13"/>
                <w:szCs w:val="13"/>
              </w:rPr>
              <w:t xml:space="preserve">Main allocation </w:t>
            </w:r>
          </w:p>
        </w:tc>
        <w:tc>
          <w:tcPr>
            <w:tcW w:w="269" w:type="pct"/>
            <w:tcBorders>
              <w:top w:val="single" w:sz="4" w:space="0" w:color="auto"/>
            </w:tcBorders>
          </w:tcPr>
          <w:p w14:paraId="0DF07FFE" w14:textId="77777777" w:rsidR="00F1341F" w:rsidRPr="008340BB" w:rsidRDefault="00F1341F" w:rsidP="001B2954">
            <w:pPr>
              <w:snapToGrid w:val="0"/>
              <w:rPr>
                <w:b/>
                <w:sz w:val="13"/>
                <w:szCs w:val="13"/>
              </w:rPr>
            </w:pPr>
            <w:r w:rsidRPr="008340BB">
              <w:rPr>
                <w:b/>
                <w:sz w:val="13"/>
                <w:szCs w:val="13"/>
              </w:rPr>
              <w:t xml:space="preserve">Performance reserve </w:t>
            </w:r>
          </w:p>
        </w:tc>
        <w:tc>
          <w:tcPr>
            <w:tcW w:w="239" w:type="pct"/>
            <w:tcBorders>
              <w:top w:val="single" w:sz="4" w:space="0" w:color="auto"/>
            </w:tcBorders>
          </w:tcPr>
          <w:p w14:paraId="5E6AE9BF" w14:textId="77777777" w:rsidR="00F1341F" w:rsidRPr="008340BB" w:rsidRDefault="00F1341F" w:rsidP="001B2954">
            <w:pPr>
              <w:snapToGrid w:val="0"/>
              <w:rPr>
                <w:b/>
                <w:sz w:val="13"/>
                <w:szCs w:val="13"/>
              </w:rPr>
            </w:pPr>
            <w:r w:rsidRPr="008340BB">
              <w:rPr>
                <w:b/>
                <w:sz w:val="13"/>
                <w:szCs w:val="13"/>
              </w:rPr>
              <w:t xml:space="preserve">Main allocation </w:t>
            </w:r>
          </w:p>
        </w:tc>
        <w:tc>
          <w:tcPr>
            <w:tcW w:w="293" w:type="pct"/>
            <w:tcBorders>
              <w:top w:val="single" w:sz="4" w:space="0" w:color="auto"/>
            </w:tcBorders>
          </w:tcPr>
          <w:p w14:paraId="46962040" w14:textId="77777777" w:rsidR="00F1341F" w:rsidRPr="008340BB" w:rsidRDefault="00F1341F" w:rsidP="001B2954">
            <w:pPr>
              <w:snapToGrid w:val="0"/>
              <w:rPr>
                <w:b/>
                <w:sz w:val="13"/>
                <w:szCs w:val="13"/>
              </w:rPr>
            </w:pPr>
            <w:r w:rsidRPr="008340BB">
              <w:rPr>
                <w:b/>
                <w:sz w:val="13"/>
                <w:szCs w:val="13"/>
              </w:rPr>
              <w:t xml:space="preserve">Performance reserve </w:t>
            </w:r>
          </w:p>
        </w:tc>
      </w:tr>
      <w:tr w:rsidR="00834ACE" w:rsidRPr="008340BB" w14:paraId="2D8ECA1A" w14:textId="77777777" w:rsidTr="00435A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34"/>
        </w:trPr>
        <w:tc>
          <w:tcPr>
            <w:tcW w:w="91" w:type="pct"/>
          </w:tcPr>
          <w:p w14:paraId="66B64575" w14:textId="77777777" w:rsidR="00F1341F" w:rsidRPr="008340BB" w:rsidRDefault="00F1341F" w:rsidP="001B2954">
            <w:pPr>
              <w:snapToGrid w:val="0"/>
              <w:rPr>
                <w:b/>
                <w:sz w:val="10"/>
                <w:szCs w:val="10"/>
              </w:rPr>
            </w:pPr>
            <w:r w:rsidRPr="008340BB">
              <w:rPr>
                <w:sz w:val="10"/>
                <w:szCs w:val="10"/>
              </w:rPr>
              <w:t>1</w:t>
            </w:r>
          </w:p>
        </w:tc>
        <w:tc>
          <w:tcPr>
            <w:tcW w:w="273" w:type="pct"/>
          </w:tcPr>
          <w:p w14:paraId="79939834" w14:textId="77777777" w:rsidR="00F1341F" w:rsidRPr="008340BB" w:rsidRDefault="00F1341F" w:rsidP="001B2954">
            <w:pPr>
              <w:snapToGrid w:val="0"/>
              <w:rPr>
                <w:b/>
                <w:sz w:val="10"/>
                <w:szCs w:val="10"/>
              </w:rPr>
            </w:pPr>
            <w:r w:rsidRPr="008340BB">
              <w:rPr>
                <w:b/>
                <w:sz w:val="13"/>
                <w:szCs w:val="13"/>
              </w:rPr>
              <w:t>ERDF</w:t>
            </w:r>
          </w:p>
        </w:tc>
        <w:tc>
          <w:tcPr>
            <w:tcW w:w="176" w:type="pct"/>
          </w:tcPr>
          <w:p w14:paraId="2E430904" w14:textId="77777777" w:rsidR="00F1341F" w:rsidRPr="008340BB" w:rsidRDefault="00F1341F" w:rsidP="001B2954">
            <w:pPr>
              <w:snapToGrid w:val="0"/>
              <w:ind w:left="-108" w:right="-105"/>
              <w:jc w:val="left"/>
              <w:rPr>
                <w:b/>
                <w:sz w:val="10"/>
                <w:szCs w:val="10"/>
              </w:rPr>
            </w:pPr>
            <w:r w:rsidRPr="008340BB">
              <w:rPr>
                <w:b/>
                <w:sz w:val="13"/>
                <w:szCs w:val="13"/>
              </w:rPr>
              <w:t>In less developed regions</w:t>
            </w:r>
          </w:p>
        </w:tc>
        <w:tc>
          <w:tcPr>
            <w:tcW w:w="281" w:type="pct"/>
          </w:tcPr>
          <w:p w14:paraId="5CBD9753" w14:textId="77777777" w:rsidR="00F1341F" w:rsidRPr="008340BB" w:rsidRDefault="00F1341F" w:rsidP="00912539">
            <w:pPr>
              <w:snapToGrid w:val="0"/>
              <w:jc w:val="right"/>
              <w:rPr>
                <w:rFonts w:ascii="Arial" w:hAnsi="Arial" w:cs="Arial"/>
                <w:b/>
                <w:sz w:val="10"/>
                <w:szCs w:val="10"/>
              </w:rPr>
            </w:pPr>
            <w:r w:rsidRPr="008340BB">
              <w:rPr>
                <w:rFonts w:ascii="Arial" w:hAnsi="Arial" w:cs="Arial"/>
                <w:sz w:val="10"/>
                <w:szCs w:val="10"/>
              </w:rPr>
              <w:t>53 762</w:t>
            </w:r>
            <w:r w:rsidR="006D6125">
              <w:rPr>
                <w:rFonts w:ascii="Arial" w:hAnsi="Arial" w:cs="Arial"/>
                <w:sz w:val="10"/>
                <w:szCs w:val="10"/>
              </w:rPr>
              <w:t> </w:t>
            </w:r>
            <w:r w:rsidRPr="008340BB">
              <w:rPr>
                <w:rFonts w:ascii="Arial" w:hAnsi="Arial" w:cs="Arial"/>
                <w:sz w:val="10"/>
                <w:szCs w:val="10"/>
              </w:rPr>
              <w:t>60</w:t>
            </w:r>
            <w:r w:rsidR="00F228F0">
              <w:rPr>
                <w:rFonts w:ascii="Arial" w:hAnsi="Arial" w:cs="Arial"/>
                <w:sz w:val="10"/>
                <w:szCs w:val="10"/>
              </w:rPr>
              <w:t>7</w:t>
            </w:r>
            <w:r w:rsidR="006D6125">
              <w:rPr>
                <w:rFonts w:ascii="Arial" w:hAnsi="Arial" w:cs="Arial"/>
                <w:sz w:val="10"/>
                <w:szCs w:val="10"/>
              </w:rPr>
              <w:t>.</w:t>
            </w:r>
            <w:r w:rsidR="00912539">
              <w:rPr>
                <w:rFonts w:ascii="Arial" w:hAnsi="Arial" w:cs="Arial"/>
                <w:sz w:val="10"/>
                <w:szCs w:val="10"/>
              </w:rPr>
              <w:t>00</w:t>
            </w:r>
          </w:p>
        </w:tc>
        <w:tc>
          <w:tcPr>
            <w:tcW w:w="280" w:type="pct"/>
          </w:tcPr>
          <w:p w14:paraId="70631FD2" w14:textId="77777777" w:rsidR="00F1341F" w:rsidRPr="008340BB" w:rsidRDefault="00F1341F" w:rsidP="00912539">
            <w:pPr>
              <w:snapToGrid w:val="0"/>
              <w:jc w:val="right"/>
              <w:rPr>
                <w:rFonts w:ascii="Arial" w:hAnsi="Arial" w:cs="Arial"/>
                <w:sz w:val="10"/>
                <w:szCs w:val="10"/>
              </w:rPr>
            </w:pPr>
            <w:r w:rsidRPr="008340BB">
              <w:rPr>
                <w:rFonts w:ascii="Arial" w:hAnsi="Arial" w:cs="Arial"/>
                <w:sz w:val="10"/>
                <w:szCs w:val="10"/>
              </w:rPr>
              <w:t>3 431</w:t>
            </w:r>
            <w:r w:rsidR="006F24C9">
              <w:rPr>
                <w:rFonts w:ascii="Arial" w:hAnsi="Arial" w:cs="Arial"/>
                <w:sz w:val="10"/>
                <w:szCs w:val="10"/>
              </w:rPr>
              <w:t> </w:t>
            </w:r>
            <w:r w:rsidRPr="008340BB">
              <w:rPr>
                <w:rFonts w:ascii="Arial" w:hAnsi="Arial" w:cs="Arial"/>
                <w:sz w:val="10"/>
                <w:szCs w:val="10"/>
              </w:rPr>
              <w:t>65</w:t>
            </w:r>
            <w:r w:rsidR="00F228F0">
              <w:rPr>
                <w:rFonts w:ascii="Arial" w:hAnsi="Arial" w:cs="Arial"/>
                <w:sz w:val="10"/>
                <w:szCs w:val="10"/>
              </w:rPr>
              <w:t>6</w:t>
            </w:r>
            <w:r w:rsidR="006F24C9">
              <w:rPr>
                <w:rFonts w:ascii="Arial" w:hAnsi="Arial" w:cs="Arial"/>
                <w:sz w:val="10"/>
                <w:szCs w:val="10"/>
              </w:rPr>
              <w:t>.</w:t>
            </w:r>
            <w:r w:rsidR="00912539">
              <w:rPr>
                <w:rFonts w:ascii="Arial" w:hAnsi="Arial" w:cs="Arial"/>
                <w:sz w:val="10"/>
                <w:szCs w:val="10"/>
              </w:rPr>
              <w:t>00</w:t>
            </w:r>
          </w:p>
        </w:tc>
        <w:tc>
          <w:tcPr>
            <w:tcW w:w="267" w:type="pct"/>
          </w:tcPr>
          <w:p w14:paraId="25C89EDF" w14:textId="77777777" w:rsidR="00073DA1" w:rsidRDefault="006C71CD" w:rsidP="00912539">
            <w:pPr>
              <w:snapToGrid w:val="0"/>
              <w:jc w:val="right"/>
              <w:rPr>
                <w:rFonts w:ascii="Arial" w:hAnsi="Arial" w:cs="Arial"/>
                <w:sz w:val="10"/>
                <w:szCs w:val="10"/>
                <w:lang w:val="bg-BG" w:eastAsia="bg-BG"/>
              </w:rPr>
            </w:pPr>
            <w:r>
              <w:rPr>
                <w:rFonts w:ascii="Arial" w:hAnsi="Arial" w:cs="Arial"/>
                <w:sz w:val="10"/>
                <w:szCs w:val="10"/>
                <w:lang w:val="bg-BG" w:eastAsia="bg-BG"/>
              </w:rPr>
              <w:t>56 516 398</w:t>
            </w:r>
            <w:r>
              <w:rPr>
                <w:rFonts w:ascii="Arial" w:hAnsi="Arial" w:cs="Arial"/>
                <w:sz w:val="10"/>
                <w:szCs w:val="10"/>
                <w:lang w:val="en-US" w:eastAsia="bg-BG"/>
              </w:rPr>
              <w:t xml:space="preserve">.00 </w:t>
            </w:r>
          </w:p>
          <w:p w14:paraId="1C8393ED" w14:textId="77777777" w:rsidR="00F1341F" w:rsidRPr="00276ED1" w:rsidRDefault="00F1341F" w:rsidP="00912539">
            <w:pPr>
              <w:snapToGrid w:val="0"/>
              <w:jc w:val="right"/>
              <w:rPr>
                <w:rFonts w:ascii="Arial" w:hAnsi="Arial" w:cs="Arial"/>
                <w:sz w:val="10"/>
                <w:szCs w:val="10"/>
                <w:lang w:val="bg-BG" w:eastAsia="bg-BG"/>
              </w:rPr>
            </w:pPr>
          </w:p>
        </w:tc>
        <w:tc>
          <w:tcPr>
            <w:tcW w:w="270" w:type="pct"/>
          </w:tcPr>
          <w:p w14:paraId="7ECEA670" w14:textId="77777777" w:rsidR="001A63E8" w:rsidRDefault="001A63E8" w:rsidP="00912539">
            <w:pPr>
              <w:snapToGrid w:val="0"/>
              <w:jc w:val="right"/>
              <w:rPr>
                <w:rFonts w:ascii="Arial" w:hAnsi="Arial" w:cs="Arial"/>
                <w:sz w:val="10"/>
                <w:szCs w:val="10"/>
                <w:lang w:val="en-US"/>
              </w:rPr>
            </w:pPr>
            <w:r>
              <w:rPr>
                <w:rFonts w:ascii="Arial" w:hAnsi="Arial" w:cs="Arial"/>
                <w:sz w:val="10"/>
                <w:szCs w:val="10"/>
                <w:lang w:val="en-US"/>
              </w:rPr>
              <w:t xml:space="preserve">3 607 430.00 </w:t>
            </w:r>
          </w:p>
          <w:p w14:paraId="58D4117E" w14:textId="77777777" w:rsidR="00073DA1" w:rsidRPr="00EA04DF" w:rsidRDefault="00073DA1" w:rsidP="00912539">
            <w:pPr>
              <w:snapToGrid w:val="0"/>
              <w:jc w:val="right"/>
              <w:rPr>
                <w:rFonts w:ascii="Arial" w:hAnsi="Arial" w:cs="Arial"/>
                <w:sz w:val="10"/>
                <w:szCs w:val="10"/>
                <w:lang w:val="en-US"/>
              </w:rPr>
            </w:pPr>
          </w:p>
          <w:p w14:paraId="5AB003E3" w14:textId="77777777" w:rsidR="00F1341F" w:rsidRPr="00276ED1" w:rsidRDefault="00F1341F" w:rsidP="00912539">
            <w:pPr>
              <w:snapToGrid w:val="0"/>
              <w:jc w:val="right"/>
              <w:rPr>
                <w:rFonts w:ascii="Arial" w:hAnsi="Arial" w:cs="Arial"/>
                <w:sz w:val="10"/>
                <w:szCs w:val="10"/>
                <w:lang w:val="bg-BG"/>
              </w:rPr>
            </w:pPr>
          </w:p>
        </w:tc>
        <w:tc>
          <w:tcPr>
            <w:tcW w:w="267" w:type="pct"/>
          </w:tcPr>
          <w:p w14:paraId="2D91F1A2" w14:textId="77777777" w:rsidR="00F1341F" w:rsidRPr="00276ED1" w:rsidRDefault="00FF3122" w:rsidP="00912539">
            <w:pPr>
              <w:snapToGrid w:val="0"/>
              <w:jc w:val="right"/>
              <w:rPr>
                <w:rFonts w:ascii="Arial" w:hAnsi="Arial" w:cs="Arial"/>
                <w:sz w:val="10"/>
                <w:szCs w:val="10"/>
                <w:lang w:val="bg-BG"/>
              </w:rPr>
            </w:pPr>
            <w:r>
              <w:rPr>
                <w:rFonts w:ascii="Arial" w:hAnsi="Arial" w:cs="Arial"/>
                <w:sz w:val="10"/>
                <w:szCs w:val="10"/>
                <w:lang w:val="en-US"/>
              </w:rPr>
              <w:t xml:space="preserve">83 030 702.00 </w:t>
            </w:r>
            <w:r w:rsidR="00AB0D12">
              <w:rPr>
                <w:rFonts w:ascii="Arial" w:hAnsi="Arial" w:cs="Arial"/>
                <w:sz w:val="10"/>
                <w:szCs w:val="10"/>
                <w:lang w:val="bg-BG"/>
              </w:rPr>
              <w:t xml:space="preserve"> </w:t>
            </w:r>
          </w:p>
        </w:tc>
        <w:tc>
          <w:tcPr>
            <w:tcW w:w="269" w:type="pct"/>
          </w:tcPr>
          <w:p w14:paraId="52EFA958" w14:textId="77777777" w:rsidR="00F1341F" w:rsidRPr="00276ED1" w:rsidRDefault="00077F11" w:rsidP="00912539">
            <w:pPr>
              <w:snapToGrid w:val="0"/>
              <w:jc w:val="right"/>
              <w:rPr>
                <w:rFonts w:ascii="Arial" w:hAnsi="Arial" w:cs="Arial"/>
                <w:sz w:val="10"/>
                <w:szCs w:val="10"/>
                <w:lang w:val="bg-BG" w:eastAsia="bg-BG"/>
              </w:rPr>
            </w:pPr>
            <w:r>
              <w:rPr>
                <w:rFonts w:ascii="Arial" w:hAnsi="Arial" w:cs="Arial"/>
                <w:sz w:val="10"/>
                <w:szCs w:val="10"/>
                <w:lang w:val="en-US" w:eastAsia="bg-BG"/>
              </w:rPr>
              <w:t>5 299 832.00</w:t>
            </w:r>
            <w:r w:rsidR="006A3262">
              <w:rPr>
                <w:rFonts w:ascii="Arial" w:hAnsi="Arial" w:cs="Arial"/>
                <w:sz w:val="10"/>
                <w:szCs w:val="10"/>
                <w:lang w:val="bg-BG" w:eastAsia="bg-BG"/>
              </w:rPr>
              <w:t xml:space="preserve"> </w:t>
            </w:r>
          </w:p>
        </w:tc>
        <w:tc>
          <w:tcPr>
            <w:tcW w:w="267" w:type="pct"/>
          </w:tcPr>
          <w:p w14:paraId="4F407879" w14:textId="77777777" w:rsidR="00F1341F" w:rsidRPr="00276ED1" w:rsidRDefault="008F234C" w:rsidP="00276ED1">
            <w:pPr>
              <w:snapToGrid w:val="0"/>
              <w:jc w:val="left"/>
              <w:rPr>
                <w:rFonts w:ascii="Arial" w:hAnsi="Arial" w:cs="Arial"/>
                <w:sz w:val="10"/>
                <w:szCs w:val="10"/>
                <w:lang w:val="bg-BG" w:eastAsia="bg-BG"/>
              </w:rPr>
            </w:pPr>
            <w:r>
              <w:rPr>
                <w:rFonts w:ascii="Arial" w:hAnsi="Arial" w:cs="Arial"/>
                <w:sz w:val="10"/>
                <w:szCs w:val="10"/>
                <w:lang w:eastAsia="bg-BG"/>
              </w:rPr>
              <w:t xml:space="preserve">54 172 899.00           </w:t>
            </w:r>
            <w:r w:rsidR="0021203D">
              <w:rPr>
                <w:rFonts w:ascii="Arial" w:hAnsi="Arial" w:cs="Arial"/>
                <w:sz w:val="10"/>
                <w:szCs w:val="10"/>
                <w:lang w:val="bg-BG" w:eastAsia="bg-BG"/>
              </w:rPr>
              <w:t xml:space="preserve"> </w:t>
            </w:r>
          </w:p>
        </w:tc>
        <w:tc>
          <w:tcPr>
            <w:tcW w:w="269" w:type="pct"/>
          </w:tcPr>
          <w:p w14:paraId="775A9C2F" w14:textId="77777777" w:rsidR="00202D96" w:rsidRDefault="00202D96" w:rsidP="00912539">
            <w:pPr>
              <w:snapToGrid w:val="0"/>
              <w:jc w:val="right"/>
              <w:rPr>
                <w:rFonts w:ascii="Arial" w:hAnsi="Arial" w:cs="Arial"/>
                <w:sz w:val="10"/>
                <w:szCs w:val="10"/>
                <w:lang w:eastAsia="bg-BG"/>
              </w:rPr>
            </w:pPr>
            <w:r>
              <w:rPr>
                <w:rFonts w:ascii="Arial" w:hAnsi="Arial" w:cs="Arial"/>
                <w:sz w:val="10"/>
                <w:szCs w:val="10"/>
                <w:lang w:eastAsia="bg-BG"/>
              </w:rPr>
              <w:t>3 457 845.00</w:t>
            </w:r>
          </w:p>
          <w:p w14:paraId="6A26BC4B" w14:textId="77777777" w:rsidR="00F1341F" w:rsidRPr="00276ED1" w:rsidRDefault="00423906" w:rsidP="00912539">
            <w:pPr>
              <w:snapToGrid w:val="0"/>
              <w:jc w:val="right"/>
              <w:rPr>
                <w:rFonts w:ascii="Arial" w:hAnsi="Arial" w:cs="Arial"/>
                <w:sz w:val="10"/>
                <w:szCs w:val="10"/>
                <w:lang w:val="bg-BG" w:eastAsia="bg-BG"/>
              </w:rPr>
            </w:pPr>
            <w:r>
              <w:rPr>
                <w:rFonts w:ascii="Arial" w:hAnsi="Arial" w:cs="Arial"/>
                <w:sz w:val="10"/>
                <w:szCs w:val="10"/>
                <w:lang w:val="bg-BG" w:eastAsia="bg-BG"/>
              </w:rPr>
              <w:t xml:space="preserve"> </w:t>
            </w:r>
          </w:p>
        </w:tc>
        <w:tc>
          <w:tcPr>
            <w:tcW w:w="342" w:type="pct"/>
          </w:tcPr>
          <w:p w14:paraId="6B1287F3" w14:textId="77777777" w:rsidR="00F1341F" w:rsidRPr="008340BB" w:rsidRDefault="004A608A" w:rsidP="00912539">
            <w:pPr>
              <w:snapToGrid w:val="0"/>
              <w:jc w:val="right"/>
              <w:rPr>
                <w:rFonts w:ascii="Arial" w:hAnsi="Arial" w:cs="Arial"/>
                <w:sz w:val="10"/>
                <w:szCs w:val="10"/>
                <w:lang w:eastAsia="bg-BG"/>
              </w:rPr>
            </w:pPr>
            <w:r>
              <w:rPr>
                <w:rFonts w:ascii="Arial" w:hAnsi="Arial" w:cs="Arial"/>
                <w:sz w:val="10"/>
                <w:szCs w:val="10"/>
                <w:lang w:eastAsia="bg-BG"/>
              </w:rPr>
              <w:t xml:space="preserve">56 603 787.00     </w:t>
            </w:r>
            <w:r w:rsidR="00AE617B">
              <w:rPr>
                <w:rFonts w:ascii="Arial" w:hAnsi="Arial" w:cs="Arial"/>
                <w:sz w:val="10"/>
                <w:szCs w:val="10"/>
                <w:lang w:val="bg-BG" w:eastAsia="bg-BG"/>
              </w:rPr>
              <w:t xml:space="preserve"> </w:t>
            </w:r>
          </w:p>
        </w:tc>
        <w:tc>
          <w:tcPr>
            <w:tcW w:w="298" w:type="pct"/>
          </w:tcPr>
          <w:p w14:paraId="40F65509" w14:textId="77777777" w:rsidR="00F1341F" w:rsidRPr="008340BB" w:rsidRDefault="007D4166" w:rsidP="00912539">
            <w:pPr>
              <w:snapToGrid w:val="0"/>
              <w:jc w:val="right"/>
              <w:rPr>
                <w:rFonts w:ascii="Arial" w:hAnsi="Arial" w:cs="Arial"/>
                <w:sz w:val="10"/>
                <w:szCs w:val="10"/>
                <w:lang w:eastAsia="bg-BG"/>
              </w:rPr>
            </w:pPr>
            <w:r>
              <w:rPr>
                <w:rFonts w:ascii="Arial" w:hAnsi="Arial" w:cs="Arial"/>
                <w:sz w:val="10"/>
                <w:szCs w:val="10"/>
                <w:lang w:eastAsia="bg-BG"/>
              </w:rPr>
              <w:t xml:space="preserve">3 613 008.00    </w:t>
            </w:r>
            <w:r w:rsidR="00924BBA">
              <w:rPr>
                <w:rFonts w:ascii="Arial" w:hAnsi="Arial" w:cs="Arial"/>
                <w:sz w:val="10"/>
                <w:szCs w:val="10"/>
                <w:lang w:val="bg-BG" w:eastAsia="bg-BG"/>
              </w:rPr>
              <w:t xml:space="preserve"> </w:t>
            </w:r>
          </w:p>
        </w:tc>
        <w:tc>
          <w:tcPr>
            <w:tcW w:w="313" w:type="pct"/>
          </w:tcPr>
          <w:p w14:paraId="45291981" w14:textId="77777777" w:rsidR="00F1341F" w:rsidRPr="008340BB" w:rsidRDefault="003D6467" w:rsidP="00912539">
            <w:pPr>
              <w:snapToGrid w:val="0"/>
              <w:jc w:val="right"/>
              <w:rPr>
                <w:rFonts w:ascii="Arial" w:hAnsi="Arial" w:cs="Arial"/>
                <w:sz w:val="10"/>
                <w:szCs w:val="10"/>
                <w:lang w:eastAsia="bg-BG"/>
              </w:rPr>
            </w:pPr>
            <w:r>
              <w:rPr>
                <w:rFonts w:ascii="Arial" w:hAnsi="Arial" w:cs="Arial"/>
                <w:sz w:val="10"/>
                <w:szCs w:val="10"/>
                <w:lang w:eastAsia="bg-BG"/>
              </w:rPr>
              <w:t xml:space="preserve">58 977 027.00 </w:t>
            </w:r>
            <w:r w:rsidR="00035D5D">
              <w:rPr>
                <w:rFonts w:ascii="Arial" w:hAnsi="Arial" w:cs="Arial"/>
                <w:sz w:val="10"/>
                <w:szCs w:val="10"/>
                <w:lang w:val="bg-BG" w:eastAsia="bg-BG"/>
              </w:rPr>
              <w:t xml:space="preserve"> </w:t>
            </w:r>
          </w:p>
        </w:tc>
        <w:tc>
          <w:tcPr>
            <w:tcW w:w="269" w:type="pct"/>
          </w:tcPr>
          <w:p w14:paraId="54C43E88" w14:textId="77777777" w:rsidR="00F1341F" w:rsidRPr="008340BB" w:rsidRDefault="003D6467" w:rsidP="00912539">
            <w:pPr>
              <w:snapToGrid w:val="0"/>
              <w:jc w:val="right"/>
              <w:rPr>
                <w:rFonts w:ascii="Arial" w:hAnsi="Arial" w:cs="Arial"/>
                <w:sz w:val="10"/>
                <w:szCs w:val="10"/>
                <w:lang w:eastAsia="bg-BG"/>
              </w:rPr>
            </w:pPr>
            <w:r>
              <w:rPr>
                <w:rFonts w:ascii="Arial" w:hAnsi="Arial" w:cs="Arial"/>
                <w:sz w:val="10"/>
                <w:szCs w:val="10"/>
                <w:lang w:eastAsia="bg-BG"/>
              </w:rPr>
              <w:t>3 764 491.00</w:t>
            </w:r>
            <w:r w:rsidR="00035D5D">
              <w:rPr>
                <w:rFonts w:ascii="Arial" w:hAnsi="Arial" w:cs="Arial"/>
                <w:sz w:val="10"/>
                <w:szCs w:val="10"/>
                <w:lang w:val="bg-BG" w:eastAsia="bg-BG"/>
              </w:rPr>
              <w:t xml:space="preserve"> </w:t>
            </w:r>
          </w:p>
        </w:tc>
        <w:tc>
          <w:tcPr>
            <w:tcW w:w="267" w:type="pct"/>
          </w:tcPr>
          <w:p w14:paraId="079FCAFD" w14:textId="3FB0CBDA" w:rsidR="00F1341F" w:rsidRPr="008340BB" w:rsidRDefault="00E0105B" w:rsidP="00053547">
            <w:pPr>
              <w:snapToGrid w:val="0"/>
              <w:jc w:val="right"/>
              <w:rPr>
                <w:rFonts w:ascii="Arial" w:hAnsi="Arial" w:cs="Arial"/>
                <w:sz w:val="10"/>
                <w:szCs w:val="10"/>
                <w:lang w:eastAsia="bg-BG"/>
              </w:rPr>
            </w:pPr>
            <w:r w:rsidRPr="00E0105B">
              <w:rPr>
                <w:rFonts w:ascii="Arial" w:hAnsi="Arial" w:cs="Arial"/>
                <w:sz w:val="10"/>
                <w:szCs w:val="10"/>
                <w:lang w:val="bg-BG" w:eastAsia="bg-BG"/>
              </w:rPr>
              <w:t xml:space="preserve">47 962 620.00 </w:t>
            </w:r>
          </w:p>
        </w:tc>
        <w:tc>
          <w:tcPr>
            <w:tcW w:w="269" w:type="pct"/>
          </w:tcPr>
          <w:p w14:paraId="183B0EC0" w14:textId="77777777" w:rsidR="00F1341F" w:rsidRPr="008340BB" w:rsidRDefault="00F1341F" w:rsidP="00053547">
            <w:pPr>
              <w:snapToGrid w:val="0"/>
              <w:jc w:val="right"/>
              <w:rPr>
                <w:rFonts w:ascii="Arial" w:hAnsi="Arial" w:cs="Arial"/>
                <w:sz w:val="10"/>
                <w:szCs w:val="10"/>
                <w:lang w:eastAsia="bg-BG"/>
              </w:rPr>
            </w:pPr>
            <w:r w:rsidRPr="008340BB">
              <w:rPr>
                <w:rFonts w:ascii="Arial" w:hAnsi="Arial" w:cs="Arial"/>
                <w:sz w:val="10"/>
                <w:szCs w:val="10"/>
                <w:lang w:eastAsia="bg-BG"/>
              </w:rPr>
              <w:t>4 411</w:t>
            </w:r>
            <w:r w:rsidR="00C9118C">
              <w:rPr>
                <w:rFonts w:ascii="Arial" w:hAnsi="Arial" w:cs="Arial"/>
                <w:sz w:val="10"/>
                <w:szCs w:val="10"/>
                <w:lang w:eastAsia="bg-BG"/>
              </w:rPr>
              <w:t> </w:t>
            </w:r>
            <w:r w:rsidRPr="008340BB">
              <w:rPr>
                <w:rFonts w:ascii="Arial" w:hAnsi="Arial" w:cs="Arial"/>
                <w:sz w:val="10"/>
                <w:szCs w:val="10"/>
                <w:lang w:eastAsia="bg-BG"/>
              </w:rPr>
              <w:t>45</w:t>
            </w:r>
            <w:r w:rsidR="00053547">
              <w:rPr>
                <w:rFonts w:ascii="Arial" w:hAnsi="Arial" w:cs="Arial"/>
                <w:sz w:val="10"/>
                <w:szCs w:val="10"/>
                <w:lang w:eastAsia="bg-BG"/>
              </w:rPr>
              <w:t>4</w:t>
            </w:r>
            <w:r w:rsidR="00C9118C">
              <w:rPr>
                <w:rFonts w:ascii="Arial" w:hAnsi="Arial" w:cs="Arial"/>
                <w:sz w:val="10"/>
                <w:szCs w:val="10"/>
                <w:lang w:eastAsia="bg-BG"/>
              </w:rPr>
              <w:t>.</w:t>
            </w:r>
            <w:r w:rsidR="00053547">
              <w:rPr>
                <w:rFonts w:ascii="Arial" w:hAnsi="Arial" w:cs="Arial"/>
                <w:sz w:val="10"/>
                <w:szCs w:val="10"/>
                <w:lang w:eastAsia="bg-BG"/>
              </w:rPr>
              <w:t>0</w:t>
            </w:r>
            <w:r w:rsidR="00C9118C">
              <w:rPr>
                <w:rFonts w:ascii="Arial" w:hAnsi="Arial" w:cs="Arial"/>
                <w:sz w:val="10"/>
                <w:szCs w:val="10"/>
                <w:lang w:eastAsia="bg-BG"/>
              </w:rPr>
              <w:t>0</w:t>
            </w:r>
          </w:p>
        </w:tc>
        <w:tc>
          <w:tcPr>
            <w:tcW w:w="239" w:type="pct"/>
          </w:tcPr>
          <w:p w14:paraId="2CB19020" w14:textId="2FC3D20B" w:rsidR="00F1341F" w:rsidRPr="001B012A" w:rsidRDefault="00641619" w:rsidP="001B012A">
            <w:pPr>
              <w:jc w:val="right"/>
              <w:rPr>
                <w:rFonts w:ascii="Arial" w:hAnsi="Arial" w:cs="Arial"/>
                <w:sz w:val="10"/>
                <w:szCs w:val="10"/>
                <w:lang w:eastAsia="bg-BG"/>
              </w:rPr>
            </w:pPr>
            <w:r w:rsidRPr="00641619">
              <w:rPr>
                <w:rFonts w:ascii="Arial" w:hAnsi="Arial" w:cs="Arial"/>
                <w:sz w:val="10"/>
                <w:szCs w:val="10"/>
                <w:lang w:val="bg-BG" w:eastAsia="bg-BG"/>
              </w:rPr>
              <w:t xml:space="preserve">411 026 040.00 </w:t>
            </w:r>
          </w:p>
        </w:tc>
        <w:tc>
          <w:tcPr>
            <w:tcW w:w="293" w:type="pct"/>
          </w:tcPr>
          <w:p w14:paraId="32F2F431" w14:textId="77777777" w:rsidR="00F1341F" w:rsidRPr="001B012A" w:rsidRDefault="00F1341F" w:rsidP="00053547">
            <w:pPr>
              <w:jc w:val="right"/>
              <w:rPr>
                <w:rFonts w:ascii="Arial" w:hAnsi="Arial" w:cs="Arial"/>
                <w:sz w:val="10"/>
                <w:szCs w:val="10"/>
                <w:lang w:eastAsia="bg-BG"/>
              </w:rPr>
            </w:pPr>
            <w:r w:rsidRPr="001B012A">
              <w:rPr>
                <w:rFonts w:ascii="Arial" w:hAnsi="Arial" w:cs="Arial"/>
                <w:sz w:val="10"/>
                <w:szCs w:val="10"/>
                <w:lang w:eastAsia="bg-BG"/>
              </w:rPr>
              <w:t>27 585</w:t>
            </w:r>
            <w:r w:rsidR="00D9508F">
              <w:rPr>
                <w:rFonts w:ascii="Arial" w:hAnsi="Arial" w:cs="Arial"/>
                <w:sz w:val="10"/>
                <w:szCs w:val="10"/>
                <w:lang w:eastAsia="bg-BG"/>
              </w:rPr>
              <w:t> </w:t>
            </w:r>
            <w:r w:rsidRPr="001B012A">
              <w:rPr>
                <w:rFonts w:ascii="Arial" w:hAnsi="Arial" w:cs="Arial"/>
                <w:sz w:val="10"/>
                <w:szCs w:val="10"/>
                <w:lang w:eastAsia="bg-BG"/>
              </w:rPr>
              <w:t>71</w:t>
            </w:r>
            <w:r w:rsidR="00371E10">
              <w:rPr>
                <w:rFonts w:ascii="Arial" w:hAnsi="Arial" w:cs="Arial"/>
                <w:sz w:val="10"/>
                <w:szCs w:val="10"/>
                <w:lang w:eastAsia="bg-BG"/>
              </w:rPr>
              <w:t>6</w:t>
            </w:r>
            <w:r w:rsidR="00D9508F">
              <w:rPr>
                <w:rFonts w:ascii="Arial" w:hAnsi="Arial" w:cs="Arial"/>
                <w:sz w:val="10"/>
                <w:szCs w:val="10"/>
                <w:lang w:eastAsia="bg-BG"/>
              </w:rPr>
              <w:t>.</w:t>
            </w:r>
            <w:r w:rsidR="00053547">
              <w:rPr>
                <w:rFonts w:ascii="Arial" w:hAnsi="Arial" w:cs="Arial"/>
                <w:sz w:val="10"/>
                <w:szCs w:val="10"/>
                <w:lang w:eastAsia="bg-BG"/>
              </w:rPr>
              <w:t>00</w:t>
            </w:r>
          </w:p>
        </w:tc>
      </w:tr>
      <w:tr w:rsidR="00834ACE" w:rsidRPr="008340BB" w14:paraId="47C6687F" w14:textId="77777777" w:rsidTr="00435A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25"/>
        </w:trPr>
        <w:tc>
          <w:tcPr>
            <w:tcW w:w="91" w:type="pct"/>
          </w:tcPr>
          <w:p w14:paraId="59EC1A2A" w14:textId="77777777" w:rsidR="00F1341F" w:rsidRPr="008340BB" w:rsidRDefault="00F1341F" w:rsidP="001B2954">
            <w:pPr>
              <w:snapToGrid w:val="0"/>
              <w:rPr>
                <w:b/>
                <w:sz w:val="10"/>
                <w:szCs w:val="10"/>
              </w:rPr>
            </w:pPr>
            <w:r w:rsidRPr="008340BB">
              <w:rPr>
                <w:sz w:val="10"/>
                <w:szCs w:val="10"/>
              </w:rPr>
              <w:t>2</w:t>
            </w:r>
          </w:p>
        </w:tc>
        <w:tc>
          <w:tcPr>
            <w:tcW w:w="273" w:type="pct"/>
          </w:tcPr>
          <w:p w14:paraId="51B4AB7A" w14:textId="77777777" w:rsidR="00F1341F" w:rsidRPr="008340BB" w:rsidRDefault="00F1341F" w:rsidP="001B2954">
            <w:pPr>
              <w:snapToGrid w:val="0"/>
              <w:ind w:right="-108"/>
              <w:rPr>
                <w:b/>
                <w:sz w:val="13"/>
                <w:szCs w:val="13"/>
              </w:rPr>
            </w:pPr>
            <w:r w:rsidRPr="008340BB">
              <w:rPr>
                <w:b/>
                <w:sz w:val="13"/>
                <w:szCs w:val="13"/>
              </w:rPr>
              <w:t>CF</w:t>
            </w:r>
          </w:p>
        </w:tc>
        <w:tc>
          <w:tcPr>
            <w:tcW w:w="176" w:type="pct"/>
          </w:tcPr>
          <w:p w14:paraId="1B234894" w14:textId="77777777" w:rsidR="00F1341F" w:rsidRPr="008340BB" w:rsidRDefault="00F1341F" w:rsidP="001B2954">
            <w:pPr>
              <w:snapToGrid w:val="0"/>
              <w:ind w:left="-108" w:right="-105"/>
              <w:jc w:val="left"/>
              <w:rPr>
                <w:b/>
                <w:sz w:val="10"/>
                <w:szCs w:val="10"/>
              </w:rPr>
            </w:pPr>
          </w:p>
        </w:tc>
        <w:tc>
          <w:tcPr>
            <w:tcW w:w="281" w:type="pct"/>
          </w:tcPr>
          <w:p w14:paraId="33A426C4" w14:textId="77777777" w:rsidR="00F1341F" w:rsidRPr="008340BB" w:rsidRDefault="00F1341F" w:rsidP="007320F0">
            <w:pPr>
              <w:snapToGrid w:val="0"/>
              <w:jc w:val="right"/>
              <w:rPr>
                <w:rFonts w:ascii="Arial" w:hAnsi="Arial" w:cs="Arial"/>
                <w:sz w:val="10"/>
                <w:szCs w:val="10"/>
              </w:rPr>
            </w:pPr>
            <w:r w:rsidRPr="008340BB">
              <w:rPr>
                <w:rFonts w:ascii="Arial" w:hAnsi="Arial" w:cs="Arial"/>
                <w:sz w:val="10"/>
                <w:szCs w:val="10"/>
              </w:rPr>
              <w:t>133 400</w:t>
            </w:r>
            <w:r w:rsidR="00CB4DFC">
              <w:rPr>
                <w:rFonts w:ascii="Arial" w:hAnsi="Arial" w:cs="Arial"/>
                <w:sz w:val="10"/>
                <w:szCs w:val="10"/>
              </w:rPr>
              <w:t> </w:t>
            </w:r>
            <w:r w:rsidRPr="008340BB">
              <w:rPr>
                <w:rFonts w:ascii="Arial" w:hAnsi="Arial" w:cs="Arial"/>
                <w:sz w:val="10"/>
                <w:szCs w:val="10"/>
              </w:rPr>
              <w:t>03</w:t>
            </w:r>
            <w:r w:rsidR="005F0467">
              <w:rPr>
                <w:rFonts w:ascii="Arial" w:hAnsi="Arial" w:cs="Arial"/>
                <w:sz w:val="10"/>
                <w:szCs w:val="10"/>
              </w:rPr>
              <w:t>8</w:t>
            </w:r>
            <w:r w:rsidR="00053547">
              <w:rPr>
                <w:rFonts w:ascii="Arial" w:hAnsi="Arial" w:cs="Arial"/>
                <w:sz w:val="10"/>
                <w:szCs w:val="10"/>
              </w:rPr>
              <w:t>.00</w:t>
            </w:r>
          </w:p>
        </w:tc>
        <w:tc>
          <w:tcPr>
            <w:tcW w:w="280" w:type="pct"/>
          </w:tcPr>
          <w:p w14:paraId="3B6FEE3E" w14:textId="77777777" w:rsidR="00F1341F" w:rsidRPr="008340BB" w:rsidRDefault="00F1341F" w:rsidP="007320F0">
            <w:pPr>
              <w:snapToGrid w:val="0"/>
              <w:jc w:val="right"/>
              <w:rPr>
                <w:rFonts w:ascii="Arial" w:hAnsi="Arial" w:cs="Arial"/>
                <w:sz w:val="10"/>
                <w:szCs w:val="10"/>
              </w:rPr>
            </w:pPr>
            <w:r w:rsidRPr="008340BB">
              <w:rPr>
                <w:rFonts w:ascii="Arial" w:hAnsi="Arial" w:cs="Arial"/>
                <w:sz w:val="10"/>
                <w:szCs w:val="10"/>
              </w:rPr>
              <w:t>8 514</w:t>
            </w:r>
            <w:r w:rsidR="0065414B">
              <w:rPr>
                <w:rFonts w:ascii="Arial" w:hAnsi="Arial" w:cs="Arial"/>
                <w:sz w:val="10"/>
                <w:szCs w:val="10"/>
              </w:rPr>
              <w:t> </w:t>
            </w:r>
            <w:r w:rsidRPr="008340BB">
              <w:rPr>
                <w:rFonts w:ascii="Arial" w:hAnsi="Arial" w:cs="Arial"/>
                <w:sz w:val="10"/>
                <w:szCs w:val="10"/>
              </w:rPr>
              <w:t>896</w:t>
            </w:r>
            <w:r w:rsidR="0065414B">
              <w:rPr>
                <w:rFonts w:ascii="Arial" w:hAnsi="Arial" w:cs="Arial"/>
                <w:sz w:val="10"/>
                <w:szCs w:val="10"/>
              </w:rPr>
              <w:t>.0</w:t>
            </w:r>
            <w:r w:rsidR="00053547">
              <w:rPr>
                <w:rFonts w:ascii="Arial" w:hAnsi="Arial" w:cs="Arial"/>
                <w:sz w:val="10"/>
                <w:szCs w:val="10"/>
              </w:rPr>
              <w:t>0</w:t>
            </w:r>
          </w:p>
        </w:tc>
        <w:tc>
          <w:tcPr>
            <w:tcW w:w="267" w:type="pct"/>
          </w:tcPr>
          <w:p w14:paraId="50138D79" w14:textId="77777777" w:rsidR="00F1341F" w:rsidRPr="008340BB" w:rsidRDefault="00F1341F" w:rsidP="00053547">
            <w:pPr>
              <w:snapToGrid w:val="0"/>
              <w:jc w:val="right"/>
              <w:rPr>
                <w:rFonts w:ascii="Arial" w:hAnsi="Arial" w:cs="Arial"/>
                <w:sz w:val="10"/>
                <w:szCs w:val="10"/>
              </w:rPr>
            </w:pPr>
            <w:r w:rsidRPr="008340BB">
              <w:rPr>
                <w:rFonts w:ascii="Arial" w:hAnsi="Arial" w:cs="Arial"/>
                <w:sz w:val="10"/>
                <w:szCs w:val="10"/>
              </w:rPr>
              <w:t>140 596</w:t>
            </w:r>
            <w:r w:rsidR="009D3C67">
              <w:rPr>
                <w:rFonts w:ascii="Arial" w:hAnsi="Arial" w:cs="Arial"/>
                <w:sz w:val="10"/>
                <w:szCs w:val="10"/>
              </w:rPr>
              <w:t> </w:t>
            </w:r>
            <w:r w:rsidRPr="008340BB">
              <w:rPr>
                <w:rFonts w:ascii="Arial" w:hAnsi="Arial" w:cs="Arial"/>
                <w:sz w:val="10"/>
                <w:szCs w:val="10"/>
              </w:rPr>
              <w:t>93</w:t>
            </w:r>
            <w:r w:rsidR="00053547">
              <w:rPr>
                <w:rFonts w:ascii="Arial" w:hAnsi="Arial" w:cs="Arial"/>
                <w:sz w:val="10"/>
                <w:szCs w:val="10"/>
              </w:rPr>
              <w:t>1</w:t>
            </w:r>
            <w:r w:rsidR="009D3C67">
              <w:rPr>
                <w:rFonts w:ascii="Arial" w:hAnsi="Arial" w:cs="Arial"/>
                <w:sz w:val="10"/>
                <w:szCs w:val="10"/>
              </w:rPr>
              <w:t>.</w:t>
            </w:r>
            <w:r w:rsidR="00053547">
              <w:rPr>
                <w:rFonts w:ascii="Arial" w:hAnsi="Arial" w:cs="Arial"/>
                <w:sz w:val="10"/>
                <w:szCs w:val="10"/>
              </w:rPr>
              <w:t>00</w:t>
            </w:r>
          </w:p>
        </w:tc>
        <w:tc>
          <w:tcPr>
            <w:tcW w:w="270" w:type="pct"/>
          </w:tcPr>
          <w:p w14:paraId="192749B4" w14:textId="77777777" w:rsidR="00F1341F" w:rsidRPr="008340BB" w:rsidRDefault="00F1341F" w:rsidP="003B7495">
            <w:pPr>
              <w:snapToGrid w:val="0"/>
              <w:jc w:val="right"/>
              <w:rPr>
                <w:rFonts w:ascii="Arial" w:hAnsi="Arial" w:cs="Arial"/>
                <w:sz w:val="10"/>
                <w:szCs w:val="10"/>
              </w:rPr>
            </w:pPr>
            <w:r w:rsidRPr="008340BB">
              <w:rPr>
                <w:rFonts w:ascii="Arial" w:hAnsi="Arial" w:cs="Arial"/>
                <w:sz w:val="10"/>
                <w:szCs w:val="10"/>
              </w:rPr>
              <w:t>8 974</w:t>
            </w:r>
            <w:r w:rsidR="00A83D72">
              <w:rPr>
                <w:rFonts w:ascii="Arial" w:hAnsi="Arial" w:cs="Arial"/>
                <w:sz w:val="10"/>
                <w:szCs w:val="10"/>
              </w:rPr>
              <w:t> </w:t>
            </w:r>
            <w:r w:rsidRPr="008340BB">
              <w:rPr>
                <w:rFonts w:ascii="Arial" w:hAnsi="Arial" w:cs="Arial"/>
                <w:sz w:val="10"/>
                <w:szCs w:val="10"/>
              </w:rPr>
              <w:t>272</w:t>
            </w:r>
            <w:r w:rsidR="00A83D72">
              <w:rPr>
                <w:rFonts w:ascii="Arial" w:hAnsi="Arial" w:cs="Arial"/>
                <w:sz w:val="10"/>
                <w:szCs w:val="10"/>
              </w:rPr>
              <w:t>.</w:t>
            </w:r>
            <w:r w:rsidR="003B7495">
              <w:rPr>
                <w:rFonts w:ascii="Arial" w:hAnsi="Arial" w:cs="Arial"/>
                <w:sz w:val="10"/>
                <w:szCs w:val="10"/>
              </w:rPr>
              <w:t>00</w:t>
            </w:r>
          </w:p>
        </w:tc>
        <w:tc>
          <w:tcPr>
            <w:tcW w:w="267" w:type="pct"/>
          </w:tcPr>
          <w:p w14:paraId="134343B4" w14:textId="77777777" w:rsidR="00F1341F" w:rsidRPr="008340BB" w:rsidRDefault="00F1341F" w:rsidP="003B7495">
            <w:pPr>
              <w:snapToGrid w:val="0"/>
              <w:jc w:val="right"/>
              <w:rPr>
                <w:rFonts w:ascii="Arial" w:hAnsi="Arial" w:cs="Arial"/>
                <w:sz w:val="10"/>
                <w:szCs w:val="10"/>
              </w:rPr>
            </w:pPr>
            <w:r w:rsidRPr="008340BB">
              <w:rPr>
                <w:rFonts w:ascii="Arial" w:hAnsi="Arial" w:cs="Arial"/>
                <w:sz w:val="10"/>
                <w:szCs w:val="10"/>
              </w:rPr>
              <w:t>148 402</w:t>
            </w:r>
            <w:r w:rsidR="00162E9E">
              <w:rPr>
                <w:rFonts w:ascii="Arial" w:hAnsi="Arial" w:cs="Arial"/>
                <w:sz w:val="10"/>
                <w:szCs w:val="10"/>
              </w:rPr>
              <w:t> </w:t>
            </w:r>
            <w:r w:rsidRPr="008340BB">
              <w:rPr>
                <w:rFonts w:ascii="Arial" w:hAnsi="Arial" w:cs="Arial"/>
                <w:sz w:val="10"/>
                <w:szCs w:val="10"/>
              </w:rPr>
              <w:t>38</w:t>
            </w:r>
            <w:r w:rsidR="003B7495">
              <w:rPr>
                <w:rFonts w:ascii="Arial" w:hAnsi="Arial" w:cs="Arial"/>
                <w:sz w:val="10"/>
                <w:szCs w:val="10"/>
              </w:rPr>
              <w:t>1</w:t>
            </w:r>
            <w:r w:rsidR="00162E9E">
              <w:rPr>
                <w:rFonts w:ascii="Arial" w:hAnsi="Arial" w:cs="Arial"/>
                <w:sz w:val="10"/>
                <w:szCs w:val="10"/>
              </w:rPr>
              <w:t>.</w:t>
            </w:r>
            <w:r w:rsidR="003B7495">
              <w:rPr>
                <w:rFonts w:ascii="Arial" w:hAnsi="Arial" w:cs="Arial"/>
                <w:sz w:val="10"/>
                <w:szCs w:val="10"/>
              </w:rPr>
              <w:t>00</w:t>
            </w:r>
          </w:p>
        </w:tc>
        <w:tc>
          <w:tcPr>
            <w:tcW w:w="269" w:type="pct"/>
          </w:tcPr>
          <w:p w14:paraId="1689048B" w14:textId="77777777" w:rsidR="00F1341F" w:rsidRPr="008340BB" w:rsidRDefault="00F1341F" w:rsidP="003B7495">
            <w:pPr>
              <w:snapToGrid w:val="0"/>
              <w:jc w:val="right"/>
              <w:rPr>
                <w:rFonts w:ascii="Arial" w:hAnsi="Arial" w:cs="Arial"/>
                <w:sz w:val="10"/>
                <w:szCs w:val="10"/>
              </w:rPr>
            </w:pPr>
            <w:r w:rsidRPr="008340BB">
              <w:rPr>
                <w:rFonts w:ascii="Arial" w:hAnsi="Arial" w:cs="Arial"/>
                <w:sz w:val="10"/>
                <w:szCs w:val="10"/>
              </w:rPr>
              <w:t>9 472</w:t>
            </w:r>
            <w:r w:rsidR="00162E2C">
              <w:rPr>
                <w:rFonts w:ascii="Arial" w:hAnsi="Arial" w:cs="Arial"/>
                <w:sz w:val="10"/>
                <w:szCs w:val="10"/>
              </w:rPr>
              <w:t> </w:t>
            </w:r>
            <w:r w:rsidRPr="008340BB">
              <w:rPr>
                <w:rFonts w:ascii="Arial" w:hAnsi="Arial" w:cs="Arial"/>
                <w:sz w:val="10"/>
                <w:szCs w:val="10"/>
              </w:rPr>
              <w:t>492</w:t>
            </w:r>
            <w:r w:rsidR="00162E2C">
              <w:rPr>
                <w:rFonts w:ascii="Arial" w:hAnsi="Arial" w:cs="Arial"/>
                <w:sz w:val="10"/>
                <w:szCs w:val="10"/>
              </w:rPr>
              <w:t>.</w:t>
            </w:r>
            <w:r w:rsidR="003B7495">
              <w:rPr>
                <w:rFonts w:ascii="Arial" w:hAnsi="Arial" w:cs="Arial"/>
                <w:sz w:val="10"/>
                <w:szCs w:val="10"/>
              </w:rPr>
              <w:t>00</w:t>
            </w:r>
          </w:p>
        </w:tc>
        <w:tc>
          <w:tcPr>
            <w:tcW w:w="267" w:type="pct"/>
          </w:tcPr>
          <w:p w14:paraId="21800C29" w14:textId="77777777" w:rsidR="00F1341F" w:rsidRPr="008340BB" w:rsidRDefault="00F1341F" w:rsidP="003B7495">
            <w:pPr>
              <w:snapToGrid w:val="0"/>
              <w:jc w:val="right"/>
              <w:rPr>
                <w:rFonts w:ascii="Arial" w:hAnsi="Arial" w:cs="Arial"/>
                <w:sz w:val="10"/>
                <w:szCs w:val="10"/>
              </w:rPr>
            </w:pPr>
            <w:r w:rsidRPr="008340BB">
              <w:rPr>
                <w:rFonts w:ascii="Arial" w:hAnsi="Arial" w:cs="Arial"/>
                <w:sz w:val="10"/>
                <w:szCs w:val="10"/>
              </w:rPr>
              <w:t>154 661</w:t>
            </w:r>
            <w:r w:rsidR="00532556">
              <w:rPr>
                <w:rFonts w:ascii="Arial" w:hAnsi="Arial" w:cs="Arial"/>
                <w:sz w:val="10"/>
                <w:szCs w:val="10"/>
              </w:rPr>
              <w:t> </w:t>
            </w:r>
            <w:r w:rsidRPr="008340BB">
              <w:rPr>
                <w:rFonts w:ascii="Arial" w:hAnsi="Arial" w:cs="Arial"/>
                <w:sz w:val="10"/>
                <w:szCs w:val="10"/>
              </w:rPr>
              <w:t>752</w:t>
            </w:r>
            <w:r w:rsidR="00532556">
              <w:rPr>
                <w:rFonts w:ascii="Arial" w:hAnsi="Arial" w:cs="Arial"/>
                <w:sz w:val="10"/>
                <w:szCs w:val="10"/>
              </w:rPr>
              <w:t>.</w:t>
            </w:r>
            <w:r w:rsidR="003B7495">
              <w:rPr>
                <w:rFonts w:ascii="Arial" w:hAnsi="Arial" w:cs="Arial"/>
                <w:sz w:val="10"/>
                <w:szCs w:val="10"/>
              </w:rPr>
              <w:t>00</w:t>
            </w:r>
          </w:p>
        </w:tc>
        <w:tc>
          <w:tcPr>
            <w:tcW w:w="269" w:type="pct"/>
          </w:tcPr>
          <w:p w14:paraId="485F3532" w14:textId="77777777" w:rsidR="00F1341F" w:rsidRPr="008340BB" w:rsidRDefault="00F1341F" w:rsidP="003B7495">
            <w:pPr>
              <w:snapToGrid w:val="0"/>
              <w:jc w:val="right"/>
              <w:rPr>
                <w:rFonts w:ascii="Arial" w:hAnsi="Arial" w:cs="Arial"/>
                <w:sz w:val="10"/>
                <w:szCs w:val="10"/>
              </w:rPr>
            </w:pPr>
            <w:r w:rsidRPr="008340BB">
              <w:rPr>
                <w:rFonts w:ascii="Arial" w:hAnsi="Arial" w:cs="Arial"/>
                <w:sz w:val="10"/>
                <w:szCs w:val="10"/>
              </w:rPr>
              <w:t>9 872</w:t>
            </w:r>
            <w:r w:rsidR="00423896">
              <w:rPr>
                <w:rFonts w:ascii="Arial" w:hAnsi="Arial" w:cs="Arial"/>
                <w:sz w:val="10"/>
                <w:szCs w:val="10"/>
              </w:rPr>
              <w:t> </w:t>
            </w:r>
            <w:r w:rsidRPr="008340BB">
              <w:rPr>
                <w:rFonts w:ascii="Arial" w:hAnsi="Arial" w:cs="Arial"/>
                <w:sz w:val="10"/>
                <w:szCs w:val="10"/>
              </w:rPr>
              <w:t>02</w:t>
            </w:r>
            <w:r w:rsidR="003B7495">
              <w:rPr>
                <w:rFonts w:ascii="Arial" w:hAnsi="Arial" w:cs="Arial"/>
                <w:sz w:val="10"/>
                <w:szCs w:val="10"/>
              </w:rPr>
              <w:t>7</w:t>
            </w:r>
            <w:r w:rsidR="00423896">
              <w:rPr>
                <w:rFonts w:ascii="Arial" w:hAnsi="Arial" w:cs="Arial"/>
                <w:sz w:val="10"/>
                <w:szCs w:val="10"/>
              </w:rPr>
              <w:t>.</w:t>
            </w:r>
            <w:r w:rsidR="003B7495">
              <w:rPr>
                <w:rFonts w:ascii="Arial" w:hAnsi="Arial" w:cs="Arial"/>
                <w:sz w:val="10"/>
                <w:szCs w:val="10"/>
              </w:rPr>
              <w:t>00</w:t>
            </w:r>
          </w:p>
        </w:tc>
        <w:tc>
          <w:tcPr>
            <w:tcW w:w="342" w:type="pct"/>
          </w:tcPr>
          <w:p w14:paraId="078890C4" w14:textId="77777777" w:rsidR="00F1341F" w:rsidRPr="008340BB" w:rsidRDefault="00F1341F" w:rsidP="007E7F19">
            <w:pPr>
              <w:snapToGrid w:val="0"/>
              <w:jc w:val="right"/>
              <w:rPr>
                <w:rFonts w:ascii="Arial" w:hAnsi="Arial" w:cs="Arial"/>
                <w:sz w:val="10"/>
                <w:szCs w:val="10"/>
              </w:rPr>
            </w:pPr>
            <w:r w:rsidRPr="008340BB">
              <w:rPr>
                <w:rFonts w:ascii="Arial" w:hAnsi="Arial" w:cs="Arial"/>
                <w:sz w:val="10"/>
                <w:szCs w:val="10"/>
              </w:rPr>
              <w:t>160 539</w:t>
            </w:r>
            <w:r w:rsidR="00187812">
              <w:rPr>
                <w:rFonts w:ascii="Arial" w:hAnsi="Arial" w:cs="Arial"/>
                <w:sz w:val="10"/>
                <w:szCs w:val="10"/>
              </w:rPr>
              <w:t> </w:t>
            </w:r>
            <w:r w:rsidRPr="008340BB">
              <w:rPr>
                <w:rFonts w:ascii="Arial" w:hAnsi="Arial" w:cs="Arial"/>
                <w:sz w:val="10"/>
                <w:szCs w:val="10"/>
              </w:rPr>
              <w:t>867</w:t>
            </w:r>
            <w:r w:rsidR="00187812">
              <w:rPr>
                <w:rFonts w:ascii="Arial" w:hAnsi="Arial" w:cs="Arial"/>
                <w:sz w:val="10"/>
                <w:szCs w:val="10"/>
              </w:rPr>
              <w:t>.</w:t>
            </w:r>
            <w:r w:rsidR="007E7F19">
              <w:rPr>
                <w:rFonts w:ascii="Arial" w:hAnsi="Arial" w:cs="Arial"/>
                <w:sz w:val="10"/>
                <w:szCs w:val="10"/>
              </w:rPr>
              <w:t>00</w:t>
            </w:r>
          </w:p>
        </w:tc>
        <w:tc>
          <w:tcPr>
            <w:tcW w:w="298" w:type="pct"/>
          </w:tcPr>
          <w:p w14:paraId="1D265B43" w14:textId="77777777" w:rsidR="00F1341F" w:rsidRPr="008340BB" w:rsidRDefault="00F1341F" w:rsidP="007E7F19">
            <w:pPr>
              <w:snapToGrid w:val="0"/>
              <w:jc w:val="right"/>
              <w:rPr>
                <w:rFonts w:ascii="Arial" w:hAnsi="Arial" w:cs="Arial"/>
                <w:sz w:val="10"/>
                <w:szCs w:val="10"/>
              </w:rPr>
            </w:pPr>
            <w:r w:rsidRPr="008340BB">
              <w:rPr>
                <w:rFonts w:ascii="Arial" w:hAnsi="Arial" w:cs="Arial"/>
                <w:sz w:val="10"/>
                <w:szCs w:val="10"/>
              </w:rPr>
              <w:t>10 247</w:t>
            </w:r>
            <w:r w:rsidR="00DB5F23">
              <w:rPr>
                <w:rFonts w:ascii="Arial" w:hAnsi="Arial" w:cs="Arial"/>
                <w:sz w:val="10"/>
                <w:szCs w:val="10"/>
              </w:rPr>
              <w:t> </w:t>
            </w:r>
            <w:r w:rsidRPr="008340BB">
              <w:rPr>
                <w:rFonts w:ascii="Arial" w:hAnsi="Arial" w:cs="Arial"/>
                <w:sz w:val="10"/>
                <w:szCs w:val="10"/>
              </w:rPr>
              <w:t>22</w:t>
            </w:r>
            <w:r w:rsidR="007E7F19">
              <w:rPr>
                <w:rFonts w:ascii="Arial" w:hAnsi="Arial" w:cs="Arial"/>
                <w:sz w:val="10"/>
                <w:szCs w:val="10"/>
              </w:rPr>
              <w:t>6</w:t>
            </w:r>
            <w:r w:rsidR="00DB5F23">
              <w:rPr>
                <w:rFonts w:ascii="Arial" w:hAnsi="Arial" w:cs="Arial"/>
                <w:sz w:val="10"/>
                <w:szCs w:val="10"/>
              </w:rPr>
              <w:t>.</w:t>
            </w:r>
            <w:r w:rsidR="007E7F19">
              <w:rPr>
                <w:rFonts w:ascii="Arial" w:hAnsi="Arial" w:cs="Arial"/>
                <w:sz w:val="10"/>
                <w:szCs w:val="10"/>
              </w:rPr>
              <w:t>00</w:t>
            </w:r>
          </w:p>
        </w:tc>
        <w:tc>
          <w:tcPr>
            <w:tcW w:w="313" w:type="pct"/>
          </w:tcPr>
          <w:p w14:paraId="6387EBAF" w14:textId="77777777" w:rsidR="00F1341F" w:rsidRPr="008340BB" w:rsidRDefault="00F1341F" w:rsidP="007E7F19">
            <w:pPr>
              <w:snapToGrid w:val="0"/>
              <w:jc w:val="right"/>
              <w:rPr>
                <w:rFonts w:ascii="Arial" w:hAnsi="Arial" w:cs="Arial"/>
                <w:sz w:val="10"/>
                <w:szCs w:val="10"/>
              </w:rPr>
            </w:pPr>
            <w:r w:rsidRPr="008340BB">
              <w:rPr>
                <w:rFonts w:ascii="Arial" w:hAnsi="Arial" w:cs="Arial"/>
                <w:sz w:val="10"/>
                <w:szCs w:val="10"/>
              </w:rPr>
              <w:t>166 578</w:t>
            </w:r>
            <w:r w:rsidR="00673053">
              <w:rPr>
                <w:rFonts w:ascii="Arial" w:hAnsi="Arial" w:cs="Arial"/>
                <w:sz w:val="10"/>
                <w:szCs w:val="10"/>
              </w:rPr>
              <w:t> </w:t>
            </w:r>
            <w:r w:rsidRPr="008340BB">
              <w:rPr>
                <w:rFonts w:ascii="Arial" w:hAnsi="Arial" w:cs="Arial"/>
                <w:sz w:val="10"/>
                <w:szCs w:val="10"/>
              </w:rPr>
              <w:t>81</w:t>
            </w:r>
            <w:r w:rsidR="007E7F19">
              <w:rPr>
                <w:rFonts w:ascii="Arial" w:hAnsi="Arial" w:cs="Arial"/>
                <w:sz w:val="10"/>
                <w:szCs w:val="10"/>
              </w:rPr>
              <w:t>2</w:t>
            </w:r>
            <w:r w:rsidR="00673053">
              <w:rPr>
                <w:rFonts w:ascii="Arial" w:hAnsi="Arial" w:cs="Arial"/>
                <w:sz w:val="10"/>
                <w:szCs w:val="10"/>
              </w:rPr>
              <w:t>.</w:t>
            </w:r>
            <w:r w:rsidR="007E7F19">
              <w:rPr>
                <w:rFonts w:ascii="Arial" w:hAnsi="Arial" w:cs="Arial"/>
                <w:sz w:val="10"/>
                <w:szCs w:val="10"/>
              </w:rPr>
              <w:t>00</w:t>
            </w:r>
          </w:p>
        </w:tc>
        <w:tc>
          <w:tcPr>
            <w:tcW w:w="269" w:type="pct"/>
          </w:tcPr>
          <w:p w14:paraId="70698A50" w14:textId="77777777" w:rsidR="00F1341F" w:rsidRPr="008340BB" w:rsidRDefault="00F1341F" w:rsidP="007E7F19">
            <w:pPr>
              <w:snapToGrid w:val="0"/>
              <w:jc w:val="right"/>
              <w:rPr>
                <w:rFonts w:ascii="Arial" w:hAnsi="Arial" w:cs="Arial"/>
                <w:sz w:val="10"/>
                <w:szCs w:val="10"/>
              </w:rPr>
            </w:pPr>
            <w:r w:rsidRPr="008340BB">
              <w:rPr>
                <w:rFonts w:ascii="Arial" w:hAnsi="Arial" w:cs="Arial"/>
                <w:sz w:val="10"/>
                <w:szCs w:val="10"/>
              </w:rPr>
              <w:t>10 632</w:t>
            </w:r>
            <w:r w:rsidR="003C34C3">
              <w:rPr>
                <w:rFonts w:ascii="Arial" w:hAnsi="Arial" w:cs="Arial"/>
                <w:sz w:val="10"/>
                <w:szCs w:val="10"/>
              </w:rPr>
              <w:t> </w:t>
            </w:r>
            <w:r w:rsidRPr="008340BB">
              <w:rPr>
                <w:rFonts w:ascii="Arial" w:hAnsi="Arial" w:cs="Arial"/>
                <w:sz w:val="10"/>
                <w:szCs w:val="10"/>
              </w:rPr>
              <w:t>690</w:t>
            </w:r>
            <w:r w:rsidR="003C34C3">
              <w:rPr>
                <w:rFonts w:ascii="Arial" w:hAnsi="Arial" w:cs="Arial"/>
                <w:sz w:val="10"/>
                <w:szCs w:val="10"/>
              </w:rPr>
              <w:t>.</w:t>
            </w:r>
            <w:r w:rsidR="007E7F19">
              <w:rPr>
                <w:rFonts w:ascii="Arial" w:hAnsi="Arial" w:cs="Arial"/>
                <w:sz w:val="10"/>
                <w:szCs w:val="10"/>
              </w:rPr>
              <w:t>00</w:t>
            </w:r>
          </w:p>
        </w:tc>
        <w:tc>
          <w:tcPr>
            <w:tcW w:w="267" w:type="pct"/>
          </w:tcPr>
          <w:p w14:paraId="6239E556" w14:textId="77777777" w:rsidR="00916F00" w:rsidRPr="00916F00" w:rsidRDefault="00916F00" w:rsidP="00916F00">
            <w:pPr>
              <w:snapToGrid w:val="0"/>
              <w:jc w:val="right"/>
              <w:rPr>
                <w:rFonts w:ascii="Arial" w:hAnsi="Arial" w:cs="Arial"/>
                <w:sz w:val="10"/>
                <w:szCs w:val="10"/>
                <w:lang w:val="bg-BG"/>
              </w:rPr>
            </w:pPr>
            <w:r w:rsidRPr="00916F00">
              <w:rPr>
                <w:rFonts w:ascii="Arial" w:hAnsi="Arial" w:cs="Arial"/>
                <w:sz w:val="10"/>
                <w:szCs w:val="10"/>
                <w:lang w:val="bg-BG"/>
              </w:rPr>
              <w:t>109 282 317,00</w:t>
            </w:r>
          </w:p>
          <w:p w14:paraId="1BEC14ED" w14:textId="73201912" w:rsidR="007F7171" w:rsidRPr="008340BB" w:rsidRDefault="007F7171" w:rsidP="007F7171">
            <w:pPr>
              <w:snapToGrid w:val="0"/>
              <w:jc w:val="center"/>
              <w:rPr>
                <w:rFonts w:ascii="Arial" w:hAnsi="Arial" w:cs="Arial"/>
                <w:sz w:val="10"/>
                <w:szCs w:val="10"/>
              </w:rPr>
            </w:pPr>
          </w:p>
        </w:tc>
        <w:tc>
          <w:tcPr>
            <w:tcW w:w="269" w:type="pct"/>
          </w:tcPr>
          <w:p w14:paraId="4AEB974C" w14:textId="77777777" w:rsidR="00F1341F" w:rsidRPr="008340BB" w:rsidRDefault="00F1341F" w:rsidP="007E7F19">
            <w:pPr>
              <w:snapToGrid w:val="0"/>
              <w:jc w:val="right"/>
              <w:rPr>
                <w:rFonts w:ascii="Arial" w:hAnsi="Arial" w:cs="Arial"/>
                <w:sz w:val="10"/>
                <w:szCs w:val="10"/>
              </w:rPr>
            </w:pPr>
            <w:r w:rsidRPr="008340BB">
              <w:rPr>
                <w:rFonts w:ascii="Arial" w:hAnsi="Arial" w:cs="Arial"/>
                <w:sz w:val="10"/>
                <w:szCs w:val="10"/>
              </w:rPr>
              <w:t>10 967</w:t>
            </w:r>
            <w:r w:rsidR="00C9118C">
              <w:rPr>
                <w:rFonts w:ascii="Arial" w:hAnsi="Arial" w:cs="Arial"/>
                <w:sz w:val="10"/>
                <w:szCs w:val="10"/>
              </w:rPr>
              <w:t> </w:t>
            </w:r>
            <w:r w:rsidRPr="008340BB">
              <w:rPr>
                <w:rFonts w:ascii="Arial" w:hAnsi="Arial" w:cs="Arial"/>
                <w:sz w:val="10"/>
                <w:szCs w:val="10"/>
              </w:rPr>
              <w:t>63</w:t>
            </w:r>
            <w:r w:rsidR="007E7F19">
              <w:rPr>
                <w:rFonts w:ascii="Arial" w:hAnsi="Arial" w:cs="Arial"/>
                <w:sz w:val="10"/>
                <w:szCs w:val="10"/>
              </w:rPr>
              <w:t>3</w:t>
            </w:r>
            <w:r w:rsidR="00C9118C">
              <w:rPr>
                <w:rFonts w:ascii="Arial" w:hAnsi="Arial" w:cs="Arial"/>
                <w:sz w:val="10"/>
                <w:szCs w:val="10"/>
              </w:rPr>
              <w:t>.</w:t>
            </w:r>
            <w:r w:rsidR="007E7F19">
              <w:rPr>
                <w:rFonts w:ascii="Arial" w:hAnsi="Arial" w:cs="Arial"/>
                <w:sz w:val="10"/>
                <w:szCs w:val="10"/>
              </w:rPr>
              <w:t>00</w:t>
            </w:r>
          </w:p>
        </w:tc>
        <w:tc>
          <w:tcPr>
            <w:tcW w:w="239" w:type="pct"/>
          </w:tcPr>
          <w:p w14:paraId="4B181839" w14:textId="1E92B6B1" w:rsidR="00F1341F" w:rsidRPr="008340BB" w:rsidRDefault="00250DF3" w:rsidP="004E05BD">
            <w:pPr>
              <w:ind w:hanging="13"/>
              <w:jc w:val="center"/>
              <w:rPr>
                <w:rFonts w:ascii="Arial" w:hAnsi="Arial" w:cs="Arial"/>
                <w:sz w:val="10"/>
                <w:szCs w:val="10"/>
              </w:rPr>
            </w:pPr>
            <w:r w:rsidRPr="00250DF3">
              <w:rPr>
                <w:rFonts w:ascii="Arial" w:hAnsi="Arial" w:cs="Arial"/>
                <w:sz w:val="10"/>
                <w:szCs w:val="10"/>
                <w:lang w:val="bg-BG"/>
              </w:rPr>
              <w:t>1 013 462 098,00</w:t>
            </w:r>
          </w:p>
        </w:tc>
        <w:tc>
          <w:tcPr>
            <w:tcW w:w="293" w:type="pct"/>
          </w:tcPr>
          <w:p w14:paraId="766625D6" w14:textId="77777777" w:rsidR="00F1341F" w:rsidRPr="008340BB" w:rsidRDefault="00F1341F" w:rsidP="007E7F19">
            <w:pPr>
              <w:jc w:val="right"/>
              <w:rPr>
                <w:rFonts w:ascii="Arial" w:hAnsi="Arial" w:cs="Arial"/>
                <w:sz w:val="10"/>
                <w:szCs w:val="10"/>
              </w:rPr>
            </w:pPr>
            <w:r w:rsidRPr="008340BB">
              <w:rPr>
                <w:rFonts w:ascii="Arial" w:hAnsi="Arial" w:cs="Arial"/>
                <w:sz w:val="10"/>
                <w:szCs w:val="10"/>
              </w:rPr>
              <w:t>68 681</w:t>
            </w:r>
            <w:r w:rsidR="00D9508F">
              <w:rPr>
                <w:rFonts w:ascii="Arial" w:hAnsi="Arial" w:cs="Arial"/>
                <w:sz w:val="10"/>
                <w:szCs w:val="10"/>
              </w:rPr>
              <w:t> </w:t>
            </w:r>
            <w:r w:rsidRPr="008340BB">
              <w:rPr>
                <w:rFonts w:ascii="Arial" w:hAnsi="Arial" w:cs="Arial"/>
                <w:sz w:val="10"/>
                <w:szCs w:val="10"/>
              </w:rPr>
              <w:t>23</w:t>
            </w:r>
            <w:r w:rsidR="007E7F19">
              <w:rPr>
                <w:rFonts w:ascii="Arial" w:hAnsi="Arial" w:cs="Arial"/>
                <w:sz w:val="10"/>
                <w:szCs w:val="10"/>
              </w:rPr>
              <w:t>6</w:t>
            </w:r>
            <w:r w:rsidR="00D9508F">
              <w:rPr>
                <w:rFonts w:ascii="Arial" w:hAnsi="Arial" w:cs="Arial"/>
                <w:sz w:val="10"/>
                <w:szCs w:val="10"/>
              </w:rPr>
              <w:t>.</w:t>
            </w:r>
            <w:r w:rsidR="007E7F19">
              <w:rPr>
                <w:rFonts w:ascii="Arial" w:hAnsi="Arial" w:cs="Arial"/>
                <w:sz w:val="10"/>
                <w:szCs w:val="10"/>
              </w:rPr>
              <w:t>00</w:t>
            </w:r>
          </w:p>
        </w:tc>
      </w:tr>
      <w:tr w:rsidR="00834ACE" w:rsidRPr="008340BB" w14:paraId="0474D019" w14:textId="77777777" w:rsidTr="00F54F5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25"/>
        </w:trPr>
        <w:tc>
          <w:tcPr>
            <w:tcW w:w="91" w:type="pct"/>
          </w:tcPr>
          <w:p w14:paraId="21A39D64" w14:textId="77777777" w:rsidR="00F1341F" w:rsidRPr="008340BB" w:rsidRDefault="00F1341F" w:rsidP="001B2954">
            <w:pPr>
              <w:snapToGrid w:val="0"/>
              <w:rPr>
                <w:b/>
                <w:sz w:val="10"/>
                <w:szCs w:val="10"/>
              </w:rPr>
            </w:pPr>
            <w:r w:rsidRPr="008340BB">
              <w:rPr>
                <w:sz w:val="10"/>
                <w:szCs w:val="10"/>
              </w:rPr>
              <w:t>3</w:t>
            </w:r>
          </w:p>
        </w:tc>
        <w:tc>
          <w:tcPr>
            <w:tcW w:w="273" w:type="pct"/>
          </w:tcPr>
          <w:p w14:paraId="1CD9C339" w14:textId="77777777" w:rsidR="00F1341F" w:rsidRPr="008340BB" w:rsidRDefault="00F1341F" w:rsidP="001B2954">
            <w:pPr>
              <w:snapToGrid w:val="0"/>
              <w:rPr>
                <w:b/>
                <w:sz w:val="10"/>
                <w:szCs w:val="10"/>
              </w:rPr>
            </w:pPr>
            <w:r w:rsidRPr="008340BB">
              <w:rPr>
                <w:b/>
                <w:sz w:val="13"/>
                <w:szCs w:val="13"/>
              </w:rPr>
              <w:t>Total</w:t>
            </w:r>
          </w:p>
        </w:tc>
        <w:tc>
          <w:tcPr>
            <w:tcW w:w="176" w:type="pct"/>
          </w:tcPr>
          <w:p w14:paraId="69231687" w14:textId="77777777" w:rsidR="00F1341F" w:rsidRPr="008340BB" w:rsidRDefault="00F1341F" w:rsidP="001B2954">
            <w:pPr>
              <w:snapToGrid w:val="0"/>
              <w:rPr>
                <w:b/>
                <w:sz w:val="10"/>
                <w:szCs w:val="10"/>
              </w:rPr>
            </w:pPr>
          </w:p>
        </w:tc>
        <w:tc>
          <w:tcPr>
            <w:tcW w:w="281" w:type="pct"/>
          </w:tcPr>
          <w:p w14:paraId="02243B6C" w14:textId="77777777" w:rsidR="00F1341F" w:rsidRPr="008340BB" w:rsidRDefault="00F1341F" w:rsidP="00BD2200">
            <w:pPr>
              <w:snapToGrid w:val="0"/>
              <w:jc w:val="right"/>
              <w:rPr>
                <w:rFonts w:ascii="Arial" w:hAnsi="Arial" w:cs="Arial"/>
                <w:b/>
                <w:bCs/>
                <w:sz w:val="10"/>
                <w:szCs w:val="10"/>
                <w:lang w:eastAsia="bg-BG"/>
              </w:rPr>
            </w:pPr>
            <w:r w:rsidRPr="008340BB">
              <w:rPr>
                <w:rFonts w:ascii="Arial" w:hAnsi="Arial" w:cs="Arial"/>
                <w:b/>
                <w:bCs/>
                <w:sz w:val="10"/>
                <w:szCs w:val="10"/>
                <w:lang w:eastAsia="bg-BG"/>
              </w:rPr>
              <w:t>187 162</w:t>
            </w:r>
            <w:r w:rsidR="00C6029C">
              <w:rPr>
                <w:rFonts w:ascii="Arial" w:hAnsi="Arial" w:cs="Arial"/>
                <w:b/>
                <w:bCs/>
                <w:sz w:val="10"/>
                <w:szCs w:val="10"/>
                <w:lang w:eastAsia="bg-BG"/>
              </w:rPr>
              <w:t> </w:t>
            </w:r>
            <w:r w:rsidRPr="008340BB">
              <w:rPr>
                <w:rFonts w:ascii="Arial" w:hAnsi="Arial" w:cs="Arial"/>
                <w:b/>
                <w:bCs/>
                <w:sz w:val="10"/>
                <w:szCs w:val="10"/>
                <w:lang w:eastAsia="bg-BG"/>
              </w:rPr>
              <w:t>645</w:t>
            </w:r>
            <w:r w:rsidR="00C6029C">
              <w:rPr>
                <w:rFonts w:ascii="Arial" w:hAnsi="Arial" w:cs="Arial"/>
                <w:b/>
                <w:bCs/>
                <w:sz w:val="10"/>
                <w:szCs w:val="10"/>
                <w:lang w:eastAsia="bg-BG"/>
              </w:rPr>
              <w:t>.</w:t>
            </w:r>
            <w:r w:rsidR="00BD2200">
              <w:rPr>
                <w:rFonts w:ascii="Arial" w:hAnsi="Arial" w:cs="Arial"/>
                <w:b/>
                <w:bCs/>
                <w:sz w:val="10"/>
                <w:szCs w:val="10"/>
                <w:lang w:eastAsia="bg-BG"/>
              </w:rPr>
              <w:t>00</w:t>
            </w:r>
          </w:p>
        </w:tc>
        <w:tc>
          <w:tcPr>
            <w:tcW w:w="280" w:type="pct"/>
          </w:tcPr>
          <w:p w14:paraId="430853CF" w14:textId="77777777" w:rsidR="00F1341F" w:rsidRPr="008340BB" w:rsidRDefault="00F1341F" w:rsidP="00BD2200">
            <w:pPr>
              <w:snapToGrid w:val="0"/>
              <w:jc w:val="right"/>
              <w:rPr>
                <w:rFonts w:ascii="Arial" w:hAnsi="Arial" w:cs="Arial"/>
                <w:b/>
                <w:bCs/>
                <w:sz w:val="10"/>
                <w:szCs w:val="10"/>
                <w:lang w:eastAsia="bg-BG"/>
              </w:rPr>
            </w:pPr>
            <w:r w:rsidRPr="008340BB">
              <w:rPr>
                <w:rFonts w:ascii="Arial" w:hAnsi="Arial" w:cs="Arial"/>
                <w:b/>
                <w:bCs/>
                <w:sz w:val="10"/>
                <w:szCs w:val="10"/>
                <w:lang w:eastAsia="bg-BG"/>
              </w:rPr>
              <w:t>11 946 55</w:t>
            </w:r>
            <w:r w:rsidR="008A6436">
              <w:rPr>
                <w:rFonts w:ascii="Arial" w:hAnsi="Arial" w:cs="Arial"/>
                <w:b/>
                <w:bCs/>
                <w:sz w:val="10"/>
                <w:szCs w:val="10"/>
                <w:lang w:eastAsia="bg-BG"/>
              </w:rPr>
              <w:t>2</w:t>
            </w:r>
            <w:r w:rsidR="00697930">
              <w:rPr>
                <w:rFonts w:ascii="Arial" w:hAnsi="Arial" w:cs="Arial"/>
                <w:b/>
                <w:bCs/>
                <w:sz w:val="10"/>
                <w:szCs w:val="10"/>
                <w:lang w:eastAsia="bg-BG"/>
              </w:rPr>
              <w:t>.</w:t>
            </w:r>
            <w:r w:rsidR="00BD2200">
              <w:rPr>
                <w:rFonts w:ascii="Arial" w:hAnsi="Arial" w:cs="Arial"/>
                <w:b/>
                <w:bCs/>
                <w:sz w:val="10"/>
                <w:szCs w:val="10"/>
                <w:lang w:eastAsia="bg-BG"/>
              </w:rPr>
              <w:t>00</w:t>
            </w:r>
          </w:p>
        </w:tc>
        <w:tc>
          <w:tcPr>
            <w:tcW w:w="267" w:type="pct"/>
          </w:tcPr>
          <w:p w14:paraId="3184012C" w14:textId="77777777" w:rsidR="00F1341F" w:rsidRPr="008340BB" w:rsidRDefault="00C10590" w:rsidP="00276ED1">
            <w:pPr>
              <w:snapToGrid w:val="0"/>
              <w:rPr>
                <w:rFonts w:ascii="Arial" w:hAnsi="Arial" w:cs="Arial"/>
                <w:b/>
                <w:bCs/>
                <w:sz w:val="10"/>
                <w:szCs w:val="10"/>
                <w:lang w:eastAsia="bg-BG"/>
              </w:rPr>
            </w:pPr>
            <w:r>
              <w:rPr>
                <w:rFonts w:ascii="Arial" w:hAnsi="Arial" w:cs="Arial"/>
                <w:b/>
                <w:bCs/>
                <w:sz w:val="10"/>
                <w:szCs w:val="10"/>
                <w:lang w:val="en-US" w:eastAsia="bg-BG"/>
              </w:rPr>
              <w:t xml:space="preserve">197 113 329.00 </w:t>
            </w:r>
            <w:r w:rsidR="003E26FB">
              <w:rPr>
                <w:rFonts w:ascii="Arial" w:hAnsi="Arial" w:cs="Arial"/>
                <w:b/>
                <w:bCs/>
                <w:sz w:val="10"/>
                <w:szCs w:val="10"/>
                <w:lang w:val="bg-BG" w:eastAsia="bg-BG"/>
              </w:rPr>
              <w:t xml:space="preserve"> </w:t>
            </w:r>
          </w:p>
        </w:tc>
        <w:tc>
          <w:tcPr>
            <w:tcW w:w="270" w:type="pct"/>
          </w:tcPr>
          <w:p w14:paraId="302DBEB7" w14:textId="77777777" w:rsidR="00F1341F" w:rsidRPr="008340BB" w:rsidRDefault="00C10590" w:rsidP="00276ED1">
            <w:pPr>
              <w:snapToGrid w:val="0"/>
              <w:rPr>
                <w:rFonts w:ascii="Arial" w:hAnsi="Arial" w:cs="Arial"/>
                <w:b/>
                <w:bCs/>
                <w:sz w:val="10"/>
                <w:szCs w:val="10"/>
                <w:lang w:eastAsia="bg-BG"/>
              </w:rPr>
            </w:pPr>
            <w:r>
              <w:rPr>
                <w:rFonts w:ascii="Arial" w:hAnsi="Arial" w:cs="Arial"/>
                <w:b/>
                <w:bCs/>
                <w:sz w:val="10"/>
                <w:szCs w:val="10"/>
                <w:lang w:val="en-US" w:eastAsia="bg-BG"/>
              </w:rPr>
              <w:t xml:space="preserve">12 581 702.00 </w:t>
            </w:r>
            <w:r w:rsidR="000D74D4">
              <w:rPr>
                <w:rFonts w:ascii="Arial" w:hAnsi="Arial" w:cs="Arial"/>
                <w:b/>
                <w:bCs/>
                <w:sz w:val="10"/>
                <w:szCs w:val="10"/>
                <w:lang w:val="bg-BG" w:eastAsia="bg-BG"/>
              </w:rPr>
              <w:t xml:space="preserve"> </w:t>
            </w:r>
          </w:p>
        </w:tc>
        <w:tc>
          <w:tcPr>
            <w:tcW w:w="267" w:type="pct"/>
          </w:tcPr>
          <w:p w14:paraId="65FA4221" w14:textId="77777777" w:rsidR="00F1341F" w:rsidRPr="00276ED1" w:rsidRDefault="00EF52C3" w:rsidP="00E82214">
            <w:pPr>
              <w:snapToGrid w:val="0"/>
              <w:jc w:val="right"/>
              <w:rPr>
                <w:rFonts w:ascii="Arial" w:hAnsi="Arial" w:cs="Arial"/>
                <w:b/>
                <w:bCs/>
                <w:sz w:val="10"/>
                <w:szCs w:val="10"/>
                <w:lang w:val="bg-BG" w:eastAsia="bg-BG"/>
              </w:rPr>
            </w:pPr>
            <w:r>
              <w:rPr>
                <w:rFonts w:ascii="Arial" w:hAnsi="Arial" w:cs="Arial"/>
                <w:b/>
                <w:bCs/>
                <w:sz w:val="10"/>
                <w:szCs w:val="10"/>
                <w:lang w:val="en-US" w:eastAsia="bg-BG"/>
              </w:rPr>
              <w:t xml:space="preserve">231 433 083.00 </w:t>
            </w:r>
            <w:r w:rsidR="008F752F">
              <w:rPr>
                <w:rFonts w:ascii="Arial" w:hAnsi="Arial" w:cs="Arial"/>
                <w:b/>
                <w:bCs/>
                <w:sz w:val="10"/>
                <w:szCs w:val="10"/>
                <w:lang w:val="bg-BG" w:eastAsia="bg-BG"/>
              </w:rPr>
              <w:t xml:space="preserve"> </w:t>
            </w:r>
          </w:p>
        </w:tc>
        <w:tc>
          <w:tcPr>
            <w:tcW w:w="269" w:type="pct"/>
          </w:tcPr>
          <w:p w14:paraId="4CC7C90C" w14:textId="77777777" w:rsidR="00F1341F" w:rsidRPr="00276ED1" w:rsidRDefault="00D804B7" w:rsidP="00E82214">
            <w:pPr>
              <w:snapToGrid w:val="0"/>
              <w:jc w:val="right"/>
              <w:rPr>
                <w:rFonts w:ascii="Arial" w:hAnsi="Arial" w:cs="Arial"/>
                <w:b/>
                <w:bCs/>
                <w:sz w:val="10"/>
                <w:szCs w:val="10"/>
                <w:lang w:val="bg-BG" w:eastAsia="bg-BG"/>
              </w:rPr>
            </w:pPr>
            <w:r>
              <w:rPr>
                <w:rFonts w:ascii="Arial" w:hAnsi="Arial" w:cs="Arial"/>
                <w:b/>
                <w:bCs/>
                <w:sz w:val="10"/>
                <w:szCs w:val="10"/>
                <w:lang w:val="en-US" w:eastAsia="bg-BG"/>
              </w:rPr>
              <w:t xml:space="preserve">14 772 324.00 </w:t>
            </w:r>
            <w:r w:rsidR="005A6A47">
              <w:rPr>
                <w:rFonts w:ascii="Arial" w:hAnsi="Arial" w:cs="Arial"/>
                <w:b/>
                <w:bCs/>
                <w:sz w:val="10"/>
                <w:szCs w:val="10"/>
                <w:lang w:val="bg-BG" w:eastAsia="bg-BG"/>
              </w:rPr>
              <w:t xml:space="preserve"> </w:t>
            </w:r>
          </w:p>
        </w:tc>
        <w:tc>
          <w:tcPr>
            <w:tcW w:w="267" w:type="pct"/>
          </w:tcPr>
          <w:p w14:paraId="2778C221" w14:textId="77777777" w:rsidR="00F1341F" w:rsidRPr="00276ED1" w:rsidRDefault="002A4FBD" w:rsidP="00276ED1">
            <w:pPr>
              <w:snapToGrid w:val="0"/>
              <w:rPr>
                <w:rFonts w:ascii="Arial" w:hAnsi="Arial" w:cs="Arial"/>
                <w:b/>
                <w:bCs/>
                <w:sz w:val="10"/>
                <w:szCs w:val="10"/>
                <w:lang w:val="bg-BG" w:eastAsia="bg-BG"/>
              </w:rPr>
            </w:pPr>
            <w:r>
              <w:rPr>
                <w:rFonts w:ascii="Arial" w:hAnsi="Arial" w:cs="Arial"/>
                <w:b/>
                <w:bCs/>
                <w:sz w:val="10"/>
                <w:szCs w:val="10"/>
                <w:lang w:eastAsia="bg-BG"/>
              </w:rPr>
              <w:t xml:space="preserve">208 834 651.00 </w:t>
            </w:r>
            <w:r w:rsidR="00774BCB" w:rsidRPr="00774BCB">
              <w:rPr>
                <w:rFonts w:ascii="Arial" w:hAnsi="Arial" w:cs="Arial"/>
                <w:b/>
                <w:bCs/>
                <w:sz w:val="10"/>
                <w:szCs w:val="10"/>
                <w:lang w:eastAsia="bg-BG"/>
              </w:rPr>
              <w:t xml:space="preserve"> </w:t>
            </w:r>
          </w:p>
        </w:tc>
        <w:tc>
          <w:tcPr>
            <w:tcW w:w="269" w:type="pct"/>
          </w:tcPr>
          <w:p w14:paraId="5EBC2DA0" w14:textId="77777777" w:rsidR="00F1341F" w:rsidRPr="008340BB" w:rsidRDefault="002A4FBD" w:rsidP="00276ED1">
            <w:pPr>
              <w:snapToGrid w:val="0"/>
              <w:rPr>
                <w:rFonts w:ascii="Arial" w:hAnsi="Arial" w:cs="Arial"/>
                <w:b/>
                <w:bCs/>
                <w:sz w:val="10"/>
                <w:szCs w:val="10"/>
                <w:lang w:eastAsia="bg-BG"/>
              </w:rPr>
            </w:pPr>
            <w:r>
              <w:rPr>
                <w:rFonts w:ascii="Arial" w:hAnsi="Arial" w:cs="Arial"/>
                <w:b/>
                <w:bCs/>
                <w:sz w:val="10"/>
                <w:szCs w:val="10"/>
                <w:lang w:eastAsia="bg-BG"/>
              </w:rPr>
              <w:t xml:space="preserve">13 329 872.00 </w:t>
            </w:r>
            <w:r w:rsidR="004504FC" w:rsidRPr="004504FC">
              <w:rPr>
                <w:rFonts w:ascii="Arial" w:hAnsi="Arial" w:cs="Arial"/>
                <w:b/>
                <w:bCs/>
                <w:sz w:val="10"/>
                <w:szCs w:val="10"/>
                <w:lang w:eastAsia="bg-BG"/>
              </w:rPr>
              <w:t xml:space="preserve"> </w:t>
            </w:r>
          </w:p>
        </w:tc>
        <w:tc>
          <w:tcPr>
            <w:tcW w:w="342" w:type="pct"/>
          </w:tcPr>
          <w:p w14:paraId="742F3175" w14:textId="77777777" w:rsidR="00F1341F" w:rsidRPr="00834ACE" w:rsidRDefault="007A4F95" w:rsidP="00335C86">
            <w:pPr>
              <w:snapToGrid w:val="0"/>
              <w:jc w:val="right"/>
              <w:rPr>
                <w:rFonts w:ascii="Arial" w:hAnsi="Arial" w:cs="Arial"/>
                <w:b/>
                <w:bCs/>
                <w:sz w:val="10"/>
                <w:szCs w:val="10"/>
                <w:lang w:eastAsia="bg-BG"/>
              </w:rPr>
            </w:pPr>
            <w:r>
              <w:rPr>
                <w:rFonts w:ascii="Arial" w:hAnsi="Arial" w:cs="Arial"/>
                <w:b/>
                <w:bCs/>
                <w:sz w:val="10"/>
                <w:szCs w:val="10"/>
                <w:lang w:eastAsia="bg-BG"/>
              </w:rPr>
              <w:t xml:space="preserve">217 143 654.00 </w:t>
            </w:r>
            <w:r w:rsidR="00085F8F" w:rsidRPr="00085F8F">
              <w:rPr>
                <w:rFonts w:ascii="Arial" w:hAnsi="Arial" w:cs="Arial"/>
                <w:b/>
                <w:bCs/>
                <w:sz w:val="10"/>
                <w:szCs w:val="10"/>
                <w:lang w:eastAsia="bg-BG"/>
              </w:rPr>
              <w:t xml:space="preserve"> </w:t>
            </w:r>
          </w:p>
        </w:tc>
        <w:tc>
          <w:tcPr>
            <w:tcW w:w="298" w:type="pct"/>
          </w:tcPr>
          <w:p w14:paraId="518949A4" w14:textId="77777777" w:rsidR="00F1341F" w:rsidRPr="00834ACE" w:rsidRDefault="008838CE" w:rsidP="00335C86">
            <w:pPr>
              <w:snapToGrid w:val="0"/>
              <w:jc w:val="right"/>
              <w:rPr>
                <w:rFonts w:ascii="Arial" w:hAnsi="Arial" w:cs="Arial"/>
                <w:b/>
                <w:bCs/>
                <w:sz w:val="10"/>
                <w:szCs w:val="10"/>
                <w:lang w:eastAsia="bg-BG"/>
              </w:rPr>
            </w:pPr>
            <w:r>
              <w:rPr>
                <w:rFonts w:ascii="Arial" w:hAnsi="Arial" w:cs="Arial"/>
                <w:b/>
                <w:bCs/>
                <w:sz w:val="10"/>
                <w:szCs w:val="10"/>
                <w:lang w:eastAsia="bg-BG"/>
              </w:rPr>
              <w:t xml:space="preserve">13 860 234.00 </w:t>
            </w:r>
            <w:r w:rsidR="00085F8F" w:rsidRPr="00085F8F">
              <w:rPr>
                <w:rFonts w:ascii="Arial" w:hAnsi="Arial" w:cs="Arial"/>
                <w:b/>
                <w:bCs/>
                <w:sz w:val="10"/>
                <w:szCs w:val="10"/>
                <w:lang w:eastAsia="bg-BG"/>
              </w:rPr>
              <w:t xml:space="preserve"> </w:t>
            </w:r>
          </w:p>
        </w:tc>
        <w:tc>
          <w:tcPr>
            <w:tcW w:w="313" w:type="pct"/>
          </w:tcPr>
          <w:p w14:paraId="1ADB0766" w14:textId="77777777" w:rsidR="00F1341F" w:rsidRPr="00834ACE" w:rsidRDefault="006E0339" w:rsidP="002F29AB">
            <w:pPr>
              <w:snapToGrid w:val="0"/>
              <w:jc w:val="right"/>
              <w:rPr>
                <w:rFonts w:ascii="Arial" w:hAnsi="Arial" w:cs="Arial"/>
                <w:b/>
                <w:bCs/>
                <w:sz w:val="10"/>
                <w:szCs w:val="10"/>
                <w:lang w:eastAsia="bg-BG"/>
              </w:rPr>
            </w:pPr>
            <w:r>
              <w:rPr>
                <w:rFonts w:ascii="Arial" w:hAnsi="Arial" w:cs="Arial"/>
                <w:b/>
                <w:bCs/>
                <w:sz w:val="10"/>
                <w:szCs w:val="10"/>
                <w:lang w:eastAsia="bg-BG"/>
              </w:rPr>
              <w:t xml:space="preserve">225 555 839.00 </w:t>
            </w:r>
            <w:r w:rsidR="00035D5D" w:rsidRPr="00035D5D">
              <w:rPr>
                <w:rFonts w:ascii="Arial" w:hAnsi="Arial" w:cs="Arial"/>
                <w:b/>
                <w:bCs/>
                <w:sz w:val="10"/>
                <w:szCs w:val="10"/>
                <w:lang w:eastAsia="bg-BG"/>
              </w:rPr>
              <w:t xml:space="preserve"> </w:t>
            </w:r>
          </w:p>
        </w:tc>
        <w:tc>
          <w:tcPr>
            <w:tcW w:w="269" w:type="pct"/>
          </w:tcPr>
          <w:p w14:paraId="5FB7A055" w14:textId="77777777" w:rsidR="00F1341F" w:rsidRPr="00834ACE" w:rsidRDefault="006E0339" w:rsidP="00276ED1">
            <w:pPr>
              <w:snapToGrid w:val="0"/>
              <w:rPr>
                <w:rFonts w:ascii="Arial" w:hAnsi="Arial" w:cs="Arial"/>
                <w:b/>
                <w:bCs/>
                <w:sz w:val="10"/>
                <w:szCs w:val="10"/>
                <w:lang w:eastAsia="bg-BG"/>
              </w:rPr>
            </w:pPr>
            <w:r>
              <w:rPr>
                <w:rFonts w:ascii="Arial" w:hAnsi="Arial" w:cs="Arial"/>
                <w:b/>
                <w:bCs/>
                <w:sz w:val="10"/>
                <w:szCs w:val="10"/>
                <w:lang w:eastAsia="bg-BG"/>
              </w:rPr>
              <w:t xml:space="preserve">14 397 181.00 </w:t>
            </w:r>
            <w:r w:rsidR="00035D5D" w:rsidRPr="00035D5D">
              <w:rPr>
                <w:rFonts w:ascii="Arial" w:hAnsi="Arial" w:cs="Arial"/>
                <w:b/>
                <w:bCs/>
                <w:sz w:val="10"/>
                <w:szCs w:val="10"/>
                <w:lang w:eastAsia="bg-BG"/>
              </w:rPr>
              <w:t xml:space="preserve"> </w:t>
            </w:r>
          </w:p>
        </w:tc>
        <w:tc>
          <w:tcPr>
            <w:tcW w:w="267" w:type="pct"/>
          </w:tcPr>
          <w:p w14:paraId="195A7CE0" w14:textId="77777777" w:rsidR="00916F00" w:rsidRPr="00916F00" w:rsidRDefault="00916F00" w:rsidP="00916F00">
            <w:pPr>
              <w:snapToGrid w:val="0"/>
              <w:rPr>
                <w:rFonts w:ascii="Arial" w:hAnsi="Arial" w:cs="Arial"/>
                <w:b/>
                <w:bCs/>
                <w:sz w:val="10"/>
                <w:szCs w:val="10"/>
                <w:lang w:val="bg-BG" w:eastAsia="bg-BG"/>
              </w:rPr>
            </w:pPr>
            <w:r w:rsidRPr="00916F00">
              <w:rPr>
                <w:rFonts w:ascii="Arial" w:hAnsi="Arial" w:cs="Arial"/>
                <w:b/>
                <w:bCs/>
                <w:sz w:val="10"/>
                <w:szCs w:val="10"/>
                <w:lang w:val="bg-BG" w:eastAsia="bg-BG"/>
              </w:rPr>
              <w:t>157 244 937,00</w:t>
            </w:r>
          </w:p>
          <w:p w14:paraId="228EB346" w14:textId="553949E7" w:rsidR="00F1341F" w:rsidRPr="00834ACE" w:rsidRDefault="00F1341F" w:rsidP="005C4AC1">
            <w:pPr>
              <w:snapToGrid w:val="0"/>
              <w:jc w:val="center"/>
              <w:rPr>
                <w:rFonts w:ascii="Arial" w:hAnsi="Arial" w:cs="Arial"/>
                <w:b/>
                <w:bCs/>
                <w:sz w:val="10"/>
                <w:szCs w:val="10"/>
                <w:lang w:eastAsia="bg-BG"/>
              </w:rPr>
            </w:pPr>
          </w:p>
        </w:tc>
        <w:tc>
          <w:tcPr>
            <w:tcW w:w="269" w:type="pct"/>
          </w:tcPr>
          <w:p w14:paraId="57804877" w14:textId="77777777" w:rsidR="00F1341F" w:rsidRPr="00DC0475" w:rsidRDefault="00F1341F" w:rsidP="00335C86">
            <w:pPr>
              <w:snapToGrid w:val="0"/>
              <w:jc w:val="right"/>
              <w:rPr>
                <w:rFonts w:ascii="Arial" w:hAnsi="Arial" w:cs="Arial"/>
                <w:b/>
                <w:bCs/>
                <w:sz w:val="10"/>
                <w:szCs w:val="10"/>
                <w:lang w:eastAsia="bg-BG"/>
              </w:rPr>
            </w:pPr>
            <w:r w:rsidRPr="00DC0475">
              <w:rPr>
                <w:rFonts w:ascii="Arial" w:hAnsi="Arial" w:cs="Arial"/>
                <w:b/>
                <w:bCs/>
                <w:sz w:val="10"/>
                <w:szCs w:val="10"/>
                <w:lang w:eastAsia="bg-BG"/>
              </w:rPr>
              <w:t>15 379</w:t>
            </w:r>
            <w:r w:rsidR="00C14F95">
              <w:rPr>
                <w:rFonts w:ascii="Arial" w:hAnsi="Arial" w:cs="Arial"/>
                <w:b/>
                <w:bCs/>
                <w:sz w:val="10"/>
                <w:szCs w:val="10"/>
                <w:lang w:eastAsia="bg-BG"/>
              </w:rPr>
              <w:t> </w:t>
            </w:r>
            <w:r w:rsidRPr="00DC0475">
              <w:rPr>
                <w:rFonts w:ascii="Arial" w:hAnsi="Arial" w:cs="Arial"/>
                <w:b/>
                <w:bCs/>
                <w:sz w:val="10"/>
                <w:szCs w:val="10"/>
                <w:lang w:eastAsia="bg-BG"/>
              </w:rPr>
              <w:t>08</w:t>
            </w:r>
            <w:r w:rsidR="00335C86">
              <w:rPr>
                <w:rFonts w:ascii="Arial" w:hAnsi="Arial" w:cs="Arial"/>
                <w:b/>
                <w:bCs/>
                <w:sz w:val="10"/>
                <w:szCs w:val="10"/>
                <w:lang w:eastAsia="bg-BG"/>
              </w:rPr>
              <w:t>7</w:t>
            </w:r>
            <w:r w:rsidR="00C14F95">
              <w:rPr>
                <w:rFonts w:ascii="Arial" w:hAnsi="Arial" w:cs="Arial"/>
                <w:b/>
                <w:bCs/>
                <w:sz w:val="10"/>
                <w:szCs w:val="10"/>
                <w:lang w:eastAsia="bg-BG"/>
              </w:rPr>
              <w:t>.</w:t>
            </w:r>
            <w:r w:rsidR="00335C86">
              <w:rPr>
                <w:rFonts w:ascii="Arial" w:hAnsi="Arial" w:cs="Arial"/>
                <w:b/>
                <w:bCs/>
                <w:sz w:val="10"/>
                <w:szCs w:val="10"/>
                <w:lang w:eastAsia="bg-BG"/>
              </w:rPr>
              <w:t>00</w:t>
            </w:r>
          </w:p>
        </w:tc>
        <w:tc>
          <w:tcPr>
            <w:tcW w:w="239" w:type="pct"/>
          </w:tcPr>
          <w:p w14:paraId="3D6BCF03" w14:textId="77777777" w:rsidR="00250DF3" w:rsidRDefault="00250DF3" w:rsidP="00250DF3">
            <w:pPr>
              <w:spacing w:before="0" w:after="0"/>
              <w:ind w:right="-79" w:hanging="193"/>
              <w:jc w:val="center"/>
              <w:rPr>
                <w:rFonts w:ascii="Arial" w:hAnsi="Arial" w:cs="Arial"/>
                <w:b/>
                <w:bCs/>
                <w:sz w:val="10"/>
                <w:szCs w:val="10"/>
                <w:lang w:val="bg-BG" w:eastAsia="bg-BG"/>
              </w:rPr>
            </w:pPr>
          </w:p>
          <w:p w14:paraId="75F25232" w14:textId="04B5618B" w:rsidR="00250DF3" w:rsidRPr="00250DF3" w:rsidRDefault="00250DF3" w:rsidP="00250DF3">
            <w:pPr>
              <w:spacing w:before="0" w:after="0"/>
              <w:ind w:right="-79" w:hanging="193"/>
              <w:jc w:val="center"/>
              <w:rPr>
                <w:rFonts w:ascii="Arial" w:hAnsi="Arial" w:cs="Arial"/>
                <w:b/>
                <w:bCs/>
                <w:sz w:val="10"/>
                <w:szCs w:val="10"/>
                <w:lang w:val="bg-BG" w:eastAsia="bg-BG"/>
              </w:rPr>
            </w:pPr>
            <w:r w:rsidRPr="00250DF3">
              <w:rPr>
                <w:rFonts w:ascii="Arial" w:hAnsi="Arial" w:cs="Arial"/>
                <w:b/>
                <w:bCs/>
                <w:sz w:val="10"/>
                <w:szCs w:val="10"/>
                <w:lang w:val="bg-BG" w:eastAsia="bg-BG"/>
              </w:rPr>
              <w:t xml:space="preserve">1 424 488 </w:t>
            </w:r>
          </w:p>
          <w:p w14:paraId="2AED0D36" w14:textId="48B57FBD" w:rsidR="00250DF3" w:rsidRPr="00250DF3" w:rsidRDefault="00250DF3" w:rsidP="00250DF3">
            <w:pPr>
              <w:spacing w:before="0" w:after="0"/>
              <w:ind w:right="-79" w:hanging="193"/>
              <w:jc w:val="center"/>
              <w:rPr>
                <w:rFonts w:ascii="Arial" w:hAnsi="Arial" w:cs="Arial"/>
                <w:b/>
                <w:bCs/>
                <w:sz w:val="10"/>
                <w:szCs w:val="10"/>
                <w:lang w:val="bg-BG" w:eastAsia="bg-BG"/>
              </w:rPr>
            </w:pPr>
            <w:r w:rsidRPr="00250DF3">
              <w:rPr>
                <w:rFonts w:ascii="Arial" w:hAnsi="Arial" w:cs="Arial"/>
                <w:b/>
                <w:bCs/>
                <w:sz w:val="10"/>
                <w:szCs w:val="10"/>
                <w:lang w:val="bg-BG" w:eastAsia="bg-BG"/>
              </w:rPr>
              <w:t>138,00</w:t>
            </w:r>
          </w:p>
          <w:p w14:paraId="6F68D45F" w14:textId="6AA23A65" w:rsidR="00F1341F" w:rsidRPr="00A064C4" w:rsidRDefault="00A064C4" w:rsidP="00250DF3">
            <w:pPr>
              <w:ind w:right="-79" w:hanging="193"/>
              <w:jc w:val="center"/>
              <w:rPr>
                <w:rFonts w:ascii="Arial" w:hAnsi="Arial" w:cs="Arial"/>
                <w:b/>
                <w:bCs/>
                <w:sz w:val="10"/>
                <w:szCs w:val="10"/>
                <w:lang w:eastAsia="bg-BG"/>
              </w:rPr>
            </w:pPr>
            <w:r w:rsidRPr="00A064C4">
              <w:rPr>
                <w:rFonts w:ascii="Arial" w:hAnsi="Arial" w:cs="Arial"/>
                <w:b/>
                <w:bCs/>
                <w:sz w:val="10"/>
                <w:szCs w:val="10"/>
                <w:lang w:eastAsia="bg-BG"/>
              </w:rPr>
              <w:t xml:space="preserve">   </w:t>
            </w:r>
          </w:p>
        </w:tc>
        <w:tc>
          <w:tcPr>
            <w:tcW w:w="293" w:type="pct"/>
          </w:tcPr>
          <w:p w14:paraId="23A823DE" w14:textId="77777777" w:rsidR="00F1341F" w:rsidRPr="00A828C5" w:rsidRDefault="00F1341F" w:rsidP="002F29AB">
            <w:pPr>
              <w:jc w:val="right"/>
              <w:rPr>
                <w:rFonts w:ascii="Arial" w:hAnsi="Arial" w:cs="Arial"/>
                <w:b/>
                <w:bCs/>
                <w:sz w:val="10"/>
                <w:szCs w:val="10"/>
                <w:lang w:eastAsia="bg-BG"/>
              </w:rPr>
            </w:pPr>
            <w:r w:rsidRPr="00A828C5">
              <w:rPr>
                <w:rFonts w:ascii="Arial" w:hAnsi="Arial" w:cs="Arial"/>
                <w:b/>
                <w:bCs/>
                <w:sz w:val="10"/>
                <w:szCs w:val="10"/>
                <w:lang w:eastAsia="bg-BG"/>
              </w:rPr>
              <w:t>96 266</w:t>
            </w:r>
            <w:r w:rsidR="00D9508F">
              <w:rPr>
                <w:rFonts w:ascii="Arial" w:hAnsi="Arial" w:cs="Arial"/>
                <w:b/>
                <w:bCs/>
                <w:sz w:val="10"/>
                <w:szCs w:val="10"/>
                <w:lang w:eastAsia="bg-BG"/>
              </w:rPr>
              <w:t> </w:t>
            </w:r>
            <w:r w:rsidRPr="00A828C5">
              <w:rPr>
                <w:rFonts w:ascii="Arial" w:hAnsi="Arial" w:cs="Arial"/>
                <w:b/>
                <w:bCs/>
                <w:sz w:val="10"/>
                <w:szCs w:val="10"/>
                <w:lang w:eastAsia="bg-BG"/>
              </w:rPr>
              <w:t>95</w:t>
            </w:r>
            <w:r w:rsidR="00024E7D">
              <w:rPr>
                <w:rFonts w:ascii="Arial" w:hAnsi="Arial" w:cs="Arial"/>
                <w:b/>
                <w:bCs/>
                <w:sz w:val="10"/>
                <w:szCs w:val="10"/>
                <w:lang w:eastAsia="bg-BG"/>
              </w:rPr>
              <w:t>2</w:t>
            </w:r>
            <w:r w:rsidR="00D9508F">
              <w:rPr>
                <w:rFonts w:ascii="Arial" w:hAnsi="Arial" w:cs="Arial"/>
                <w:b/>
                <w:bCs/>
                <w:sz w:val="10"/>
                <w:szCs w:val="10"/>
                <w:lang w:eastAsia="bg-BG"/>
              </w:rPr>
              <w:t>.0</w:t>
            </w:r>
            <w:r w:rsidR="00335C86">
              <w:rPr>
                <w:rFonts w:ascii="Arial" w:hAnsi="Arial" w:cs="Arial"/>
                <w:b/>
                <w:bCs/>
                <w:sz w:val="10"/>
                <w:szCs w:val="10"/>
                <w:lang w:eastAsia="bg-BG"/>
              </w:rPr>
              <w:t>0</w:t>
            </w:r>
          </w:p>
        </w:tc>
      </w:tr>
    </w:tbl>
    <w:p w14:paraId="105FF766" w14:textId="77777777" w:rsidR="00F1341F" w:rsidRPr="008340BB" w:rsidRDefault="00F1341F" w:rsidP="00445D2B"/>
    <w:p w14:paraId="4CA2ACE4" w14:textId="77777777" w:rsidR="00F1341F" w:rsidRPr="008340BB" w:rsidRDefault="00F1341F" w:rsidP="00445D2B">
      <w:pPr>
        <w:sectPr w:rsidR="00F1341F" w:rsidRPr="008340BB" w:rsidSect="001E1D6F">
          <w:headerReference w:type="default" r:id="rId92"/>
          <w:footerReference w:type="default" r:id="rId93"/>
          <w:headerReference w:type="first" r:id="rId94"/>
          <w:footerReference w:type="first" r:id="rId95"/>
          <w:pgSz w:w="16838" w:h="11906" w:orient="landscape"/>
          <w:pgMar w:top="1418" w:right="1021" w:bottom="1418" w:left="1021" w:header="601" w:footer="1077" w:gutter="0"/>
          <w:cols w:space="708"/>
          <w:docGrid w:linePitch="326"/>
        </w:sectPr>
      </w:pPr>
    </w:p>
    <w:p w14:paraId="17CF8072" w14:textId="77777777" w:rsidR="00F1341F" w:rsidRPr="008340BB" w:rsidRDefault="00F1341F" w:rsidP="00BF3391">
      <w:pPr>
        <w:pStyle w:val="ManualHeading2"/>
      </w:pPr>
      <w:r w:rsidRPr="008340BB">
        <w:lastRenderedPageBreak/>
        <w:t xml:space="preserve">3.2 </w:t>
      </w:r>
      <w:r w:rsidRPr="008340BB">
        <w:tab/>
        <w:t xml:space="preserve">Total financial appropriation by fund and national co-financing (EUR) </w:t>
      </w:r>
    </w:p>
    <w:p w14:paraId="0E7F522F" w14:textId="77777777" w:rsidR="00F1341F" w:rsidRPr="008340BB" w:rsidRDefault="00F1341F" w:rsidP="00BF3391">
      <w:pPr>
        <w:pStyle w:val="ManualHeading2"/>
      </w:pPr>
      <w:r w:rsidRPr="008340BB">
        <w:rPr>
          <w:b w:val="0"/>
        </w:rPr>
        <w:t>(Reference: point (d)(ii) of the first subparagraph of</w:t>
      </w:r>
      <w:r w:rsidRPr="008340BB">
        <w:t xml:space="preserve"> </w:t>
      </w:r>
      <w:r w:rsidRPr="008340BB">
        <w:rPr>
          <w:b w:val="0"/>
        </w:rPr>
        <w:t>Article 96(2) of Regulation (EU) No 1303/2013</w:t>
      </w:r>
      <w:r w:rsidRPr="008340BB">
        <w:t>)</w:t>
      </w:r>
    </w:p>
    <w:p w14:paraId="45809477" w14:textId="77777777" w:rsidR="00F1341F" w:rsidRPr="008340BB" w:rsidRDefault="00F1341F" w:rsidP="00445D2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80"/>
      </w:tblGrid>
      <w:tr w:rsidR="00F1341F" w:rsidRPr="008340BB" w14:paraId="2DFE5989" w14:textId="77777777" w:rsidTr="00F03C1E">
        <w:trPr>
          <w:trHeight w:val="1184"/>
        </w:trPr>
        <w:tc>
          <w:tcPr>
            <w:tcW w:w="14906" w:type="dxa"/>
          </w:tcPr>
          <w:p w14:paraId="70CC6654" w14:textId="77777777" w:rsidR="00F1341F" w:rsidRPr="008340BB" w:rsidRDefault="00F1341F" w:rsidP="00855D4D">
            <w:pPr>
              <w:rPr>
                <w:i/>
              </w:rPr>
            </w:pPr>
            <w:r w:rsidRPr="008340BB">
              <w:rPr>
                <w:i/>
              </w:rPr>
              <w:t>1. The table sets out the financial plan by priority axis.</w:t>
            </w:r>
          </w:p>
          <w:p w14:paraId="6C7EA132" w14:textId="77777777" w:rsidR="00F1341F" w:rsidRPr="008340BB" w:rsidRDefault="00F1341F" w:rsidP="00855D4D">
            <w:pPr>
              <w:rPr>
                <w:i/>
              </w:rPr>
            </w:pPr>
            <w:r w:rsidRPr="008340BB">
              <w:rPr>
                <w:i/>
              </w:rPr>
              <w:t>2. Where a priority axis covers more than one fund, the Union support and national counterpart is broken down by fund with a separate co-financing rate within the priority axis for each fund.</w:t>
            </w:r>
          </w:p>
          <w:p w14:paraId="50FADE98" w14:textId="77777777" w:rsidR="00F1341F" w:rsidRPr="008340BB" w:rsidRDefault="00F1341F" w:rsidP="00855D4D">
            <w:pPr>
              <w:rPr>
                <w:i/>
              </w:rPr>
            </w:pPr>
            <w:r w:rsidRPr="008340BB">
              <w:rPr>
                <w:i/>
              </w:rPr>
              <w:t>3. Where the priority axis covers more than one category of region, the Union support and national counterpart is broken down by category of region with a separate co-financing rate within the priority axis for each category of region.</w:t>
            </w:r>
          </w:p>
          <w:p w14:paraId="433A488E" w14:textId="77777777" w:rsidR="00F1341F" w:rsidRPr="008340BB" w:rsidRDefault="00F1341F" w:rsidP="00855D4D">
            <w:r w:rsidRPr="008340BB">
              <w:rPr>
                <w:i/>
              </w:rPr>
              <w:t>4. The EIB contribution is presented at priority axis level.</w:t>
            </w:r>
          </w:p>
        </w:tc>
      </w:tr>
    </w:tbl>
    <w:p w14:paraId="11BDB078" w14:textId="77777777" w:rsidR="00F1341F" w:rsidRDefault="00F1341F" w:rsidP="00F03C1E">
      <w:pPr>
        <w:tabs>
          <w:tab w:val="left" w:pos="426"/>
        </w:tabs>
        <w:rPr>
          <w:rFonts w:eastAsia="Arial Unicode MS"/>
          <w:b/>
          <w:szCs w:val="24"/>
        </w:rPr>
      </w:pPr>
    </w:p>
    <w:p w14:paraId="35279AF3" w14:textId="77777777" w:rsidR="006A0C68" w:rsidRPr="006A0C68" w:rsidRDefault="006A0C68" w:rsidP="00F03C1E">
      <w:pPr>
        <w:tabs>
          <w:tab w:val="left" w:pos="426"/>
        </w:tabs>
        <w:rPr>
          <w:rFonts w:eastAsia="Arial Unicode MS"/>
          <w:b/>
          <w:szCs w:val="24"/>
        </w:rPr>
      </w:pPr>
    </w:p>
    <w:p w14:paraId="4B702E53" w14:textId="77777777" w:rsidR="00F1341F" w:rsidRPr="00DC0475" w:rsidRDefault="00F1341F" w:rsidP="00F03C1E">
      <w:pPr>
        <w:tabs>
          <w:tab w:val="left" w:pos="426"/>
        </w:tabs>
        <w:rPr>
          <w:rFonts w:eastAsia="Arial Unicode MS"/>
          <w:b/>
          <w:szCs w:val="24"/>
        </w:rPr>
      </w:pPr>
      <w:r w:rsidRPr="00DA4321">
        <w:rPr>
          <w:rFonts w:eastAsia="Arial Unicode MS"/>
          <w:b/>
          <w:szCs w:val="24"/>
        </w:rPr>
        <w:t>Table 18A: Financing plan</w:t>
      </w:r>
      <w:r w:rsidRPr="00DC0475">
        <w:rPr>
          <w:rFonts w:eastAsia="Arial Unicode MS"/>
          <w:b/>
          <w:szCs w:val="24"/>
        </w:rPr>
        <w:t xml:space="preserve"> (in euro)</w:t>
      </w:r>
    </w:p>
    <w:tbl>
      <w:tblPr>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786"/>
        <w:gridCol w:w="814"/>
        <w:gridCol w:w="686"/>
        <w:gridCol w:w="1181"/>
        <w:gridCol w:w="1175"/>
        <w:gridCol w:w="1256"/>
        <w:gridCol w:w="489"/>
        <w:gridCol w:w="1244"/>
        <w:gridCol w:w="705"/>
        <w:gridCol w:w="867"/>
        <w:gridCol w:w="567"/>
        <w:gridCol w:w="1135"/>
        <w:gridCol w:w="966"/>
        <w:gridCol w:w="1125"/>
        <w:gridCol w:w="888"/>
        <w:gridCol w:w="705"/>
        <w:tblGridChange w:id="28">
          <w:tblGrid>
            <w:gridCol w:w="998"/>
            <w:gridCol w:w="1"/>
            <w:gridCol w:w="785"/>
            <w:gridCol w:w="1"/>
            <w:gridCol w:w="813"/>
            <w:gridCol w:w="1"/>
            <w:gridCol w:w="685"/>
            <w:gridCol w:w="1"/>
            <w:gridCol w:w="1180"/>
            <w:gridCol w:w="1"/>
            <w:gridCol w:w="1174"/>
            <w:gridCol w:w="1"/>
            <w:gridCol w:w="1255"/>
            <w:gridCol w:w="1"/>
            <w:gridCol w:w="488"/>
            <w:gridCol w:w="1"/>
            <w:gridCol w:w="1243"/>
            <w:gridCol w:w="1"/>
            <w:gridCol w:w="704"/>
            <w:gridCol w:w="1"/>
            <w:gridCol w:w="510"/>
            <w:gridCol w:w="1"/>
            <w:gridCol w:w="355"/>
            <w:gridCol w:w="427"/>
            <w:gridCol w:w="140"/>
            <w:gridCol w:w="845"/>
            <w:gridCol w:w="290"/>
            <w:gridCol w:w="966"/>
            <w:gridCol w:w="1125"/>
            <w:gridCol w:w="888"/>
            <w:gridCol w:w="705"/>
          </w:tblGrid>
        </w:tblGridChange>
      </w:tblGrid>
      <w:tr w:rsidR="007B694B" w:rsidRPr="008340BB" w14:paraId="010FA025" w14:textId="77777777" w:rsidTr="007B694B">
        <w:trPr>
          <w:trHeight w:val="623"/>
        </w:trPr>
        <w:tc>
          <w:tcPr>
            <w:tcW w:w="320" w:type="pct"/>
            <w:vMerge w:val="restart"/>
          </w:tcPr>
          <w:p w14:paraId="29ADFC06" w14:textId="77777777" w:rsidR="00D833D7" w:rsidRPr="00B5130A" w:rsidRDefault="00D833D7" w:rsidP="00BD5328">
            <w:pPr>
              <w:rPr>
                <w:sz w:val="14"/>
                <w:szCs w:val="14"/>
              </w:rPr>
            </w:pPr>
            <w:r w:rsidRPr="00B5130A">
              <w:rPr>
                <w:sz w:val="14"/>
                <w:szCs w:val="14"/>
              </w:rPr>
              <w:t>Priority</w:t>
            </w:r>
          </w:p>
        </w:tc>
        <w:tc>
          <w:tcPr>
            <w:tcW w:w="252" w:type="pct"/>
            <w:vMerge w:val="restart"/>
          </w:tcPr>
          <w:p w14:paraId="12AA2BCD" w14:textId="77777777" w:rsidR="00D833D7" w:rsidRPr="00BA2131" w:rsidRDefault="00D833D7" w:rsidP="00BD5328">
            <w:pPr>
              <w:rPr>
                <w:sz w:val="14"/>
                <w:szCs w:val="14"/>
              </w:rPr>
            </w:pPr>
            <w:r w:rsidRPr="00BA2131">
              <w:rPr>
                <w:sz w:val="14"/>
                <w:szCs w:val="14"/>
              </w:rPr>
              <w:t>Fund</w:t>
            </w:r>
          </w:p>
        </w:tc>
        <w:tc>
          <w:tcPr>
            <w:tcW w:w="261" w:type="pct"/>
            <w:vMerge w:val="restart"/>
          </w:tcPr>
          <w:p w14:paraId="255F251A" w14:textId="77777777" w:rsidR="00D833D7" w:rsidRPr="008340BB" w:rsidRDefault="00D833D7" w:rsidP="00BD5328">
            <w:pPr>
              <w:rPr>
                <w:sz w:val="14"/>
                <w:szCs w:val="14"/>
              </w:rPr>
            </w:pPr>
            <w:r w:rsidRPr="00A828C5">
              <w:rPr>
                <w:sz w:val="14"/>
                <w:szCs w:val="14"/>
              </w:rPr>
              <w:t>Category of region</w:t>
            </w:r>
            <w:r w:rsidRPr="008340BB" w:rsidDel="00F61287">
              <w:rPr>
                <w:sz w:val="14"/>
                <w:szCs w:val="14"/>
              </w:rPr>
              <w:t xml:space="preserve"> </w:t>
            </w:r>
          </w:p>
        </w:tc>
        <w:tc>
          <w:tcPr>
            <w:tcW w:w="220" w:type="pct"/>
            <w:vMerge w:val="restart"/>
          </w:tcPr>
          <w:p w14:paraId="4E1F10D0" w14:textId="77777777" w:rsidR="00D833D7" w:rsidRPr="008340BB" w:rsidRDefault="00D833D7" w:rsidP="00BD5328">
            <w:pPr>
              <w:rPr>
                <w:sz w:val="14"/>
                <w:szCs w:val="14"/>
              </w:rPr>
            </w:pPr>
            <w:r w:rsidRPr="008340BB">
              <w:rPr>
                <w:sz w:val="14"/>
                <w:szCs w:val="14"/>
              </w:rPr>
              <w:t>Basis for calculation of Union support</w:t>
            </w:r>
          </w:p>
          <w:p w14:paraId="18D4E883" w14:textId="77777777" w:rsidR="00D833D7" w:rsidRPr="008340BB" w:rsidRDefault="00D833D7" w:rsidP="00BD5328">
            <w:pPr>
              <w:rPr>
                <w:sz w:val="14"/>
                <w:szCs w:val="14"/>
              </w:rPr>
            </w:pPr>
            <w:r w:rsidRPr="008340BB">
              <w:rPr>
                <w:sz w:val="14"/>
                <w:szCs w:val="14"/>
              </w:rPr>
              <w:t>(Total eligible cost or public eligible cost)</w:t>
            </w:r>
          </w:p>
        </w:tc>
        <w:tc>
          <w:tcPr>
            <w:tcW w:w="379" w:type="pct"/>
            <w:vMerge w:val="restart"/>
          </w:tcPr>
          <w:p w14:paraId="3AE8A11D" w14:textId="77777777" w:rsidR="00D833D7" w:rsidRPr="008340BB" w:rsidRDefault="00D833D7" w:rsidP="00BD5328">
            <w:pPr>
              <w:rPr>
                <w:sz w:val="14"/>
                <w:szCs w:val="14"/>
              </w:rPr>
            </w:pPr>
            <w:r w:rsidRPr="008340BB">
              <w:rPr>
                <w:sz w:val="14"/>
                <w:szCs w:val="14"/>
              </w:rPr>
              <w:t>Union support</w:t>
            </w:r>
          </w:p>
        </w:tc>
        <w:tc>
          <w:tcPr>
            <w:tcW w:w="377" w:type="pct"/>
            <w:vMerge w:val="restart"/>
          </w:tcPr>
          <w:p w14:paraId="09799FDE" w14:textId="77777777" w:rsidR="00D833D7" w:rsidRPr="008340BB" w:rsidRDefault="00D833D7" w:rsidP="00BD5328">
            <w:pPr>
              <w:rPr>
                <w:sz w:val="14"/>
                <w:szCs w:val="14"/>
              </w:rPr>
            </w:pPr>
            <w:r w:rsidRPr="008340BB">
              <w:rPr>
                <w:sz w:val="14"/>
                <w:szCs w:val="14"/>
              </w:rPr>
              <w:t>National counterpart</w:t>
            </w:r>
          </w:p>
        </w:tc>
        <w:tc>
          <w:tcPr>
            <w:tcW w:w="560" w:type="pct"/>
            <w:gridSpan w:val="2"/>
          </w:tcPr>
          <w:p w14:paraId="19F6C252" w14:textId="77777777" w:rsidR="00D833D7" w:rsidRPr="008340BB" w:rsidRDefault="00D833D7" w:rsidP="00BD5328">
            <w:pPr>
              <w:rPr>
                <w:sz w:val="14"/>
                <w:szCs w:val="14"/>
              </w:rPr>
            </w:pPr>
            <w:r w:rsidRPr="008340BB">
              <w:rPr>
                <w:sz w:val="14"/>
                <w:szCs w:val="14"/>
              </w:rPr>
              <w:t>Indicative breakdown of national counterpart</w:t>
            </w:r>
          </w:p>
        </w:tc>
        <w:tc>
          <w:tcPr>
            <w:tcW w:w="399" w:type="pct"/>
            <w:vMerge w:val="restart"/>
          </w:tcPr>
          <w:p w14:paraId="2A897FE2" w14:textId="77777777" w:rsidR="00D833D7" w:rsidRPr="008340BB" w:rsidRDefault="00D833D7" w:rsidP="00BD5328">
            <w:pPr>
              <w:rPr>
                <w:sz w:val="14"/>
                <w:szCs w:val="14"/>
              </w:rPr>
            </w:pPr>
            <w:r w:rsidRPr="008340BB">
              <w:rPr>
                <w:sz w:val="14"/>
                <w:szCs w:val="14"/>
              </w:rPr>
              <w:t>Total funding</w:t>
            </w:r>
          </w:p>
        </w:tc>
        <w:tc>
          <w:tcPr>
            <w:tcW w:w="226" w:type="pct"/>
            <w:vMerge w:val="restart"/>
          </w:tcPr>
          <w:p w14:paraId="77FBCE80" w14:textId="77777777" w:rsidR="00D833D7" w:rsidRPr="008340BB" w:rsidRDefault="00D833D7" w:rsidP="00BD5328">
            <w:pPr>
              <w:rPr>
                <w:sz w:val="14"/>
                <w:szCs w:val="14"/>
              </w:rPr>
            </w:pPr>
            <w:r w:rsidRPr="008340BB">
              <w:rPr>
                <w:sz w:val="14"/>
                <w:szCs w:val="14"/>
              </w:rPr>
              <w:t>Co-financing rate</w:t>
            </w:r>
          </w:p>
        </w:tc>
        <w:tc>
          <w:tcPr>
            <w:tcW w:w="278" w:type="pct"/>
            <w:vMerge w:val="restart"/>
          </w:tcPr>
          <w:p w14:paraId="729AA269" w14:textId="4600699B" w:rsidR="00D833D7" w:rsidRPr="008340BB" w:rsidRDefault="00FE1963" w:rsidP="00BD5328">
            <w:pPr>
              <w:rPr>
                <w:sz w:val="14"/>
                <w:szCs w:val="14"/>
              </w:rPr>
            </w:pPr>
            <w:ins w:id="29" w:author="Iva Chervenkova" w:date="2024-07-03T11:11:00Z">
              <w:r w:rsidRPr="00FE1963">
                <w:rPr>
                  <w:sz w:val="14"/>
                  <w:szCs w:val="14"/>
                </w:rPr>
                <w:t>100 % co-financing rate for accounting year 2023-2024</w:t>
              </w:r>
            </w:ins>
          </w:p>
        </w:tc>
        <w:tc>
          <w:tcPr>
            <w:tcW w:w="182" w:type="pct"/>
            <w:vMerge w:val="restart"/>
          </w:tcPr>
          <w:p w14:paraId="122DF6B2" w14:textId="2E4044C2" w:rsidR="00D833D7" w:rsidRPr="008340BB" w:rsidRDefault="00D833D7" w:rsidP="00BD5328">
            <w:pPr>
              <w:rPr>
                <w:sz w:val="14"/>
                <w:szCs w:val="14"/>
              </w:rPr>
            </w:pPr>
            <w:r w:rsidRPr="008340BB">
              <w:rPr>
                <w:sz w:val="14"/>
                <w:szCs w:val="14"/>
              </w:rPr>
              <w:t>For information</w:t>
            </w:r>
          </w:p>
          <w:p w14:paraId="085DB740" w14:textId="77777777" w:rsidR="00D833D7" w:rsidRPr="008340BB" w:rsidRDefault="00D833D7" w:rsidP="00BD5328">
            <w:pPr>
              <w:rPr>
                <w:sz w:val="14"/>
                <w:szCs w:val="14"/>
              </w:rPr>
            </w:pPr>
            <w:r w:rsidRPr="008340BB">
              <w:rPr>
                <w:sz w:val="14"/>
                <w:szCs w:val="14"/>
              </w:rPr>
              <w:t>EIB contributions</w:t>
            </w:r>
          </w:p>
        </w:tc>
        <w:tc>
          <w:tcPr>
            <w:tcW w:w="674" w:type="pct"/>
            <w:gridSpan w:val="2"/>
          </w:tcPr>
          <w:p w14:paraId="0E4BC8A7" w14:textId="77777777" w:rsidR="00D833D7" w:rsidRPr="008340BB" w:rsidRDefault="00D833D7" w:rsidP="00BD5328">
            <w:pPr>
              <w:rPr>
                <w:sz w:val="14"/>
                <w:szCs w:val="14"/>
              </w:rPr>
            </w:pPr>
            <w:r w:rsidRPr="008340BB">
              <w:rPr>
                <w:sz w:val="14"/>
                <w:szCs w:val="14"/>
              </w:rPr>
              <w:t>Main allocation (total funding less performance reserve)</w:t>
            </w:r>
          </w:p>
        </w:tc>
        <w:tc>
          <w:tcPr>
            <w:tcW w:w="646" w:type="pct"/>
            <w:gridSpan w:val="2"/>
          </w:tcPr>
          <w:p w14:paraId="0C5D5D34" w14:textId="77777777" w:rsidR="00D833D7" w:rsidRPr="008340BB" w:rsidRDefault="00D833D7" w:rsidP="00BD5328">
            <w:pPr>
              <w:rPr>
                <w:sz w:val="14"/>
                <w:szCs w:val="14"/>
              </w:rPr>
            </w:pPr>
            <w:r w:rsidRPr="008340BB">
              <w:rPr>
                <w:sz w:val="14"/>
                <w:szCs w:val="14"/>
              </w:rPr>
              <w:t>Performance reserve</w:t>
            </w:r>
          </w:p>
        </w:tc>
        <w:tc>
          <w:tcPr>
            <w:tcW w:w="226" w:type="pct"/>
            <w:vMerge w:val="restart"/>
          </w:tcPr>
          <w:p w14:paraId="74CD3FA5" w14:textId="77777777" w:rsidR="00D833D7" w:rsidRPr="008340BB" w:rsidRDefault="00D833D7" w:rsidP="00BD5328">
            <w:pPr>
              <w:jc w:val="center"/>
              <w:rPr>
                <w:sz w:val="14"/>
                <w:szCs w:val="14"/>
              </w:rPr>
            </w:pPr>
            <w:r w:rsidRPr="008340BB">
              <w:rPr>
                <w:sz w:val="14"/>
                <w:szCs w:val="14"/>
              </w:rPr>
              <w:t xml:space="preserve">Performance reserve amount as proportion of total Union support </w:t>
            </w:r>
          </w:p>
        </w:tc>
      </w:tr>
      <w:tr w:rsidR="007B694B" w:rsidRPr="008340BB" w14:paraId="55001662" w14:textId="77777777" w:rsidTr="007B694B">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0" w:author="Iva Chervenkova" w:date="2024-07-03T11:12:00Z">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746"/>
          <w:trPrChange w:id="31" w:author="Iva Chervenkova" w:date="2024-07-03T11:12:00Z">
            <w:trPr>
              <w:trHeight w:val="746"/>
            </w:trPr>
          </w:trPrChange>
        </w:trPr>
        <w:tc>
          <w:tcPr>
            <w:tcW w:w="320" w:type="pct"/>
            <w:vMerge/>
            <w:tcPrChange w:id="32" w:author="Iva Chervenkova" w:date="2024-07-03T11:12:00Z">
              <w:tcPr>
                <w:tcW w:w="320" w:type="pct"/>
                <w:vMerge/>
              </w:tcPr>
            </w:tcPrChange>
          </w:tcPr>
          <w:p w14:paraId="4F7F6104" w14:textId="77777777" w:rsidR="00D833D7" w:rsidRPr="008340BB" w:rsidRDefault="00D833D7" w:rsidP="00BD5328">
            <w:pPr>
              <w:rPr>
                <w:sz w:val="14"/>
                <w:szCs w:val="14"/>
              </w:rPr>
            </w:pPr>
          </w:p>
        </w:tc>
        <w:tc>
          <w:tcPr>
            <w:tcW w:w="252" w:type="pct"/>
            <w:vMerge/>
            <w:tcPrChange w:id="33" w:author="Iva Chervenkova" w:date="2024-07-03T11:12:00Z">
              <w:tcPr>
                <w:tcW w:w="252" w:type="pct"/>
                <w:gridSpan w:val="2"/>
                <w:vMerge/>
              </w:tcPr>
            </w:tcPrChange>
          </w:tcPr>
          <w:p w14:paraId="64B9AB6C" w14:textId="77777777" w:rsidR="00D833D7" w:rsidRPr="008340BB" w:rsidRDefault="00D833D7" w:rsidP="00BD5328">
            <w:pPr>
              <w:rPr>
                <w:sz w:val="14"/>
                <w:szCs w:val="14"/>
              </w:rPr>
            </w:pPr>
          </w:p>
        </w:tc>
        <w:tc>
          <w:tcPr>
            <w:tcW w:w="261" w:type="pct"/>
            <w:vMerge/>
            <w:tcPrChange w:id="34" w:author="Iva Chervenkova" w:date="2024-07-03T11:12:00Z">
              <w:tcPr>
                <w:tcW w:w="261" w:type="pct"/>
                <w:gridSpan w:val="2"/>
                <w:vMerge/>
              </w:tcPr>
            </w:tcPrChange>
          </w:tcPr>
          <w:p w14:paraId="41F232CA" w14:textId="77777777" w:rsidR="00D833D7" w:rsidRPr="008340BB" w:rsidRDefault="00D833D7" w:rsidP="00BD5328">
            <w:pPr>
              <w:rPr>
                <w:sz w:val="14"/>
                <w:szCs w:val="14"/>
              </w:rPr>
            </w:pPr>
          </w:p>
        </w:tc>
        <w:tc>
          <w:tcPr>
            <w:tcW w:w="220" w:type="pct"/>
            <w:vMerge/>
            <w:tcPrChange w:id="35" w:author="Iva Chervenkova" w:date="2024-07-03T11:12:00Z">
              <w:tcPr>
                <w:tcW w:w="220" w:type="pct"/>
                <w:gridSpan w:val="2"/>
                <w:vMerge/>
              </w:tcPr>
            </w:tcPrChange>
          </w:tcPr>
          <w:p w14:paraId="03934016" w14:textId="77777777" w:rsidR="00D833D7" w:rsidRPr="008340BB" w:rsidRDefault="00D833D7" w:rsidP="00BD5328">
            <w:pPr>
              <w:rPr>
                <w:sz w:val="14"/>
                <w:szCs w:val="14"/>
              </w:rPr>
            </w:pPr>
          </w:p>
        </w:tc>
        <w:tc>
          <w:tcPr>
            <w:tcW w:w="379" w:type="pct"/>
            <w:vMerge/>
            <w:tcPrChange w:id="36" w:author="Iva Chervenkova" w:date="2024-07-03T11:12:00Z">
              <w:tcPr>
                <w:tcW w:w="379" w:type="pct"/>
                <w:gridSpan w:val="2"/>
                <w:vMerge/>
              </w:tcPr>
            </w:tcPrChange>
          </w:tcPr>
          <w:p w14:paraId="430E3128" w14:textId="77777777" w:rsidR="00D833D7" w:rsidRPr="008340BB" w:rsidRDefault="00D833D7" w:rsidP="00BD5328">
            <w:pPr>
              <w:rPr>
                <w:sz w:val="14"/>
                <w:szCs w:val="14"/>
              </w:rPr>
            </w:pPr>
          </w:p>
        </w:tc>
        <w:tc>
          <w:tcPr>
            <w:tcW w:w="377" w:type="pct"/>
            <w:vMerge/>
            <w:tcPrChange w:id="37" w:author="Iva Chervenkova" w:date="2024-07-03T11:12:00Z">
              <w:tcPr>
                <w:tcW w:w="377" w:type="pct"/>
                <w:gridSpan w:val="2"/>
                <w:vMerge/>
              </w:tcPr>
            </w:tcPrChange>
          </w:tcPr>
          <w:p w14:paraId="1280A8F8" w14:textId="77777777" w:rsidR="00D833D7" w:rsidRPr="008340BB" w:rsidRDefault="00D833D7" w:rsidP="00BD5328">
            <w:pPr>
              <w:rPr>
                <w:sz w:val="14"/>
                <w:szCs w:val="14"/>
              </w:rPr>
            </w:pPr>
          </w:p>
        </w:tc>
        <w:tc>
          <w:tcPr>
            <w:tcW w:w="403" w:type="pct"/>
            <w:tcPrChange w:id="38" w:author="Iva Chervenkova" w:date="2024-07-03T11:12:00Z">
              <w:tcPr>
                <w:tcW w:w="403" w:type="pct"/>
                <w:gridSpan w:val="2"/>
              </w:tcPr>
            </w:tcPrChange>
          </w:tcPr>
          <w:p w14:paraId="6CDEF8F9" w14:textId="77777777" w:rsidR="00D833D7" w:rsidRPr="008340BB" w:rsidRDefault="00D833D7" w:rsidP="00BD5328">
            <w:pPr>
              <w:rPr>
                <w:sz w:val="14"/>
                <w:szCs w:val="14"/>
              </w:rPr>
            </w:pPr>
            <w:r w:rsidRPr="008340BB">
              <w:rPr>
                <w:sz w:val="14"/>
                <w:szCs w:val="14"/>
              </w:rPr>
              <w:t>National public funding</w:t>
            </w:r>
          </w:p>
        </w:tc>
        <w:tc>
          <w:tcPr>
            <w:tcW w:w="157" w:type="pct"/>
            <w:tcPrChange w:id="39" w:author="Iva Chervenkova" w:date="2024-07-03T11:12:00Z">
              <w:tcPr>
                <w:tcW w:w="157" w:type="pct"/>
                <w:gridSpan w:val="2"/>
              </w:tcPr>
            </w:tcPrChange>
          </w:tcPr>
          <w:p w14:paraId="41026237" w14:textId="77777777" w:rsidR="00D833D7" w:rsidRPr="008340BB" w:rsidRDefault="00D833D7" w:rsidP="00BD5328">
            <w:pPr>
              <w:rPr>
                <w:sz w:val="14"/>
                <w:szCs w:val="14"/>
              </w:rPr>
            </w:pPr>
            <w:r w:rsidRPr="008340BB">
              <w:rPr>
                <w:sz w:val="14"/>
                <w:szCs w:val="14"/>
              </w:rPr>
              <w:t>National private fund</w:t>
            </w:r>
            <w:r w:rsidRPr="00020ADD">
              <w:rPr>
                <w:sz w:val="14"/>
                <w:szCs w:val="14"/>
              </w:rPr>
              <w:t xml:space="preserve">ing  </w:t>
            </w:r>
            <w:r>
              <w:fldChar w:fldCharType="begin"/>
            </w:r>
            <w:r>
              <w:instrText xml:space="preserve"> HYPERLINK "http://eur-lex.europa.eu/LexUriServ/LexUriServ.do?uri=CONSLEG:2006R1828:20091013:EN:HTML" \l "E0078#E0078" </w:instrText>
            </w:r>
            <w:r>
              <w:fldChar w:fldCharType="separate"/>
            </w:r>
            <w:r w:rsidRPr="0067246B">
              <w:rPr>
                <w:sz w:val="14"/>
                <w:szCs w:val="14"/>
                <w:u w:val="single"/>
              </w:rPr>
              <w:t>(1)</w:t>
            </w:r>
            <w:r>
              <w:rPr>
                <w:sz w:val="14"/>
                <w:szCs w:val="14"/>
                <w:u w:val="single"/>
              </w:rPr>
              <w:fldChar w:fldCharType="end"/>
            </w:r>
            <w:r w:rsidRPr="008340BB">
              <w:rPr>
                <w:sz w:val="14"/>
                <w:szCs w:val="14"/>
              </w:rPr>
              <w:t xml:space="preserve"> </w:t>
            </w:r>
          </w:p>
        </w:tc>
        <w:tc>
          <w:tcPr>
            <w:tcW w:w="399" w:type="pct"/>
            <w:vMerge/>
            <w:tcPrChange w:id="40" w:author="Iva Chervenkova" w:date="2024-07-03T11:12:00Z">
              <w:tcPr>
                <w:tcW w:w="399" w:type="pct"/>
                <w:gridSpan w:val="2"/>
                <w:vMerge/>
              </w:tcPr>
            </w:tcPrChange>
          </w:tcPr>
          <w:p w14:paraId="137EB844" w14:textId="77777777" w:rsidR="00D833D7" w:rsidRPr="008340BB" w:rsidRDefault="00D833D7" w:rsidP="00BD5328">
            <w:pPr>
              <w:rPr>
                <w:sz w:val="14"/>
                <w:szCs w:val="14"/>
              </w:rPr>
            </w:pPr>
          </w:p>
        </w:tc>
        <w:tc>
          <w:tcPr>
            <w:tcW w:w="226" w:type="pct"/>
            <w:vMerge/>
            <w:tcPrChange w:id="41" w:author="Iva Chervenkova" w:date="2024-07-03T11:12:00Z">
              <w:tcPr>
                <w:tcW w:w="226" w:type="pct"/>
                <w:gridSpan w:val="2"/>
                <w:vMerge/>
              </w:tcPr>
            </w:tcPrChange>
          </w:tcPr>
          <w:p w14:paraId="7F6FCBD6" w14:textId="77777777" w:rsidR="00D833D7" w:rsidRPr="008340BB" w:rsidRDefault="00D833D7" w:rsidP="00BD5328">
            <w:pPr>
              <w:rPr>
                <w:sz w:val="14"/>
                <w:szCs w:val="14"/>
              </w:rPr>
            </w:pPr>
          </w:p>
        </w:tc>
        <w:tc>
          <w:tcPr>
            <w:tcW w:w="278" w:type="pct"/>
            <w:vMerge/>
            <w:tcPrChange w:id="42" w:author="Iva Chervenkova" w:date="2024-07-03T11:12:00Z">
              <w:tcPr>
                <w:tcW w:w="164" w:type="pct"/>
                <w:gridSpan w:val="2"/>
                <w:vMerge/>
              </w:tcPr>
            </w:tcPrChange>
          </w:tcPr>
          <w:p w14:paraId="3ABACE90" w14:textId="77777777" w:rsidR="00D833D7" w:rsidRPr="008340BB" w:rsidRDefault="00D833D7" w:rsidP="00BD5328">
            <w:pPr>
              <w:rPr>
                <w:sz w:val="14"/>
                <w:szCs w:val="14"/>
              </w:rPr>
            </w:pPr>
          </w:p>
        </w:tc>
        <w:tc>
          <w:tcPr>
            <w:tcW w:w="182" w:type="pct"/>
            <w:vMerge/>
            <w:tcPrChange w:id="43" w:author="Iva Chervenkova" w:date="2024-07-03T11:12:00Z">
              <w:tcPr>
                <w:tcW w:w="296" w:type="pct"/>
                <w:gridSpan w:val="4"/>
                <w:vMerge/>
              </w:tcPr>
            </w:tcPrChange>
          </w:tcPr>
          <w:p w14:paraId="7EEBC75A" w14:textId="3155917A" w:rsidR="00D833D7" w:rsidRPr="008340BB" w:rsidRDefault="00D833D7" w:rsidP="00BD5328">
            <w:pPr>
              <w:rPr>
                <w:sz w:val="14"/>
                <w:szCs w:val="14"/>
              </w:rPr>
            </w:pPr>
          </w:p>
        </w:tc>
        <w:tc>
          <w:tcPr>
            <w:tcW w:w="364" w:type="pct"/>
            <w:tcPrChange w:id="44" w:author="Iva Chervenkova" w:date="2024-07-03T11:12:00Z">
              <w:tcPr>
                <w:tcW w:w="364" w:type="pct"/>
                <w:gridSpan w:val="2"/>
              </w:tcPr>
            </w:tcPrChange>
          </w:tcPr>
          <w:p w14:paraId="364BB637" w14:textId="77777777" w:rsidR="00D833D7" w:rsidRPr="008340BB" w:rsidRDefault="00D833D7" w:rsidP="00BD5328">
            <w:pPr>
              <w:rPr>
                <w:sz w:val="14"/>
                <w:szCs w:val="14"/>
              </w:rPr>
            </w:pPr>
            <w:r w:rsidRPr="008340BB">
              <w:rPr>
                <w:sz w:val="14"/>
                <w:szCs w:val="14"/>
              </w:rPr>
              <w:t>Union support</w:t>
            </w:r>
          </w:p>
        </w:tc>
        <w:tc>
          <w:tcPr>
            <w:tcW w:w="310" w:type="pct"/>
            <w:tcPrChange w:id="45" w:author="Iva Chervenkova" w:date="2024-07-03T11:12:00Z">
              <w:tcPr>
                <w:tcW w:w="310" w:type="pct"/>
              </w:tcPr>
            </w:tcPrChange>
          </w:tcPr>
          <w:p w14:paraId="119A32D3" w14:textId="77777777" w:rsidR="00D833D7" w:rsidRPr="008340BB" w:rsidRDefault="00D833D7" w:rsidP="00BD5328">
            <w:pPr>
              <w:rPr>
                <w:sz w:val="14"/>
                <w:szCs w:val="14"/>
              </w:rPr>
            </w:pPr>
            <w:r w:rsidRPr="008340BB">
              <w:rPr>
                <w:sz w:val="14"/>
                <w:szCs w:val="14"/>
              </w:rPr>
              <w:t>National counterpart</w:t>
            </w:r>
          </w:p>
        </w:tc>
        <w:tc>
          <w:tcPr>
            <w:tcW w:w="361" w:type="pct"/>
            <w:tcPrChange w:id="46" w:author="Iva Chervenkova" w:date="2024-07-03T11:12:00Z">
              <w:tcPr>
                <w:tcW w:w="361" w:type="pct"/>
              </w:tcPr>
            </w:tcPrChange>
          </w:tcPr>
          <w:p w14:paraId="639C9022" w14:textId="77777777" w:rsidR="00D833D7" w:rsidRPr="008340BB" w:rsidRDefault="00D833D7" w:rsidP="00BD5328">
            <w:pPr>
              <w:rPr>
                <w:sz w:val="14"/>
                <w:szCs w:val="14"/>
              </w:rPr>
            </w:pPr>
            <w:r w:rsidRPr="008340BB">
              <w:rPr>
                <w:sz w:val="14"/>
                <w:szCs w:val="14"/>
              </w:rPr>
              <w:t>Union support</w:t>
            </w:r>
          </w:p>
        </w:tc>
        <w:tc>
          <w:tcPr>
            <w:tcW w:w="285" w:type="pct"/>
            <w:tcPrChange w:id="47" w:author="Iva Chervenkova" w:date="2024-07-03T11:12:00Z">
              <w:tcPr>
                <w:tcW w:w="285" w:type="pct"/>
              </w:tcPr>
            </w:tcPrChange>
          </w:tcPr>
          <w:p w14:paraId="08524D22" w14:textId="77777777" w:rsidR="00D833D7" w:rsidRPr="008340BB" w:rsidRDefault="00D833D7" w:rsidP="00BD5328">
            <w:pPr>
              <w:rPr>
                <w:sz w:val="14"/>
                <w:szCs w:val="14"/>
              </w:rPr>
            </w:pPr>
            <w:r w:rsidRPr="008340BB">
              <w:rPr>
                <w:sz w:val="14"/>
                <w:szCs w:val="14"/>
              </w:rPr>
              <w:t>National counterpart</w:t>
            </w:r>
            <w:r w:rsidRPr="008340BB">
              <w:rPr>
                <w:sz w:val="14"/>
                <w:szCs w:val="14"/>
                <w:vertAlign w:val="superscript"/>
              </w:rPr>
              <w:footnoteReference w:id="84"/>
            </w:r>
          </w:p>
        </w:tc>
        <w:tc>
          <w:tcPr>
            <w:tcW w:w="226" w:type="pct"/>
            <w:vMerge/>
            <w:tcPrChange w:id="48" w:author="Iva Chervenkova" w:date="2024-07-03T11:12:00Z">
              <w:tcPr>
                <w:tcW w:w="226" w:type="pct"/>
                <w:vMerge/>
              </w:tcPr>
            </w:tcPrChange>
          </w:tcPr>
          <w:p w14:paraId="5865D097" w14:textId="77777777" w:rsidR="00D833D7" w:rsidRPr="008340BB" w:rsidRDefault="00D833D7" w:rsidP="00BD5328">
            <w:pPr>
              <w:rPr>
                <w:sz w:val="14"/>
                <w:szCs w:val="14"/>
              </w:rPr>
            </w:pPr>
          </w:p>
        </w:tc>
      </w:tr>
      <w:tr w:rsidR="007B694B" w:rsidRPr="008340BB" w14:paraId="23C1C2C7" w14:textId="77777777" w:rsidTr="007B694B">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49" w:author="Iva Chervenkova" w:date="2024-07-03T11:12:00Z">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320" w:type="pct"/>
            <w:tcPrChange w:id="50" w:author="Iva Chervenkova" w:date="2024-07-03T11:12:00Z">
              <w:tcPr>
                <w:tcW w:w="320" w:type="pct"/>
                <w:gridSpan w:val="2"/>
              </w:tcPr>
            </w:tcPrChange>
          </w:tcPr>
          <w:p w14:paraId="7F678C28" w14:textId="77777777" w:rsidR="00D833D7" w:rsidRPr="008340BB" w:rsidRDefault="00D833D7" w:rsidP="00BD5328">
            <w:pPr>
              <w:rPr>
                <w:sz w:val="16"/>
                <w:szCs w:val="16"/>
              </w:rPr>
            </w:pPr>
          </w:p>
        </w:tc>
        <w:tc>
          <w:tcPr>
            <w:tcW w:w="252" w:type="pct"/>
            <w:tcPrChange w:id="51" w:author="Iva Chervenkova" w:date="2024-07-03T11:12:00Z">
              <w:tcPr>
                <w:tcW w:w="252" w:type="pct"/>
                <w:gridSpan w:val="2"/>
              </w:tcPr>
            </w:tcPrChange>
          </w:tcPr>
          <w:p w14:paraId="4278E393" w14:textId="77777777" w:rsidR="00D833D7" w:rsidRPr="008340BB" w:rsidRDefault="00D833D7" w:rsidP="00BD5328">
            <w:pPr>
              <w:rPr>
                <w:sz w:val="16"/>
                <w:szCs w:val="16"/>
              </w:rPr>
            </w:pPr>
          </w:p>
        </w:tc>
        <w:tc>
          <w:tcPr>
            <w:tcW w:w="261" w:type="pct"/>
            <w:tcPrChange w:id="52" w:author="Iva Chervenkova" w:date="2024-07-03T11:12:00Z">
              <w:tcPr>
                <w:tcW w:w="261" w:type="pct"/>
                <w:gridSpan w:val="2"/>
              </w:tcPr>
            </w:tcPrChange>
          </w:tcPr>
          <w:p w14:paraId="32BF60C9" w14:textId="77777777" w:rsidR="00D833D7" w:rsidRPr="008340BB" w:rsidRDefault="00D833D7" w:rsidP="00BD5328">
            <w:pPr>
              <w:rPr>
                <w:sz w:val="16"/>
                <w:szCs w:val="16"/>
              </w:rPr>
            </w:pPr>
          </w:p>
        </w:tc>
        <w:tc>
          <w:tcPr>
            <w:tcW w:w="220" w:type="pct"/>
            <w:tcPrChange w:id="53" w:author="Iva Chervenkova" w:date="2024-07-03T11:12:00Z">
              <w:tcPr>
                <w:tcW w:w="220" w:type="pct"/>
                <w:gridSpan w:val="2"/>
              </w:tcPr>
            </w:tcPrChange>
          </w:tcPr>
          <w:p w14:paraId="72F0C573" w14:textId="77777777" w:rsidR="00D833D7" w:rsidRPr="008340BB" w:rsidRDefault="00D833D7" w:rsidP="00BD5328">
            <w:pPr>
              <w:rPr>
                <w:sz w:val="16"/>
                <w:szCs w:val="16"/>
              </w:rPr>
            </w:pPr>
          </w:p>
        </w:tc>
        <w:tc>
          <w:tcPr>
            <w:tcW w:w="379" w:type="pct"/>
            <w:tcPrChange w:id="54" w:author="Iva Chervenkova" w:date="2024-07-03T11:12:00Z">
              <w:tcPr>
                <w:tcW w:w="379" w:type="pct"/>
                <w:gridSpan w:val="2"/>
              </w:tcPr>
            </w:tcPrChange>
          </w:tcPr>
          <w:p w14:paraId="19D3C317" w14:textId="77777777" w:rsidR="00D833D7" w:rsidRPr="008340BB" w:rsidRDefault="00D833D7" w:rsidP="00BD5328">
            <w:pPr>
              <w:rPr>
                <w:sz w:val="16"/>
                <w:szCs w:val="16"/>
              </w:rPr>
            </w:pPr>
            <w:r w:rsidRPr="008340BB">
              <w:rPr>
                <w:sz w:val="16"/>
                <w:szCs w:val="16"/>
              </w:rPr>
              <w:t>(a)</w:t>
            </w:r>
          </w:p>
        </w:tc>
        <w:tc>
          <w:tcPr>
            <w:tcW w:w="377" w:type="pct"/>
            <w:tcPrChange w:id="55" w:author="Iva Chervenkova" w:date="2024-07-03T11:12:00Z">
              <w:tcPr>
                <w:tcW w:w="377" w:type="pct"/>
                <w:gridSpan w:val="2"/>
              </w:tcPr>
            </w:tcPrChange>
          </w:tcPr>
          <w:p w14:paraId="6BF01C00" w14:textId="77777777" w:rsidR="00D833D7" w:rsidRPr="008340BB" w:rsidRDefault="00D833D7" w:rsidP="00BD5328">
            <w:pPr>
              <w:rPr>
                <w:sz w:val="16"/>
                <w:szCs w:val="16"/>
              </w:rPr>
            </w:pPr>
            <w:r w:rsidRPr="008340BB">
              <w:rPr>
                <w:sz w:val="16"/>
                <w:szCs w:val="16"/>
              </w:rPr>
              <w:t>(b) = (c) + (d))</w:t>
            </w:r>
          </w:p>
        </w:tc>
        <w:tc>
          <w:tcPr>
            <w:tcW w:w="403" w:type="pct"/>
            <w:tcPrChange w:id="56" w:author="Iva Chervenkova" w:date="2024-07-03T11:12:00Z">
              <w:tcPr>
                <w:tcW w:w="403" w:type="pct"/>
                <w:gridSpan w:val="2"/>
              </w:tcPr>
            </w:tcPrChange>
          </w:tcPr>
          <w:p w14:paraId="756F1340" w14:textId="77777777" w:rsidR="00D833D7" w:rsidRPr="008340BB" w:rsidRDefault="00D833D7" w:rsidP="00BD5328">
            <w:pPr>
              <w:rPr>
                <w:sz w:val="16"/>
                <w:szCs w:val="16"/>
              </w:rPr>
            </w:pPr>
            <w:r w:rsidRPr="008340BB">
              <w:rPr>
                <w:sz w:val="16"/>
                <w:szCs w:val="16"/>
              </w:rPr>
              <w:t>(c)</w:t>
            </w:r>
          </w:p>
        </w:tc>
        <w:tc>
          <w:tcPr>
            <w:tcW w:w="157" w:type="pct"/>
            <w:tcPrChange w:id="57" w:author="Iva Chervenkova" w:date="2024-07-03T11:12:00Z">
              <w:tcPr>
                <w:tcW w:w="157" w:type="pct"/>
                <w:gridSpan w:val="2"/>
              </w:tcPr>
            </w:tcPrChange>
          </w:tcPr>
          <w:p w14:paraId="414263C7" w14:textId="77777777" w:rsidR="00D833D7" w:rsidRPr="008340BB" w:rsidRDefault="00D833D7" w:rsidP="002F29AB">
            <w:pPr>
              <w:ind w:right="-103" w:hanging="137"/>
              <w:jc w:val="center"/>
              <w:rPr>
                <w:sz w:val="16"/>
                <w:szCs w:val="16"/>
              </w:rPr>
            </w:pPr>
            <w:r w:rsidRPr="008340BB">
              <w:rPr>
                <w:sz w:val="16"/>
                <w:szCs w:val="16"/>
              </w:rPr>
              <w:t>(d)</w:t>
            </w:r>
          </w:p>
        </w:tc>
        <w:tc>
          <w:tcPr>
            <w:tcW w:w="399" w:type="pct"/>
            <w:tcPrChange w:id="58" w:author="Iva Chervenkova" w:date="2024-07-03T11:12:00Z">
              <w:tcPr>
                <w:tcW w:w="399" w:type="pct"/>
                <w:gridSpan w:val="2"/>
              </w:tcPr>
            </w:tcPrChange>
          </w:tcPr>
          <w:p w14:paraId="2AFAA7EE" w14:textId="77777777" w:rsidR="00D833D7" w:rsidRPr="008340BB" w:rsidRDefault="00D833D7" w:rsidP="00BD5328">
            <w:pPr>
              <w:rPr>
                <w:sz w:val="16"/>
                <w:szCs w:val="16"/>
              </w:rPr>
            </w:pPr>
            <w:r w:rsidRPr="008340BB">
              <w:rPr>
                <w:sz w:val="16"/>
                <w:szCs w:val="16"/>
              </w:rPr>
              <w:t>(e) = (a) + (b)</w:t>
            </w:r>
          </w:p>
        </w:tc>
        <w:tc>
          <w:tcPr>
            <w:tcW w:w="226" w:type="pct"/>
            <w:tcPrChange w:id="59" w:author="Iva Chervenkova" w:date="2024-07-03T11:12:00Z">
              <w:tcPr>
                <w:tcW w:w="226" w:type="pct"/>
                <w:gridSpan w:val="2"/>
              </w:tcPr>
            </w:tcPrChange>
          </w:tcPr>
          <w:p w14:paraId="6D0918BE" w14:textId="77777777" w:rsidR="00D833D7" w:rsidRPr="008340BB" w:rsidRDefault="00D833D7" w:rsidP="00BD5328">
            <w:pPr>
              <w:rPr>
                <w:sz w:val="16"/>
                <w:szCs w:val="16"/>
              </w:rPr>
            </w:pPr>
            <w:r w:rsidRPr="008340BB">
              <w:rPr>
                <w:sz w:val="16"/>
                <w:szCs w:val="16"/>
              </w:rPr>
              <w:t>(f)  = (a)/(e)</w:t>
            </w:r>
            <w:r w:rsidRPr="008340BB">
              <w:t xml:space="preserve"> </w:t>
            </w:r>
            <w:r>
              <w:fldChar w:fldCharType="begin"/>
            </w:r>
            <w:r>
              <w:instrText xml:space="preserve"> HYPERLINK "http://eur-lex.europa.eu/LexUriServ/LexUriServ.do?uri=CONSLEG:2006R1828:20091013:EN:HTML" \l "E0079#E0079" </w:instrText>
            </w:r>
            <w:r>
              <w:fldChar w:fldCharType="separate"/>
            </w:r>
            <w:r w:rsidRPr="0067246B">
              <w:rPr>
                <w:sz w:val="16"/>
                <w:szCs w:val="16"/>
                <w:u w:val="single"/>
              </w:rPr>
              <w:t>(2)</w:t>
            </w:r>
            <w:r>
              <w:rPr>
                <w:sz w:val="16"/>
                <w:szCs w:val="16"/>
                <w:u w:val="single"/>
              </w:rPr>
              <w:fldChar w:fldCharType="end"/>
            </w:r>
          </w:p>
        </w:tc>
        <w:tc>
          <w:tcPr>
            <w:tcW w:w="278" w:type="pct"/>
            <w:tcPrChange w:id="60" w:author="Iva Chervenkova" w:date="2024-07-03T11:12:00Z">
              <w:tcPr>
                <w:tcW w:w="164" w:type="pct"/>
                <w:gridSpan w:val="2"/>
              </w:tcPr>
            </w:tcPrChange>
          </w:tcPr>
          <w:p w14:paraId="47D629F1" w14:textId="77777777" w:rsidR="00D833D7" w:rsidRPr="0067246B" w:rsidRDefault="00D833D7" w:rsidP="00BD5328">
            <w:pPr>
              <w:rPr>
                <w:sz w:val="16"/>
                <w:szCs w:val="16"/>
              </w:rPr>
            </w:pPr>
          </w:p>
        </w:tc>
        <w:tc>
          <w:tcPr>
            <w:tcW w:w="182" w:type="pct"/>
            <w:tcPrChange w:id="61" w:author="Iva Chervenkova" w:date="2024-07-03T11:12:00Z">
              <w:tcPr>
                <w:tcW w:w="251" w:type="pct"/>
                <w:gridSpan w:val="2"/>
              </w:tcPr>
            </w:tcPrChange>
          </w:tcPr>
          <w:p w14:paraId="11073593" w14:textId="2B932A9A" w:rsidR="00D833D7" w:rsidRPr="0067246B" w:rsidRDefault="00D833D7" w:rsidP="00BD5328">
            <w:pPr>
              <w:rPr>
                <w:sz w:val="16"/>
                <w:szCs w:val="16"/>
              </w:rPr>
            </w:pPr>
            <w:r w:rsidRPr="0067246B">
              <w:rPr>
                <w:sz w:val="16"/>
                <w:szCs w:val="16"/>
              </w:rPr>
              <w:t>(g)</w:t>
            </w:r>
          </w:p>
        </w:tc>
        <w:tc>
          <w:tcPr>
            <w:tcW w:w="364" w:type="pct"/>
            <w:tcPrChange w:id="62" w:author="Iva Chervenkova" w:date="2024-07-03T11:12:00Z">
              <w:tcPr>
                <w:tcW w:w="316" w:type="pct"/>
                <w:gridSpan w:val="2"/>
              </w:tcPr>
            </w:tcPrChange>
          </w:tcPr>
          <w:p w14:paraId="5C9F0851" w14:textId="77777777" w:rsidR="00D833D7" w:rsidRPr="00020ADD" w:rsidRDefault="00D833D7" w:rsidP="00BD5328">
            <w:pPr>
              <w:rPr>
                <w:sz w:val="16"/>
                <w:szCs w:val="16"/>
              </w:rPr>
            </w:pPr>
            <w:r w:rsidRPr="00020ADD">
              <w:rPr>
                <w:sz w:val="16"/>
                <w:szCs w:val="16"/>
              </w:rPr>
              <w:t>(h)=(a)-(j)</w:t>
            </w:r>
          </w:p>
        </w:tc>
        <w:tc>
          <w:tcPr>
            <w:tcW w:w="310" w:type="pct"/>
            <w:tcPrChange w:id="63" w:author="Iva Chervenkova" w:date="2024-07-03T11:12:00Z">
              <w:tcPr>
                <w:tcW w:w="403" w:type="pct"/>
                <w:gridSpan w:val="2"/>
              </w:tcPr>
            </w:tcPrChange>
          </w:tcPr>
          <w:p w14:paraId="5C0EE2F1" w14:textId="77777777" w:rsidR="00D833D7" w:rsidRPr="00020ADD" w:rsidRDefault="00D833D7" w:rsidP="00BD5328">
            <w:pPr>
              <w:rPr>
                <w:sz w:val="16"/>
                <w:szCs w:val="16"/>
              </w:rPr>
            </w:pPr>
            <w:r w:rsidRPr="00020ADD">
              <w:rPr>
                <w:sz w:val="16"/>
                <w:szCs w:val="16"/>
              </w:rPr>
              <w:t>(i) = (b) – (k)</w:t>
            </w:r>
          </w:p>
        </w:tc>
        <w:tc>
          <w:tcPr>
            <w:tcW w:w="361" w:type="pct"/>
            <w:tcPrChange w:id="64" w:author="Iva Chervenkova" w:date="2024-07-03T11:12:00Z">
              <w:tcPr>
                <w:tcW w:w="361" w:type="pct"/>
              </w:tcPr>
            </w:tcPrChange>
          </w:tcPr>
          <w:p w14:paraId="42251762" w14:textId="77777777" w:rsidR="00D833D7" w:rsidRPr="00020ADD" w:rsidRDefault="00D833D7" w:rsidP="00BD5328">
            <w:pPr>
              <w:rPr>
                <w:sz w:val="16"/>
                <w:szCs w:val="16"/>
              </w:rPr>
            </w:pPr>
            <w:r w:rsidRPr="00020ADD">
              <w:rPr>
                <w:sz w:val="16"/>
                <w:szCs w:val="16"/>
              </w:rPr>
              <w:t>(j)</w:t>
            </w:r>
          </w:p>
        </w:tc>
        <w:tc>
          <w:tcPr>
            <w:tcW w:w="285" w:type="pct"/>
            <w:tcPrChange w:id="65" w:author="Iva Chervenkova" w:date="2024-07-03T11:12:00Z">
              <w:tcPr>
                <w:tcW w:w="285" w:type="pct"/>
              </w:tcPr>
            </w:tcPrChange>
          </w:tcPr>
          <w:p w14:paraId="23FEF0A8" w14:textId="77777777" w:rsidR="00D833D7" w:rsidRPr="00DC0475" w:rsidRDefault="00D833D7" w:rsidP="00BD5328">
            <w:pPr>
              <w:rPr>
                <w:sz w:val="16"/>
                <w:szCs w:val="16"/>
              </w:rPr>
            </w:pPr>
            <w:r w:rsidRPr="00DC0475">
              <w:rPr>
                <w:sz w:val="16"/>
                <w:szCs w:val="16"/>
              </w:rPr>
              <w:t>(k)= (b) * ((j)/(a))</w:t>
            </w:r>
          </w:p>
        </w:tc>
        <w:tc>
          <w:tcPr>
            <w:tcW w:w="226" w:type="pct"/>
            <w:tcPrChange w:id="66" w:author="Iva Chervenkova" w:date="2024-07-03T11:12:00Z">
              <w:tcPr>
                <w:tcW w:w="226" w:type="pct"/>
              </w:tcPr>
            </w:tcPrChange>
          </w:tcPr>
          <w:p w14:paraId="06631FA5" w14:textId="77777777" w:rsidR="00D833D7" w:rsidRPr="00B5130A" w:rsidRDefault="00D833D7" w:rsidP="00BD5328">
            <w:pPr>
              <w:rPr>
                <w:sz w:val="16"/>
                <w:szCs w:val="16"/>
              </w:rPr>
            </w:pPr>
            <w:r w:rsidRPr="00B5130A">
              <w:rPr>
                <w:sz w:val="16"/>
                <w:szCs w:val="16"/>
              </w:rPr>
              <w:t>(l) =(j)/(a) *100</w:t>
            </w:r>
          </w:p>
        </w:tc>
      </w:tr>
      <w:tr w:rsidR="007B694B" w:rsidRPr="008340BB" w14:paraId="4773F124" w14:textId="77777777" w:rsidTr="007B694B">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7" w:author="Iva Chervenkova" w:date="2024-07-03T11:12:00Z">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79"/>
          <w:trPrChange w:id="68" w:author="Iva Chervenkova" w:date="2024-07-03T11:12:00Z">
            <w:trPr>
              <w:trHeight w:val="379"/>
            </w:trPr>
          </w:trPrChange>
        </w:trPr>
        <w:tc>
          <w:tcPr>
            <w:tcW w:w="320" w:type="pct"/>
            <w:tcPrChange w:id="69" w:author="Iva Chervenkova" w:date="2024-07-03T11:12:00Z">
              <w:tcPr>
                <w:tcW w:w="320" w:type="pct"/>
                <w:gridSpan w:val="2"/>
              </w:tcPr>
            </w:tcPrChange>
          </w:tcPr>
          <w:p w14:paraId="5B5A0ADB" w14:textId="77777777" w:rsidR="00D833D7" w:rsidRPr="008340BB" w:rsidRDefault="00D833D7" w:rsidP="002B527F">
            <w:pPr>
              <w:jc w:val="left"/>
              <w:rPr>
                <w:sz w:val="16"/>
                <w:szCs w:val="16"/>
              </w:rPr>
            </w:pPr>
            <w:r w:rsidRPr="008340BB">
              <w:rPr>
                <w:i/>
                <w:iCs/>
                <w:sz w:val="16"/>
                <w:szCs w:val="16"/>
              </w:rPr>
              <w:lastRenderedPageBreak/>
              <w:t>Priority axis 1</w:t>
            </w:r>
            <w:r w:rsidRPr="008340BB">
              <w:rPr>
                <w:sz w:val="16"/>
                <w:szCs w:val="16"/>
              </w:rPr>
              <w:t xml:space="preserve"> </w:t>
            </w:r>
          </w:p>
        </w:tc>
        <w:tc>
          <w:tcPr>
            <w:tcW w:w="252" w:type="pct"/>
            <w:tcPrChange w:id="70" w:author="Iva Chervenkova" w:date="2024-07-03T11:12:00Z">
              <w:tcPr>
                <w:tcW w:w="252" w:type="pct"/>
                <w:gridSpan w:val="2"/>
              </w:tcPr>
            </w:tcPrChange>
          </w:tcPr>
          <w:p w14:paraId="285F671A" w14:textId="77777777" w:rsidR="00D833D7" w:rsidRPr="008340BB" w:rsidRDefault="00D833D7" w:rsidP="002B527F">
            <w:pPr>
              <w:spacing w:after="0"/>
              <w:jc w:val="left"/>
              <w:rPr>
                <w:sz w:val="16"/>
                <w:szCs w:val="16"/>
              </w:rPr>
            </w:pPr>
            <w:r w:rsidRPr="008340BB">
              <w:rPr>
                <w:sz w:val="16"/>
                <w:szCs w:val="16"/>
              </w:rPr>
              <w:t>CF</w:t>
            </w:r>
          </w:p>
        </w:tc>
        <w:tc>
          <w:tcPr>
            <w:tcW w:w="261" w:type="pct"/>
            <w:tcPrChange w:id="71" w:author="Iva Chervenkova" w:date="2024-07-03T11:12:00Z">
              <w:tcPr>
                <w:tcW w:w="261" w:type="pct"/>
                <w:gridSpan w:val="2"/>
              </w:tcPr>
            </w:tcPrChange>
          </w:tcPr>
          <w:p w14:paraId="6F03075D" w14:textId="77777777" w:rsidR="00D833D7" w:rsidRPr="008340BB" w:rsidRDefault="00D833D7" w:rsidP="002B527F">
            <w:pPr>
              <w:jc w:val="left"/>
              <w:rPr>
                <w:sz w:val="16"/>
                <w:szCs w:val="16"/>
              </w:rPr>
            </w:pPr>
            <w:r w:rsidRPr="008340BB">
              <w:rPr>
                <w:sz w:val="16"/>
                <w:szCs w:val="16"/>
              </w:rPr>
              <w:t>N/A</w:t>
            </w:r>
          </w:p>
        </w:tc>
        <w:tc>
          <w:tcPr>
            <w:tcW w:w="220" w:type="pct"/>
            <w:tcPrChange w:id="72" w:author="Iva Chervenkova" w:date="2024-07-03T11:12:00Z">
              <w:tcPr>
                <w:tcW w:w="220" w:type="pct"/>
                <w:gridSpan w:val="2"/>
              </w:tcPr>
            </w:tcPrChange>
          </w:tcPr>
          <w:p w14:paraId="623E8075" w14:textId="77777777" w:rsidR="00D833D7" w:rsidRPr="008340BB" w:rsidRDefault="00D833D7" w:rsidP="002B527F">
            <w:pPr>
              <w:jc w:val="left"/>
              <w:rPr>
                <w:sz w:val="16"/>
                <w:szCs w:val="16"/>
              </w:rPr>
            </w:pPr>
            <w:r w:rsidRPr="008340BB">
              <w:rPr>
                <w:sz w:val="16"/>
                <w:szCs w:val="16"/>
              </w:rPr>
              <w:t>public</w:t>
            </w:r>
          </w:p>
        </w:tc>
        <w:tc>
          <w:tcPr>
            <w:tcW w:w="379" w:type="pct"/>
            <w:shd w:val="clear" w:color="auto" w:fill="auto"/>
            <w:tcPrChange w:id="73" w:author="Iva Chervenkova" w:date="2024-07-03T11:12:00Z">
              <w:tcPr>
                <w:tcW w:w="379" w:type="pct"/>
                <w:gridSpan w:val="2"/>
                <w:shd w:val="clear" w:color="auto" w:fill="auto"/>
              </w:tcPr>
            </w:tcPrChange>
          </w:tcPr>
          <w:p w14:paraId="408CE5CB" w14:textId="77777777" w:rsidR="00D833D7" w:rsidRPr="009B475E" w:rsidRDefault="00D833D7" w:rsidP="002F3233">
            <w:pPr>
              <w:jc w:val="left"/>
              <w:rPr>
                <w:bCs/>
                <w:sz w:val="16"/>
                <w:szCs w:val="16"/>
                <w:lang w:val="bg-BG"/>
              </w:rPr>
            </w:pPr>
            <w:r w:rsidRPr="009B475E">
              <w:rPr>
                <w:bCs/>
                <w:sz w:val="16"/>
                <w:szCs w:val="16"/>
                <w:lang w:val="bg-BG"/>
              </w:rPr>
              <w:t>480 354 023,00</w:t>
            </w:r>
          </w:p>
          <w:p w14:paraId="76DEB837" w14:textId="77777777" w:rsidR="00D833D7" w:rsidRPr="009B475E" w:rsidRDefault="00D833D7" w:rsidP="00FF34DC">
            <w:pPr>
              <w:jc w:val="left"/>
              <w:rPr>
                <w:bCs/>
                <w:sz w:val="16"/>
                <w:szCs w:val="16"/>
                <w:lang w:val="bg-BG"/>
              </w:rPr>
            </w:pPr>
          </w:p>
          <w:p w14:paraId="4BAA969F" w14:textId="6ACA9EAE" w:rsidR="00D833D7" w:rsidRPr="009B475E" w:rsidRDefault="00D833D7" w:rsidP="00FF34DC">
            <w:pPr>
              <w:jc w:val="left"/>
              <w:rPr>
                <w:bCs/>
                <w:sz w:val="16"/>
                <w:szCs w:val="16"/>
                <w:lang w:val="bg-BG"/>
              </w:rPr>
            </w:pPr>
          </w:p>
          <w:p w14:paraId="7A0C6BD5" w14:textId="7A36634E" w:rsidR="00D833D7" w:rsidRPr="009B475E" w:rsidRDefault="00D833D7" w:rsidP="002B527F">
            <w:pPr>
              <w:jc w:val="left"/>
              <w:rPr>
                <w:bCs/>
                <w:sz w:val="16"/>
                <w:szCs w:val="16"/>
              </w:rPr>
            </w:pPr>
          </w:p>
          <w:p w14:paraId="4991B5FA" w14:textId="77777777" w:rsidR="00D833D7" w:rsidRPr="009B475E" w:rsidRDefault="00D833D7" w:rsidP="002B527F">
            <w:pPr>
              <w:jc w:val="left"/>
              <w:rPr>
                <w:sz w:val="16"/>
                <w:szCs w:val="16"/>
              </w:rPr>
            </w:pPr>
            <w:r w:rsidRPr="009B475E">
              <w:rPr>
                <w:sz w:val="16"/>
                <w:szCs w:val="16"/>
              </w:rPr>
              <w:t xml:space="preserve">       </w:t>
            </w:r>
          </w:p>
          <w:p w14:paraId="3F87188A" w14:textId="77777777" w:rsidR="00D833D7" w:rsidRPr="009B475E" w:rsidRDefault="00D833D7" w:rsidP="002B527F">
            <w:pPr>
              <w:jc w:val="left"/>
              <w:rPr>
                <w:sz w:val="16"/>
                <w:szCs w:val="16"/>
              </w:rPr>
            </w:pPr>
          </w:p>
        </w:tc>
        <w:tc>
          <w:tcPr>
            <w:tcW w:w="377" w:type="pct"/>
            <w:shd w:val="clear" w:color="auto" w:fill="auto"/>
            <w:tcPrChange w:id="74" w:author="Iva Chervenkova" w:date="2024-07-03T11:12:00Z">
              <w:tcPr>
                <w:tcW w:w="377" w:type="pct"/>
                <w:gridSpan w:val="2"/>
                <w:shd w:val="clear" w:color="auto" w:fill="auto"/>
              </w:tcPr>
            </w:tcPrChange>
          </w:tcPr>
          <w:p w14:paraId="460E352F" w14:textId="77777777" w:rsidR="00D833D7" w:rsidRPr="009B475E" w:rsidRDefault="00D833D7" w:rsidP="00E02FC0">
            <w:pPr>
              <w:keepNext/>
              <w:jc w:val="left"/>
              <w:rPr>
                <w:sz w:val="16"/>
                <w:szCs w:val="16"/>
                <w:lang w:val="bg-BG"/>
              </w:rPr>
            </w:pPr>
            <w:r w:rsidRPr="009B475E">
              <w:rPr>
                <w:sz w:val="16"/>
                <w:szCs w:val="16"/>
                <w:lang w:val="bg-BG"/>
              </w:rPr>
              <w:t>84 768 357,00</w:t>
            </w:r>
          </w:p>
          <w:p w14:paraId="79CBEA52" w14:textId="77777777" w:rsidR="00D833D7" w:rsidRPr="009B475E" w:rsidRDefault="00D833D7" w:rsidP="003E66E8">
            <w:pPr>
              <w:keepNext/>
              <w:jc w:val="left"/>
              <w:rPr>
                <w:sz w:val="16"/>
                <w:szCs w:val="16"/>
                <w:lang w:val="bg-BG"/>
              </w:rPr>
            </w:pPr>
          </w:p>
          <w:p w14:paraId="53393937" w14:textId="77777777" w:rsidR="00D833D7" w:rsidRPr="009B475E" w:rsidRDefault="00D833D7" w:rsidP="003E66E8">
            <w:pPr>
              <w:keepNext/>
              <w:jc w:val="left"/>
              <w:rPr>
                <w:sz w:val="16"/>
                <w:szCs w:val="16"/>
                <w:lang w:val="bg-BG"/>
              </w:rPr>
            </w:pPr>
          </w:p>
          <w:p w14:paraId="7C8DA37E" w14:textId="0588DEBB" w:rsidR="00D833D7" w:rsidRPr="009B475E" w:rsidRDefault="00D833D7" w:rsidP="003E66E8">
            <w:pPr>
              <w:keepNext/>
              <w:jc w:val="left"/>
              <w:rPr>
                <w:sz w:val="16"/>
                <w:szCs w:val="16"/>
                <w:lang w:val="bg-BG"/>
              </w:rPr>
            </w:pPr>
          </w:p>
          <w:p w14:paraId="7787FE00" w14:textId="77777777" w:rsidR="00D833D7" w:rsidRPr="009B475E" w:rsidRDefault="00D833D7" w:rsidP="002B527F">
            <w:pPr>
              <w:keepNext/>
              <w:jc w:val="left"/>
              <w:rPr>
                <w:sz w:val="16"/>
                <w:szCs w:val="16"/>
              </w:rPr>
            </w:pPr>
          </w:p>
          <w:p w14:paraId="75FF0B5D" w14:textId="6ED55045" w:rsidR="00D833D7" w:rsidRPr="009B475E" w:rsidRDefault="00D833D7" w:rsidP="002B527F">
            <w:pPr>
              <w:keepNext/>
              <w:jc w:val="left"/>
              <w:rPr>
                <w:sz w:val="16"/>
                <w:szCs w:val="16"/>
              </w:rPr>
            </w:pPr>
          </w:p>
          <w:p w14:paraId="5463DCEE" w14:textId="77777777" w:rsidR="00D833D7" w:rsidRPr="009B475E" w:rsidRDefault="00D833D7" w:rsidP="002B527F">
            <w:pPr>
              <w:keepNext/>
              <w:jc w:val="left"/>
              <w:rPr>
                <w:sz w:val="16"/>
                <w:szCs w:val="16"/>
              </w:rPr>
            </w:pPr>
          </w:p>
          <w:p w14:paraId="72CFEC2F" w14:textId="77777777" w:rsidR="00D833D7" w:rsidRPr="009B475E" w:rsidRDefault="00D833D7" w:rsidP="002B527F">
            <w:pPr>
              <w:keepNext/>
              <w:jc w:val="left"/>
              <w:rPr>
                <w:sz w:val="16"/>
                <w:szCs w:val="16"/>
              </w:rPr>
            </w:pPr>
          </w:p>
        </w:tc>
        <w:tc>
          <w:tcPr>
            <w:tcW w:w="403" w:type="pct"/>
            <w:shd w:val="clear" w:color="auto" w:fill="auto"/>
            <w:tcPrChange w:id="75" w:author="Iva Chervenkova" w:date="2024-07-03T11:12:00Z">
              <w:tcPr>
                <w:tcW w:w="403" w:type="pct"/>
                <w:gridSpan w:val="2"/>
                <w:shd w:val="clear" w:color="auto" w:fill="auto"/>
              </w:tcPr>
            </w:tcPrChange>
          </w:tcPr>
          <w:p w14:paraId="19C76478" w14:textId="77777777" w:rsidR="00D833D7" w:rsidRPr="009B475E" w:rsidRDefault="00D833D7" w:rsidP="00AE4227">
            <w:pPr>
              <w:keepNext/>
              <w:jc w:val="left"/>
              <w:rPr>
                <w:sz w:val="16"/>
                <w:szCs w:val="16"/>
                <w:lang w:val="bg-BG"/>
              </w:rPr>
            </w:pPr>
            <w:r w:rsidRPr="009B475E">
              <w:rPr>
                <w:sz w:val="16"/>
                <w:szCs w:val="16"/>
                <w:lang w:val="bg-BG"/>
              </w:rPr>
              <w:t>84 768 357,00</w:t>
            </w:r>
          </w:p>
          <w:p w14:paraId="416AB529" w14:textId="77777777" w:rsidR="00D833D7" w:rsidRPr="009B475E" w:rsidRDefault="00D833D7" w:rsidP="003E66E8">
            <w:pPr>
              <w:jc w:val="left"/>
              <w:rPr>
                <w:sz w:val="16"/>
                <w:szCs w:val="16"/>
                <w:lang w:val="bg-BG"/>
              </w:rPr>
            </w:pPr>
          </w:p>
          <w:p w14:paraId="633D8247" w14:textId="77777777" w:rsidR="00D833D7" w:rsidRPr="009B475E" w:rsidRDefault="00D833D7" w:rsidP="003E66E8">
            <w:pPr>
              <w:jc w:val="left"/>
              <w:rPr>
                <w:sz w:val="16"/>
                <w:szCs w:val="16"/>
                <w:lang w:val="bg-BG"/>
              </w:rPr>
            </w:pPr>
          </w:p>
          <w:p w14:paraId="66A61EEA" w14:textId="1B946D67" w:rsidR="00D833D7" w:rsidRPr="009B475E" w:rsidRDefault="00D833D7" w:rsidP="003E66E8">
            <w:pPr>
              <w:jc w:val="left"/>
              <w:rPr>
                <w:sz w:val="16"/>
                <w:szCs w:val="16"/>
                <w:lang w:val="bg-BG"/>
              </w:rPr>
            </w:pPr>
          </w:p>
          <w:p w14:paraId="1487FCF9" w14:textId="77777777" w:rsidR="00D833D7" w:rsidRPr="009B475E" w:rsidRDefault="00D833D7" w:rsidP="002B527F">
            <w:pPr>
              <w:jc w:val="left"/>
              <w:rPr>
                <w:sz w:val="16"/>
                <w:szCs w:val="16"/>
              </w:rPr>
            </w:pPr>
          </w:p>
          <w:p w14:paraId="161F70E7" w14:textId="2835D7B2" w:rsidR="00D833D7" w:rsidRPr="009B475E" w:rsidRDefault="00D833D7" w:rsidP="002B527F">
            <w:pPr>
              <w:jc w:val="left"/>
              <w:rPr>
                <w:sz w:val="16"/>
                <w:szCs w:val="16"/>
              </w:rPr>
            </w:pPr>
          </w:p>
          <w:p w14:paraId="4F3B0A9C" w14:textId="77777777" w:rsidR="00D833D7" w:rsidRPr="009B475E" w:rsidRDefault="00D833D7" w:rsidP="002B527F">
            <w:pPr>
              <w:jc w:val="left"/>
              <w:rPr>
                <w:sz w:val="16"/>
                <w:szCs w:val="16"/>
              </w:rPr>
            </w:pPr>
            <w:r w:rsidRPr="009B475E">
              <w:rPr>
                <w:sz w:val="16"/>
                <w:szCs w:val="16"/>
              </w:rPr>
              <w:t xml:space="preserve"> </w:t>
            </w:r>
          </w:p>
          <w:p w14:paraId="2236664E" w14:textId="77777777" w:rsidR="00D833D7" w:rsidRPr="009B475E" w:rsidRDefault="00D833D7" w:rsidP="002B527F">
            <w:pPr>
              <w:jc w:val="left"/>
              <w:rPr>
                <w:sz w:val="16"/>
                <w:szCs w:val="16"/>
              </w:rPr>
            </w:pPr>
          </w:p>
        </w:tc>
        <w:tc>
          <w:tcPr>
            <w:tcW w:w="157" w:type="pct"/>
            <w:tcPrChange w:id="76" w:author="Iva Chervenkova" w:date="2024-07-03T11:12:00Z">
              <w:tcPr>
                <w:tcW w:w="157" w:type="pct"/>
                <w:gridSpan w:val="2"/>
              </w:tcPr>
            </w:tcPrChange>
          </w:tcPr>
          <w:p w14:paraId="1BFF866B" w14:textId="77777777" w:rsidR="00D833D7" w:rsidRPr="009B475E" w:rsidRDefault="00D833D7" w:rsidP="002B527F">
            <w:pPr>
              <w:jc w:val="left"/>
              <w:rPr>
                <w:sz w:val="16"/>
                <w:szCs w:val="16"/>
              </w:rPr>
            </w:pPr>
            <w:r w:rsidRPr="009B475E">
              <w:rPr>
                <w:sz w:val="16"/>
                <w:szCs w:val="16"/>
              </w:rPr>
              <w:t> 0</w:t>
            </w:r>
          </w:p>
        </w:tc>
        <w:tc>
          <w:tcPr>
            <w:tcW w:w="399" w:type="pct"/>
            <w:shd w:val="clear" w:color="auto" w:fill="auto"/>
            <w:tcPrChange w:id="77" w:author="Iva Chervenkova" w:date="2024-07-03T11:12:00Z">
              <w:tcPr>
                <w:tcW w:w="399" w:type="pct"/>
                <w:gridSpan w:val="2"/>
                <w:shd w:val="clear" w:color="auto" w:fill="auto"/>
              </w:tcPr>
            </w:tcPrChange>
          </w:tcPr>
          <w:p w14:paraId="22D58999" w14:textId="77777777" w:rsidR="00D833D7" w:rsidRPr="009B475E" w:rsidRDefault="00D833D7" w:rsidP="001721FC">
            <w:pPr>
              <w:keepNext/>
              <w:jc w:val="left"/>
              <w:rPr>
                <w:sz w:val="16"/>
                <w:szCs w:val="16"/>
                <w:lang w:val="bg-BG"/>
              </w:rPr>
            </w:pPr>
            <w:r w:rsidRPr="009B475E">
              <w:rPr>
                <w:sz w:val="16"/>
                <w:szCs w:val="16"/>
                <w:lang w:val="bg-BG"/>
              </w:rPr>
              <w:t>565 122 380,00</w:t>
            </w:r>
          </w:p>
          <w:p w14:paraId="7FD6CACA" w14:textId="77777777" w:rsidR="00D833D7" w:rsidRPr="009B475E" w:rsidRDefault="00D833D7" w:rsidP="003E66E8">
            <w:pPr>
              <w:keepNext/>
              <w:jc w:val="left"/>
              <w:rPr>
                <w:sz w:val="16"/>
                <w:szCs w:val="16"/>
                <w:lang w:val="bg-BG"/>
              </w:rPr>
            </w:pPr>
          </w:p>
          <w:p w14:paraId="284177B5" w14:textId="77777777" w:rsidR="00D833D7" w:rsidRPr="009B475E" w:rsidRDefault="00D833D7" w:rsidP="003E66E8">
            <w:pPr>
              <w:keepNext/>
              <w:jc w:val="left"/>
              <w:rPr>
                <w:sz w:val="16"/>
                <w:szCs w:val="16"/>
                <w:lang w:val="bg-BG"/>
              </w:rPr>
            </w:pPr>
          </w:p>
          <w:p w14:paraId="2CD583DE" w14:textId="7B5C0A4C" w:rsidR="00D833D7" w:rsidRPr="009B475E" w:rsidRDefault="00D833D7" w:rsidP="003E66E8">
            <w:pPr>
              <w:keepNext/>
              <w:jc w:val="left"/>
              <w:rPr>
                <w:sz w:val="16"/>
                <w:szCs w:val="16"/>
                <w:lang w:val="bg-BG"/>
              </w:rPr>
            </w:pPr>
          </w:p>
          <w:p w14:paraId="4812E4A1" w14:textId="77777777" w:rsidR="00D833D7" w:rsidRPr="009B475E" w:rsidRDefault="00D833D7" w:rsidP="002B527F">
            <w:pPr>
              <w:keepNext/>
              <w:jc w:val="left"/>
              <w:rPr>
                <w:sz w:val="16"/>
                <w:szCs w:val="16"/>
              </w:rPr>
            </w:pPr>
          </w:p>
          <w:p w14:paraId="4C44E9C4" w14:textId="1503F58E" w:rsidR="00D833D7" w:rsidRPr="009B475E" w:rsidRDefault="00D833D7" w:rsidP="002B527F">
            <w:pPr>
              <w:keepNext/>
              <w:jc w:val="left"/>
              <w:rPr>
                <w:sz w:val="16"/>
                <w:szCs w:val="16"/>
              </w:rPr>
            </w:pPr>
          </w:p>
          <w:p w14:paraId="0AC8ECF5" w14:textId="77777777" w:rsidR="00D833D7" w:rsidRPr="009B475E" w:rsidRDefault="00D833D7" w:rsidP="002B527F">
            <w:pPr>
              <w:keepNext/>
              <w:jc w:val="left"/>
              <w:rPr>
                <w:sz w:val="16"/>
                <w:szCs w:val="16"/>
              </w:rPr>
            </w:pPr>
            <w:r w:rsidRPr="009B475E">
              <w:rPr>
                <w:sz w:val="16"/>
                <w:szCs w:val="16"/>
                <w:lang w:val="en-US"/>
              </w:rPr>
              <w:t xml:space="preserve"> </w:t>
            </w:r>
          </w:p>
          <w:p w14:paraId="583F391E" w14:textId="53F00A72" w:rsidR="00D833D7" w:rsidRPr="009B475E" w:rsidRDefault="00D833D7" w:rsidP="002B527F">
            <w:pPr>
              <w:keepNext/>
              <w:jc w:val="left"/>
              <w:rPr>
                <w:sz w:val="16"/>
                <w:szCs w:val="16"/>
                <w:lang w:val="bg-BG"/>
              </w:rPr>
            </w:pPr>
          </w:p>
        </w:tc>
        <w:tc>
          <w:tcPr>
            <w:tcW w:w="226" w:type="pct"/>
            <w:shd w:val="clear" w:color="auto" w:fill="auto"/>
            <w:tcPrChange w:id="78" w:author="Iva Chervenkova" w:date="2024-07-03T11:12:00Z">
              <w:tcPr>
                <w:tcW w:w="226" w:type="pct"/>
                <w:gridSpan w:val="2"/>
                <w:shd w:val="clear" w:color="auto" w:fill="auto"/>
              </w:tcPr>
            </w:tcPrChange>
          </w:tcPr>
          <w:p w14:paraId="2B57D412" w14:textId="3ACDAAA8" w:rsidR="00D833D7" w:rsidRPr="009B475E" w:rsidRDefault="00D833D7" w:rsidP="00AE7075">
            <w:pPr>
              <w:keepNext/>
              <w:jc w:val="left"/>
              <w:rPr>
                <w:sz w:val="16"/>
                <w:szCs w:val="16"/>
                <w:lang w:val="bg-BG"/>
              </w:rPr>
            </w:pPr>
            <w:r w:rsidRPr="009B475E">
              <w:rPr>
                <w:sz w:val="16"/>
                <w:szCs w:val="16"/>
                <w:lang w:val="bg-BG"/>
              </w:rPr>
              <w:t>85,0000000000</w:t>
            </w:r>
          </w:p>
          <w:p w14:paraId="76328C84" w14:textId="77777777" w:rsidR="00D833D7" w:rsidRPr="009B475E" w:rsidRDefault="00D833D7" w:rsidP="00AE7075">
            <w:pPr>
              <w:keepNext/>
              <w:jc w:val="left"/>
              <w:rPr>
                <w:sz w:val="16"/>
                <w:szCs w:val="16"/>
                <w:lang w:val="bg-BG"/>
              </w:rPr>
            </w:pPr>
          </w:p>
          <w:p w14:paraId="593723EE" w14:textId="7135CED7" w:rsidR="00D833D7" w:rsidRPr="009B475E" w:rsidRDefault="00D833D7" w:rsidP="002B527F">
            <w:pPr>
              <w:keepNext/>
              <w:jc w:val="left"/>
              <w:rPr>
                <w:sz w:val="16"/>
                <w:szCs w:val="16"/>
              </w:rPr>
            </w:pPr>
          </w:p>
          <w:p w14:paraId="336A52C1" w14:textId="77777777" w:rsidR="00D833D7" w:rsidRPr="009B475E" w:rsidRDefault="00D833D7" w:rsidP="002B527F">
            <w:pPr>
              <w:keepNext/>
              <w:jc w:val="left"/>
              <w:rPr>
                <w:sz w:val="16"/>
                <w:szCs w:val="16"/>
              </w:rPr>
            </w:pPr>
            <w:r w:rsidRPr="009B475E">
              <w:rPr>
                <w:sz w:val="16"/>
                <w:szCs w:val="16"/>
              </w:rPr>
              <w:t>%</w:t>
            </w:r>
          </w:p>
          <w:p w14:paraId="037243FD" w14:textId="77777777" w:rsidR="00D833D7" w:rsidRPr="009B475E" w:rsidRDefault="00D833D7" w:rsidP="002B527F">
            <w:pPr>
              <w:jc w:val="left"/>
              <w:rPr>
                <w:sz w:val="16"/>
                <w:szCs w:val="16"/>
              </w:rPr>
            </w:pPr>
          </w:p>
        </w:tc>
        <w:tc>
          <w:tcPr>
            <w:tcW w:w="278" w:type="pct"/>
            <w:tcPrChange w:id="79" w:author="Iva Chervenkova" w:date="2024-07-03T11:12:00Z">
              <w:tcPr>
                <w:tcW w:w="164" w:type="pct"/>
                <w:gridSpan w:val="2"/>
              </w:tcPr>
            </w:tcPrChange>
          </w:tcPr>
          <w:p w14:paraId="58CA3338" w14:textId="0D21AB91" w:rsidR="00D833D7" w:rsidRPr="009B475E" w:rsidRDefault="00CF26E7" w:rsidP="00CF26E7">
            <w:pPr>
              <w:jc w:val="center"/>
              <w:rPr>
                <w:sz w:val="16"/>
                <w:szCs w:val="16"/>
              </w:rPr>
            </w:pPr>
            <w:ins w:id="80" w:author="Iva Chervenkova" w:date="2024-07-03T11:12:00Z">
              <w:r w:rsidRPr="00CF26E7">
                <w:rPr>
                  <w:sz w:val="16"/>
                  <w:szCs w:val="16"/>
                  <w:lang w:val="bg-BG"/>
                </w:rPr>
                <w:fldChar w:fldCharType="begin">
                  <w:ffData>
                    <w:name w:val=""/>
                    <w:enabled/>
                    <w:calcOnExit w:val="0"/>
                    <w:checkBox>
                      <w:sizeAuto/>
                      <w:default w:val="1"/>
                    </w:checkBox>
                  </w:ffData>
                </w:fldChar>
              </w:r>
              <w:r w:rsidRPr="00CF26E7">
                <w:rPr>
                  <w:sz w:val="16"/>
                  <w:szCs w:val="16"/>
                  <w:lang w:val="bg-BG"/>
                </w:rPr>
                <w:instrText xml:space="preserve"> FORMCHECKBOX </w:instrText>
              </w:r>
              <w:r w:rsidR="004956FB">
                <w:rPr>
                  <w:sz w:val="16"/>
                  <w:szCs w:val="16"/>
                  <w:lang w:val="bg-BG"/>
                </w:rPr>
              </w:r>
              <w:r w:rsidR="004956FB">
                <w:rPr>
                  <w:sz w:val="16"/>
                  <w:szCs w:val="16"/>
                  <w:lang w:val="bg-BG"/>
                </w:rPr>
                <w:fldChar w:fldCharType="separate"/>
              </w:r>
              <w:r w:rsidRPr="00CF26E7">
                <w:rPr>
                  <w:sz w:val="16"/>
                  <w:szCs w:val="16"/>
                </w:rPr>
                <w:fldChar w:fldCharType="end"/>
              </w:r>
            </w:ins>
          </w:p>
        </w:tc>
        <w:tc>
          <w:tcPr>
            <w:tcW w:w="182" w:type="pct"/>
            <w:shd w:val="clear" w:color="auto" w:fill="auto"/>
            <w:tcPrChange w:id="81" w:author="Iva Chervenkova" w:date="2024-07-03T11:12:00Z">
              <w:tcPr>
                <w:tcW w:w="251" w:type="pct"/>
                <w:gridSpan w:val="2"/>
                <w:shd w:val="clear" w:color="auto" w:fill="auto"/>
              </w:tcPr>
            </w:tcPrChange>
          </w:tcPr>
          <w:p w14:paraId="51A6F1D6" w14:textId="7E13CDC6" w:rsidR="00D833D7" w:rsidRPr="009B475E" w:rsidRDefault="00D833D7" w:rsidP="002B527F">
            <w:pPr>
              <w:jc w:val="left"/>
              <w:rPr>
                <w:sz w:val="16"/>
                <w:szCs w:val="16"/>
              </w:rPr>
            </w:pPr>
            <w:r w:rsidRPr="009B475E">
              <w:rPr>
                <w:sz w:val="16"/>
                <w:szCs w:val="16"/>
              </w:rPr>
              <w:t> </w:t>
            </w:r>
          </w:p>
        </w:tc>
        <w:tc>
          <w:tcPr>
            <w:tcW w:w="364" w:type="pct"/>
            <w:tcPrChange w:id="82" w:author="Iva Chervenkova" w:date="2024-07-03T11:12:00Z">
              <w:tcPr>
                <w:tcW w:w="316" w:type="pct"/>
                <w:gridSpan w:val="2"/>
              </w:tcPr>
            </w:tcPrChange>
          </w:tcPr>
          <w:p w14:paraId="4D24604F" w14:textId="77777777" w:rsidR="00D833D7" w:rsidRPr="009B475E" w:rsidRDefault="00D833D7" w:rsidP="00B75A5E">
            <w:pPr>
              <w:jc w:val="left"/>
              <w:rPr>
                <w:bCs/>
                <w:sz w:val="16"/>
                <w:szCs w:val="16"/>
                <w:lang w:val="bg-BG"/>
              </w:rPr>
            </w:pPr>
            <w:r w:rsidRPr="009B475E">
              <w:rPr>
                <w:bCs/>
                <w:sz w:val="16"/>
                <w:szCs w:val="16"/>
                <w:lang w:val="bg-BG"/>
              </w:rPr>
              <w:t>480 354 023,00</w:t>
            </w:r>
          </w:p>
          <w:p w14:paraId="676C31F4" w14:textId="77777777" w:rsidR="00D833D7" w:rsidRPr="009B475E" w:rsidRDefault="00D833D7" w:rsidP="00CA2562">
            <w:pPr>
              <w:jc w:val="left"/>
              <w:rPr>
                <w:bCs/>
                <w:sz w:val="16"/>
                <w:szCs w:val="16"/>
                <w:lang w:val="bg-BG"/>
              </w:rPr>
            </w:pPr>
          </w:p>
          <w:p w14:paraId="1974DAF7" w14:textId="60ACEEEA" w:rsidR="00D833D7" w:rsidRPr="009B475E" w:rsidRDefault="00D833D7" w:rsidP="00CA2562">
            <w:pPr>
              <w:jc w:val="left"/>
              <w:rPr>
                <w:bCs/>
                <w:sz w:val="16"/>
                <w:szCs w:val="16"/>
                <w:lang w:val="bg-BG"/>
              </w:rPr>
            </w:pPr>
          </w:p>
          <w:p w14:paraId="6F414120" w14:textId="77777777" w:rsidR="00D833D7" w:rsidRPr="009B475E" w:rsidRDefault="00D833D7" w:rsidP="002B527F">
            <w:pPr>
              <w:jc w:val="left"/>
              <w:rPr>
                <w:bCs/>
                <w:sz w:val="16"/>
                <w:szCs w:val="16"/>
              </w:rPr>
            </w:pPr>
          </w:p>
          <w:p w14:paraId="358F6D1C" w14:textId="655681E3" w:rsidR="00D833D7" w:rsidRPr="009B475E" w:rsidRDefault="00D833D7" w:rsidP="002B527F">
            <w:pPr>
              <w:jc w:val="left"/>
              <w:rPr>
                <w:bCs/>
                <w:sz w:val="16"/>
                <w:szCs w:val="16"/>
              </w:rPr>
            </w:pPr>
          </w:p>
          <w:p w14:paraId="5A599B92" w14:textId="77777777" w:rsidR="00D833D7" w:rsidRPr="009B475E" w:rsidRDefault="00D833D7" w:rsidP="002B527F">
            <w:pPr>
              <w:jc w:val="left"/>
              <w:rPr>
                <w:sz w:val="16"/>
                <w:szCs w:val="16"/>
              </w:rPr>
            </w:pPr>
            <w:r w:rsidRPr="009B475E">
              <w:rPr>
                <w:sz w:val="16"/>
                <w:szCs w:val="16"/>
              </w:rPr>
              <w:t xml:space="preserve">       </w:t>
            </w:r>
          </w:p>
          <w:p w14:paraId="53DA7552" w14:textId="2A208B6A" w:rsidR="00D833D7" w:rsidRPr="009B475E" w:rsidRDefault="00D833D7" w:rsidP="002B527F">
            <w:pPr>
              <w:jc w:val="left"/>
              <w:rPr>
                <w:sz w:val="16"/>
                <w:szCs w:val="16"/>
              </w:rPr>
            </w:pPr>
          </w:p>
        </w:tc>
        <w:tc>
          <w:tcPr>
            <w:tcW w:w="310" w:type="pct"/>
            <w:tcPrChange w:id="83" w:author="Iva Chervenkova" w:date="2024-07-03T11:12:00Z">
              <w:tcPr>
                <w:tcW w:w="403" w:type="pct"/>
                <w:gridSpan w:val="2"/>
              </w:tcPr>
            </w:tcPrChange>
          </w:tcPr>
          <w:p w14:paraId="1AEF32C9" w14:textId="77777777" w:rsidR="00D833D7" w:rsidRPr="009B475E" w:rsidRDefault="00D833D7" w:rsidP="00B75A5E">
            <w:pPr>
              <w:keepNext/>
              <w:jc w:val="left"/>
              <w:rPr>
                <w:sz w:val="16"/>
                <w:szCs w:val="16"/>
                <w:lang w:val="bg-BG"/>
              </w:rPr>
            </w:pPr>
            <w:r w:rsidRPr="009B475E">
              <w:rPr>
                <w:sz w:val="16"/>
                <w:szCs w:val="16"/>
                <w:lang w:val="bg-BG"/>
              </w:rPr>
              <w:t>84 768 357,00</w:t>
            </w:r>
          </w:p>
          <w:p w14:paraId="71397170" w14:textId="77777777" w:rsidR="00D833D7" w:rsidRPr="009B475E" w:rsidRDefault="00D833D7" w:rsidP="00CA2562">
            <w:pPr>
              <w:keepNext/>
              <w:jc w:val="left"/>
              <w:rPr>
                <w:sz w:val="16"/>
                <w:szCs w:val="16"/>
                <w:lang w:val="bg-BG"/>
              </w:rPr>
            </w:pPr>
          </w:p>
          <w:p w14:paraId="729BCA31" w14:textId="225A360A" w:rsidR="00D833D7" w:rsidRPr="009B475E" w:rsidRDefault="00D833D7" w:rsidP="00CA2562">
            <w:pPr>
              <w:keepNext/>
              <w:jc w:val="left"/>
              <w:rPr>
                <w:sz w:val="16"/>
                <w:szCs w:val="16"/>
                <w:lang w:val="bg-BG"/>
              </w:rPr>
            </w:pPr>
          </w:p>
          <w:p w14:paraId="76665C81" w14:textId="77777777" w:rsidR="00D833D7" w:rsidRPr="009B475E" w:rsidRDefault="00D833D7" w:rsidP="002B527F">
            <w:pPr>
              <w:keepNext/>
              <w:jc w:val="left"/>
              <w:rPr>
                <w:sz w:val="16"/>
                <w:szCs w:val="16"/>
              </w:rPr>
            </w:pPr>
          </w:p>
          <w:p w14:paraId="3AB2060F" w14:textId="79D7D141" w:rsidR="00D833D7" w:rsidRPr="009B475E" w:rsidRDefault="00D833D7" w:rsidP="002B527F">
            <w:pPr>
              <w:keepNext/>
              <w:jc w:val="left"/>
              <w:rPr>
                <w:sz w:val="16"/>
                <w:szCs w:val="16"/>
              </w:rPr>
            </w:pPr>
          </w:p>
          <w:p w14:paraId="5A9F3501" w14:textId="77777777" w:rsidR="00D833D7" w:rsidRPr="009B475E" w:rsidRDefault="00D833D7" w:rsidP="002B527F">
            <w:pPr>
              <w:keepNext/>
              <w:jc w:val="left"/>
              <w:rPr>
                <w:sz w:val="16"/>
                <w:szCs w:val="16"/>
              </w:rPr>
            </w:pPr>
          </w:p>
          <w:p w14:paraId="1A790DFB" w14:textId="77777777" w:rsidR="00D833D7" w:rsidRPr="009B475E" w:rsidRDefault="00D833D7" w:rsidP="002B527F">
            <w:pPr>
              <w:keepNext/>
              <w:jc w:val="left"/>
              <w:rPr>
                <w:sz w:val="16"/>
                <w:szCs w:val="16"/>
              </w:rPr>
            </w:pPr>
          </w:p>
        </w:tc>
        <w:tc>
          <w:tcPr>
            <w:tcW w:w="361" w:type="pct"/>
            <w:tcPrChange w:id="84" w:author="Iva Chervenkova" w:date="2024-07-03T11:12:00Z">
              <w:tcPr>
                <w:tcW w:w="361" w:type="pct"/>
              </w:tcPr>
            </w:tcPrChange>
          </w:tcPr>
          <w:p w14:paraId="4E61B088" w14:textId="171FB222" w:rsidR="00D833D7" w:rsidRPr="009B475E" w:rsidRDefault="00D833D7" w:rsidP="002B527F">
            <w:pPr>
              <w:jc w:val="left"/>
              <w:rPr>
                <w:sz w:val="16"/>
                <w:szCs w:val="16"/>
              </w:rPr>
            </w:pPr>
            <w:r w:rsidRPr="009B475E">
              <w:rPr>
                <w:sz w:val="16"/>
                <w:szCs w:val="16"/>
              </w:rPr>
              <w:t>0</w:t>
            </w:r>
          </w:p>
        </w:tc>
        <w:tc>
          <w:tcPr>
            <w:tcW w:w="285" w:type="pct"/>
            <w:tcPrChange w:id="85" w:author="Iva Chervenkova" w:date="2024-07-03T11:12:00Z">
              <w:tcPr>
                <w:tcW w:w="285" w:type="pct"/>
              </w:tcPr>
            </w:tcPrChange>
          </w:tcPr>
          <w:p w14:paraId="609EC9C3" w14:textId="356E1B18" w:rsidR="00D833D7" w:rsidRPr="009B475E" w:rsidRDefault="00D833D7" w:rsidP="002B527F">
            <w:pPr>
              <w:jc w:val="left"/>
              <w:rPr>
                <w:sz w:val="16"/>
                <w:szCs w:val="16"/>
              </w:rPr>
            </w:pPr>
            <w:r w:rsidRPr="009B475E">
              <w:rPr>
                <w:sz w:val="16"/>
                <w:szCs w:val="16"/>
              </w:rPr>
              <w:t>0</w:t>
            </w:r>
          </w:p>
        </w:tc>
        <w:tc>
          <w:tcPr>
            <w:tcW w:w="226" w:type="pct"/>
            <w:tcPrChange w:id="86" w:author="Iva Chervenkova" w:date="2024-07-03T11:12:00Z">
              <w:tcPr>
                <w:tcW w:w="226" w:type="pct"/>
              </w:tcPr>
            </w:tcPrChange>
          </w:tcPr>
          <w:p w14:paraId="69603EA6" w14:textId="6092A6D3" w:rsidR="00D833D7" w:rsidRPr="009B475E" w:rsidRDefault="00D833D7" w:rsidP="002B527F">
            <w:pPr>
              <w:jc w:val="left"/>
              <w:rPr>
                <w:sz w:val="16"/>
                <w:szCs w:val="16"/>
              </w:rPr>
            </w:pPr>
          </w:p>
          <w:p w14:paraId="46AF2038" w14:textId="4365FF5C" w:rsidR="00D833D7" w:rsidRPr="009B475E" w:rsidRDefault="00D833D7" w:rsidP="002B527F">
            <w:pPr>
              <w:jc w:val="left"/>
              <w:rPr>
                <w:sz w:val="16"/>
                <w:szCs w:val="16"/>
              </w:rPr>
            </w:pPr>
            <w:r w:rsidRPr="009B475E">
              <w:rPr>
                <w:sz w:val="16"/>
                <w:szCs w:val="16"/>
              </w:rPr>
              <w:t>0%</w:t>
            </w:r>
          </w:p>
        </w:tc>
      </w:tr>
      <w:tr w:rsidR="007B694B" w:rsidRPr="008340BB" w14:paraId="1EA4CA8B" w14:textId="77777777" w:rsidTr="007B694B">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87" w:author="Iva Chervenkova" w:date="2024-07-03T11:12:00Z">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20"/>
          <w:trPrChange w:id="88" w:author="Iva Chervenkova" w:date="2024-07-03T11:12:00Z">
            <w:trPr>
              <w:trHeight w:val="420"/>
            </w:trPr>
          </w:trPrChange>
        </w:trPr>
        <w:tc>
          <w:tcPr>
            <w:tcW w:w="320" w:type="pct"/>
            <w:tcPrChange w:id="89" w:author="Iva Chervenkova" w:date="2024-07-03T11:12:00Z">
              <w:tcPr>
                <w:tcW w:w="320" w:type="pct"/>
                <w:gridSpan w:val="2"/>
              </w:tcPr>
            </w:tcPrChange>
          </w:tcPr>
          <w:p w14:paraId="45F6C207" w14:textId="77777777" w:rsidR="00D833D7" w:rsidRPr="008340BB" w:rsidRDefault="00D833D7" w:rsidP="00670C65">
            <w:pPr>
              <w:jc w:val="left"/>
              <w:rPr>
                <w:i/>
                <w:iCs/>
                <w:sz w:val="16"/>
                <w:szCs w:val="16"/>
              </w:rPr>
            </w:pPr>
            <w:r w:rsidRPr="008340BB">
              <w:rPr>
                <w:i/>
                <w:iCs/>
                <w:sz w:val="16"/>
                <w:szCs w:val="16"/>
              </w:rPr>
              <w:t>Priority axis 2</w:t>
            </w:r>
          </w:p>
        </w:tc>
        <w:tc>
          <w:tcPr>
            <w:tcW w:w="252" w:type="pct"/>
            <w:tcPrChange w:id="90" w:author="Iva Chervenkova" w:date="2024-07-03T11:12:00Z">
              <w:tcPr>
                <w:tcW w:w="252" w:type="pct"/>
                <w:gridSpan w:val="2"/>
              </w:tcPr>
            </w:tcPrChange>
          </w:tcPr>
          <w:p w14:paraId="267E591E" w14:textId="77777777" w:rsidR="00D833D7" w:rsidRPr="008340BB" w:rsidRDefault="00D833D7" w:rsidP="00670C65">
            <w:pPr>
              <w:jc w:val="left"/>
              <w:rPr>
                <w:sz w:val="16"/>
                <w:szCs w:val="16"/>
              </w:rPr>
            </w:pPr>
            <w:r w:rsidRPr="008340BB">
              <w:rPr>
                <w:sz w:val="16"/>
                <w:szCs w:val="16"/>
              </w:rPr>
              <w:t>CF</w:t>
            </w:r>
          </w:p>
        </w:tc>
        <w:tc>
          <w:tcPr>
            <w:tcW w:w="261" w:type="pct"/>
            <w:tcPrChange w:id="91" w:author="Iva Chervenkova" w:date="2024-07-03T11:12:00Z">
              <w:tcPr>
                <w:tcW w:w="261" w:type="pct"/>
                <w:gridSpan w:val="2"/>
              </w:tcPr>
            </w:tcPrChange>
          </w:tcPr>
          <w:p w14:paraId="582D8DD1" w14:textId="77777777" w:rsidR="00D833D7" w:rsidRPr="008340BB" w:rsidRDefault="00D833D7" w:rsidP="00670C65">
            <w:pPr>
              <w:jc w:val="left"/>
              <w:rPr>
                <w:sz w:val="16"/>
                <w:szCs w:val="16"/>
              </w:rPr>
            </w:pPr>
            <w:r w:rsidRPr="008340BB">
              <w:rPr>
                <w:sz w:val="16"/>
                <w:szCs w:val="16"/>
              </w:rPr>
              <w:t>N/A</w:t>
            </w:r>
          </w:p>
        </w:tc>
        <w:tc>
          <w:tcPr>
            <w:tcW w:w="220" w:type="pct"/>
            <w:tcPrChange w:id="92" w:author="Iva Chervenkova" w:date="2024-07-03T11:12:00Z">
              <w:tcPr>
                <w:tcW w:w="220" w:type="pct"/>
                <w:gridSpan w:val="2"/>
              </w:tcPr>
            </w:tcPrChange>
          </w:tcPr>
          <w:p w14:paraId="66A6746C" w14:textId="77777777" w:rsidR="00D833D7" w:rsidRPr="008340BB" w:rsidRDefault="00D833D7" w:rsidP="00670C65">
            <w:pPr>
              <w:jc w:val="left"/>
              <w:rPr>
                <w:sz w:val="16"/>
                <w:szCs w:val="16"/>
              </w:rPr>
            </w:pPr>
            <w:r w:rsidRPr="008340BB">
              <w:rPr>
                <w:sz w:val="16"/>
                <w:szCs w:val="16"/>
              </w:rPr>
              <w:t>public</w:t>
            </w:r>
          </w:p>
        </w:tc>
        <w:tc>
          <w:tcPr>
            <w:tcW w:w="379" w:type="pct"/>
            <w:tcPrChange w:id="93" w:author="Iva Chervenkova" w:date="2024-07-03T11:12:00Z">
              <w:tcPr>
                <w:tcW w:w="379" w:type="pct"/>
                <w:gridSpan w:val="2"/>
              </w:tcPr>
            </w:tcPrChange>
          </w:tcPr>
          <w:p w14:paraId="530D8CD8" w14:textId="77777777" w:rsidR="00D833D7" w:rsidRPr="009B475E" w:rsidRDefault="00D833D7" w:rsidP="00BD636C">
            <w:pPr>
              <w:keepNext/>
              <w:jc w:val="left"/>
              <w:rPr>
                <w:bCs/>
                <w:sz w:val="16"/>
                <w:szCs w:val="16"/>
                <w:lang w:val="bg-BG"/>
              </w:rPr>
            </w:pPr>
            <w:r w:rsidRPr="009B475E">
              <w:rPr>
                <w:bCs/>
                <w:sz w:val="16"/>
                <w:szCs w:val="16"/>
                <w:lang w:val="bg-BG"/>
              </w:rPr>
              <w:t>461 289 311,00</w:t>
            </w:r>
          </w:p>
          <w:p w14:paraId="049E5BAC" w14:textId="77777777" w:rsidR="00D833D7" w:rsidRPr="009B475E" w:rsidRDefault="00D833D7" w:rsidP="0050417E">
            <w:pPr>
              <w:keepNext/>
              <w:jc w:val="left"/>
              <w:rPr>
                <w:bCs/>
                <w:sz w:val="16"/>
                <w:szCs w:val="16"/>
                <w:lang w:val="bg-BG"/>
              </w:rPr>
            </w:pPr>
          </w:p>
          <w:p w14:paraId="7A3C702B" w14:textId="421A3BA4" w:rsidR="00D833D7" w:rsidRPr="009B475E" w:rsidRDefault="00D833D7" w:rsidP="0050417E">
            <w:pPr>
              <w:keepNext/>
              <w:jc w:val="left"/>
              <w:rPr>
                <w:bCs/>
                <w:sz w:val="16"/>
                <w:szCs w:val="16"/>
                <w:lang w:val="bg-BG"/>
              </w:rPr>
            </w:pPr>
          </w:p>
          <w:p w14:paraId="4D49352C" w14:textId="77777777" w:rsidR="00D833D7" w:rsidRPr="009B475E" w:rsidRDefault="00D833D7" w:rsidP="00670C65">
            <w:pPr>
              <w:keepNext/>
              <w:jc w:val="left"/>
              <w:rPr>
                <w:bCs/>
                <w:sz w:val="16"/>
                <w:szCs w:val="16"/>
              </w:rPr>
            </w:pPr>
          </w:p>
          <w:p w14:paraId="4754EB22" w14:textId="036ED18E" w:rsidR="00D833D7" w:rsidRPr="009B475E" w:rsidRDefault="00D833D7" w:rsidP="00670C65">
            <w:pPr>
              <w:keepNext/>
              <w:jc w:val="left"/>
              <w:rPr>
                <w:bCs/>
                <w:sz w:val="16"/>
                <w:szCs w:val="16"/>
              </w:rPr>
            </w:pPr>
          </w:p>
          <w:p w14:paraId="1ACD49D9" w14:textId="74F5E7DA" w:rsidR="00D833D7" w:rsidRPr="009B475E" w:rsidRDefault="00D833D7" w:rsidP="00670C65">
            <w:pPr>
              <w:keepNext/>
              <w:jc w:val="left"/>
              <w:rPr>
                <w:sz w:val="16"/>
                <w:szCs w:val="16"/>
              </w:rPr>
            </w:pPr>
          </w:p>
        </w:tc>
        <w:tc>
          <w:tcPr>
            <w:tcW w:w="377" w:type="pct"/>
            <w:tcPrChange w:id="94" w:author="Iva Chervenkova" w:date="2024-07-03T11:12:00Z">
              <w:tcPr>
                <w:tcW w:w="377" w:type="pct"/>
                <w:gridSpan w:val="2"/>
              </w:tcPr>
            </w:tcPrChange>
          </w:tcPr>
          <w:p w14:paraId="397325F3" w14:textId="77777777" w:rsidR="00D833D7" w:rsidRPr="009B475E" w:rsidRDefault="00D833D7" w:rsidP="00AB3B9D">
            <w:pPr>
              <w:keepNext/>
              <w:jc w:val="left"/>
              <w:rPr>
                <w:sz w:val="16"/>
                <w:szCs w:val="16"/>
                <w:lang w:val="bg-BG"/>
              </w:rPr>
            </w:pPr>
            <w:r w:rsidRPr="009B475E">
              <w:rPr>
                <w:sz w:val="16"/>
                <w:szCs w:val="16"/>
                <w:lang w:val="bg-BG"/>
              </w:rPr>
              <w:t>81 403 997,00</w:t>
            </w:r>
          </w:p>
          <w:p w14:paraId="6D57E61C" w14:textId="77777777" w:rsidR="00D833D7" w:rsidRPr="009B475E" w:rsidRDefault="00D833D7" w:rsidP="00E517BD">
            <w:pPr>
              <w:keepNext/>
              <w:jc w:val="left"/>
              <w:rPr>
                <w:sz w:val="16"/>
                <w:szCs w:val="16"/>
                <w:lang w:val="bg-BG"/>
              </w:rPr>
            </w:pPr>
          </w:p>
          <w:p w14:paraId="286D6595" w14:textId="77777777" w:rsidR="00D833D7" w:rsidRPr="009B475E" w:rsidRDefault="00D833D7" w:rsidP="00E517BD">
            <w:pPr>
              <w:keepNext/>
              <w:jc w:val="left"/>
              <w:rPr>
                <w:sz w:val="16"/>
                <w:szCs w:val="16"/>
                <w:lang w:val="bg-BG"/>
              </w:rPr>
            </w:pPr>
          </w:p>
          <w:p w14:paraId="45664924" w14:textId="758DA1BD" w:rsidR="00D833D7" w:rsidRPr="009B475E" w:rsidRDefault="00D833D7" w:rsidP="00E517BD">
            <w:pPr>
              <w:keepNext/>
              <w:jc w:val="left"/>
              <w:rPr>
                <w:sz w:val="16"/>
                <w:szCs w:val="16"/>
                <w:lang w:val="bg-BG"/>
              </w:rPr>
            </w:pPr>
          </w:p>
          <w:p w14:paraId="4CFBA9D5" w14:textId="77777777" w:rsidR="00D833D7" w:rsidRPr="009B475E" w:rsidRDefault="00D833D7" w:rsidP="00670C65">
            <w:pPr>
              <w:keepNext/>
              <w:jc w:val="left"/>
              <w:rPr>
                <w:sz w:val="16"/>
                <w:szCs w:val="16"/>
              </w:rPr>
            </w:pPr>
          </w:p>
          <w:p w14:paraId="0703BDFE" w14:textId="5582B44A" w:rsidR="00D833D7" w:rsidRPr="009B475E" w:rsidRDefault="00D833D7" w:rsidP="00670C65">
            <w:pPr>
              <w:keepNext/>
              <w:jc w:val="left"/>
              <w:rPr>
                <w:sz w:val="16"/>
                <w:szCs w:val="16"/>
              </w:rPr>
            </w:pPr>
          </w:p>
          <w:p w14:paraId="44FFCDCE" w14:textId="77777777" w:rsidR="00D833D7" w:rsidRPr="009B475E" w:rsidRDefault="00D833D7" w:rsidP="00670C65">
            <w:pPr>
              <w:keepNext/>
              <w:jc w:val="left"/>
              <w:rPr>
                <w:sz w:val="16"/>
                <w:szCs w:val="16"/>
              </w:rPr>
            </w:pPr>
          </w:p>
        </w:tc>
        <w:tc>
          <w:tcPr>
            <w:tcW w:w="403" w:type="pct"/>
            <w:tcPrChange w:id="95" w:author="Iva Chervenkova" w:date="2024-07-03T11:12:00Z">
              <w:tcPr>
                <w:tcW w:w="403" w:type="pct"/>
                <w:gridSpan w:val="2"/>
              </w:tcPr>
            </w:tcPrChange>
          </w:tcPr>
          <w:p w14:paraId="0329ADF8" w14:textId="77777777" w:rsidR="00D833D7" w:rsidRPr="009B475E" w:rsidRDefault="00D833D7" w:rsidP="00AB3B9D">
            <w:pPr>
              <w:keepNext/>
              <w:jc w:val="left"/>
              <w:rPr>
                <w:sz w:val="16"/>
                <w:szCs w:val="16"/>
                <w:lang w:val="bg-BG"/>
              </w:rPr>
            </w:pPr>
            <w:r w:rsidRPr="009B475E">
              <w:rPr>
                <w:sz w:val="16"/>
                <w:szCs w:val="16"/>
                <w:lang w:val="bg-BG"/>
              </w:rPr>
              <w:t>81 403 997,00</w:t>
            </w:r>
          </w:p>
          <w:p w14:paraId="264C74D5" w14:textId="77777777" w:rsidR="00D833D7" w:rsidRPr="009B475E" w:rsidRDefault="00D833D7" w:rsidP="00E517BD">
            <w:pPr>
              <w:keepNext/>
              <w:ind w:right="-141"/>
              <w:jc w:val="left"/>
              <w:rPr>
                <w:sz w:val="16"/>
                <w:szCs w:val="16"/>
                <w:lang w:val="bg-BG"/>
              </w:rPr>
            </w:pPr>
          </w:p>
          <w:p w14:paraId="222ECF93" w14:textId="77777777" w:rsidR="00D833D7" w:rsidRPr="009B475E" w:rsidRDefault="00D833D7" w:rsidP="00E517BD">
            <w:pPr>
              <w:keepNext/>
              <w:ind w:right="-141"/>
              <w:jc w:val="left"/>
              <w:rPr>
                <w:sz w:val="16"/>
                <w:szCs w:val="16"/>
                <w:lang w:val="bg-BG"/>
              </w:rPr>
            </w:pPr>
          </w:p>
          <w:p w14:paraId="5F2CEBAA" w14:textId="6EAD927F" w:rsidR="00D833D7" w:rsidRPr="009B475E" w:rsidRDefault="00D833D7" w:rsidP="00E517BD">
            <w:pPr>
              <w:keepNext/>
              <w:ind w:right="-141"/>
              <w:jc w:val="left"/>
              <w:rPr>
                <w:sz w:val="16"/>
                <w:szCs w:val="16"/>
                <w:lang w:val="bg-BG"/>
              </w:rPr>
            </w:pPr>
          </w:p>
          <w:p w14:paraId="2CF3C432" w14:textId="77777777" w:rsidR="00D833D7" w:rsidRPr="009B475E" w:rsidRDefault="00D833D7" w:rsidP="00670C65">
            <w:pPr>
              <w:keepNext/>
              <w:ind w:right="-141"/>
              <w:jc w:val="left"/>
              <w:rPr>
                <w:sz w:val="16"/>
                <w:szCs w:val="16"/>
              </w:rPr>
            </w:pPr>
          </w:p>
          <w:p w14:paraId="4E0787C8" w14:textId="13DA1231" w:rsidR="00D833D7" w:rsidRPr="009B475E" w:rsidRDefault="00D833D7" w:rsidP="00670C65">
            <w:pPr>
              <w:keepNext/>
              <w:ind w:right="-141"/>
              <w:jc w:val="left"/>
              <w:rPr>
                <w:sz w:val="16"/>
                <w:szCs w:val="16"/>
              </w:rPr>
            </w:pPr>
          </w:p>
          <w:p w14:paraId="4BECBC10" w14:textId="77777777" w:rsidR="00D833D7" w:rsidRPr="009B475E" w:rsidRDefault="00D833D7" w:rsidP="00670C65">
            <w:pPr>
              <w:keepNext/>
              <w:ind w:right="-141"/>
              <w:jc w:val="left"/>
              <w:rPr>
                <w:sz w:val="16"/>
                <w:szCs w:val="16"/>
              </w:rPr>
            </w:pPr>
          </w:p>
          <w:p w14:paraId="741BCDE7" w14:textId="1318A623" w:rsidR="00D833D7" w:rsidRPr="009B475E" w:rsidRDefault="00D833D7" w:rsidP="00670C65">
            <w:pPr>
              <w:keepNext/>
              <w:jc w:val="left"/>
              <w:rPr>
                <w:sz w:val="16"/>
                <w:szCs w:val="16"/>
              </w:rPr>
            </w:pPr>
          </w:p>
        </w:tc>
        <w:tc>
          <w:tcPr>
            <w:tcW w:w="157" w:type="pct"/>
            <w:tcPrChange w:id="96" w:author="Iva Chervenkova" w:date="2024-07-03T11:12:00Z">
              <w:tcPr>
                <w:tcW w:w="157" w:type="pct"/>
                <w:gridSpan w:val="2"/>
              </w:tcPr>
            </w:tcPrChange>
          </w:tcPr>
          <w:p w14:paraId="69B6FFAA" w14:textId="77777777" w:rsidR="00D833D7" w:rsidRPr="009B475E" w:rsidRDefault="00D833D7" w:rsidP="00670C65">
            <w:pPr>
              <w:jc w:val="left"/>
              <w:rPr>
                <w:sz w:val="16"/>
                <w:szCs w:val="16"/>
              </w:rPr>
            </w:pPr>
            <w:r w:rsidRPr="009B475E">
              <w:rPr>
                <w:sz w:val="16"/>
                <w:szCs w:val="16"/>
              </w:rPr>
              <w:t>0</w:t>
            </w:r>
          </w:p>
        </w:tc>
        <w:tc>
          <w:tcPr>
            <w:tcW w:w="399" w:type="pct"/>
            <w:shd w:val="clear" w:color="auto" w:fill="auto"/>
            <w:tcPrChange w:id="97" w:author="Iva Chervenkova" w:date="2024-07-03T11:12:00Z">
              <w:tcPr>
                <w:tcW w:w="399" w:type="pct"/>
                <w:gridSpan w:val="2"/>
                <w:shd w:val="clear" w:color="auto" w:fill="auto"/>
              </w:tcPr>
            </w:tcPrChange>
          </w:tcPr>
          <w:p w14:paraId="6B9D0E93" w14:textId="77777777" w:rsidR="00D833D7" w:rsidRPr="009B475E" w:rsidRDefault="00D833D7" w:rsidP="008C5DAD">
            <w:pPr>
              <w:keepNext/>
              <w:jc w:val="left"/>
              <w:rPr>
                <w:sz w:val="16"/>
                <w:szCs w:val="16"/>
                <w:lang w:val="bg-BG"/>
              </w:rPr>
            </w:pPr>
            <w:r w:rsidRPr="009B475E">
              <w:rPr>
                <w:sz w:val="16"/>
                <w:szCs w:val="16"/>
                <w:lang w:val="bg-BG"/>
              </w:rPr>
              <w:t>542 693 308,00</w:t>
            </w:r>
          </w:p>
          <w:p w14:paraId="4EA494C8" w14:textId="77777777" w:rsidR="00D833D7" w:rsidRPr="009B475E" w:rsidRDefault="00D833D7" w:rsidP="00E517BD">
            <w:pPr>
              <w:keepNext/>
              <w:jc w:val="left"/>
              <w:rPr>
                <w:sz w:val="16"/>
                <w:szCs w:val="16"/>
                <w:lang w:val="bg-BG"/>
              </w:rPr>
            </w:pPr>
          </w:p>
          <w:p w14:paraId="1D281F46" w14:textId="77777777" w:rsidR="00D833D7" w:rsidRPr="009B475E" w:rsidRDefault="00D833D7" w:rsidP="00E517BD">
            <w:pPr>
              <w:keepNext/>
              <w:jc w:val="left"/>
              <w:rPr>
                <w:sz w:val="16"/>
                <w:szCs w:val="16"/>
                <w:lang w:val="bg-BG"/>
              </w:rPr>
            </w:pPr>
          </w:p>
          <w:p w14:paraId="5761B1C1" w14:textId="70F63A45" w:rsidR="00D833D7" w:rsidRPr="009B475E" w:rsidRDefault="00D833D7" w:rsidP="00E517BD">
            <w:pPr>
              <w:keepNext/>
              <w:jc w:val="left"/>
              <w:rPr>
                <w:sz w:val="16"/>
                <w:szCs w:val="16"/>
                <w:lang w:val="bg-BG"/>
              </w:rPr>
            </w:pPr>
          </w:p>
          <w:p w14:paraId="5E7DC31E" w14:textId="77777777" w:rsidR="00D833D7" w:rsidRPr="009B475E" w:rsidRDefault="00D833D7" w:rsidP="00670C65">
            <w:pPr>
              <w:keepNext/>
              <w:jc w:val="left"/>
              <w:rPr>
                <w:sz w:val="16"/>
                <w:szCs w:val="16"/>
              </w:rPr>
            </w:pPr>
          </w:p>
          <w:p w14:paraId="36AD867F" w14:textId="312658C9" w:rsidR="00D833D7" w:rsidRPr="009B475E" w:rsidRDefault="00D833D7" w:rsidP="00670C65">
            <w:pPr>
              <w:keepNext/>
              <w:jc w:val="left"/>
              <w:rPr>
                <w:sz w:val="16"/>
                <w:szCs w:val="16"/>
              </w:rPr>
            </w:pPr>
          </w:p>
          <w:p w14:paraId="3FF4BA33" w14:textId="77777777" w:rsidR="00D833D7" w:rsidRPr="009B475E" w:rsidRDefault="00D833D7" w:rsidP="00670C65">
            <w:pPr>
              <w:keepNext/>
              <w:jc w:val="left"/>
              <w:rPr>
                <w:sz w:val="16"/>
                <w:szCs w:val="16"/>
              </w:rPr>
            </w:pPr>
          </w:p>
          <w:p w14:paraId="09B6DF2E" w14:textId="7F7933B9" w:rsidR="00D833D7" w:rsidRPr="009B475E" w:rsidRDefault="00D833D7" w:rsidP="00670C65">
            <w:pPr>
              <w:keepNext/>
              <w:jc w:val="left"/>
              <w:rPr>
                <w:sz w:val="16"/>
                <w:szCs w:val="16"/>
              </w:rPr>
            </w:pPr>
          </w:p>
        </w:tc>
        <w:tc>
          <w:tcPr>
            <w:tcW w:w="226" w:type="pct"/>
            <w:shd w:val="clear" w:color="auto" w:fill="auto"/>
            <w:tcPrChange w:id="98" w:author="Iva Chervenkova" w:date="2024-07-03T11:12:00Z">
              <w:tcPr>
                <w:tcW w:w="226" w:type="pct"/>
                <w:gridSpan w:val="2"/>
                <w:shd w:val="clear" w:color="auto" w:fill="auto"/>
              </w:tcPr>
            </w:tcPrChange>
          </w:tcPr>
          <w:p w14:paraId="4D249D65" w14:textId="67B004F9" w:rsidR="00D833D7" w:rsidRPr="009B475E" w:rsidRDefault="00D833D7" w:rsidP="000C6B14">
            <w:pPr>
              <w:keepNext/>
              <w:jc w:val="left"/>
              <w:rPr>
                <w:sz w:val="16"/>
                <w:szCs w:val="16"/>
                <w:lang w:val="bg-BG"/>
              </w:rPr>
            </w:pPr>
            <w:r w:rsidRPr="009B475E">
              <w:rPr>
                <w:sz w:val="16"/>
                <w:szCs w:val="16"/>
                <w:lang w:val="bg-BG"/>
              </w:rPr>
              <w:t>84,9999998526</w:t>
            </w:r>
          </w:p>
          <w:p w14:paraId="510227D6" w14:textId="77777777" w:rsidR="00D833D7" w:rsidRPr="009B475E" w:rsidRDefault="00D833D7" w:rsidP="00670C65">
            <w:pPr>
              <w:keepNext/>
              <w:jc w:val="left"/>
              <w:rPr>
                <w:sz w:val="16"/>
                <w:szCs w:val="16"/>
                <w:lang w:val="bg-BG"/>
              </w:rPr>
            </w:pPr>
          </w:p>
          <w:p w14:paraId="578BF979" w14:textId="66BBAF3A" w:rsidR="00D833D7" w:rsidRPr="009B475E" w:rsidRDefault="00D833D7" w:rsidP="00670C65">
            <w:pPr>
              <w:keepNext/>
              <w:jc w:val="left"/>
              <w:rPr>
                <w:sz w:val="16"/>
                <w:szCs w:val="16"/>
              </w:rPr>
            </w:pPr>
            <w:r w:rsidRPr="009B475E">
              <w:rPr>
                <w:sz w:val="16"/>
                <w:szCs w:val="16"/>
                <w:lang w:val="en-US"/>
              </w:rPr>
              <w:t xml:space="preserve"> </w:t>
            </w:r>
            <w:r w:rsidRPr="009B475E">
              <w:rPr>
                <w:sz w:val="16"/>
                <w:szCs w:val="16"/>
              </w:rPr>
              <w:t>%</w:t>
            </w:r>
          </w:p>
          <w:p w14:paraId="606CF5EA" w14:textId="77777777" w:rsidR="00D833D7" w:rsidRPr="009B475E" w:rsidRDefault="00D833D7" w:rsidP="00670C65">
            <w:pPr>
              <w:jc w:val="left"/>
              <w:rPr>
                <w:sz w:val="16"/>
                <w:szCs w:val="16"/>
              </w:rPr>
            </w:pPr>
          </w:p>
        </w:tc>
        <w:tc>
          <w:tcPr>
            <w:tcW w:w="278" w:type="pct"/>
            <w:tcPrChange w:id="99" w:author="Iva Chervenkova" w:date="2024-07-03T11:12:00Z">
              <w:tcPr>
                <w:tcW w:w="164" w:type="pct"/>
                <w:gridSpan w:val="2"/>
              </w:tcPr>
            </w:tcPrChange>
          </w:tcPr>
          <w:p w14:paraId="240C71E3" w14:textId="4382B82D" w:rsidR="00D833D7" w:rsidRPr="009B475E" w:rsidRDefault="00AD10C3" w:rsidP="00AD10C3">
            <w:pPr>
              <w:jc w:val="center"/>
              <w:rPr>
                <w:sz w:val="16"/>
                <w:szCs w:val="16"/>
              </w:rPr>
            </w:pPr>
            <w:ins w:id="100" w:author="Iva Chervenkova" w:date="2024-07-03T11:15:00Z">
              <w:r w:rsidRPr="00AD10C3">
                <w:rPr>
                  <w:sz w:val="16"/>
                  <w:szCs w:val="16"/>
                  <w:lang w:val="bg-BG"/>
                </w:rPr>
                <w:fldChar w:fldCharType="begin">
                  <w:ffData>
                    <w:name w:val=""/>
                    <w:enabled/>
                    <w:calcOnExit w:val="0"/>
                    <w:checkBox>
                      <w:sizeAuto/>
                      <w:default w:val="0"/>
                    </w:checkBox>
                  </w:ffData>
                </w:fldChar>
              </w:r>
              <w:r w:rsidRPr="00AD10C3">
                <w:rPr>
                  <w:sz w:val="16"/>
                  <w:szCs w:val="16"/>
                  <w:lang w:val="bg-BG"/>
                </w:rPr>
                <w:instrText xml:space="preserve"> FORMCHECKBOX </w:instrText>
              </w:r>
              <w:r w:rsidR="004956FB">
                <w:rPr>
                  <w:sz w:val="16"/>
                  <w:szCs w:val="16"/>
                  <w:lang w:val="bg-BG"/>
                </w:rPr>
              </w:r>
              <w:r w:rsidR="004956FB">
                <w:rPr>
                  <w:sz w:val="16"/>
                  <w:szCs w:val="16"/>
                  <w:lang w:val="bg-BG"/>
                </w:rPr>
                <w:fldChar w:fldCharType="separate"/>
              </w:r>
              <w:r w:rsidRPr="00AD10C3">
                <w:rPr>
                  <w:sz w:val="16"/>
                  <w:szCs w:val="16"/>
                </w:rPr>
                <w:fldChar w:fldCharType="end"/>
              </w:r>
            </w:ins>
          </w:p>
        </w:tc>
        <w:tc>
          <w:tcPr>
            <w:tcW w:w="182" w:type="pct"/>
            <w:shd w:val="clear" w:color="auto" w:fill="auto"/>
            <w:tcPrChange w:id="101" w:author="Iva Chervenkova" w:date="2024-07-03T11:12:00Z">
              <w:tcPr>
                <w:tcW w:w="251" w:type="pct"/>
                <w:gridSpan w:val="2"/>
                <w:shd w:val="clear" w:color="auto" w:fill="auto"/>
              </w:tcPr>
            </w:tcPrChange>
          </w:tcPr>
          <w:p w14:paraId="4F2301BA" w14:textId="601BC2C9" w:rsidR="00D833D7" w:rsidRPr="009B475E" w:rsidRDefault="00D833D7" w:rsidP="00670C65">
            <w:pPr>
              <w:jc w:val="left"/>
              <w:rPr>
                <w:sz w:val="16"/>
                <w:szCs w:val="16"/>
              </w:rPr>
            </w:pPr>
            <w:r w:rsidRPr="009B475E">
              <w:rPr>
                <w:sz w:val="16"/>
                <w:szCs w:val="16"/>
              </w:rPr>
              <w:t> </w:t>
            </w:r>
          </w:p>
        </w:tc>
        <w:tc>
          <w:tcPr>
            <w:tcW w:w="364" w:type="pct"/>
            <w:tcPrChange w:id="102" w:author="Iva Chervenkova" w:date="2024-07-03T11:12:00Z">
              <w:tcPr>
                <w:tcW w:w="316" w:type="pct"/>
                <w:gridSpan w:val="2"/>
              </w:tcPr>
            </w:tcPrChange>
          </w:tcPr>
          <w:p w14:paraId="6FB8ABBB" w14:textId="77777777" w:rsidR="00D833D7" w:rsidRPr="009B475E" w:rsidRDefault="00D833D7" w:rsidP="00E52D73">
            <w:pPr>
              <w:jc w:val="left"/>
              <w:rPr>
                <w:sz w:val="16"/>
                <w:szCs w:val="16"/>
                <w:lang w:val="bg-BG"/>
              </w:rPr>
            </w:pPr>
            <w:r w:rsidRPr="009B475E">
              <w:rPr>
                <w:sz w:val="16"/>
                <w:szCs w:val="16"/>
                <w:lang w:val="bg-BG"/>
              </w:rPr>
              <w:t>411 672 787,00</w:t>
            </w:r>
          </w:p>
          <w:p w14:paraId="7686E11E" w14:textId="77777777" w:rsidR="00D833D7" w:rsidRPr="009B475E" w:rsidRDefault="00D833D7" w:rsidP="00B57EAC">
            <w:pPr>
              <w:jc w:val="left"/>
              <w:rPr>
                <w:sz w:val="16"/>
                <w:szCs w:val="16"/>
                <w:lang w:val="bg-BG"/>
              </w:rPr>
            </w:pPr>
          </w:p>
          <w:p w14:paraId="000BE424" w14:textId="77777777" w:rsidR="00D833D7" w:rsidRPr="009B475E" w:rsidRDefault="00D833D7" w:rsidP="00B57EAC">
            <w:pPr>
              <w:jc w:val="left"/>
              <w:rPr>
                <w:sz w:val="16"/>
                <w:szCs w:val="16"/>
                <w:lang w:val="bg-BG"/>
              </w:rPr>
            </w:pPr>
          </w:p>
          <w:p w14:paraId="1ED5FDEF" w14:textId="65AF4049" w:rsidR="00D833D7" w:rsidRPr="009B475E" w:rsidRDefault="00D833D7" w:rsidP="00B57EAC">
            <w:pPr>
              <w:jc w:val="left"/>
              <w:rPr>
                <w:sz w:val="16"/>
                <w:szCs w:val="16"/>
                <w:lang w:val="bg-BG"/>
              </w:rPr>
            </w:pPr>
          </w:p>
          <w:p w14:paraId="566534FB" w14:textId="77777777" w:rsidR="00D833D7" w:rsidRPr="009B475E" w:rsidRDefault="00D833D7" w:rsidP="00670C65">
            <w:pPr>
              <w:jc w:val="left"/>
              <w:rPr>
                <w:sz w:val="16"/>
                <w:szCs w:val="16"/>
              </w:rPr>
            </w:pPr>
          </w:p>
          <w:p w14:paraId="2E1BC02E" w14:textId="77777777" w:rsidR="00D833D7" w:rsidRPr="009B475E" w:rsidRDefault="00D833D7" w:rsidP="00670C65">
            <w:pPr>
              <w:jc w:val="left"/>
              <w:rPr>
                <w:sz w:val="16"/>
                <w:szCs w:val="16"/>
              </w:rPr>
            </w:pPr>
          </w:p>
          <w:p w14:paraId="3C96B754" w14:textId="7366D31E" w:rsidR="00D833D7" w:rsidRPr="009B475E" w:rsidRDefault="00D833D7" w:rsidP="00670C65">
            <w:pPr>
              <w:jc w:val="left"/>
              <w:rPr>
                <w:sz w:val="16"/>
                <w:szCs w:val="16"/>
              </w:rPr>
            </w:pPr>
          </w:p>
        </w:tc>
        <w:tc>
          <w:tcPr>
            <w:tcW w:w="310" w:type="pct"/>
            <w:tcPrChange w:id="103" w:author="Iva Chervenkova" w:date="2024-07-03T11:12:00Z">
              <w:tcPr>
                <w:tcW w:w="403" w:type="pct"/>
                <w:gridSpan w:val="2"/>
              </w:tcPr>
            </w:tcPrChange>
          </w:tcPr>
          <w:p w14:paraId="582A6D17" w14:textId="77777777" w:rsidR="00D833D7" w:rsidRPr="009B475E" w:rsidRDefault="00D833D7" w:rsidP="00E52D73">
            <w:pPr>
              <w:keepNext/>
              <w:jc w:val="left"/>
              <w:rPr>
                <w:sz w:val="16"/>
                <w:szCs w:val="16"/>
                <w:lang w:val="bg-BG"/>
              </w:rPr>
            </w:pPr>
            <w:r w:rsidRPr="009B475E">
              <w:rPr>
                <w:sz w:val="16"/>
                <w:szCs w:val="16"/>
                <w:lang w:val="bg-BG"/>
              </w:rPr>
              <w:t>72 648 139,00</w:t>
            </w:r>
          </w:p>
          <w:p w14:paraId="16F3B708" w14:textId="77777777" w:rsidR="00D833D7" w:rsidRPr="009B475E" w:rsidRDefault="00D833D7" w:rsidP="00B57EAC">
            <w:pPr>
              <w:keepNext/>
              <w:jc w:val="left"/>
              <w:rPr>
                <w:sz w:val="16"/>
                <w:szCs w:val="16"/>
                <w:lang w:val="bg-BG"/>
              </w:rPr>
            </w:pPr>
          </w:p>
          <w:p w14:paraId="53934C38" w14:textId="77777777" w:rsidR="00D833D7" w:rsidRPr="009B475E" w:rsidRDefault="00D833D7" w:rsidP="00B57EAC">
            <w:pPr>
              <w:keepNext/>
              <w:jc w:val="left"/>
              <w:rPr>
                <w:sz w:val="16"/>
                <w:szCs w:val="16"/>
                <w:lang w:val="bg-BG"/>
              </w:rPr>
            </w:pPr>
          </w:p>
          <w:p w14:paraId="58CC9AF2" w14:textId="499CE6AB" w:rsidR="00D833D7" w:rsidRPr="009B475E" w:rsidRDefault="00D833D7" w:rsidP="00B57EAC">
            <w:pPr>
              <w:keepNext/>
              <w:jc w:val="left"/>
              <w:rPr>
                <w:sz w:val="16"/>
                <w:szCs w:val="16"/>
                <w:lang w:val="bg-BG"/>
              </w:rPr>
            </w:pPr>
          </w:p>
          <w:p w14:paraId="6FCDFF9E" w14:textId="77777777" w:rsidR="00D833D7" w:rsidRPr="009B475E" w:rsidRDefault="00D833D7" w:rsidP="00670C65">
            <w:pPr>
              <w:keepNext/>
              <w:jc w:val="left"/>
              <w:rPr>
                <w:sz w:val="16"/>
                <w:szCs w:val="16"/>
              </w:rPr>
            </w:pPr>
          </w:p>
          <w:p w14:paraId="4F2E9E8C" w14:textId="77777777" w:rsidR="00D833D7" w:rsidRPr="009B475E" w:rsidRDefault="00D833D7" w:rsidP="00670C65">
            <w:pPr>
              <w:keepNext/>
              <w:jc w:val="left"/>
              <w:rPr>
                <w:sz w:val="16"/>
                <w:szCs w:val="16"/>
              </w:rPr>
            </w:pPr>
          </w:p>
          <w:p w14:paraId="17D0D19C" w14:textId="4ABE13F8" w:rsidR="00D833D7" w:rsidRPr="009B475E" w:rsidRDefault="00D833D7" w:rsidP="00670C65">
            <w:pPr>
              <w:jc w:val="left"/>
              <w:rPr>
                <w:sz w:val="16"/>
                <w:szCs w:val="16"/>
              </w:rPr>
            </w:pPr>
          </w:p>
        </w:tc>
        <w:tc>
          <w:tcPr>
            <w:tcW w:w="361" w:type="pct"/>
            <w:tcPrChange w:id="104" w:author="Iva Chervenkova" w:date="2024-07-03T11:12:00Z">
              <w:tcPr>
                <w:tcW w:w="361" w:type="pct"/>
              </w:tcPr>
            </w:tcPrChange>
          </w:tcPr>
          <w:p w14:paraId="0FE797C9" w14:textId="1E2886BE" w:rsidR="00D833D7" w:rsidRPr="009B475E" w:rsidRDefault="00D833D7" w:rsidP="00670C65">
            <w:pPr>
              <w:rPr>
                <w:sz w:val="16"/>
                <w:szCs w:val="16"/>
              </w:rPr>
            </w:pPr>
            <w:r w:rsidRPr="009B475E">
              <w:rPr>
                <w:sz w:val="16"/>
                <w:szCs w:val="16"/>
              </w:rPr>
              <w:t>68 681 236.00</w:t>
            </w:r>
          </w:p>
          <w:p w14:paraId="1D476D69" w14:textId="77777777" w:rsidR="00D833D7" w:rsidRPr="009B475E" w:rsidRDefault="00D833D7" w:rsidP="00670C65">
            <w:pPr>
              <w:jc w:val="left"/>
              <w:rPr>
                <w:sz w:val="16"/>
                <w:szCs w:val="16"/>
              </w:rPr>
            </w:pPr>
          </w:p>
        </w:tc>
        <w:tc>
          <w:tcPr>
            <w:tcW w:w="285" w:type="pct"/>
            <w:tcPrChange w:id="105" w:author="Iva Chervenkova" w:date="2024-07-03T11:12:00Z">
              <w:tcPr>
                <w:tcW w:w="285" w:type="pct"/>
              </w:tcPr>
            </w:tcPrChange>
          </w:tcPr>
          <w:p w14:paraId="5F2F7362" w14:textId="23564185" w:rsidR="00D833D7" w:rsidRPr="009B475E" w:rsidRDefault="00D833D7" w:rsidP="00670C65">
            <w:pPr>
              <w:keepNext/>
              <w:jc w:val="left"/>
              <w:rPr>
                <w:sz w:val="16"/>
                <w:szCs w:val="16"/>
              </w:rPr>
            </w:pPr>
            <w:r w:rsidRPr="009B475E">
              <w:rPr>
                <w:sz w:val="16"/>
                <w:szCs w:val="16"/>
              </w:rPr>
              <w:t>12 120 218.00</w:t>
            </w:r>
          </w:p>
          <w:p w14:paraId="3CB39D11" w14:textId="77777777" w:rsidR="00D833D7" w:rsidRPr="009B475E" w:rsidRDefault="00D833D7" w:rsidP="00670C65">
            <w:pPr>
              <w:jc w:val="left"/>
              <w:rPr>
                <w:sz w:val="16"/>
                <w:szCs w:val="16"/>
              </w:rPr>
            </w:pPr>
          </w:p>
        </w:tc>
        <w:tc>
          <w:tcPr>
            <w:tcW w:w="226" w:type="pct"/>
            <w:tcPrChange w:id="106" w:author="Iva Chervenkova" w:date="2024-07-03T11:12:00Z">
              <w:tcPr>
                <w:tcW w:w="226" w:type="pct"/>
              </w:tcPr>
            </w:tcPrChange>
          </w:tcPr>
          <w:p w14:paraId="6CDFF849" w14:textId="77777777" w:rsidR="00D833D7" w:rsidRPr="009B475E" w:rsidRDefault="00D833D7" w:rsidP="00E52D73">
            <w:pPr>
              <w:jc w:val="left"/>
              <w:rPr>
                <w:sz w:val="16"/>
                <w:szCs w:val="16"/>
                <w:lang w:val="en-US"/>
              </w:rPr>
            </w:pPr>
            <w:r w:rsidRPr="009B475E">
              <w:rPr>
                <w:sz w:val="16"/>
                <w:szCs w:val="16"/>
                <w:lang w:val="en-US"/>
              </w:rPr>
              <w:t>14.30</w:t>
            </w:r>
          </w:p>
          <w:p w14:paraId="1F33822A" w14:textId="77777777" w:rsidR="00D833D7" w:rsidRPr="009B475E" w:rsidRDefault="00D833D7" w:rsidP="00D23F04">
            <w:pPr>
              <w:jc w:val="left"/>
              <w:rPr>
                <w:sz w:val="16"/>
                <w:szCs w:val="16"/>
                <w:lang w:val="en-US"/>
              </w:rPr>
            </w:pPr>
          </w:p>
          <w:p w14:paraId="4EE99755" w14:textId="79776FB4" w:rsidR="00D833D7" w:rsidRPr="009B475E" w:rsidRDefault="00D833D7" w:rsidP="00D23F04">
            <w:pPr>
              <w:jc w:val="left"/>
              <w:rPr>
                <w:sz w:val="16"/>
                <w:szCs w:val="16"/>
                <w:lang w:val="en-US"/>
              </w:rPr>
            </w:pPr>
          </w:p>
          <w:p w14:paraId="506021C2" w14:textId="41D731BB" w:rsidR="00D833D7" w:rsidRPr="009B475E" w:rsidRDefault="00D833D7" w:rsidP="00670C65">
            <w:pPr>
              <w:jc w:val="left"/>
              <w:rPr>
                <w:sz w:val="16"/>
                <w:szCs w:val="16"/>
              </w:rPr>
            </w:pPr>
          </w:p>
          <w:p w14:paraId="519D67D2" w14:textId="377F9907" w:rsidR="00D833D7" w:rsidRPr="009B475E" w:rsidRDefault="00D833D7" w:rsidP="00670C65">
            <w:pPr>
              <w:jc w:val="left"/>
              <w:rPr>
                <w:sz w:val="16"/>
                <w:szCs w:val="16"/>
              </w:rPr>
            </w:pPr>
            <w:r w:rsidRPr="009B475E">
              <w:rPr>
                <w:sz w:val="16"/>
                <w:szCs w:val="16"/>
              </w:rPr>
              <w:t>%</w:t>
            </w:r>
          </w:p>
        </w:tc>
      </w:tr>
      <w:tr w:rsidR="007B694B" w:rsidRPr="008340BB" w14:paraId="6057EEEA" w14:textId="77777777" w:rsidTr="007B694B">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07" w:author="Iva Chervenkova" w:date="2024-07-03T11:12:00Z">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20"/>
          <w:trPrChange w:id="108" w:author="Iva Chervenkova" w:date="2024-07-03T11:12:00Z">
            <w:trPr>
              <w:trHeight w:val="420"/>
            </w:trPr>
          </w:trPrChange>
        </w:trPr>
        <w:tc>
          <w:tcPr>
            <w:tcW w:w="320" w:type="pct"/>
            <w:tcPrChange w:id="109" w:author="Iva Chervenkova" w:date="2024-07-03T11:12:00Z">
              <w:tcPr>
                <w:tcW w:w="320" w:type="pct"/>
                <w:gridSpan w:val="2"/>
              </w:tcPr>
            </w:tcPrChange>
          </w:tcPr>
          <w:p w14:paraId="32FAF583" w14:textId="77777777" w:rsidR="00D833D7" w:rsidRPr="008340BB" w:rsidRDefault="00D833D7" w:rsidP="00232A02">
            <w:pPr>
              <w:jc w:val="left"/>
              <w:rPr>
                <w:i/>
                <w:iCs/>
                <w:sz w:val="16"/>
                <w:szCs w:val="16"/>
              </w:rPr>
            </w:pPr>
            <w:r w:rsidRPr="008340BB">
              <w:rPr>
                <w:i/>
                <w:iCs/>
                <w:sz w:val="16"/>
                <w:szCs w:val="16"/>
              </w:rPr>
              <w:t>Priority axis 3</w:t>
            </w:r>
          </w:p>
        </w:tc>
        <w:tc>
          <w:tcPr>
            <w:tcW w:w="252" w:type="pct"/>
            <w:tcPrChange w:id="110" w:author="Iva Chervenkova" w:date="2024-07-03T11:12:00Z">
              <w:tcPr>
                <w:tcW w:w="252" w:type="pct"/>
                <w:gridSpan w:val="2"/>
              </w:tcPr>
            </w:tcPrChange>
          </w:tcPr>
          <w:p w14:paraId="60A97336" w14:textId="77777777" w:rsidR="00D833D7" w:rsidRPr="008340BB" w:rsidRDefault="00D833D7" w:rsidP="00232A02">
            <w:pPr>
              <w:jc w:val="left"/>
              <w:rPr>
                <w:sz w:val="16"/>
                <w:szCs w:val="16"/>
              </w:rPr>
            </w:pPr>
            <w:r w:rsidRPr="008340BB">
              <w:rPr>
                <w:sz w:val="16"/>
                <w:szCs w:val="16"/>
              </w:rPr>
              <w:t>ERDF</w:t>
            </w:r>
          </w:p>
        </w:tc>
        <w:tc>
          <w:tcPr>
            <w:tcW w:w="261" w:type="pct"/>
            <w:tcPrChange w:id="111" w:author="Iva Chervenkova" w:date="2024-07-03T11:12:00Z">
              <w:tcPr>
                <w:tcW w:w="261" w:type="pct"/>
                <w:gridSpan w:val="2"/>
              </w:tcPr>
            </w:tcPrChange>
          </w:tcPr>
          <w:p w14:paraId="5FB5C98A" w14:textId="77777777" w:rsidR="00D833D7" w:rsidRPr="008340BB" w:rsidRDefault="00D833D7" w:rsidP="00232A02">
            <w:pPr>
              <w:jc w:val="left"/>
              <w:rPr>
                <w:sz w:val="16"/>
                <w:szCs w:val="16"/>
              </w:rPr>
            </w:pPr>
            <w:r w:rsidRPr="008340BB">
              <w:rPr>
                <w:sz w:val="16"/>
                <w:szCs w:val="16"/>
              </w:rPr>
              <w:t>Less developed</w:t>
            </w:r>
          </w:p>
        </w:tc>
        <w:tc>
          <w:tcPr>
            <w:tcW w:w="220" w:type="pct"/>
            <w:tcPrChange w:id="112" w:author="Iva Chervenkova" w:date="2024-07-03T11:12:00Z">
              <w:tcPr>
                <w:tcW w:w="220" w:type="pct"/>
                <w:gridSpan w:val="2"/>
              </w:tcPr>
            </w:tcPrChange>
          </w:tcPr>
          <w:p w14:paraId="5C0194B0" w14:textId="77777777" w:rsidR="00D833D7" w:rsidRPr="008340BB" w:rsidRDefault="00D833D7" w:rsidP="00232A02">
            <w:pPr>
              <w:jc w:val="left"/>
              <w:rPr>
                <w:sz w:val="16"/>
                <w:szCs w:val="16"/>
              </w:rPr>
            </w:pPr>
            <w:r w:rsidRPr="008340BB">
              <w:rPr>
                <w:sz w:val="16"/>
                <w:szCs w:val="16"/>
              </w:rPr>
              <w:t>public</w:t>
            </w:r>
          </w:p>
        </w:tc>
        <w:tc>
          <w:tcPr>
            <w:tcW w:w="379" w:type="pct"/>
            <w:shd w:val="clear" w:color="auto" w:fill="auto"/>
            <w:tcPrChange w:id="113" w:author="Iva Chervenkova" w:date="2024-07-03T11:12:00Z">
              <w:tcPr>
                <w:tcW w:w="379" w:type="pct"/>
                <w:gridSpan w:val="2"/>
                <w:shd w:val="clear" w:color="auto" w:fill="auto"/>
              </w:tcPr>
            </w:tcPrChange>
          </w:tcPr>
          <w:p w14:paraId="278FD33B" w14:textId="77777777" w:rsidR="00D833D7" w:rsidRPr="009B475E" w:rsidRDefault="00D833D7" w:rsidP="008844DA">
            <w:pPr>
              <w:jc w:val="left"/>
              <w:rPr>
                <w:sz w:val="16"/>
                <w:szCs w:val="16"/>
                <w:lang w:val="en-US"/>
              </w:rPr>
            </w:pPr>
            <w:r w:rsidRPr="009B475E">
              <w:rPr>
                <w:sz w:val="16"/>
                <w:szCs w:val="16"/>
                <w:lang w:val="bg-BG"/>
              </w:rPr>
              <w:t>356 398 597,00</w:t>
            </w:r>
          </w:p>
          <w:p w14:paraId="43B210CF" w14:textId="29EF7D39" w:rsidR="00D833D7" w:rsidRPr="009B475E" w:rsidRDefault="00D833D7" w:rsidP="00232A02">
            <w:pPr>
              <w:jc w:val="left"/>
              <w:rPr>
                <w:sz w:val="16"/>
                <w:szCs w:val="16"/>
              </w:rPr>
            </w:pPr>
          </w:p>
        </w:tc>
        <w:tc>
          <w:tcPr>
            <w:tcW w:w="377" w:type="pct"/>
            <w:shd w:val="clear" w:color="auto" w:fill="auto"/>
            <w:tcPrChange w:id="114" w:author="Iva Chervenkova" w:date="2024-07-03T11:12:00Z">
              <w:tcPr>
                <w:tcW w:w="377" w:type="pct"/>
                <w:gridSpan w:val="2"/>
                <w:shd w:val="clear" w:color="auto" w:fill="auto"/>
              </w:tcPr>
            </w:tcPrChange>
          </w:tcPr>
          <w:p w14:paraId="35CE76CD" w14:textId="77777777" w:rsidR="00D833D7" w:rsidRPr="009B475E" w:rsidRDefault="00D833D7" w:rsidP="008844DA">
            <w:pPr>
              <w:jc w:val="left"/>
              <w:rPr>
                <w:sz w:val="16"/>
                <w:szCs w:val="16"/>
                <w:lang w:val="bg-BG"/>
              </w:rPr>
            </w:pPr>
            <w:r w:rsidRPr="009B475E">
              <w:rPr>
                <w:sz w:val="16"/>
                <w:szCs w:val="16"/>
                <w:lang w:val="bg-BG"/>
              </w:rPr>
              <w:t>62 893 871,00</w:t>
            </w:r>
          </w:p>
          <w:p w14:paraId="28F7FAA5" w14:textId="77777777" w:rsidR="00D833D7" w:rsidRPr="009B475E" w:rsidRDefault="00D833D7" w:rsidP="00232A02">
            <w:pPr>
              <w:jc w:val="left"/>
              <w:rPr>
                <w:sz w:val="16"/>
                <w:szCs w:val="16"/>
              </w:rPr>
            </w:pPr>
          </w:p>
          <w:p w14:paraId="1B333CBF" w14:textId="63A3CD8B" w:rsidR="00D833D7" w:rsidRPr="009B475E" w:rsidRDefault="00D833D7" w:rsidP="00232A02">
            <w:pPr>
              <w:jc w:val="left"/>
              <w:rPr>
                <w:sz w:val="16"/>
                <w:szCs w:val="16"/>
              </w:rPr>
            </w:pPr>
          </w:p>
          <w:p w14:paraId="213BAC1E" w14:textId="74D1FC36" w:rsidR="00D833D7" w:rsidRPr="009B475E" w:rsidRDefault="00D833D7" w:rsidP="00232A02">
            <w:pPr>
              <w:jc w:val="left"/>
              <w:rPr>
                <w:sz w:val="16"/>
                <w:szCs w:val="16"/>
              </w:rPr>
            </w:pPr>
          </w:p>
        </w:tc>
        <w:tc>
          <w:tcPr>
            <w:tcW w:w="403" w:type="pct"/>
            <w:shd w:val="clear" w:color="auto" w:fill="auto"/>
            <w:tcPrChange w:id="115" w:author="Iva Chervenkova" w:date="2024-07-03T11:12:00Z">
              <w:tcPr>
                <w:tcW w:w="403" w:type="pct"/>
                <w:gridSpan w:val="2"/>
                <w:shd w:val="clear" w:color="auto" w:fill="auto"/>
              </w:tcPr>
            </w:tcPrChange>
          </w:tcPr>
          <w:p w14:paraId="6B4CDA31" w14:textId="77777777" w:rsidR="00D833D7" w:rsidRPr="009B475E" w:rsidRDefault="00D833D7" w:rsidP="008844DA">
            <w:pPr>
              <w:jc w:val="left"/>
              <w:rPr>
                <w:sz w:val="16"/>
                <w:szCs w:val="16"/>
                <w:lang w:val="bg-BG"/>
              </w:rPr>
            </w:pPr>
            <w:r w:rsidRPr="009B475E">
              <w:rPr>
                <w:sz w:val="16"/>
                <w:szCs w:val="16"/>
                <w:lang w:val="bg-BG"/>
              </w:rPr>
              <w:t>62 893 871,00</w:t>
            </w:r>
          </w:p>
          <w:p w14:paraId="4053D6A1" w14:textId="77777777" w:rsidR="00D833D7" w:rsidRPr="009B475E" w:rsidRDefault="00D833D7" w:rsidP="00232A02">
            <w:pPr>
              <w:jc w:val="left"/>
              <w:rPr>
                <w:sz w:val="16"/>
                <w:szCs w:val="16"/>
              </w:rPr>
            </w:pPr>
          </w:p>
          <w:p w14:paraId="0946C95A" w14:textId="5F8429AF" w:rsidR="00D833D7" w:rsidRPr="009B475E" w:rsidRDefault="00D833D7" w:rsidP="00232A02">
            <w:pPr>
              <w:jc w:val="left"/>
              <w:rPr>
                <w:sz w:val="16"/>
                <w:szCs w:val="16"/>
              </w:rPr>
            </w:pPr>
          </w:p>
        </w:tc>
        <w:tc>
          <w:tcPr>
            <w:tcW w:w="157" w:type="pct"/>
            <w:tcPrChange w:id="116" w:author="Iva Chervenkova" w:date="2024-07-03T11:12:00Z">
              <w:tcPr>
                <w:tcW w:w="157" w:type="pct"/>
                <w:gridSpan w:val="2"/>
              </w:tcPr>
            </w:tcPrChange>
          </w:tcPr>
          <w:p w14:paraId="7BA73BFC" w14:textId="77777777" w:rsidR="00D833D7" w:rsidRPr="009B475E" w:rsidRDefault="00D833D7" w:rsidP="00232A02">
            <w:pPr>
              <w:jc w:val="left"/>
              <w:rPr>
                <w:sz w:val="16"/>
                <w:szCs w:val="16"/>
              </w:rPr>
            </w:pPr>
            <w:r w:rsidRPr="009B475E">
              <w:rPr>
                <w:sz w:val="16"/>
                <w:szCs w:val="16"/>
              </w:rPr>
              <w:t>0</w:t>
            </w:r>
          </w:p>
        </w:tc>
        <w:tc>
          <w:tcPr>
            <w:tcW w:w="399" w:type="pct"/>
            <w:shd w:val="clear" w:color="auto" w:fill="auto"/>
            <w:tcPrChange w:id="117" w:author="Iva Chervenkova" w:date="2024-07-03T11:12:00Z">
              <w:tcPr>
                <w:tcW w:w="399" w:type="pct"/>
                <w:gridSpan w:val="2"/>
                <w:shd w:val="clear" w:color="auto" w:fill="auto"/>
              </w:tcPr>
            </w:tcPrChange>
          </w:tcPr>
          <w:p w14:paraId="113F4656" w14:textId="77777777" w:rsidR="00D833D7" w:rsidRPr="009B475E" w:rsidRDefault="00D833D7" w:rsidP="008844DA">
            <w:pPr>
              <w:jc w:val="left"/>
              <w:rPr>
                <w:sz w:val="16"/>
                <w:szCs w:val="16"/>
                <w:lang w:val="bg-BG"/>
              </w:rPr>
            </w:pPr>
            <w:r w:rsidRPr="009B475E">
              <w:rPr>
                <w:sz w:val="16"/>
                <w:szCs w:val="16"/>
                <w:lang w:val="bg-BG"/>
              </w:rPr>
              <w:t>419 292 468,00</w:t>
            </w:r>
          </w:p>
          <w:p w14:paraId="5F3583F3" w14:textId="77777777" w:rsidR="00D833D7" w:rsidRPr="009B475E" w:rsidRDefault="00D833D7" w:rsidP="00232A02">
            <w:pPr>
              <w:jc w:val="left"/>
              <w:rPr>
                <w:sz w:val="16"/>
                <w:szCs w:val="16"/>
              </w:rPr>
            </w:pPr>
          </w:p>
          <w:p w14:paraId="0880C383" w14:textId="281C0F9E" w:rsidR="00D833D7" w:rsidRPr="009B475E" w:rsidRDefault="00D833D7" w:rsidP="00232A02">
            <w:pPr>
              <w:jc w:val="left"/>
              <w:rPr>
                <w:sz w:val="16"/>
                <w:szCs w:val="16"/>
              </w:rPr>
            </w:pPr>
          </w:p>
          <w:p w14:paraId="7BC91CF3" w14:textId="77777777" w:rsidR="00D833D7" w:rsidRPr="009B475E" w:rsidRDefault="00D833D7" w:rsidP="00232A02">
            <w:pPr>
              <w:jc w:val="left"/>
              <w:rPr>
                <w:sz w:val="16"/>
                <w:szCs w:val="16"/>
              </w:rPr>
            </w:pPr>
          </w:p>
          <w:p w14:paraId="59B53EE3" w14:textId="578FDB11" w:rsidR="00D833D7" w:rsidRPr="009B475E" w:rsidRDefault="00D833D7" w:rsidP="00232A02">
            <w:pPr>
              <w:jc w:val="left"/>
              <w:rPr>
                <w:sz w:val="16"/>
                <w:szCs w:val="16"/>
              </w:rPr>
            </w:pPr>
          </w:p>
        </w:tc>
        <w:tc>
          <w:tcPr>
            <w:tcW w:w="226" w:type="pct"/>
            <w:shd w:val="clear" w:color="auto" w:fill="auto"/>
            <w:tcPrChange w:id="118" w:author="Iva Chervenkova" w:date="2024-07-03T11:12:00Z">
              <w:tcPr>
                <w:tcW w:w="226" w:type="pct"/>
                <w:gridSpan w:val="2"/>
                <w:shd w:val="clear" w:color="auto" w:fill="auto"/>
              </w:tcPr>
            </w:tcPrChange>
          </w:tcPr>
          <w:p w14:paraId="7F08DC7D" w14:textId="44D3FDA2" w:rsidR="00D833D7" w:rsidRPr="009B475E" w:rsidRDefault="00D833D7" w:rsidP="00232A02">
            <w:pPr>
              <w:jc w:val="left"/>
              <w:rPr>
                <w:sz w:val="16"/>
                <w:szCs w:val="16"/>
              </w:rPr>
            </w:pPr>
            <w:r w:rsidRPr="009B475E">
              <w:rPr>
                <w:sz w:val="16"/>
                <w:szCs w:val="16"/>
              </w:rPr>
              <w:t>84,</w:t>
            </w:r>
            <w:r w:rsidRPr="009B475E">
              <w:rPr>
                <w:sz w:val="16"/>
                <w:szCs w:val="16"/>
                <w:lang w:val="bg-BG"/>
              </w:rPr>
              <w:t xml:space="preserve"> 999999</w:t>
            </w:r>
            <w:r w:rsidRPr="009B475E">
              <w:rPr>
                <w:sz w:val="16"/>
                <w:szCs w:val="16"/>
                <w:lang w:val="en-US"/>
              </w:rPr>
              <w:t>8092</w:t>
            </w:r>
          </w:p>
          <w:p w14:paraId="193A6C8C" w14:textId="13B5FD41" w:rsidR="00D833D7" w:rsidRPr="009B475E" w:rsidRDefault="00D833D7" w:rsidP="00232A02">
            <w:pPr>
              <w:jc w:val="left"/>
              <w:rPr>
                <w:sz w:val="16"/>
                <w:szCs w:val="16"/>
              </w:rPr>
            </w:pPr>
            <w:r w:rsidRPr="009B475E">
              <w:rPr>
                <w:sz w:val="16"/>
                <w:szCs w:val="16"/>
                <w:lang w:val="en-US"/>
              </w:rPr>
              <w:t xml:space="preserve"> % </w:t>
            </w:r>
          </w:p>
        </w:tc>
        <w:tc>
          <w:tcPr>
            <w:tcW w:w="278" w:type="pct"/>
            <w:tcPrChange w:id="119" w:author="Iva Chervenkova" w:date="2024-07-03T11:12:00Z">
              <w:tcPr>
                <w:tcW w:w="164" w:type="pct"/>
                <w:gridSpan w:val="2"/>
              </w:tcPr>
            </w:tcPrChange>
          </w:tcPr>
          <w:p w14:paraId="38F7C708" w14:textId="7B533458" w:rsidR="00D833D7" w:rsidRPr="009B475E" w:rsidRDefault="00CF26E7" w:rsidP="00CF26E7">
            <w:pPr>
              <w:jc w:val="center"/>
              <w:rPr>
                <w:sz w:val="16"/>
                <w:szCs w:val="16"/>
              </w:rPr>
            </w:pPr>
            <w:ins w:id="120" w:author="Iva Chervenkova" w:date="2024-07-03T11:12:00Z">
              <w:r w:rsidRPr="00CF26E7">
                <w:rPr>
                  <w:sz w:val="16"/>
                  <w:szCs w:val="16"/>
                  <w:lang w:val="bg-BG"/>
                </w:rPr>
                <w:fldChar w:fldCharType="begin">
                  <w:ffData>
                    <w:name w:val=""/>
                    <w:enabled/>
                    <w:calcOnExit w:val="0"/>
                    <w:checkBox>
                      <w:sizeAuto/>
                      <w:default w:val="1"/>
                    </w:checkBox>
                  </w:ffData>
                </w:fldChar>
              </w:r>
              <w:r w:rsidRPr="00CF26E7">
                <w:rPr>
                  <w:sz w:val="16"/>
                  <w:szCs w:val="16"/>
                  <w:lang w:val="bg-BG"/>
                </w:rPr>
                <w:instrText xml:space="preserve"> FORMCHECKBOX </w:instrText>
              </w:r>
              <w:r w:rsidR="004956FB">
                <w:rPr>
                  <w:sz w:val="16"/>
                  <w:szCs w:val="16"/>
                  <w:lang w:val="bg-BG"/>
                </w:rPr>
              </w:r>
              <w:r w:rsidR="004956FB">
                <w:rPr>
                  <w:sz w:val="16"/>
                  <w:szCs w:val="16"/>
                  <w:lang w:val="bg-BG"/>
                </w:rPr>
                <w:fldChar w:fldCharType="separate"/>
              </w:r>
              <w:r w:rsidRPr="00CF26E7">
                <w:rPr>
                  <w:sz w:val="16"/>
                  <w:szCs w:val="16"/>
                </w:rPr>
                <w:fldChar w:fldCharType="end"/>
              </w:r>
            </w:ins>
          </w:p>
        </w:tc>
        <w:tc>
          <w:tcPr>
            <w:tcW w:w="182" w:type="pct"/>
            <w:shd w:val="clear" w:color="auto" w:fill="auto"/>
            <w:tcPrChange w:id="121" w:author="Iva Chervenkova" w:date="2024-07-03T11:12:00Z">
              <w:tcPr>
                <w:tcW w:w="251" w:type="pct"/>
                <w:gridSpan w:val="2"/>
                <w:shd w:val="clear" w:color="auto" w:fill="auto"/>
              </w:tcPr>
            </w:tcPrChange>
          </w:tcPr>
          <w:p w14:paraId="716307C7" w14:textId="0C79D547" w:rsidR="00D833D7" w:rsidRPr="009B475E" w:rsidRDefault="00D833D7" w:rsidP="00232A02">
            <w:pPr>
              <w:jc w:val="left"/>
              <w:rPr>
                <w:sz w:val="16"/>
                <w:szCs w:val="16"/>
              </w:rPr>
            </w:pPr>
          </w:p>
        </w:tc>
        <w:tc>
          <w:tcPr>
            <w:tcW w:w="364" w:type="pct"/>
            <w:tcPrChange w:id="122" w:author="Iva Chervenkova" w:date="2024-07-03T11:12:00Z">
              <w:tcPr>
                <w:tcW w:w="316" w:type="pct"/>
                <w:gridSpan w:val="2"/>
              </w:tcPr>
            </w:tcPrChange>
          </w:tcPr>
          <w:p w14:paraId="309B0E92" w14:textId="77777777" w:rsidR="00D833D7" w:rsidRPr="009B475E" w:rsidRDefault="00D833D7" w:rsidP="008844DA">
            <w:pPr>
              <w:jc w:val="left"/>
              <w:rPr>
                <w:sz w:val="16"/>
                <w:szCs w:val="16"/>
                <w:lang w:val="bg-BG"/>
              </w:rPr>
            </w:pPr>
            <w:r w:rsidRPr="009B475E">
              <w:rPr>
                <w:sz w:val="16"/>
                <w:szCs w:val="16"/>
                <w:lang w:val="bg-BG"/>
              </w:rPr>
              <w:t>328 812 881,00</w:t>
            </w:r>
          </w:p>
          <w:p w14:paraId="592A409F" w14:textId="77777777" w:rsidR="00D833D7" w:rsidRPr="009B475E" w:rsidRDefault="00D833D7" w:rsidP="00232A02">
            <w:pPr>
              <w:jc w:val="left"/>
              <w:rPr>
                <w:sz w:val="16"/>
                <w:szCs w:val="16"/>
              </w:rPr>
            </w:pPr>
          </w:p>
          <w:p w14:paraId="63DAED05" w14:textId="63502BFF" w:rsidR="00D833D7" w:rsidRPr="009B475E" w:rsidRDefault="00D833D7" w:rsidP="00232A02">
            <w:pPr>
              <w:jc w:val="left"/>
              <w:rPr>
                <w:sz w:val="16"/>
                <w:szCs w:val="16"/>
              </w:rPr>
            </w:pPr>
          </w:p>
          <w:p w14:paraId="6C21B5DF" w14:textId="77777777" w:rsidR="00D833D7" w:rsidRPr="009B475E" w:rsidRDefault="00D833D7" w:rsidP="00232A02">
            <w:pPr>
              <w:jc w:val="left"/>
              <w:rPr>
                <w:sz w:val="16"/>
                <w:szCs w:val="16"/>
              </w:rPr>
            </w:pPr>
          </w:p>
          <w:p w14:paraId="7F2E6416" w14:textId="15B4B267" w:rsidR="00D833D7" w:rsidRPr="009B475E" w:rsidRDefault="00D833D7" w:rsidP="00232A02">
            <w:pPr>
              <w:jc w:val="left"/>
              <w:rPr>
                <w:sz w:val="16"/>
                <w:szCs w:val="16"/>
              </w:rPr>
            </w:pPr>
          </w:p>
        </w:tc>
        <w:tc>
          <w:tcPr>
            <w:tcW w:w="310" w:type="pct"/>
            <w:tcPrChange w:id="123" w:author="Iva Chervenkova" w:date="2024-07-03T11:12:00Z">
              <w:tcPr>
                <w:tcW w:w="403" w:type="pct"/>
                <w:gridSpan w:val="2"/>
              </w:tcPr>
            </w:tcPrChange>
          </w:tcPr>
          <w:p w14:paraId="3D6A3936" w14:textId="77777777" w:rsidR="00D833D7" w:rsidRPr="009B475E" w:rsidRDefault="00D833D7" w:rsidP="008844DA">
            <w:pPr>
              <w:jc w:val="left"/>
              <w:rPr>
                <w:sz w:val="16"/>
                <w:szCs w:val="16"/>
                <w:lang w:val="bg-BG"/>
              </w:rPr>
            </w:pPr>
            <w:r w:rsidRPr="009B475E">
              <w:rPr>
                <w:sz w:val="16"/>
                <w:szCs w:val="16"/>
                <w:lang w:val="bg-BG"/>
              </w:rPr>
              <w:t>58 025 803,00</w:t>
            </w:r>
          </w:p>
          <w:p w14:paraId="182B91CE" w14:textId="77777777" w:rsidR="00D833D7" w:rsidRPr="009B475E" w:rsidRDefault="00D833D7" w:rsidP="00232A02">
            <w:pPr>
              <w:jc w:val="left"/>
              <w:rPr>
                <w:sz w:val="16"/>
                <w:szCs w:val="16"/>
              </w:rPr>
            </w:pPr>
          </w:p>
          <w:p w14:paraId="268B6420" w14:textId="502CC7F3" w:rsidR="00D833D7" w:rsidRPr="009B475E" w:rsidRDefault="00D833D7" w:rsidP="00232A02">
            <w:pPr>
              <w:jc w:val="left"/>
              <w:rPr>
                <w:sz w:val="16"/>
                <w:szCs w:val="16"/>
              </w:rPr>
            </w:pPr>
          </w:p>
          <w:p w14:paraId="25375D9E" w14:textId="77777777" w:rsidR="00D833D7" w:rsidRPr="009B475E" w:rsidRDefault="00D833D7" w:rsidP="00232A02">
            <w:pPr>
              <w:jc w:val="left"/>
              <w:rPr>
                <w:sz w:val="16"/>
                <w:szCs w:val="16"/>
              </w:rPr>
            </w:pPr>
          </w:p>
          <w:p w14:paraId="31C29781" w14:textId="60FF8766" w:rsidR="00D833D7" w:rsidRPr="009B475E" w:rsidRDefault="00D833D7" w:rsidP="00232A02">
            <w:pPr>
              <w:jc w:val="left"/>
              <w:rPr>
                <w:sz w:val="16"/>
                <w:szCs w:val="16"/>
              </w:rPr>
            </w:pPr>
          </w:p>
        </w:tc>
        <w:tc>
          <w:tcPr>
            <w:tcW w:w="361" w:type="pct"/>
            <w:tcPrChange w:id="124" w:author="Iva Chervenkova" w:date="2024-07-03T11:12:00Z">
              <w:tcPr>
                <w:tcW w:w="361" w:type="pct"/>
              </w:tcPr>
            </w:tcPrChange>
          </w:tcPr>
          <w:p w14:paraId="73C1B051" w14:textId="745777A4" w:rsidR="00D833D7" w:rsidRPr="009B475E" w:rsidRDefault="00D833D7" w:rsidP="00232A02">
            <w:pPr>
              <w:jc w:val="left"/>
              <w:rPr>
                <w:sz w:val="16"/>
                <w:szCs w:val="16"/>
              </w:rPr>
            </w:pPr>
          </w:p>
          <w:p w14:paraId="113AFEEA" w14:textId="1624F933" w:rsidR="00D833D7" w:rsidRPr="009B475E" w:rsidRDefault="00D833D7" w:rsidP="00232A02">
            <w:pPr>
              <w:jc w:val="left"/>
              <w:rPr>
                <w:sz w:val="16"/>
                <w:szCs w:val="16"/>
              </w:rPr>
            </w:pPr>
            <w:r w:rsidRPr="009B475E">
              <w:rPr>
                <w:sz w:val="16"/>
                <w:szCs w:val="16"/>
              </w:rPr>
              <w:t>27 585 716.00</w:t>
            </w:r>
          </w:p>
        </w:tc>
        <w:tc>
          <w:tcPr>
            <w:tcW w:w="285" w:type="pct"/>
            <w:tcPrChange w:id="125" w:author="Iva Chervenkova" w:date="2024-07-03T11:12:00Z">
              <w:tcPr>
                <w:tcW w:w="285" w:type="pct"/>
              </w:tcPr>
            </w:tcPrChange>
          </w:tcPr>
          <w:p w14:paraId="4DA396CF" w14:textId="5A95C616" w:rsidR="00D833D7" w:rsidRPr="009B475E" w:rsidRDefault="00D833D7" w:rsidP="00232A02">
            <w:pPr>
              <w:jc w:val="left"/>
              <w:rPr>
                <w:sz w:val="16"/>
                <w:szCs w:val="16"/>
              </w:rPr>
            </w:pPr>
          </w:p>
          <w:p w14:paraId="1F5222B0" w14:textId="618751C9" w:rsidR="00D833D7" w:rsidRPr="009B475E" w:rsidRDefault="00D833D7" w:rsidP="00232A02">
            <w:pPr>
              <w:jc w:val="left"/>
              <w:rPr>
                <w:sz w:val="16"/>
                <w:szCs w:val="16"/>
              </w:rPr>
            </w:pPr>
            <w:r w:rsidRPr="009B475E">
              <w:rPr>
                <w:sz w:val="16"/>
                <w:szCs w:val="16"/>
              </w:rPr>
              <w:t>4 868 068.00</w:t>
            </w:r>
          </w:p>
        </w:tc>
        <w:tc>
          <w:tcPr>
            <w:tcW w:w="226" w:type="pct"/>
            <w:tcPrChange w:id="126" w:author="Iva Chervenkova" w:date="2024-07-03T11:12:00Z">
              <w:tcPr>
                <w:tcW w:w="226" w:type="pct"/>
              </w:tcPr>
            </w:tcPrChange>
          </w:tcPr>
          <w:p w14:paraId="09E55C0B" w14:textId="5A3F5161" w:rsidR="00D833D7" w:rsidRPr="009B475E" w:rsidRDefault="00D833D7" w:rsidP="00232A02">
            <w:pPr>
              <w:jc w:val="left"/>
              <w:rPr>
                <w:sz w:val="16"/>
                <w:szCs w:val="16"/>
              </w:rPr>
            </w:pPr>
          </w:p>
          <w:p w14:paraId="48E68F77" w14:textId="2A3276B1" w:rsidR="00D833D7" w:rsidRPr="009B475E" w:rsidRDefault="00D833D7" w:rsidP="008844DA">
            <w:pPr>
              <w:jc w:val="left"/>
              <w:rPr>
                <w:sz w:val="16"/>
                <w:szCs w:val="16"/>
                <w:lang w:val="bg-BG"/>
              </w:rPr>
            </w:pPr>
            <w:r w:rsidRPr="009B475E">
              <w:rPr>
                <w:sz w:val="16"/>
                <w:szCs w:val="16"/>
                <w:lang w:val="bg-BG"/>
              </w:rPr>
              <w:t>7,74</w:t>
            </w:r>
          </w:p>
          <w:p w14:paraId="2D097EF3" w14:textId="6F8AFF6D" w:rsidR="00D833D7" w:rsidRPr="009B475E" w:rsidRDefault="00D833D7" w:rsidP="008844DA">
            <w:pPr>
              <w:jc w:val="left"/>
              <w:rPr>
                <w:sz w:val="16"/>
                <w:szCs w:val="16"/>
              </w:rPr>
            </w:pPr>
            <w:r w:rsidRPr="009B475E">
              <w:rPr>
                <w:sz w:val="16"/>
                <w:szCs w:val="16"/>
              </w:rPr>
              <w:t xml:space="preserve"> %</w:t>
            </w:r>
          </w:p>
        </w:tc>
      </w:tr>
      <w:tr w:rsidR="007B694B" w:rsidRPr="008340BB" w14:paraId="5D1003B9" w14:textId="77777777" w:rsidTr="007B694B">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27" w:author="Iva Chervenkova" w:date="2024-07-03T11:12:00Z">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20"/>
          <w:trPrChange w:id="128" w:author="Iva Chervenkova" w:date="2024-07-03T11:12:00Z">
            <w:trPr>
              <w:trHeight w:val="420"/>
            </w:trPr>
          </w:trPrChange>
        </w:trPr>
        <w:tc>
          <w:tcPr>
            <w:tcW w:w="320" w:type="pct"/>
            <w:tcPrChange w:id="129" w:author="Iva Chervenkova" w:date="2024-07-03T11:12:00Z">
              <w:tcPr>
                <w:tcW w:w="320" w:type="pct"/>
                <w:gridSpan w:val="2"/>
              </w:tcPr>
            </w:tcPrChange>
          </w:tcPr>
          <w:p w14:paraId="28758184" w14:textId="77777777" w:rsidR="00D833D7" w:rsidRPr="008340BB" w:rsidRDefault="00D833D7" w:rsidP="0073454E">
            <w:pPr>
              <w:jc w:val="left"/>
              <w:rPr>
                <w:i/>
                <w:iCs/>
                <w:sz w:val="16"/>
                <w:szCs w:val="16"/>
              </w:rPr>
            </w:pPr>
            <w:r w:rsidRPr="008340BB">
              <w:rPr>
                <w:i/>
                <w:iCs/>
                <w:sz w:val="16"/>
                <w:szCs w:val="16"/>
              </w:rPr>
              <w:t>Priority axis 4</w:t>
            </w:r>
          </w:p>
        </w:tc>
        <w:tc>
          <w:tcPr>
            <w:tcW w:w="252" w:type="pct"/>
            <w:tcPrChange w:id="130" w:author="Iva Chervenkova" w:date="2024-07-03T11:12:00Z">
              <w:tcPr>
                <w:tcW w:w="252" w:type="pct"/>
                <w:gridSpan w:val="2"/>
              </w:tcPr>
            </w:tcPrChange>
          </w:tcPr>
          <w:p w14:paraId="3EF67E1E" w14:textId="77777777" w:rsidR="00D833D7" w:rsidRPr="008340BB" w:rsidRDefault="00D833D7" w:rsidP="0073454E">
            <w:pPr>
              <w:jc w:val="left"/>
              <w:rPr>
                <w:sz w:val="16"/>
                <w:szCs w:val="16"/>
              </w:rPr>
            </w:pPr>
            <w:r w:rsidRPr="008340BB">
              <w:rPr>
                <w:sz w:val="16"/>
                <w:szCs w:val="16"/>
              </w:rPr>
              <w:t>ERDF</w:t>
            </w:r>
          </w:p>
        </w:tc>
        <w:tc>
          <w:tcPr>
            <w:tcW w:w="261" w:type="pct"/>
            <w:tcPrChange w:id="131" w:author="Iva Chervenkova" w:date="2024-07-03T11:12:00Z">
              <w:tcPr>
                <w:tcW w:w="261" w:type="pct"/>
                <w:gridSpan w:val="2"/>
              </w:tcPr>
            </w:tcPrChange>
          </w:tcPr>
          <w:p w14:paraId="11512496" w14:textId="77777777" w:rsidR="00D833D7" w:rsidRPr="008340BB" w:rsidRDefault="00D833D7" w:rsidP="0073454E">
            <w:pPr>
              <w:jc w:val="left"/>
              <w:rPr>
                <w:sz w:val="16"/>
                <w:szCs w:val="16"/>
              </w:rPr>
            </w:pPr>
            <w:r w:rsidRPr="008340BB">
              <w:rPr>
                <w:sz w:val="16"/>
                <w:szCs w:val="16"/>
              </w:rPr>
              <w:t>Less developed</w:t>
            </w:r>
          </w:p>
        </w:tc>
        <w:tc>
          <w:tcPr>
            <w:tcW w:w="220" w:type="pct"/>
            <w:tcPrChange w:id="132" w:author="Iva Chervenkova" w:date="2024-07-03T11:12:00Z">
              <w:tcPr>
                <w:tcW w:w="220" w:type="pct"/>
                <w:gridSpan w:val="2"/>
              </w:tcPr>
            </w:tcPrChange>
          </w:tcPr>
          <w:p w14:paraId="70F5403E" w14:textId="77777777" w:rsidR="00D833D7" w:rsidRPr="008340BB" w:rsidRDefault="00D833D7" w:rsidP="0073454E">
            <w:pPr>
              <w:jc w:val="left"/>
              <w:rPr>
                <w:sz w:val="16"/>
                <w:szCs w:val="16"/>
              </w:rPr>
            </w:pPr>
            <w:r w:rsidRPr="008340BB">
              <w:rPr>
                <w:sz w:val="16"/>
                <w:szCs w:val="16"/>
              </w:rPr>
              <w:t>public</w:t>
            </w:r>
          </w:p>
        </w:tc>
        <w:tc>
          <w:tcPr>
            <w:tcW w:w="379" w:type="pct"/>
            <w:shd w:val="clear" w:color="auto" w:fill="auto"/>
            <w:tcPrChange w:id="133" w:author="Iva Chervenkova" w:date="2024-07-03T11:12:00Z">
              <w:tcPr>
                <w:tcW w:w="379" w:type="pct"/>
                <w:gridSpan w:val="2"/>
                <w:shd w:val="clear" w:color="auto" w:fill="auto"/>
              </w:tcPr>
            </w:tcPrChange>
          </w:tcPr>
          <w:p w14:paraId="5FA460BC" w14:textId="77777777" w:rsidR="00D833D7" w:rsidRPr="00AB17EB" w:rsidRDefault="00D833D7" w:rsidP="0073454E">
            <w:pPr>
              <w:jc w:val="left"/>
              <w:rPr>
                <w:sz w:val="16"/>
                <w:szCs w:val="16"/>
              </w:rPr>
            </w:pPr>
            <w:r w:rsidRPr="00AB17EB">
              <w:rPr>
                <w:sz w:val="16"/>
                <w:szCs w:val="16"/>
              </w:rPr>
              <w:t>47 495 843,00</w:t>
            </w:r>
          </w:p>
          <w:p w14:paraId="0BAE7BBE" w14:textId="2C8B5402" w:rsidR="00D833D7" w:rsidRPr="00416E36" w:rsidRDefault="00D833D7" w:rsidP="0073454E">
            <w:pPr>
              <w:jc w:val="left"/>
              <w:rPr>
                <w:sz w:val="16"/>
                <w:szCs w:val="16"/>
              </w:rPr>
            </w:pPr>
          </w:p>
        </w:tc>
        <w:tc>
          <w:tcPr>
            <w:tcW w:w="377" w:type="pct"/>
            <w:shd w:val="clear" w:color="auto" w:fill="auto"/>
            <w:tcPrChange w:id="134" w:author="Iva Chervenkova" w:date="2024-07-03T11:12:00Z">
              <w:tcPr>
                <w:tcW w:w="377" w:type="pct"/>
                <w:gridSpan w:val="2"/>
                <w:shd w:val="clear" w:color="auto" w:fill="auto"/>
              </w:tcPr>
            </w:tcPrChange>
          </w:tcPr>
          <w:p w14:paraId="2E98AA4B" w14:textId="77777777" w:rsidR="00D833D7" w:rsidRPr="004915A6" w:rsidRDefault="00D833D7" w:rsidP="0073454E">
            <w:pPr>
              <w:jc w:val="left"/>
              <w:rPr>
                <w:sz w:val="16"/>
                <w:szCs w:val="16"/>
              </w:rPr>
            </w:pPr>
            <w:r w:rsidRPr="004915A6">
              <w:rPr>
                <w:sz w:val="16"/>
                <w:szCs w:val="16"/>
              </w:rPr>
              <w:t>8 381 620,00</w:t>
            </w:r>
          </w:p>
          <w:p w14:paraId="3FCDED2F" w14:textId="064D1245" w:rsidR="00D833D7" w:rsidRPr="00934BA4" w:rsidRDefault="00D833D7" w:rsidP="0073454E">
            <w:pPr>
              <w:jc w:val="left"/>
              <w:rPr>
                <w:sz w:val="16"/>
                <w:szCs w:val="16"/>
              </w:rPr>
            </w:pPr>
            <w:r w:rsidRPr="004915A6">
              <w:rPr>
                <w:sz w:val="16"/>
                <w:szCs w:val="16"/>
              </w:rPr>
              <w:t xml:space="preserve"> </w:t>
            </w:r>
          </w:p>
        </w:tc>
        <w:tc>
          <w:tcPr>
            <w:tcW w:w="403" w:type="pct"/>
            <w:shd w:val="clear" w:color="auto" w:fill="auto"/>
            <w:tcPrChange w:id="135" w:author="Iva Chervenkova" w:date="2024-07-03T11:12:00Z">
              <w:tcPr>
                <w:tcW w:w="403" w:type="pct"/>
                <w:gridSpan w:val="2"/>
                <w:shd w:val="clear" w:color="auto" w:fill="auto"/>
              </w:tcPr>
            </w:tcPrChange>
          </w:tcPr>
          <w:p w14:paraId="276ED49B" w14:textId="77777777" w:rsidR="00D833D7" w:rsidRPr="004915A6" w:rsidRDefault="00D833D7" w:rsidP="0073454E">
            <w:pPr>
              <w:jc w:val="left"/>
              <w:rPr>
                <w:sz w:val="16"/>
                <w:szCs w:val="16"/>
              </w:rPr>
            </w:pPr>
            <w:r w:rsidRPr="004915A6">
              <w:rPr>
                <w:sz w:val="16"/>
                <w:szCs w:val="16"/>
                <w:lang w:val="en-US"/>
              </w:rPr>
              <w:t xml:space="preserve"> </w:t>
            </w:r>
            <w:r w:rsidRPr="004915A6">
              <w:rPr>
                <w:sz w:val="16"/>
                <w:szCs w:val="16"/>
              </w:rPr>
              <w:t>8 381 620,00</w:t>
            </w:r>
          </w:p>
          <w:p w14:paraId="5A10F0A6" w14:textId="55C299C9" w:rsidR="00D833D7" w:rsidRPr="00172ADD" w:rsidRDefault="00D833D7" w:rsidP="0073454E">
            <w:pPr>
              <w:jc w:val="left"/>
              <w:rPr>
                <w:sz w:val="16"/>
                <w:szCs w:val="16"/>
              </w:rPr>
            </w:pPr>
            <w:r w:rsidRPr="004915A6">
              <w:rPr>
                <w:sz w:val="16"/>
                <w:szCs w:val="16"/>
              </w:rPr>
              <w:t xml:space="preserve"> </w:t>
            </w:r>
          </w:p>
        </w:tc>
        <w:tc>
          <w:tcPr>
            <w:tcW w:w="157" w:type="pct"/>
            <w:tcPrChange w:id="136" w:author="Iva Chervenkova" w:date="2024-07-03T11:12:00Z">
              <w:tcPr>
                <w:tcW w:w="157" w:type="pct"/>
                <w:gridSpan w:val="2"/>
              </w:tcPr>
            </w:tcPrChange>
          </w:tcPr>
          <w:p w14:paraId="56ED0292" w14:textId="77777777" w:rsidR="00D833D7" w:rsidRPr="00DC0475" w:rsidRDefault="00D833D7" w:rsidP="0073454E">
            <w:pPr>
              <w:jc w:val="left"/>
              <w:rPr>
                <w:sz w:val="16"/>
                <w:szCs w:val="16"/>
              </w:rPr>
            </w:pPr>
            <w:r w:rsidRPr="00DC0475">
              <w:rPr>
                <w:sz w:val="16"/>
                <w:szCs w:val="16"/>
              </w:rPr>
              <w:t>0</w:t>
            </w:r>
          </w:p>
        </w:tc>
        <w:tc>
          <w:tcPr>
            <w:tcW w:w="399" w:type="pct"/>
            <w:shd w:val="clear" w:color="auto" w:fill="auto"/>
            <w:tcPrChange w:id="137" w:author="Iva Chervenkova" w:date="2024-07-03T11:12:00Z">
              <w:tcPr>
                <w:tcW w:w="399" w:type="pct"/>
                <w:gridSpan w:val="2"/>
                <w:shd w:val="clear" w:color="auto" w:fill="auto"/>
              </w:tcPr>
            </w:tcPrChange>
          </w:tcPr>
          <w:p w14:paraId="15991152" w14:textId="77777777" w:rsidR="00D833D7" w:rsidRPr="004915A6" w:rsidRDefault="00D833D7" w:rsidP="0073454E">
            <w:pPr>
              <w:jc w:val="left"/>
              <w:rPr>
                <w:sz w:val="16"/>
                <w:szCs w:val="16"/>
              </w:rPr>
            </w:pPr>
            <w:r w:rsidRPr="004915A6">
              <w:rPr>
                <w:sz w:val="16"/>
                <w:szCs w:val="16"/>
              </w:rPr>
              <w:t>55 877 463,00</w:t>
            </w:r>
          </w:p>
          <w:p w14:paraId="5D8874F4" w14:textId="2592A11E" w:rsidR="00D833D7" w:rsidRPr="00720E0C" w:rsidRDefault="00D833D7" w:rsidP="0073454E">
            <w:pPr>
              <w:jc w:val="left"/>
              <w:rPr>
                <w:sz w:val="16"/>
                <w:szCs w:val="16"/>
              </w:rPr>
            </w:pPr>
            <w:r w:rsidRPr="004915A6">
              <w:rPr>
                <w:sz w:val="16"/>
                <w:szCs w:val="16"/>
              </w:rPr>
              <w:t xml:space="preserve"> </w:t>
            </w:r>
            <w:r w:rsidRPr="004915A6">
              <w:rPr>
                <w:sz w:val="16"/>
                <w:szCs w:val="16"/>
                <w:lang w:val="en-US"/>
              </w:rPr>
              <w:t xml:space="preserve"> </w:t>
            </w:r>
          </w:p>
        </w:tc>
        <w:tc>
          <w:tcPr>
            <w:tcW w:w="226" w:type="pct"/>
            <w:shd w:val="clear" w:color="auto" w:fill="auto"/>
            <w:tcPrChange w:id="138" w:author="Iva Chervenkova" w:date="2024-07-03T11:12:00Z">
              <w:tcPr>
                <w:tcW w:w="226" w:type="pct"/>
                <w:gridSpan w:val="2"/>
                <w:shd w:val="clear" w:color="auto" w:fill="auto"/>
              </w:tcPr>
            </w:tcPrChange>
          </w:tcPr>
          <w:p w14:paraId="506B4DBE" w14:textId="77777777" w:rsidR="00D833D7" w:rsidRPr="006C6015" w:rsidRDefault="00D833D7" w:rsidP="0073454E">
            <w:pPr>
              <w:jc w:val="left"/>
              <w:rPr>
                <w:sz w:val="16"/>
                <w:szCs w:val="16"/>
              </w:rPr>
            </w:pPr>
            <w:r w:rsidRPr="006C6015">
              <w:rPr>
                <w:sz w:val="16"/>
                <w:szCs w:val="16"/>
              </w:rPr>
              <w:t>84</w:t>
            </w:r>
            <w:r>
              <w:rPr>
                <w:sz w:val="16"/>
                <w:szCs w:val="16"/>
              </w:rPr>
              <w:t>,</w:t>
            </w:r>
            <w:r w:rsidRPr="006C6015">
              <w:rPr>
                <w:sz w:val="16"/>
                <w:szCs w:val="16"/>
              </w:rPr>
              <w:t>9999990157</w:t>
            </w:r>
          </w:p>
          <w:p w14:paraId="56FB8D48" w14:textId="3505D924" w:rsidR="00D833D7" w:rsidRPr="00DC0475" w:rsidRDefault="00D833D7" w:rsidP="0073454E">
            <w:pPr>
              <w:jc w:val="left"/>
              <w:rPr>
                <w:sz w:val="16"/>
                <w:szCs w:val="16"/>
              </w:rPr>
            </w:pPr>
            <w:r w:rsidRPr="00DC0475">
              <w:rPr>
                <w:sz w:val="16"/>
                <w:szCs w:val="16"/>
              </w:rPr>
              <w:t>%</w:t>
            </w:r>
          </w:p>
        </w:tc>
        <w:tc>
          <w:tcPr>
            <w:tcW w:w="278" w:type="pct"/>
            <w:tcPrChange w:id="139" w:author="Iva Chervenkova" w:date="2024-07-03T11:12:00Z">
              <w:tcPr>
                <w:tcW w:w="164" w:type="pct"/>
                <w:gridSpan w:val="2"/>
              </w:tcPr>
            </w:tcPrChange>
          </w:tcPr>
          <w:p w14:paraId="2409A883" w14:textId="19E7D707" w:rsidR="00D833D7" w:rsidRPr="00B5130A" w:rsidRDefault="00CF26E7" w:rsidP="00CF26E7">
            <w:pPr>
              <w:jc w:val="center"/>
              <w:rPr>
                <w:sz w:val="16"/>
                <w:szCs w:val="16"/>
              </w:rPr>
            </w:pPr>
            <w:ins w:id="140" w:author="Iva Chervenkova" w:date="2024-07-03T11:12:00Z">
              <w:r w:rsidRPr="00CF26E7">
                <w:rPr>
                  <w:sz w:val="16"/>
                  <w:szCs w:val="16"/>
                  <w:lang w:val="bg-BG"/>
                </w:rPr>
                <w:fldChar w:fldCharType="begin">
                  <w:ffData>
                    <w:name w:val=""/>
                    <w:enabled/>
                    <w:calcOnExit w:val="0"/>
                    <w:checkBox>
                      <w:sizeAuto/>
                      <w:default w:val="1"/>
                    </w:checkBox>
                  </w:ffData>
                </w:fldChar>
              </w:r>
              <w:r w:rsidRPr="00CF26E7">
                <w:rPr>
                  <w:sz w:val="16"/>
                  <w:szCs w:val="16"/>
                  <w:lang w:val="bg-BG"/>
                </w:rPr>
                <w:instrText xml:space="preserve"> FORMCHECKBOX </w:instrText>
              </w:r>
              <w:r w:rsidR="004956FB">
                <w:rPr>
                  <w:sz w:val="16"/>
                  <w:szCs w:val="16"/>
                  <w:lang w:val="bg-BG"/>
                </w:rPr>
              </w:r>
              <w:r w:rsidR="004956FB">
                <w:rPr>
                  <w:sz w:val="16"/>
                  <w:szCs w:val="16"/>
                  <w:lang w:val="bg-BG"/>
                </w:rPr>
                <w:fldChar w:fldCharType="separate"/>
              </w:r>
              <w:r w:rsidRPr="00CF26E7">
                <w:rPr>
                  <w:sz w:val="16"/>
                  <w:szCs w:val="16"/>
                </w:rPr>
                <w:fldChar w:fldCharType="end"/>
              </w:r>
            </w:ins>
          </w:p>
        </w:tc>
        <w:tc>
          <w:tcPr>
            <w:tcW w:w="182" w:type="pct"/>
            <w:shd w:val="clear" w:color="auto" w:fill="auto"/>
            <w:tcPrChange w:id="141" w:author="Iva Chervenkova" w:date="2024-07-03T11:12:00Z">
              <w:tcPr>
                <w:tcW w:w="251" w:type="pct"/>
                <w:gridSpan w:val="2"/>
                <w:shd w:val="clear" w:color="auto" w:fill="auto"/>
              </w:tcPr>
            </w:tcPrChange>
          </w:tcPr>
          <w:p w14:paraId="0B67D86E" w14:textId="149B4744" w:rsidR="00D833D7" w:rsidRPr="00B5130A" w:rsidRDefault="00D833D7" w:rsidP="0073454E">
            <w:pPr>
              <w:jc w:val="left"/>
              <w:rPr>
                <w:sz w:val="16"/>
                <w:szCs w:val="16"/>
              </w:rPr>
            </w:pPr>
          </w:p>
        </w:tc>
        <w:tc>
          <w:tcPr>
            <w:tcW w:w="364" w:type="pct"/>
            <w:tcPrChange w:id="142" w:author="Iva Chervenkova" w:date="2024-07-03T11:12:00Z">
              <w:tcPr>
                <w:tcW w:w="316" w:type="pct"/>
                <w:gridSpan w:val="2"/>
              </w:tcPr>
            </w:tcPrChange>
          </w:tcPr>
          <w:p w14:paraId="6B8C0269" w14:textId="77777777" w:rsidR="00D833D7" w:rsidRPr="001603AF" w:rsidRDefault="00D833D7" w:rsidP="0073454E">
            <w:pPr>
              <w:jc w:val="left"/>
              <w:rPr>
                <w:sz w:val="16"/>
                <w:szCs w:val="16"/>
              </w:rPr>
            </w:pPr>
            <w:r w:rsidRPr="001603AF">
              <w:rPr>
                <w:sz w:val="16"/>
                <w:szCs w:val="16"/>
              </w:rPr>
              <w:t>47 495 843,00</w:t>
            </w:r>
          </w:p>
          <w:p w14:paraId="29E69C33" w14:textId="7D868A6C" w:rsidR="00D833D7" w:rsidRPr="00DC0475" w:rsidRDefault="00D833D7" w:rsidP="0073454E">
            <w:pPr>
              <w:jc w:val="left"/>
              <w:rPr>
                <w:sz w:val="16"/>
                <w:szCs w:val="16"/>
              </w:rPr>
            </w:pPr>
          </w:p>
        </w:tc>
        <w:tc>
          <w:tcPr>
            <w:tcW w:w="310" w:type="pct"/>
            <w:tcPrChange w:id="143" w:author="Iva Chervenkova" w:date="2024-07-03T11:12:00Z">
              <w:tcPr>
                <w:tcW w:w="403" w:type="pct"/>
                <w:gridSpan w:val="2"/>
              </w:tcPr>
            </w:tcPrChange>
          </w:tcPr>
          <w:p w14:paraId="086183BC" w14:textId="77777777" w:rsidR="00D833D7" w:rsidRPr="001603AF" w:rsidRDefault="00D833D7" w:rsidP="0073454E">
            <w:pPr>
              <w:jc w:val="left"/>
              <w:rPr>
                <w:sz w:val="16"/>
                <w:szCs w:val="16"/>
              </w:rPr>
            </w:pPr>
            <w:r w:rsidRPr="001603AF">
              <w:rPr>
                <w:sz w:val="16"/>
                <w:szCs w:val="16"/>
              </w:rPr>
              <w:t>8 381 620,00</w:t>
            </w:r>
          </w:p>
          <w:p w14:paraId="0F0318C3" w14:textId="21A64DE7" w:rsidR="00D833D7" w:rsidRPr="00DC0475" w:rsidRDefault="00D833D7" w:rsidP="0073454E">
            <w:pPr>
              <w:jc w:val="left"/>
              <w:rPr>
                <w:sz w:val="16"/>
                <w:szCs w:val="16"/>
              </w:rPr>
            </w:pPr>
            <w:r w:rsidRPr="001603AF">
              <w:rPr>
                <w:sz w:val="16"/>
                <w:szCs w:val="16"/>
              </w:rPr>
              <w:t xml:space="preserve"> </w:t>
            </w:r>
          </w:p>
        </w:tc>
        <w:tc>
          <w:tcPr>
            <w:tcW w:w="361" w:type="pct"/>
            <w:tcPrChange w:id="144" w:author="Iva Chervenkova" w:date="2024-07-03T11:12:00Z">
              <w:tcPr>
                <w:tcW w:w="361" w:type="pct"/>
              </w:tcPr>
            </w:tcPrChange>
          </w:tcPr>
          <w:p w14:paraId="259F837B" w14:textId="11A63293" w:rsidR="00D833D7" w:rsidRDefault="00D833D7" w:rsidP="0073454E">
            <w:pPr>
              <w:jc w:val="left"/>
              <w:rPr>
                <w:sz w:val="16"/>
                <w:szCs w:val="16"/>
              </w:rPr>
            </w:pPr>
          </w:p>
          <w:p w14:paraId="04D9A837" w14:textId="72562984" w:rsidR="00D833D7" w:rsidRPr="00B5130A" w:rsidRDefault="00D833D7" w:rsidP="0073454E">
            <w:pPr>
              <w:jc w:val="left"/>
              <w:rPr>
                <w:sz w:val="16"/>
                <w:szCs w:val="16"/>
              </w:rPr>
            </w:pPr>
            <w:r>
              <w:rPr>
                <w:sz w:val="16"/>
                <w:szCs w:val="16"/>
              </w:rPr>
              <w:t>0</w:t>
            </w:r>
          </w:p>
        </w:tc>
        <w:tc>
          <w:tcPr>
            <w:tcW w:w="285" w:type="pct"/>
            <w:tcPrChange w:id="145" w:author="Iva Chervenkova" w:date="2024-07-03T11:12:00Z">
              <w:tcPr>
                <w:tcW w:w="285" w:type="pct"/>
              </w:tcPr>
            </w:tcPrChange>
          </w:tcPr>
          <w:p w14:paraId="51F8589B" w14:textId="2FEEFE21" w:rsidR="00D833D7" w:rsidRDefault="00D833D7" w:rsidP="0073454E">
            <w:pPr>
              <w:jc w:val="left"/>
              <w:rPr>
                <w:sz w:val="16"/>
                <w:szCs w:val="16"/>
              </w:rPr>
            </w:pPr>
          </w:p>
          <w:p w14:paraId="2D170260" w14:textId="2BF4F8BD" w:rsidR="00D833D7" w:rsidRPr="00BA2131" w:rsidRDefault="00D833D7" w:rsidP="0073454E">
            <w:pPr>
              <w:jc w:val="left"/>
              <w:rPr>
                <w:sz w:val="16"/>
                <w:szCs w:val="16"/>
              </w:rPr>
            </w:pPr>
            <w:r>
              <w:rPr>
                <w:sz w:val="16"/>
                <w:szCs w:val="16"/>
              </w:rPr>
              <w:t>0</w:t>
            </w:r>
          </w:p>
        </w:tc>
        <w:tc>
          <w:tcPr>
            <w:tcW w:w="226" w:type="pct"/>
            <w:tcPrChange w:id="146" w:author="Iva Chervenkova" w:date="2024-07-03T11:12:00Z">
              <w:tcPr>
                <w:tcW w:w="226" w:type="pct"/>
              </w:tcPr>
            </w:tcPrChange>
          </w:tcPr>
          <w:p w14:paraId="1ABBD5B6" w14:textId="71901079" w:rsidR="00D833D7" w:rsidRDefault="00D833D7" w:rsidP="0073454E">
            <w:pPr>
              <w:jc w:val="left"/>
              <w:rPr>
                <w:sz w:val="16"/>
                <w:szCs w:val="16"/>
              </w:rPr>
            </w:pPr>
          </w:p>
          <w:p w14:paraId="66C2DFC9" w14:textId="5AC231BC" w:rsidR="00D833D7" w:rsidRPr="003A29DA" w:rsidRDefault="00D833D7" w:rsidP="0073454E">
            <w:pPr>
              <w:jc w:val="left"/>
            </w:pPr>
            <w:r>
              <w:rPr>
                <w:sz w:val="16"/>
                <w:szCs w:val="16"/>
              </w:rPr>
              <w:t>0%</w:t>
            </w:r>
          </w:p>
        </w:tc>
      </w:tr>
      <w:tr w:rsidR="007B694B" w:rsidRPr="008340BB" w14:paraId="3BD93C1C" w14:textId="77777777" w:rsidTr="007B694B">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47" w:author="Iva Chervenkova" w:date="2024-07-03T11:12:00Z">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6"/>
          <w:trPrChange w:id="148" w:author="Iva Chervenkova" w:date="2024-07-03T11:12:00Z">
            <w:trPr>
              <w:trHeight w:val="136"/>
            </w:trPr>
          </w:trPrChange>
        </w:trPr>
        <w:tc>
          <w:tcPr>
            <w:tcW w:w="320" w:type="pct"/>
            <w:tcPrChange w:id="149" w:author="Iva Chervenkova" w:date="2024-07-03T11:12:00Z">
              <w:tcPr>
                <w:tcW w:w="320" w:type="pct"/>
                <w:gridSpan w:val="2"/>
              </w:tcPr>
            </w:tcPrChange>
          </w:tcPr>
          <w:p w14:paraId="4A6BCB04" w14:textId="77777777" w:rsidR="00D833D7" w:rsidRPr="008340BB" w:rsidRDefault="00D833D7" w:rsidP="00680822">
            <w:pPr>
              <w:jc w:val="left"/>
              <w:rPr>
                <w:i/>
                <w:iCs/>
                <w:sz w:val="16"/>
                <w:szCs w:val="16"/>
              </w:rPr>
            </w:pPr>
            <w:r w:rsidRPr="008340BB">
              <w:rPr>
                <w:i/>
                <w:iCs/>
                <w:sz w:val="16"/>
                <w:szCs w:val="16"/>
              </w:rPr>
              <w:lastRenderedPageBreak/>
              <w:t>Priority Axis 5</w:t>
            </w:r>
          </w:p>
        </w:tc>
        <w:tc>
          <w:tcPr>
            <w:tcW w:w="252" w:type="pct"/>
            <w:tcPrChange w:id="150" w:author="Iva Chervenkova" w:date="2024-07-03T11:12:00Z">
              <w:tcPr>
                <w:tcW w:w="252" w:type="pct"/>
                <w:gridSpan w:val="2"/>
              </w:tcPr>
            </w:tcPrChange>
          </w:tcPr>
          <w:p w14:paraId="24582721" w14:textId="77777777" w:rsidR="00D833D7" w:rsidRPr="008340BB" w:rsidRDefault="00D833D7" w:rsidP="00680822">
            <w:pPr>
              <w:jc w:val="left"/>
              <w:rPr>
                <w:sz w:val="16"/>
                <w:szCs w:val="16"/>
              </w:rPr>
            </w:pPr>
            <w:r w:rsidRPr="008340BB">
              <w:rPr>
                <w:sz w:val="16"/>
                <w:szCs w:val="16"/>
              </w:rPr>
              <w:t>ERDF</w:t>
            </w:r>
          </w:p>
        </w:tc>
        <w:tc>
          <w:tcPr>
            <w:tcW w:w="261" w:type="pct"/>
            <w:tcPrChange w:id="151" w:author="Iva Chervenkova" w:date="2024-07-03T11:12:00Z">
              <w:tcPr>
                <w:tcW w:w="261" w:type="pct"/>
                <w:gridSpan w:val="2"/>
              </w:tcPr>
            </w:tcPrChange>
          </w:tcPr>
          <w:p w14:paraId="64E1EC30" w14:textId="77777777" w:rsidR="00D833D7" w:rsidRPr="008340BB" w:rsidRDefault="00D833D7" w:rsidP="00680822">
            <w:pPr>
              <w:jc w:val="left"/>
              <w:rPr>
                <w:sz w:val="16"/>
                <w:szCs w:val="16"/>
              </w:rPr>
            </w:pPr>
            <w:r w:rsidRPr="008340BB">
              <w:rPr>
                <w:sz w:val="16"/>
                <w:szCs w:val="16"/>
              </w:rPr>
              <w:t>Less developed</w:t>
            </w:r>
          </w:p>
        </w:tc>
        <w:tc>
          <w:tcPr>
            <w:tcW w:w="220" w:type="pct"/>
            <w:tcPrChange w:id="152" w:author="Iva Chervenkova" w:date="2024-07-03T11:12:00Z">
              <w:tcPr>
                <w:tcW w:w="220" w:type="pct"/>
                <w:gridSpan w:val="2"/>
              </w:tcPr>
            </w:tcPrChange>
          </w:tcPr>
          <w:p w14:paraId="4A2EC70D" w14:textId="77777777" w:rsidR="00D833D7" w:rsidRPr="008340BB" w:rsidRDefault="00D833D7" w:rsidP="00680822">
            <w:pPr>
              <w:jc w:val="left"/>
              <w:rPr>
                <w:sz w:val="16"/>
                <w:szCs w:val="16"/>
              </w:rPr>
            </w:pPr>
            <w:r w:rsidRPr="008340BB">
              <w:rPr>
                <w:sz w:val="16"/>
                <w:szCs w:val="16"/>
              </w:rPr>
              <w:t>public</w:t>
            </w:r>
          </w:p>
        </w:tc>
        <w:tc>
          <w:tcPr>
            <w:tcW w:w="379" w:type="pct"/>
            <w:shd w:val="clear" w:color="auto" w:fill="auto"/>
            <w:tcPrChange w:id="153" w:author="Iva Chervenkova" w:date="2024-07-03T11:12:00Z">
              <w:tcPr>
                <w:tcW w:w="379" w:type="pct"/>
                <w:gridSpan w:val="2"/>
                <w:shd w:val="clear" w:color="auto" w:fill="auto"/>
              </w:tcPr>
            </w:tcPrChange>
          </w:tcPr>
          <w:p w14:paraId="38F3687A" w14:textId="77777777" w:rsidR="00D833D7" w:rsidRPr="0024746B" w:rsidRDefault="00D833D7" w:rsidP="00973FBD">
            <w:pPr>
              <w:jc w:val="left"/>
              <w:rPr>
                <w:bCs/>
                <w:sz w:val="16"/>
                <w:szCs w:val="16"/>
                <w:lang w:val="bg-BG"/>
              </w:rPr>
            </w:pPr>
            <w:r w:rsidRPr="0024746B">
              <w:rPr>
                <w:bCs/>
                <w:sz w:val="16"/>
                <w:szCs w:val="16"/>
                <w:lang w:val="bg-BG"/>
              </w:rPr>
              <w:t>30 217 316,00</w:t>
            </w:r>
          </w:p>
          <w:p w14:paraId="73CDA677" w14:textId="0DFA36F3" w:rsidR="00D833D7" w:rsidRPr="0024746B" w:rsidRDefault="00D833D7" w:rsidP="00680822">
            <w:pPr>
              <w:jc w:val="left"/>
              <w:rPr>
                <w:sz w:val="16"/>
                <w:szCs w:val="16"/>
              </w:rPr>
            </w:pPr>
          </w:p>
          <w:p w14:paraId="7F9720D9" w14:textId="3B425FBD" w:rsidR="00D833D7" w:rsidRPr="0024746B" w:rsidRDefault="00D833D7" w:rsidP="00680822">
            <w:pPr>
              <w:jc w:val="left"/>
              <w:rPr>
                <w:sz w:val="16"/>
                <w:szCs w:val="16"/>
              </w:rPr>
            </w:pPr>
          </w:p>
        </w:tc>
        <w:tc>
          <w:tcPr>
            <w:tcW w:w="377" w:type="pct"/>
            <w:shd w:val="clear" w:color="auto" w:fill="auto"/>
            <w:tcPrChange w:id="154" w:author="Iva Chervenkova" w:date="2024-07-03T11:12:00Z">
              <w:tcPr>
                <w:tcW w:w="377" w:type="pct"/>
                <w:gridSpan w:val="2"/>
                <w:shd w:val="clear" w:color="auto" w:fill="auto"/>
              </w:tcPr>
            </w:tcPrChange>
          </w:tcPr>
          <w:p w14:paraId="6AD95324" w14:textId="77777777" w:rsidR="00D833D7" w:rsidRPr="0024746B" w:rsidRDefault="00D833D7" w:rsidP="00973FBD">
            <w:pPr>
              <w:jc w:val="left"/>
              <w:rPr>
                <w:sz w:val="16"/>
                <w:szCs w:val="16"/>
                <w:lang w:val="bg-BG"/>
              </w:rPr>
            </w:pPr>
            <w:r w:rsidRPr="0024746B">
              <w:rPr>
                <w:sz w:val="16"/>
                <w:szCs w:val="16"/>
                <w:lang w:val="bg-BG"/>
              </w:rPr>
              <w:t>5 332 468,00</w:t>
            </w:r>
          </w:p>
          <w:p w14:paraId="33781FC3" w14:textId="4B360584" w:rsidR="00D833D7" w:rsidRPr="0024746B" w:rsidRDefault="00D833D7" w:rsidP="00680822">
            <w:pPr>
              <w:jc w:val="left"/>
              <w:rPr>
                <w:sz w:val="16"/>
                <w:szCs w:val="16"/>
              </w:rPr>
            </w:pPr>
          </w:p>
          <w:p w14:paraId="63D430F2" w14:textId="7F0A6597" w:rsidR="00D833D7" w:rsidRPr="0024746B" w:rsidRDefault="00D833D7" w:rsidP="00680822">
            <w:pPr>
              <w:jc w:val="left"/>
              <w:rPr>
                <w:sz w:val="16"/>
                <w:szCs w:val="16"/>
              </w:rPr>
            </w:pPr>
          </w:p>
        </w:tc>
        <w:tc>
          <w:tcPr>
            <w:tcW w:w="403" w:type="pct"/>
            <w:shd w:val="clear" w:color="auto" w:fill="auto"/>
            <w:tcPrChange w:id="155" w:author="Iva Chervenkova" w:date="2024-07-03T11:12:00Z">
              <w:tcPr>
                <w:tcW w:w="403" w:type="pct"/>
                <w:gridSpan w:val="2"/>
                <w:shd w:val="clear" w:color="auto" w:fill="auto"/>
              </w:tcPr>
            </w:tcPrChange>
          </w:tcPr>
          <w:p w14:paraId="6EACF693" w14:textId="77777777" w:rsidR="00D833D7" w:rsidRPr="0024746B" w:rsidRDefault="00D833D7" w:rsidP="00973FBD">
            <w:pPr>
              <w:jc w:val="left"/>
              <w:rPr>
                <w:sz w:val="16"/>
                <w:szCs w:val="16"/>
                <w:lang w:val="bg-BG"/>
              </w:rPr>
            </w:pPr>
            <w:r w:rsidRPr="0024746B">
              <w:rPr>
                <w:sz w:val="16"/>
                <w:szCs w:val="16"/>
                <w:lang w:val="bg-BG"/>
              </w:rPr>
              <w:t>5 332 468,00</w:t>
            </w:r>
          </w:p>
          <w:p w14:paraId="2267517C" w14:textId="6F59E01B" w:rsidR="00D833D7" w:rsidRPr="0024746B" w:rsidRDefault="00D833D7" w:rsidP="00680822">
            <w:pPr>
              <w:jc w:val="left"/>
              <w:rPr>
                <w:sz w:val="16"/>
              </w:rPr>
            </w:pPr>
          </w:p>
          <w:p w14:paraId="5E66A787" w14:textId="05F76E57" w:rsidR="00D833D7" w:rsidRPr="0024746B" w:rsidRDefault="00D833D7" w:rsidP="00680822">
            <w:pPr>
              <w:jc w:val="left"/>
              <w:rPr>
                <w:sz w:val="16"/>
                <w:szCs w:val="16"/>
              </w:rPr>
            </w:pPr>
          </w:p>
        </w:tc>
        <w:tc>
          <w:tcPr>
            <w:tcW w:w="157" w:type="pct"/>
            <w:tcPrChange w:id="156" w:author="Iva Chervenkova" w:date="2024-07-03T11:12:00Z">
              <w:tcPr>
                <w:tcW w:w="157" w:type="pct"/>
                <w:gridSpan w:val="2"/>
              </w:tcPr>
            </w:tcPrChange>
          </w:tcPr>
          <w:p w14:paraId="2335CA4D" w14:textId="77777777" w:rsidR="00D833D7" w:rsidRPr="0024746B" w:rsidRDefault="00D833D7" w:rsidP="00680822">
            <w:pPr>
              <w:jc w:val="left"/>
              <w:rPr>
                <w:sz w:val="16"/>
                <w:szCs w:val="16"/>
              </w:rPr>
            </w:pPr>
            <w:r w:rsidRPr="0024746B">
              <w:rPr>
                <w:sz w:val="16"/>
              </w:rPr>
              <w:t> </w:t>
            </w:r>
            <w:r w:rsidRPr="0024746B">
              <w:rPr>
                <w:sz w:val="16"/>
                <w:szCs w:val="16"/>
              </w:rPr>
              <w:t>0</w:t>
            </w:r>
          </w:p>
        </w:tc>
        <w:tc>
          <w:tcPr>
            <w:tcW w:w="399" w:type="pct"/>
            <w:shd w:val="clear" w:color="auto" w:fill="auto"/>
            <w:tcPrChange w:id="157" w:author="Iva Chervenkova" w:date="2024-07-03T11:12:00Z">
              <w:tcPr>
                <w:tcW w:w="399" w:type="pct"/>
                <w:gridSpan w:val="2"/>
                <w:shd w:val="clear" w:color="auto" w:fill="auto"/>
              </w:tcPr>
            </w:tcPrChange>
          </w:tcPr>
          <w:p w14:paraId="365BCF2A" w14:textId="77777777" w:rsidR="00D833D7" w:rsidRPr="0024746B" w:rsidRDefault="00D833D7" w:rsidP="002914F4">
            <w:pPr>
              <w:jc w:val="left"/>
              <w:rPr>
                <w:sz w:val="16"/>
                <w:lang w:val="bg-BG"/>
              </w:rPr>
            </w:pPr>
            <w:r w:rsidRPr="0024746B">
              <w:rPr>
                <w:sz w:val="16"/>
                <w:lang w:val="bg-BG"/>
              </w:rPr>
              <w:t>35 549 784,00</w:t>
            </w:r>
          </w:p>
          <w:p w14:paraId="56938D57" w14:textId="1CA614C0" w:rsidR="00D833D7" w:rsidRPr="0024746B" w:rsidRDefault="00D833D7" w:rsidP="00680822">
            <w:pPr>
              <w:jc w:val="left"/>
              <w:rPr>
                <w:sz w:val="16"/>
              </w:rPr>
            </w:pPr>
          </w:p>
          <w:p w14:paraId="619EA0CC" w14:textId="335799C7" w:rsidR="00D833D7" w:rsidRPr="0024746B" w:rsidRDefault="00D833D7" w:rsidP="00680822">
            <w:pPr>
              <w:jc w:val="left"/>
              <w:rPr>
                <w:sz w:val="16"/>
                <w:szCs w:val="16"/>
              </w:rPr>
            </w:pPr>
          </w:p>
        </w:tc>
        <w:tc>
          <w:tcPr>
            <w:tcW w:w="226" w:type="pct"/>
            <w:shd w:val="clear" w:color="auto" w:fill="auto"/>
            <w:tcPrChange w:id="158" w:author="Iva Chervenkova" w:date="2024-07-03T11:12:00Z">
              <w:tcPr>
                <w:tcW w:w="226" w:type="pct"/>
                <w:gridSpan w:val="2"/>
                <w:shd w:val="clear" w:color="auto" w:fill="auto"/>
              </w:tcPr>
            </w:tcPrChange>
          </w:tcPr>
          <w:p w14:paraId="1A06670B" w14:textId="77777777" w:rsidR="00D833D7" w:rsidRPr="0024746B" w:rsidRDefault="00D833D7" w:rsidP="00D0517E">
            <w:pPr>
              <w:jc w:val="left"/>
              <w:rPr>
                <w:sz w:val="16"/>
                <w:szCs w:val="16"/>
                <w:lang w:val="bg-BG"/>
              </w:rPr>
            </w:pPr>
            <w:r w:rsidRPr="0024746B">
              <w:rPr>
                <w:sz w:val="16"/>
                <w:szCs w:val="16"/>
                <w:lang w:val="bg-BG"/>
              </w:rPr>
              <w:t>84,999998875</w:t>
            </w:r>
          </w:p>
          <w:p w14:paraId="75A22B5A" w14:textId="3F8E4169" w:rsidR="00D833D7" w:rsidRPr="0024746B" w:rsidRDefault="00D833D7" w:rsidP="00680822">
            <w:pPr>
              <w:jc w:val="left"/>
              <w:rPr>
                <w:sz w:val="16"/>
                <w:szCs w:val="16"/>
              </w:rPr>
            </w:pPr>
          </w:p>
          <w:p w14:paraId="1D8B8E20" w14:textId="29894EEE" w:rsidR="00D833D7" w:rsidRPr="0024746B" w:rsidRDefault="00D833D7" w:rsidP="00680822">
            <w:pPr>
              <w:jc w:val="left"/>
              <w:rPr>
                <w:sz w:val="16"/>
                <w:szCs w:val="16"/>
              </w:rPr>
            </w:pPr>
            <w:r w:rsidRPr="0024746B">
              <w:rPr>
                <w:sz w:val="16"/>
                <w:szCs w:val="16"/>
              </w:rPr>
              <w:t>%</w:t>
            </w:r>
          </w:p>
        </w:tc>
        <w:tc>
          <w:tcPr>
            <w:tcW w:w="278" w:type="pct"/>
            <w:tcPrChange w:id="159" w:author="Iva Chervenkova" w:date="2024-07-03T11:12:00Z">
              <w:tcPr>
                <w:tcW w:w="164" w:type="pct"/>
                <w:gridSpan w:val="2"/>
              </w:tcPr>
            </w:tcPrChange>
          </w:tcPr>
          <w:p w14:paraId="0A9B3DBA" w14:textId="350AB05B" w:rsidR="00D833D7" w:rsidRPr="0024746B" w:rsidRDefault="00F53B08" w:rsidP="00AD10C3">
            <w:pPr>
              <w:jc w:val="center"/>
              <w:rPr>
                <w:sz w:val="16"/>
              </w:rPr>
            </w:pPr>
            <w:ins w:id="160" w:author="Iva Chervenkova" w:date="2024-08-15T15:28:00Z">
              <w:r w:rsidRPr="00CF26E7">
                <w:rPr>
                  <w:sz w:val="16"/>
                  <w:szCs w:val="16"/>
                  <w:lang w:val="bg-BG"/>
                </w:rPr>
                <w:fldChar w:fldCharType="begin">
                  <w:ffData>
                    <w:name w:val=""/>
                    <w:enabled/>
                    <w:calcOnExit w:val="0"/>
                    <w:checkBox>
                      <w:sizeAuto/>
                      <w:default w:val="1"/>
                    </w:checkBox>
                  </w:ffData>
                </w:fldChar>
              </w:r>
              <w:r w:rsidRPr="00CF26E7">
                <w:rPr>
                  <w:sz w:val="16"/>
                  <w:szCs w:val="16"/>
                  <w:lang w:val="bg-BG"/>
                </w:rPr>
                <w:instrText xml:space="preserve"> FORMCHECKBOX </w:instrText>
              </w:r>
              <w:r>
                <w:rPr>
                  <w:sz w:val="16"/>
                  <w:szCs w:val="16"/>
                  <w:lang w:val="bg-BG"/>
                </w:rPr>
              </w:r>
              <w:r>
                <w:rPr>
                  <w:sz w:val="16"/>
                  <w:szCs w:val="16"/>
                  <w:lang w:val="bg-BG"/>
                </w:rPr>
                <w:fldChar w:fldCharType="separate"/>
              </w:r>
              <w:r w:rsidRPr="00CF26E7">
                <w:rPr>
                  <w:sz w:val="16"/>
                  <w:szCs w:val="16"/>
                </w:rPr>
                <w:fldChar w:fldCharType="end"/>
              </w:r>
            </w:ins>
            <w:bookmarkStart w:id="161" w:name="_GoBack"/>
            <w:bookmarkEnd w:id="161"/>
          </w:p>
        </w:tc>
        <w:tc>
          <w:tcPr>
            <w:tcW w:w="182" w:type="pct"/>
            <w:shd w:val="clear" w:color="auto" w:fill="auto"/>
            <w:tcPrChange w:id="162" w:author="Iva Chervenkova" w:date="2024-07-03T11:12:00Z">
              <w:tcPr>
                <w:tcW w:w="251" w:type="pct"/>
                <w:gridSpan w:val="2"/>
                <w:shd w:val="clear" w:color="auto" w:fill="auto"/>
              </w:tcPr>
            </w:tcPrChange>
          </w:tcPr>
          <w:p w14:paraId="0DD81734" w14:textId="219274E5" w:rsidR="00D833D7" w:rsidRPr="0024746B" w:rsidRDefault="00D833D7" w:rsidP="00680822">
            <w:pPr>
              <w:jc w:val="left"/>
              <w:rPr>
                <w:sz w:val="16"/>
                <w:szCs w:val="16"/>
              </w:rPr>
            </w:pPr>
            <w:r w:rsidRPr="0024746B">
              <w:rPr>
                <w:sz w:val="16"/>
              </w:rPr>
              <w:t> </w:t>
            </w:r>
          </w:p>
        </w:tc>
        <w:tc>
          <w:tcPr>
            <w:tcW w:w="364" w:type="pct"/>
            <w:tcPrChange w:id="163" w:author="Iva Chervenkova" w:date="2024-07-03T11:12:00Z">
              <w:tcPr>
                <w:tcW w:w="316" w:type="pct"/>
                <w:gridSpan w:val="2"/>
              </w:tcPr>
            </w:tcPrChange>
          </w:tcPr>
          <w:p w14:paraId="45883ADF" w14:textId="77777777" w:rsidR="00D833D7" w:rsidRPr="0024746B" w:rsidRDefault="00D833D7" w:rsidP="007014C4">
            <w:pPr>
              <w:jc w:val="left"/>
              <w:rPr>
                <w:rFonts w:eastAsia="Times New Roman"/>
                <w:bCs/>
                <w:sz w:val="16"/>
                <w:szCs w:val="16"/>
                <w:lang w:val="bg-BG" w:eastAsia="bg-BG"/>
              </w:rPr>
            </w:pPr>
            <w:r w:rsidRPr="0024746B">
              <w:rPr>
                <w:rFonts w:eastAsia="Times New Roman"/>
                <w:bCs/>
                <w:sz w:val="16"/>
                <w:szCs w:val="16"/>
                <w:lang w:val="bg-BG" w:eastAsia="bg-BG"/>
              </w:rPr>
              <w:t>30 217 316,00</w:t>
            </w:r>
          </w:p>
          <w:p w14:paraId="22DC120D" w14:textId="3BBB8B78" w:rsidR="00D833D7" w:rsidRPr="0024746B" w:rsidRDefault="00D833D7" w:rsidP="00680822">
            <w:pPr>
              <w:jc w:val="left"/>
              <w:rPr>
                <w:rFonts w:eastAsia="Times New Roman"/>
                <w:sz w:val="16"/>
                <w:szCs w:val="16"/>
                <w:lang w:eastAsia="bg-BG"/>
              </w:rPr>
            </w:pPr>
          </w:p>
          <w:p w14:paraId="35FED47F" w14:textId="5836C160" w:rsidR="00D833D7" w:rsidRPr="0024746B" w:rsidRDefault="00D833D7" w:rsidP="00680822">
            <w:pPr>
              <w:jc w:val="left"/>
              <w:rPr>
                <w:sz w:val="16"/>
                <w:szCs w:val="16"/>
              </w:rPr>
            </w:pPr>
          </w:p>
        </w:tc>
        <w:tc>
          <w:tcPr>
            <w:tcW w:w="310" w:type="pct"/>
            <w:tcPrChange w:id="164" w:author="Iva Chervenkova" w:date="2024-07-03T11:12:00Z">
              <w:tcPr>
                <w:tcW w:w="403" w:type="pct"/>
                <w:gridSpan w:val="2"/>
              </w:tcPr>
            </w:tcPrChange>
          </w:tcPr>
          <w:p w14:paraId="0722C36E" w14:textId="77777777" w:rsidR="00D833D7" w:rsidRPr="0024746B" w:rsidRDefault="00D833D7" w:rsidP="009E4065">
            <w:pPr>
              <w:jc w:val="left"/>
              <w:rPr>
                <w:sz w:val="16"/>
                <w:szCs w:val="16"/>
                <w:lang w:val="bg-BG"/>
              </w:rPr>
            </w:pPr>
            <w:r w:rsidRPr="0024746B">
              <w:rPr>
                <w:sz w:val="16"/>
                <w:szCs w:val="16"/>
                <w:lang w:val="bg-BG"/>
              </w:rPr>
              <w:t>5 332 468,00</w:t>
            </w:r>
          </w:p>
          <w:p w14:paraId="6FAD3A16" w14:textId="778FB81F" w:rsidR="00D833D7" w:rsidRPr="0024746B" w:rsidRDefault="00D833D7" w:rsidP="00680822">
            <w:pPr>
              <w:jc w:val="left"/>
              <w:rPr>
                <w:sz w:val="16"/>
                <w:szCs w:val="16"/>
              </w:rPr>
            </w:pPr>
          </w:p>
          <w:p w14:paraId="0C2AE53B" w14:textId="47A55811" w:rsidR="00D833D7" w:rsidRPr="0024746B" w:rsidRDefault="00D833D7" w:rsidP="00680822">
            <w:pPr>
              <w:jc w:val="left"/>
              <w:rPr>
                <w:sz w:val="16"/>
                <w:szCs w:val="16"/>
              </w:rPr>
            </w:pPr>
          </w:p>
        </w:tc>
        <w:tc>
          <w:tcPr>
            <w:tcW w:w="361" w:type="pct"/>
            <w:tcPrChange w:id="165" w:author="Iva Chervenkova" w:date="2024-07-03T11:12:00Z">
              <w:tcPr>
                <w:tcW w:w="361" w:type="pct"/>
              </w:tcPr>
            </w:tcPrChange>
          </w:tcPr>
          <w:p w14:paraId="64A8BAC9" w14:textId="77777777" w:rsidR="00D833D7" w:rsidRPr="00B5130A" w:rsidRDefault="00D833D7" w:rsidP="00680822">
            <w:pPr>
              <w:jc w:val="left"/>
              <w:rPr>
                <w:sz w:val="16"/>
                <w:szCs w:val="16"/>
              </w:rPr>
            </w:pPr>
          </w:p>
        </w:tc>
        <w:tc>
          <w:tcPr>
            <w:tcW w:w="285" w:type="pct"/>
            <w:tcPrChange w:id="166" w:author="Iva Chervenkova" w:date="2024-07-03T11:12:00Z">
              <w:tcPr>
                <w:tcW w:w="285" w:type="pct"/>
              </w:tcPr>
            </w:tcPrChange>
          </w:tcPr>
          <w:p w14:paraId="38128D42" w14:textId="77777777" w:rsidR="00D833D7" w:rsidRPr="00BA2131" w:rsidRDefault="00D833D7" w:rsidP="00680822">
            <w:pPr>
              <w:jc w:val="left"/>
              <w:rPr>
                <w:sz w:val="16"/>
                <w:szCs w:val="16"/>
              </w:rPr>
            </w:pPr>
          </w:p>
        </w:tc>
        <w:tc>
          <w:tcPr>
            <w:tcW w:w="226" w:type="pct"/>
            <w:tcPrChange w:id="167" w:author="Iva Chervenkova" w:date="2024-07-03T11:12:00Z">
              <w:tcPr>
                <w:tcW w:w="226" w:type="pct"/>
              </w:tcPr>
            </w:tcPrChange>
          </w:tcPr>
          <w:p w14:paraId="3AC1E775" w14:textId="77777777" w:rsidR="00D833D7" w:rsidRPr="00435AC3" w:rsidRDefault="00D833D7" w:rsidP="00680822">
            <w:pPr>
              <w:jc w:val="left"/>
              <w:rPr>
                <w:sz w:val="16"/>
                <w:szCs w:val="16"/>
              </w:rPr>
            </w:pPr>
          </w:p>
        </w:tc>
      </w:tr>
      <w:tr w:rsidR="007B694B" w:rsidRPr="008340BB" w14:paraId="54834C9A" w14:textId="77777777" w:rsidTr="007B694B">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68" w:author="Iva Chervenkova" w:date="2024-07-03T11:12:00Z">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6"/>
          <w:trPrChange w:id="169" w:author="Iva Chervenkova" w:date="2024-07-03T11:12:00Z">
            <w:trPr>
              <w:trHeight w:val="136"/>
            </w:trPr>
          </w:trPrChange>
        </w:trPr>
        <w:tc>
          <w:tcPr>
            <w:tcW w:w="320" w:type="pct"/>
            <w:tcPrChange w:id="170" w:author="Iva Chervenkova" w:date="2024-07-03T11:12:00Z">
              <w:tcPr>
                <w:tcW w:w="320" w:type="pct"/>
                <w:gridSpan w:val="2"/>
              </w:tcPr>
            </w:tcPrChange>
          </w:tcPr>
          <w:p w14:paraId="66794DC7" w14:textId="35A09E76" w:rsidR="00D833D7" w:rsidRPr="0024746B" w:rsidRDefault="00D833D7" w:rsidP="00173635">
            <w:pPr>
              <w:jc w:val="left"/>
              <w:rPr>
                <w:i/>
                <w:iCs/>
                <w:sz w:val="16"/>
                <w:szCs w:val="16"/>
              </w:rPr>
            </w:pPr>
            <w:r w:rsidRPr="0024746B">
              <w:rPr>
                <w:i/>
                <w:iCs/>
                <w:sz w:val="16"/>
                <w:szCs w:val="16"/>
              </w:rPr>
              <w:t>Priority Axis 6</w:t>
            </w:r>
          </w:p>
        </w:tc>
        <w:tc>
          <w:tcPr>
            <w:tcW w:w="252" w:type="pct"/>
            <w:tcPrChange w:id="171" w:author="Iva Chervenkova" w:date="2024-07-03T11:12:00Z">
              <w:tcPr>
                <w:tcW w:w="252" w:type="pct"/>
                <w:gridSpan w:val="2"/>
              </w:tcPr>
            </w:tcPrChange>
          </w:tcPr>
          <w:p w14:paraId="56A9AFD8" w14:textId="33A7EF21" w:rsidR="00D833D7" w:rsidRPr="0024746B" w:rsidRDefault="00D833D7" w:rsidP="00173635">
            <w:pPr>
              <w:jc w:val="left"/>
              <w:rPr>
                <w:sz w:val="16"/>
                <w:szCs w:val="16"/>
              </w:rPr>
            </w:pPr>
            <w:r w:rsidRPr="0024746B">
              <w:rPr>
                <w:sz w:val="16"/>
                <w:szCs w:val="16"/>
              </w:rPr>
              <w:t>ERDF</w:t>
            </w:r>
          </w:p>
        </w:tc>
        <w:tc>
          <w:tcPr>
            <w:tcW w:w="261" w:type="pct"/>
            <w:tcPrChange w:id="172" w:author="Iva Chervenkova" w:date="2024-07-03T11:12:00Z">
              <w:tcPr>
                <w:tcW w:w="261" w:type="pct"/>
                <w:gridSpan w:val="2"/>
              </w:tcPr>
            </w:tcPrChange>
          </w:tcPr>
          <w:p w14:paraId="46CBE888" w14:textId="4C8DA4D2" w:rsidR="00D833D7" w:rsidRPr="0024746B" w:rsidRDefault="00D833D7" w:rsidP="00173635">
            <w:pPr>
              <w:jc w:val="left"/>
              <w:rPr>
                <w:sz w:val="16"/>
                <w:szCs w:val="16"/>
              </w:rPr>
            </w:pPr>
            <w:r w:rsidRPr="0024746B">
              <w:rPr>
                <w:sz w:val="16"/>
                <w:szCs w:val="16"/>
              </w:rPr>
              <w:t>Less developed</w:t>
            </w:r>
          </w:p>
        </w:tc>
        <w:tc>
          <w:tcPr>
            <w:tcW w:w="220" w:type="pct"/>
            <w:tcPrChange w:id="173" w:author="Iva Chervenkova" w:date="2024-07-03T11:12:00Z">
              <w:tcPr>
                <w:tcW w:w="220" w:type="pct"/>
                <w:gridSpan w:val="2"/>
              </w:tcPr>
            </w:tcPrChange>
          </w:tcPr>
          <w:p w14:paraId="17A474F0" w14:textId="70F8F257" w:rsidR="00D833D7" w:rsidRPr="0024746B" w:rsidRDefault="00D833D7" w:rsidP="00173635">
            <w:pPr>
              <w:jc w:val="left"/>
              <w:rPr>
                <w:sz w:val="16"/>
                <w:szCs w:val="16"/>
              </w:rPr>
            </w:pPr>
            <w:r w:rsidRPr="0024746B">
              <w:rPr>
                <w:sz w:val="16"/>
                <w:szCs w:val="16"/>
              </w:rPr>
              <w:t>public</w:t>
            </w:r>
          </w:p>
        </w:tc>
        <w:tc>
          <w:tcPr>
            <w:tcW w:w="379" w:type="pct"/>
            <w:shd w:val="clear" w:color="auto" w:fill="auto"/>
            <w:tcPrChange w:id="174" w:author="Iva Chervenkova" w:date="2024-07-03T11:12:00Z">
              <w:tcPr>
                <w:tcW w:w="379" w:type="pct"/>
                <w:gridSpan w:val="2"/>
                <w:shd w:val="clear" w:color="auto" w:fill="auto"/>
              </w:tcPr>
            </w:tcPrChange>
          </w:tcPr>
          <w:p w14:paraId="45EAF7EA" w14:textId="77777777" w:rsidR="00D833D7" w:rsidRPr="0024746B" w:rsidRDefault="00D833D7" w:rsidP="0054408B">
            <w:pPr>
              <w:jc w:val="left"/>
              <w:rPr>
                <w:bCs/>
                <w:sz w:val="16"/>
                <w:szCs w:val="16"/>
                <w:lang w:val="bg-BG"/>
              </w:rPr>
            </w:pPr>
            <w:r w:rsidRPr="0024746B">
              <w:rPr>
                <w:bCs/>
                <w:sz w:val="16"/>
                <w:szCs w:val="16"/>
                <w:lang w:val="bg-BG"/>
              </w:rPr>
              <w:t>4 500 000,00</w:t>
            </w:r>
          </w:p>
          <w:p w14:paraId="2D871267" w14:textId="77777777" w:rsidR="00D833D7" w:rsidRPr="0024746B" w:rsidRDefault="00D833D7" w:rsidP="00173635">
            <w:pPr>
              <w:jc w:val="left"/>
              <w:rPr>
                <w:sz w:val="16"/>
                <w:szCs w:val="16"/>
                <w:lang w:val="en-US"/>
              </w:rPr>
            </w:pPr>
          </w:p>
          <w:p w14:paraId="5F936C4E" w14:textId="2D305600" w:rsidR="00D833D7" w:rsidRPr="0024746B" w:rsidRDefault="00D833D7" w:rsidP="00173635">
            <w:pPr>
              <w:jc w:val="left"/>
              <w:rPr>
                <w:sz w:val="16"/>
                <w:szCs w:val="16"/>
                <w:lang w:val="en-US"/>
              </w:rPr>
            </w:pPr>
          </w:p>
          <w:p w14:paraId="1B26D243" w14:textId="77777777" w:rsidR="00D833D7" w:rsidRPr="0024746B" w:rsidRDefault="00D833D7" w:rsidP="00173635">
            <w:pPr>
              <w:jc w:val="left"/>
              <w:rPr>
                <w:sz w:val="16"/>
                <w:szCs w:val="16"/>
              </w:rPr>
            </w:pPr>
          </w:p>
        </w:tc>
        <w:tc>
          <w:tcPr>
            <w:tcW w:w="377" w:type="pct"/>
            <w:shd w:val="clear" w:color="auto" w:fill="auto"/>
            <w:tcPrChange w:id="175" w:author="Iva Chervenkova" w:date="2024-07-03T11:12:00Z">
              <w:tcPr>
                <w:tcW w:w="377" w:type="pct"/>
                <w:gridSpan w:val="2"/>
                <w:shd w:val="clear" w:color="auto" w:fill="auto"/>
              </w:tcPr>
            </w:tcPrChange>
          </w:tcPr>
          <w:p w14:paraId="100EDA54" w14:textId="77777777" w:rsidR="00D833D7" w:rsidRPr="0024746B" w:rsidRDefault="00D833D7" w:rsidP="00173635">
            <w:pPr>
              <w:jc w:val="left"/>
              <w:rPr>
                <w:sz w:val="16"/>
                <w:szCs w:val="16"/>
              </w:rPr>
            </w:pPr>
            <w:r w:rsidRPr="0024746B">
              <w:rPr>
                <w:sz w:val="16"/>
                <w:szCs w:val="16"/>
              </w:rPr>
              <w:t>0,00</w:t>
            </w:r>
          </w:p>
          <w:p w14:paraId="3B5D1B39" w14:textId="77777777" w:rsidR="00D833D7" w:rsidRPr="0024746B" w:rsidRDefault="00D833D7" w:rsidP="00173635">
            <w:pPr>
              <w:jc w:val="left"/>
              <w:rPr>
                <w:sz w:val="16"/>
                <w:szCs w:val="16"/>
              </w:rPr>
            </w:pPr>
          </w:p>
        </w:tc>
        <w:tc>
          <w:tcPr>
            <w:tcW w:w="403" w:type="pct"/>
            <w:shd w:val="clear" w:color="auto" w:fill="auto"/>
            <w:tcPrChange w:id="176" w:author="Iva Chervenkova" w:date="2024-07-03T11:12:00Z">
              <w:tcPr>
                <w:tcW w:w="403" w:type="pct"/>
                <w:gridSpan w:val="2"/>
                <w:shd w:val="clear" w:color="auto" w:fill="auto"/>
              </w:tcPr>
            </w:tcPrChange>
          </w:tcPr>
          <w:p w14:paraId="6EC7BA71" w14:textId="77777777" w:rsidR="00D833D7" w:rsidRPr="0024746B" w:rsidRDefault="00D833D7" w:rsidP="00173635">
            <w:pPr>
              <w:jc w:val="left"/>
              <w:rPr>
                <w:sz w:val="16"/>
              </w:rPr>
            </w:pPr>
            <w:r w:rsidRPr="0024746B">
              <w:rPr>
                <w:sz w:val="16"/>
              </w:rPr>
              <w:t>0,00</w:t>
            </w:r>
          </w:p>
          <w:p w14:paraId="7DEA2D19" w14:textId="77777777" w:rsidR="00D833D7" w:rsidRPr="0024746B" w:rsidRDefault="00D833D7" w:rsidP="00173635">
            <w:pPr>
              <w:jc w:val="left"/>
              <w:rPr>
                <w:sz w:val="16"/>
              </w:rPr>
            </w:pPr>
          </w:p>
        </w:tc>
        <w:tc>
          <w:tcPr>
            <w:tcW w:w="157" w:type="pct"/>
            <w:shd w:val="clear" w:color="auto" w:fill="auto"/>
            <w:tcPrChange w:id="177" w:author="Iva Chervenkova" w:date="2024-07-03T11:12:00Z">
              <w:tcPr>
                <w:tcW w:w="157" w:type="pct"/>
                <w:gridSpan w:val="2"/>
                <w:shd w:val="clear" w:color="auto" w:fill="auto"/>
              </w:tcPr>
            </w:tcPrChange>
          </w:tcPr>
          <w:p w14:paraId="1BD11EA8" w14:textId="17889AEC" w:rsidR="00D833D7" w:rsidRPr="0024746B" w:rsidRDefault="00D833D7" w:rsidP="00173635">
            <w:pPr>
              <w:jc w:val="left"/>
              <w:rPr>
                <w:sz w:val="16"/>
              </w:rPr>
            </w:pPr>
            <w:r w:rsidRPr="0024746B">
              <w:rPr>
                <w:sz w:val="16"/>
                <w:lang w:val="en-US"/>
              </w:rPr>
              <w:t>0</w:t>
            </w:r>
          </w:p>
        </w:tc>
        <w:tc>
          <w:tcPr>
            <w:tcW w:w="399" w:type="pct"/>
            <w:shd w:val="clear" w:color="auto" w:fill="auto"/>
            <w:tcPrChange w:id="178" w:author="Iva Chervenkova" w:date="2024-07-03T11:12:00Z">
              <w:tcPr>
                <w:tcW w:w="399" w:type="pct"/>
                <w:gridSpan w:val="2"/>
                <w:shd w:val="clear" w:color="auto" w:fill="auto"/>
              </w:tcPr>
            </w:tcPrChange>
          </w:tcPr>
          <w:p w14:paraId="54BAF678" w14:textId="77777777" w:rsidR="00D833D7" w:rsidRPr="0024746B" w:rsidRDefault="00D833D7" w:rsidP="0054408B">
            <w:pPr>
              <w:jc w:val="left"/>
              <w:rPr>
                <w:bCs/>
                <w:sz w:val="16"/>
                <w:szCs w:val="16"/>
                <w:lang w:val="bg-BG"/>
              </w:rPr>
            </w:pPr>
            <w:r w:rsidRPr="0024746B">
              <w:rPr>
                <w:bCs/>
                <w:sz w:val="16"/>
                <w:szCs w:val="16"/>
                <w:lang w:val="bg-BG"/>
              </w:rPr>
              <w:t>4 500 000,00</w:t>
            </w:r>
          </w:p>
          <w:p w14:paraId="19552770" w14:textId="77777777" w:rsidR="00D833D7" w:rsidRPr="0024746B" w:rsidRDefault="00D833D7" w:rsidP="00173635">
            <w:pPr>
              <w:jc w:val="left"/>
              <w:rPr>
                <w:sz w:val="16"/>
                <w:szCs w:val="16"/>
                <w:lang w:val="en-US"/>
              </w:rPr>
            </w:pPr>
          </w:p>
          <w:p w14:paraId="571E0AA2" w14:textId="325FFEF7" w:rsidR="00D833D7" w:rsidRPr="0024746B" w:rsidRDefault="00D833D7" w:rsidP="00173635">
            <w:pPr>
              <w:jc w:val="left"/>
              <w:rPr>
                <w:sz w:val="16"/>
                <w:szCs w:val="16"/>
                <w:lang w:val="en-US"/>
              </w:rPr>
            </w:pPr>
          </w:p>
          <w:p w14:paraId="368AD92C" w14:textId="77777777" w:rsidR="00D833D7" w:rsidRPr="0024746B" w:rsidRDefault="00D833D7" w:rsidP="00173635">
            <w:pPr>
              <w:jc w:val="left"/>
              <w:rPr>
                <w:sz w:val="16"/>
              </w:rPr>
            </w:pPr>
          </w:p>
          <w:p w14:paraId="4091CF33" w14:textId="77777777" w:rsidR="00D833D7" w:rsidRPr="0024746B" w:rsidRDefault="00D833D7" w:rsidP="00173635">
            <w:pPr>
              <w:jc w:val="left"/>
              <w:rPr>
                <w:sz w:val="16"/>
              </w:rPr>
            </w:pPr>
          </w:p>
        </w:tc>
        <w:tc>
          <w:tcPr>
            <w:tcW w:w="226" w:type="pct"/>
            <w:shd w:val="clear" w:color="auto" w:fill="auto"/>
            <w:tcPrChange w:id="179" w:author="Iva Chervenkova" w:date="2024-07-03T11:12:00Z">
              <w:tcPr>
                <w:tcW w:w="226" w:type="pct"/>
                <w:gridSpan w:val="2"/>
                <w:shd w:val="clear" w:color="auto" w:fill="auto"/>
              </w:tcPr>
            </w:tcPrChange>
          </w:tcPr>
          <w:p w14:paraId="34C6ABE6" w14:textId="0C172E0D" w:rsidR="00D833D7" w:rsidRPr="0024746B" w:rsidRDefault="00D833D7" w:rsidP="00173635">
            <w:pPr>
              <w:jc w:val="left"/>
              <w:rPr>
                <w:sz w:val="16"/>
                <w:szCs w:val="16"/>
              </w:rPr>
            </w:pPr>
            <w:r w:rsidRPr="0024746B">
              <w:rPr>
                <w:sz w:val="16"/>
                <w:szCs w:val="16"/>
              </w:rPr>
              <w:t>100%</w:t>
            </w:r>
          </w:p>
        </w:tc>
        <w:tc>
          <w:tcPr>
            <w:tcW w:w="278" w:type="pct"/>
            <w:tcPrChange w:id="180" w:author="Iva Chervenkova" w:date="2024-07-03T11:12:00Z">
              <w:tcPr>
                <w:tcW w:w="164" w:type="pct"/>
                <w:gridSpan w:val="2"/>
              </w:tcPr>
            </w:tcPrChange>
          </w:tcPr>
          <w:p w14:paraId="708CF569" w14:textId="46E7167C" w:rsidR="00D833D7" w:rsidRPr="0024746B" w:rsidRDefault="00AD10C3" w:rsidP="00AD10C3">
            <w:pPr>
              <w:jc w:val="center"/>
              <w:rPr>
                <w:sz w:val="16"/>
              </w:rPr>
            </w:pPr>
            <w:ins w:id="181" w:author="Iva Chervenkova" w:date="2024-07-03T11:15:00Z">
              <w:r w:rsidRPr="00AD10C3">
                <w:rPr>
                  <w:sz w:val="16"/>
                  <w:lang w:val="bg-BG"/>
                </w:rPr>
                <w:fldChar w:fldCharType="begin">
                  <w:ffData>
                    <w:name w:val=""/>
                    <w:enabled/>
                    <w:calcOnExit w:val="0"/>
                    <w:checkBox>
                      <w:sizeAuto/>
                      <w:default w:val="0"/>
                    </w:checkBox>
                  </w:ffData>
                </w:fldChar>
              </w:r>
              <w:r w:rsidRPr="00AD10C3">
                <w:rPr>
                  <w:sz w:val="16"/>
                  <w:lang w:val="bg-BG"/>
                </w:rPr>
                <w:instrText xml:space="preserve"> FORMCHECKBOX </w:instrText>
              </w:r>
              <w:r w:rsidR="004956FB">
                <w:rPr>
                  <w:sz w:val="16"/>
                  <w:lang w:val="bg-BG"/>
                </w:rPr>
              </w:r>
              <w:r w:rsidR="004956FB">
                <w:rPr>
                  <w:sz w:val="16"/>
                  <w:lang w:val="bg-BG"/>
                </w:rPr>
                <w:fldChar w:fldCharType="separate"/>
              </w:r>
              <w:r w:rsidRPr="00AD10C3">
                <w:rPr>
                  <w:sz w:val="16"/>
                </w:rPr>
                <w:fldChar w:fldCharType="end"/>
              </w:r>
            </w:ins>
          </w:p>
        </w:tc>
        <w:tc>
          <w:tcPr>
            <w:tcW w:w="182" w:type="pct"/>
            <w:shd w:val="clear" w:color="auto" w:fill="auto"/>
            <w:tcPrChange w:id="182" w:author="Iva Chervenkova" w:date="2024-07-03T11:12:00Z">
              <w:tcPr>
                <w:tcW w:w="251" w:type="pct"/>
                <w:gridSpan w:val="2"/>
                <w:shd w:val="clear" w:color="auto" w:fill="auto"/>
              </w:tcPr>
            </w:tcPrChange>
          </w:tcPr>
          <w:p w14:paraId="44BD5E43" w14:textId="009BB575" w:rsidR="00D833D7" w:rsidRPr="0024746B" w:rsidRDefault="00D833D7" w:rsidP="00173635">
            <w:pPr>
              <w:jc w:val="left"/>
              <w:rPr>
                <w:sz w:val="16"/>
              </w:rPr>
            </w:pPr>
          </w:p>
        </w:tc>
        <w:tc>
          <w:tcPr>
            <w:tcW w:w="364" w:type="pct"/>
            <w:shd w:val="clear" w:color="auto" w:fill="auto"/>
            <w:tcPrChange w:id="183" w:author="Iva Chervenkova" w:date="2024-07-03T11:12:00Z">
              <w:tcPr>
                <w:tcW w:w="316" w:type="pct"/>
                <w:gridSpan w:val="2"/>
                <w:shd w:val="clear" w:color="auto" w:fill="auto"/>
              </w:tcPr>
            </w:tcPrChange>
          </w:tcPr>
          <w:p w14:paraId="03048E5D" w14:textId="77777777" w:rsidR="00D833D7" w:rsidRPr="0024746B" w:rsidRDefault="00D833D7" w:rsidP="0054408B">
            <w:pPr>
              <w:jc w:val="left"/>
              <w:rPr>
                <w:bCs/>
                <w:sz w:val="16"/>
                <w:szCs w:val="16"/>
                <w:lang w:val="bg-BG"/>
              </w:rPr>
            </w:pPr>
            <w:r w:rsidRPr="0024746B">
              <w:rPr>
                <w:bCs/>
                <w:sz w:val="16"/>
                <w:szCs w:val="16"/>
                <w:lang w:val="bg-BG"/>
              </w:rPr>
              <w:t>4 500 000,00</w:t>
            </w:r>
          </w:p>
          <w:p w14:paraId="458B56ED" w14:textId="77777777" w:rsidR="00D833D7" w:rsidRPr="0024746B" w:rsidRDefault="00D833D7" w:rsidP="00173635">
            <w:pPr>
              <w:jc w:val="left"/>
              <w:rPr>
                <w:sz w:val="16"/>
                <w:szCs w:val="16"/>
                <w:lang w:val="en-US"/>
              </w:rPr>
            </w:pPr>
          </w:p>
          <w:p w14:paraId="070EDAE7" w14:textId="27C50FB7" w:rsidR="00D833D7" w:rsidRPr="0024746B" w:rsidRDefault="00D833D7" w:rsidP="00173635">
            <w:pPr>
              <w:jc w:val="left"/>
              <w:rPr>
                <w:sz w:val="16"/>
                <w:szCs w:val="16"/>
                <w:lang w:val="en-US"/>
              </w:rPr>
            </w:pPr>
          </w:p>
          <w:p w14:paraId="5FF096E0" w14:textId="77777777" w:rsidR="00D833D7" w:rsidRPr="0024746B" w:rsidRDefault="00D833D7" w:rsidP="00173635">
            <w:pPr>
              <w:jc w:val="left"/>
              <w:rPr>
                <w:sz w:val="16"/>
                <w:szCs w:val="16"/>
              </w:rPr>
            </w:pPr>
          </w:p>
          <w:p w14:paraId="2FD603A9" w14:textId="77777777" w:rsidR="00D833D7" w:rsidRPr="0024746B" w:rsidRDefault="00D833D7" w:rsidP="00173635">
            <w:pPr>
              <w:jc w:val="left"/>
              <w:rPr>
                <w:rFonts w:eastAsia="Times New Roman"/>
                <w:sz w:val="16"/>
                <w:szCs w:val="16"/>
                <w:lang w:eastAsia="bg-BG"/>
              </w:rPr>
            </w:pPr>
          </w:p>
        </w:tc>
        <w:tc>
          <w:tcPr>
            <w:tcW w:w="310" w:type="pct"/>
            <w:shd w:val="clear" w:color="auto" w:fill="auto"/>
            <w:tcPrChange w:id="184" w:author="Iva Chervenkova" w:date="2024-07-03T11:12:00Z">
              <w:tcPr>
                <w:tcW w:w="403" w:type="pct"/>
                <w:gridSpan w:val="2"/>
                <w:shd w:val="clear" w:color="auto" w:fill="auto"/>
              </w:tcPr>
            </w:tcPrChange>
          </w:tcPr>
          <w:p w14:paraId="3B8BD3BF" w14:textId="77777777" w:rsidR="00D833D7" w:rsidRPr="0024746B" w:rsidRDefault="00D833D7" w:rsidP="00173635">
            <w:pPr>
              <w:jc w:val="left"/>
              <w:rPr>
                <w:sz w:val="16"/>
                <w:szCs w:val="16"/>
              </w:rPr>
            </w:pPr>
            <w:r w:rsidRPr="0024746B">
              <w:rPr>
                <w:sz w:val="16"/>
                <w:szCs w:val="16"/>
              </w:rPr>
              <w:t>0,00</w:t>
            </w:r>
          </w:p>
          <w:p w14:paraId="405743A2" w14:textId="77777777" w:rsidR="00D833D7" w:rsidRPr="0024746B" w:rsidRDefault="00D833D7" w:rsidP="00173635">
            <w:pPr>
              <w:jc w:val="left"/>
              <w:rPr>
                <w:sz w:val="16"/>
                <w:szCs w:val="16"/>
              </w:rPr>
            </w:pPr>
          </w:p>
        </w:tc>
        <w:tc>
          <w:tcPr>
            <w:tcW w:w="361" w:type="pct"/>
            <w:tcPrChange w:id="185" w:author="Iva Chervenkova" w:date="2024-07-03T11:12:00Z">
              <w:tcPr>
                <w:tcW w:w="361" w:type="pct"/>
              </w:tcPr>
            </w:tcPrChange>
          </w:tcPr>
          <w:p w14:paraId="6ECA8480" w14:textId="77777777" w:rsidR="00D833D7" w:rsidRPr="00B5130A" w:rsidRDefault="00D833D7" w:rsidP="00173635">
            <w:pPr>
              <w:jc w:val="left"/>
              <w:rPr>
                <w:sz w:val="16"/>
                <w:szCs w:val="16"/>
              </w:rPr>
            </w:pPr>
          </w:p>
        </w:tc>
        <w:tc>
          <w:tcPr>
            <w:tcW w:w="285" w:type="pct"/>
            <w:tcPrChange w:id="186" w:author="Iva Chervenkova" w:date="2024-07-03T11:12:00Z">
              <w:tcPr>
                <w:tcW w:w="285" w:type="pct"/>
              </w:tcPr>
            </w:tcPrChange>
          </w:tcPr>
          <w:p w14:paraId="6A4A1CDB" w14:textId="77777777" w:rsidR="00D833D7" w:rsidRPr="00BA2131" w:rsidRDefault="00D833D7" w:rsidP="00173635">
            <w:pPr>
              <w:jc w:val="left"/>
              <w:rPr>
                <w:sz w:val="16"/>
                <w:szCs w:val="16"/>
              </w:rPr>
            </w:pPr>
          </w:p>
        </w:tc>
        <w:tc>
          <w:tcPr>
            <w:tcW w:w="226" w:type="pct"/>
            <w:tcPrChange w:id="187" w:author="Iva Chervenkova" w:date="2024-07-03T11:12:00Z">
              <w:tcPr>
                <w:tcW w:w="226" w:type="pct"/>
              </w:tcPr>
            </w:tcPrChange>
          </w:tcPr>
          <w:p w14:paraId="3841EF3A" w14:textId="77777777" w:rsidR="00D833D7" w:rsidRPr="00435AC3" w:rsidRDefault="00D833D7" w:rsidP="00173635">
            <w:pPr>
              <w:jc w:val="left"/>
              <w:rPr>
                <w:sz w:val="16"/>
                <w:szCs w:val="16"/>
              </w:rPr>
            </w:pPr>
          </w:p>
        </w:tc>
      </w:tr>
      <w:tr w:rsidR="007B694B" w:rsidRPr="008340BB" w14:paraId="4D1E333A" w14:textId="77777777" w:rsidTr="007B694B">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88" w:author="Iva Chervenkova" w:date="2024-07-03T11:12:00Z">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6"/>
          <w:trPrChange w:id="189" w:author="Iva Chervenkova" w:date="2024-07-03T11:12:00Z">
            <w:trPr>
              <w:trHeight w:val="136"/>
            </w:trPr>
          </w:trPrChange>
        </w:trPr>
        <w:tc>
          <w:tcPr>
            <w:tcW w:w="320" w:type="pct"/>
            <w:tcPrChange w:id="190" w:author="Iva Chervenkova" w:date="2024-07-03T11:12:00Z">
              <w:tcPr>
                <w:tcW w:w="320" w:type="pct"/>
                <w:gridSpan w:val="2"/>
              </w:tcPr>
            </w:tcPrChange>
          </w:tcPr>
          <w:p w14:paraId="550F0801" w14:textId="626D8CB6" w:rsidR="00D833D7" w:rsidRPr="0024746B" w:rsidRDefault="00D833D7" w:rsidP="00173635">
            <w:pPr>
              <w:jc w:val="left"/>
              <w:rPr>
                <w:i/>
                <w:iCs/>
                <w:sz w:val="16"/>
                <w:szCs w:val="16"/>
              </w:rPr>
            </w:pPr>
            <w:r w:rsidRPr="0024746B">
              <w:rPr>
                <w:i/>
                <w:iCs/>
                <w:sz w:val="16"/>
                <w:szCs w:val="16"/>
              </w:rPr>
              <w:t>Priority Axis 6</w:t>
            </w:r>
          </w:p>
        </w:tc>
        <w:tc>
          <w:tcPr>
            <w:tcW w:w="252" w:type="pct"/>
            <w:tcPrChange w:id="191" w:author="Iva Chervenkova" w:date="2024-07-03T11:12:00Z">
              <w:tcPr>
                <w:tcW w:w="252" w:type="pct"/>
                <w:gridSpan w:val="2"/>
              </w:tcPr>
            </w:tcPrChange>
          </w:tcPr>
          <w:p w14:paraId="3CB2E02F" w14:textId="0E12280C" w:rsidR="00D833D7" w:rsidRPr="0024746B" w:rsidRDefault="00D833D7" w:rsidP="00173635">
            <w:pPr>
              <w:jc w:val="left"/>
              <w:rPr>
                <w:sz w:val="16"/>
                <w:szCs w:val="16"/>
              </w:rPr>
            </w:pPr>
            <w:r w:rsidRPr="0024746B">
              <w:rPr>
                <w:sz w:val="16"/>
                <w:szCs w:val="16"/>
              </w:rPr>
              <w:t>CF</w:t>
            </w:r>
          </w:p>
        </w:tc>
        <w:tc>
          <w:tcPr>
            <w:tcW w:w="261" w:type="pct"/>
            <w:tcPrChange w:id="192" w:author="Iva Chervenkova" w:date="2024-07-03T11:12:00Z">
              <w:tcPr>
                <w:tcW w:w="261" w:type="pct"/>
                <w:gridSpan w:val="2"/>
              </w:tcPr>
            </w:tcPrChange>
          </w:tcPr>
          <w:p w14:paraId="354F5267" w14:textId="699706EF" w:rsidR="00D833D7" w:rsidRPr="0024746B" w:rsidRDefault="00D833D7" w:rsidP="00173635">
            <w:pPr>
              <w:jc w:val="left"/>
              <w:rPr>
                <w:sz w:val="16"/>
                <w:szCs w:val="16"/>
              </w:rPr>
            </w:pPr>
            <w:r w:rsidRPr="0024746B">
              <w:rPr>
                <w:sz w:val="16"/>
                <w:szCs w:val="16"/>
              </w:rPr>
              <w:t>N/A</w:t>
            </w:r>
          </w:p>
        </w:tc>
        <w:tc>
          <w:tcPr>
            <w:tcW w:w="220" w:type="pct"/>
            <w:tcPrChange w:id="193" w:author="Iva Chervenkova" w:date="2024-07-03T11:12:00Z">
              <w:tcPr>
                <w:tcW w:w="220" w:type="pct"/>
                <w:gridSpan w:val="2"/>
              </w:tcPr>
            </w:tcPrChange>
          </w:tcPr>
          <w:p w14:paraId="3F18FF67" w14:textId="61F1EFF7" w:rsidR="00D833D7" w:rsidRPr="0024746B" w:rsidRDefault="00D833D7" w:rsidP="00173635">
            <w:pPr>
              <w:jc w:val="left"/>
              <w:rPr>
                <w:sz w:val="16"/>
                <w:szCs w:val="16"/>
              </w:rPr>
            </w:pPr>
            <w:r w:rsidRPr="0024746B">
              <w:rPr>
                <w:sz w:val="16"/>
                <w:szCs w:val="16"/>
              </w:rPr>
              <w:t>public</w:t>
            </w:r>
          </w:p>
        </w:tc>
        <w:tc>
          <w:tcPr>
            <w:tcW w:w="379" w:type="pct"/>
            <w:shd w:val="clear" w:color="auto" w:fill="auto"/>
            <w:tcPrChange w:id="194" w:author="Iva Chervenkova" w:date="2024-07-03T11:12:00Z">
              <w:tcPr>
                <w:tcW w:w="379" w:type="pct"/>
                <w:gridSpan w:val="2"/>
                <w:shd w:val="clear" w:color="auto" w:fill="auto"/>
              </w:tcPr>
            </w:tcPrChange>
          </w:tcPr>
          <w:p w14:paraId="221E73AB" w14:textId="77777777" w:rsidR="00D833D7" w:rsidRPr="0024746B" w:rsidRDefault="00D833D7" w:rsidP="00503162">
            <w:pPr>
              <w:jc w:val="left"/>
              <w:rPr>
                <w:bCs/>
                <w:sz w:val="16"/>
                <w:szCs w:val="16"/>
                <w:lang w:val="bg-BG"/>
              </w:rPr>
            </w:pPr>
            <w:r w:rsidRPr="0024746B">
              <w:rPr>
                <w:bCs/>
                <w:sz w:val="16"/>
                <w:szCs w:val="16"/>
                <w:lang w:val="bg-BG"/>
              </w:rPr>
              <w:t>140 500 000,00</w:t>
            </w:r>
          </w:p>
          <w:p w14:paraId="5958BDE9" w14:textId="77777777" w:rsidR="00D833D7" w:rsidRPr="0024746B" w:rsidRDefault="00D833D7" w:rsidP="00173635">
            <w:pPr>
              <w:jc w:val="left"/>
              <w:rPr>
                <w:sz w:val="16"/>
                <w:szCs w:val="16"/>
                <w:lang w:val="en-US"/>
              </w:rPr>
            </w:pPr>
          </w:p>
          <w:p w14:paraId="0B07F319" w14:textId="4DF8ABFB" w:rsidR="00D833D7" w:rsidRPr="0024746B" w:rsidRDefault="00D833D7" w:rsidP="00173635">
            <w:pPr>
              <w:jc w:val="left"/>
              <w:rPr>
                <w:sz w:val="16"/>
                <w:szCs w:val="16"/>
                <w:lang w:val="en-US"/>
              </w:rPr>
            </w:pPr>
          </w:p>
          <w:p w14:paraId="3D0ADEEC" w14:textId="77777777" w:rsidR="00D833D7" w:rsidRPr="0024746B" w:rsidRDefault="00D833D7" w:rsidP="00173635">
            <w:pPr>
              <w:jc w:val="left"/>
              <w:rPr>
                <w:sz w:val="16"/>
                <w:szCs w:val="16"/>
              </w:rPr>
            </w:pPr>
          </w:p>
        </w:tc>
        <w:tc>
          <w:tcPr>
            <w:tcW w:w="377" w:type="pct"/>
            <w:shd w:val="clear" w:color="auto" w:fill="auto"/>
            <w:tcPrChange w:id="195" w:author="Iva Chervenkova" w:date="2024-07-03T11:12:00Z">
              <w:tcPr>
                <w:tcW w:w="377" w:type="pct"/>
                <w:gridSpan w:val="2"/>
                <w:shd w:val="clear" w:color="auto" w:fill="auto"/>
              </w:tcPr>
            </w:tcPrChange>
          </w:tcPr>
          <w:p w14:paraId="35A0F524" w14:textId="77777777" w:rsidR="00D833D7" w:rsidRPr="0024746B" w:rsidRDefault="00D833D7" w:rsidP="00173635">
            <w:pPr>
              <w:jc w:val="left"/>
              <w:rPr>
                <w:sz w:val="16"/>
                <w:szCs w:val="16"/>
              </w:rPr>
            </w:pPr>
            <w:r w:rsidRPr="0024746B">
              <w:rPr>
                <w:sz w:val="16"/>
                <w:szCs w:val="16"/>
              </w:rPr>
              <w:t>0,00</w:t>
            </w:r>
          </w:p>
          <w:p w14:paraId="6516C8AB" w14:textId="77777777" w:rsidR="00D833D7" w:rsidRPr="0024746B" w:rsidRDefault="00D833D7" w:rsidP="00173635">
            <w:pPr>
              <w:jc w:val="left"/>
              <w:rPr>
                <w:sz w:val="16"/>
                <w:szCs w:val="16"/>
              </w:rPr>
            </w:pPr>
          </w:p>
        </w:tc>
        <w:tc>
          <w:tcPr>
            <w:tcW w:w="403" w:type="pct"/>
            <w:shd w:val="clear" w:color="auto" w:fill="auto"/>
            <w:tcPrChange w:id="196" w:author="Iva Chervenkova" w:date="2024-07-03T11:12:00Z">
              <w:tcPr>
                <w:tcW w:w="403" w:type="pct"/>
                <w:gridSpan w:val="2"/>
                <w:shd w:val="clear" w:color="auto" w:fill="auto"/>
              </w:tcPr>
            </w:tcPrChange>
          </w:tcPr>
          <w:p w14:paraId="5DED5295" w14:textId="77777777" w:rsidR="00D833D7" w:rsidRPr="0024746B" w:rsidRDefault="00D833D7" w:rsidP="00173635">
            <w:pPr>
              <w:jc w:val="left"/>
              <w:rPr>
                <w:sz w:val="16"/>
              </w:rPr>
            </w:pPr>
            <w:r w:rsidRPr="0024746B">
              <w:rPr>
                <w:sz w:val="16"/>
              </w:rPr>
              <w:t>0,00</w:t>
            </w:r>
          </w:p>
          <w:p w14:paraId="361D2628" w14:textId="77777777" w:rsidR="00D833D7" w:rsidRPr="0024746B" w:rsidRDefault="00D833D7" w:rsidP="00173635">
            <w:pPr>
              <w:jc w:val="left"/>
              <w:rPr>
                <w:sz w:val="16"/>
              </w:rPr>
            </w:pPr>
          </w:p>
        </w:tc>
        <w:tc>
          <w:tcPr>
            <w:tcW w:w="157" w:type="pct"/>
            <w:shd w:val="clear" w:color="auto" w:fill="auto"/>
            <w:tcPrChange w:id="197" w:author="Iva Chervenkova" w:date="2024-07-03T11:12:00Z">
              <w:tcPr>
                <w:tcW w:w="157" w:type="pct"/>
                <w:gridSpan w:val="2"/>
                <w:shd w:val="clear" w:color="auto" w:fill="auto"/>
              </w:tcPr>
            </w:tcPrChange>
          </w:tcPr>
          <w:p w14:paraId="174DA4CD" w14:textId="5286B6C4" w:rsidR="00D833D7" w:rsidRPr="0024746B" w:rsidRDefault="00D833D7" w:rsidP="00173635">
            <w:pPr>
              <w:jc w:val="left"/>
              <w:rPr>
                <w:sz w:val="16"/>
              </w:rPr>
            </w:pPr>
            <w:r w:rsidRPr="0024746B">
              <w:rPr>
                <w:sz w:val="16"/>
                <w:lang w:val="en-US"/>
              </w:rPr>
              <w:t>0</w:t>
            </w:r>
          </w:p>
        </w:tc>
        <w:tc>
          <w:tcPr>
            <w:tcW w:w="399" w:type="pct"/>
            <w:shd w:val="clear" w:color="auto" w:fill="auto"/>
            <w:tcPrChange w:id="198" w:author="Iva Chervenkova" w:date="2024-07-03T11:12:00Z">
              <w:tcPr>
                <w:tcW w:w="399" w:type="pct"/>
                <w:gridSpan w:val="2"/>
                <w:shd w:val="clear" w:color="auto" w:fill="auto"/>
              </w:tcPr>
            </w:tcPrChange>
          </w:tcPr>
          <w:p w14:paraId="3368FC50" w14:textId="77777777" w:rsidR="00D833D7" w:rsidRPr="0024746B" w:rsidRDefault="00D833D7" w:rsidP="00503162">
            <w:pPr>
              <w:jc w:val="left"/>
              <w:rPr>
                <w:bCs/>
                <w:sz w:val="16"/>
                <w:szCs w:val="16"/>
                <w:lang w:val="bg-BG"/>
              </w:rPr>
            </w:pPr>
            <w:r w:rsidRPr="0024746B">
              <w:rPr>
                <w:bCs/>
                <w:sz w:val="16"/>
                <w:szCs w:val="16"/>
                <w:lang w:val="bg-BG"/>
              </w:rPr>
              <w:t>140 500 000,00</w:t>
            </w:r>
          </w:p>
          <w:p w14:paraId="1371C958" w14:textId="77777777" w:rsidR="00D833D7" w:rsidRPr="0024746B" w:rsidRDefault="00D833D7" w:rsidP="00173635">
            <w:pPr>
              <w:jc w:val="left"/>
              <w:rPr>
                <w:sz w:val="16"/>
                <w:szCs w:val="16"/>
                <w:lang w:val="en-US"/>
              </w:rPr>
            </w:pPr>
          </w:p>
          <w:p w14:paraId="47F2932F" w14:textId="57EAA77B" w:rsidR="00D833D7" w:rsidRPr="0024746B" w:rsidRDefault="00D833D7" w:rsidP="00173635">
            <w:pPr>
              <w:jc w:val="left"/>
              <w:rPr>
                <w:sz w:val="16"/>
                <w:szCs w:val="16"/>
                <w:lang w:val="en-US"/>
              </w:rPr>
            </w:pPr>
          </w:p>
          <w:p w14:paraId="40055BF3" w14:textId="77777777" w:rsidR="00D833D7" w:rsidRPr="0024746B" w:rsidRDefault="00D833D7" w:rsidP="00173635">
            <w:pPr>
              <w:jc w:val="left"/>
              <w:rPr>
                <w:sz w:val="16"/>
              </w:rPr>
            </w:pPr>
          </w:p>
          <w:p w14:paraId="18B7FEE7" w14:textId="77777777" w:rsidR="00D833D7" w:rsidRPr="0024746B" w:rsidRDefault="00D833D7" w:rsidP="00173635">
            <w:pPr>
              <w:jc w:val="left"/>
              <w:rPr>
                <w:sz w:val="16"/>
              </w:rPr>
            </w:pPr>
          </w:p>
        </w:tc>
        <w:tc>
          <w:tcPr>
            <w:tcW w:w="226" w:type="pct"/>
            <w:shd w:val="clear" w:color="auto" w:fill="auto"/>
            <w:tcPrChange w:id="199" w:author="Iva Chervenkova" w:date="2024-07-03T11:12:00Z">
              <w:tcPr>
                <w:tcW w:w="226" w:type="pct"/>
                <w:gridSpan w:val="2"/>
                <w:shd w:val="clear" w:color="auto" w:fill="auto"/>
              </w:tcPr>
            </w:tcPrChange>
          </w:tcPr>
          <w:p w14:paraId="65BAA0C2" w14:textId="677B6E33" w:rsidR="00D833D7" w:rsidRPr="0024746B" w:rsidRDefault="00D833D7" w:rsidP="00173635">
            <w:pPr>
              <w:jc w:val="left"/>
              <w:rPr>
                <w:sz w:val="16"/>
                <w:szCs w:val="16"/>
              </w:rPr>
            </w:pPr>
            <w:r w:rsidRPr="0024746B">
              <w:rPr>
                <w:sz w:val="16"/>
                <w:szCs w:val="16"/>
              </w:rPr>
              <w:t>100%</w:t>
            </w:r>
          </w:p>
        </w:tc>
        <w:tc>
          <w:tcPr>
            <w:tcW w:w="278" w:type="pct"/>
            <w:tcPrChange w:id="200" w:author="Iva Chervenkova" w:date="2024-07-03T11:12:00Z">
              <w:tcPr>
                <w:tcW w:w="164" w:type="pct"/>
                <w:gridSpan w:val="2"/>
              </w:tcPr>
            </w:tcPrChange>
          </w:tcPr>
          <w:p w14:paraId="6FC9C19A" w14:textId="60F56736" w:rsidR="00D833D7" w:rsidRPr="0024746B" w:rsidRDefault="00AD10C3" w:rsidP="00AD10C3">
            <w:pPr>
              <w:jc w:val="center"/>
              <w:rPr>
                <w:sz w:val="16"/>
              </w:rPr>
            </w:pPr>
            <w:ins w:id="201" w:author="Iva Chervenkova" w:date="2024-07-03T11:15:00Z">
              <w:r w:rsidRPr="00AD10C3">
                <w:rPr>
                  <w:sz w:val="16"/>
                  <w:lang w:val="bg-BG"/>
                </w:rPr>
                <w:fldChar w:fldCharType="begin">
                  <w:ffData>
                    <w:name w:val=""/>
                    <w:enabled/>
                    <w:calcOnExit w:val="0"/>
                    <w:checkBox>
                      <w:sizeAuto/>
                      <w:default w:val="0"/>
                    </w:checkBox>
                  </w:ffData>
                </w:fldChar>
              </w:r>
              <w:r w:rsidRPr="00AD10C3">
                <w:rPr>
                  <w:sz w:val="16"/>
                  <w:lang w:val="bg-BG"/>
                </w:rPr>
                <w:instrText xml:space="preserve"> FORMCHECKBOX </w:instrText>
              </w:r>
              <w:r w:rsidR="004956FB">
                <w:rPr>
                  <w:sz w:val="16"/>
                  <w:lang w:val="bg-BG"/>
                </w:rPr>
              </w:r>
              <w:r w:rsidR="004956FB">
                <w:rPr>
                  <w:sz w:val="16"/>
                  <w:lang w:val="bg-BG"/>
                </w:rPr>
                <w:fldChar w:fldCharType="separate"/>
              </w:r>
              <w:r w:rsidRPr="00AD10C3">
                <w:rPr>
                  <w:sz w:val="16"/>
                </w:rPr>
                <w:fldChar w:fldCharType="end"/>
              </w:r>
            </w:ins>
          </w:p>
        </w:tc>
        <w:tc>
          <w:tcPr>
            <w:tcW w:w="182" w:type="pct"/>
            <w:shd w:val="clear" w:color="auto" w:fill="auto"/>
            <w:tcPrChange w:id="202" w:author="Iva Chervenkova" w:date="2024-07-03T11:12:00Z">
              <w:tcPr>
                <w:tcW w:w="251" w:type="pct"/>
                <w:gridSpan w:val="2"/>
                <w:shd w:val="clear" w:color="auto" w:fill="auto"/>
              </w:tcPr>
            </w:tcPrChange>
          </w:tcPr>
          <w:p w14:paraId="43B61F33" w14:textId="6AAFA7EB" w:rsidR="00D833D7" w:rsidRPr="0024746B" w:rsidRDefault="00D833D7" w:rsidP="00173635">
            <w:pPr>
              <w:jc w:val="left"/>
              <w:rPr>
                <w:sz w:val="16"/>
              </w:rPr>
            </w:pPr>
          </w:p>
        </w:tc>
        <w:tc>
          <w:tcPr>
            <w:tcW w:w="364" w:type="pct"/>
            <w:shd w:val="clear" w:color="auto" w:fill="auto"/>
            <w:tcPrChange w:id="203" w:author="Iva Chervenkova" w:date="2024-07-03T11:12:00Z">
              <w:tcPr>
                <w:tcW w:w="316" w:type="pct"/>
                <w:gridSpan w:val="2"/>
                <w:shd w:val="clear" w:color="auto" w:fill="auto"/>
              </w:tcPr>
            </w:tcPrChange>
          </w:tcPr>
          <w:p w14:paraId="11F04A3E" w14:textId="77777777" w:rsidR="00D833D7" w:rsidRPr="0024746B" w:rsidRDefault="00D833D7" w:rsidP="00503162">
            <w:pPr>
              <w:jc w:val="left"/>
              <w:rPr>
                <w:bCs/>
                <w:sz w:val="16"/>
                <w:szCs w:val="16"/>
                <w:lang w:val="bg-BG"/>
              </w:rPr>
            </w:pPr>
            <w:r w:rsidRPr="0024746B">
              <w:rPr>
                <w:bCs/>
                <w:sz w:val="16"/>
                <w:szCs w:val="16"/>
                <w:lang w:val="bg-BG"/>
              </w:rPr>
              <w:t>140 500 000,00</w:t>
            </w:r>
          </w:p>
          <w:p w14:paraId="2B78919B" w14:textId="77777777" w:rsidR="00D833D7" w:rsidRPr="0024746B" w:rsidRDefault="00D833D7" w:rsidP="00173635">
            <w:pPr>
              <w:jc w:val="left"/>
              <w:rPr>
                <w:sz w:val="16"/>
                <w:szCs w:val="16"/>
                <w:lang w:val="en-US"/>
              </w:rPr>
            </w:pPr>
          </w:p>
          <w:p w14:paraId="72E677B3" w14:textId="6027F7B8" w:rsidR="00D833D7" w:rsidRPr="0024746B" w:rsidRDefault="00D833D7" w:rsidP="00173635">
            <w:pPr>
              <w:jc w:val="left"/>
              <w:rPr>
                <w:sz w:val="16"/>
                <w:szCs w:val="16"/>
                <w:lang w:val="en-US"/>
              </w:rPr>
            </w:pPr>
          </w:p>
          <w:p w14:paraId="0E8B029E" w14:textId="77777777" w:rsidR="00D833D7" w:rsidRPr="0024746B" w:rsidRDefault="00D833D7" w:rsidP="00173635">
            <w:pPr>
              <w:jc w:val="left"/>
              <w:rPr>
                <w:sz w:val="16"/>
                <w:szCs w:val="16"/>
              </w:rPr>
            </w:pPr>
          </w:p>
          <w:p w14:paraId="3CD7B082" w14:textId="77777777" w:rsidR="00D833D7" w:rsidRPr="0024746B" w:rsidRDefault="00D833D7" w:rsidP="00173635">
            <w:pPr>
              <w:jc w:val="left"/>
              <w:rPr>
                <w:rFonts w:eastAsia="Times New Roman"/>
                <w:sz w:val="16"/>
                <w:szCs w:val="16"/>
                <w:lang w:eastAsia="bg-BG"/>
              </w:rPr>
            </w:pPr>
          </w:p>
        </w:tc>
        <w:tc>
          <w:tcPr>
            <w:tcW w:w="310" w:type="pct"/>
            <w:shd w:val="clear" w:color="auto" w:fill="auto"/>
            <w:tcPrChange w:id="204" w:author="Iva Chervenkova" w:date="2024-07-03T11:12:00Z">
              <w:tcPr>
                <w:tcW w:w="403" w:type="pct"/>
                <w:gridSpan w:val="2"/>
                <w:shd w:val="clear" w:color="auto" w:fill="auto"/>
              </w:tcPr>
            </w:tcPrChange>
          </w:tcPr>
          <w:p w14:paraId="6AE72B25" w14:textId="77777777" w:rsidR="00D833D7" w:rsidRPr="0024746B" w:rsidRDefault="00D833D7" w:rsidP="00173635">
            <w:pPr>
              <w:jc w:val="left"/>
              <w:rPr>
                <w:sz w:val="16"/>
                <w:szCs w:val="16"/>
              </w:rPr>
            </w:pPr>
            <w:r w:rsidRPr="0024746B">
              <w:rPr>
                <w:sz w:val="16"/>
                <w:szCs w:val="16"/>
              </w:rPr>
              <w:t>0,00</w:t>
            </w:r>
          </w:p>
          <w:p w14:paraId="399B41EB" w14:textId="77777777" w:rsidR="00D833D7" w:rsidRPr="0024746B" w:rsidRDefault="00D833D7" w:rsidP="00173635">
            <w:pPr>
              <w:jc w:val="left"/>
              <w:rPr>
                <w:sz w:val="16"/>
                <w:szCs w:val="16"/>
              </w:rPr>
            </w:pPr>
          </w:p>
        </w:tc>
        <w:tc>
          <w:tcPr>
            <w:tcW w:w="361" w:type="pct"/>
            <w:tcPrChange w:id="205" w:author="Iva Chervenkova" w:date="2024-07-03T11:12:00Z">
              <w:tcPr>
                <w:tcW w:w="361" w:type="pct"/>
              </w:tcPr>
            </w:tcPrChange>
          </w:tcPr>
          <w:p w14:paraId="143CB448" w14:textId="77777777" w:rsidR="00D833D7" w:rsidRPr="00B5130A" w:rsidRDefault="00D833D7" w:rsidP="00173635">
            <w:pPr>
              <w:jc w:val="left"/>
              <w:rPr>
                <w:sz w:val="16"/>
                <w:szCs w:val="16"/>
              </w:rPr>
            </w:pPr>
          </w:p>
        </w:tc>
        <w:tc>
          <w:tcPr>
            <w:tcW w:w="285" w:type="pct"/>
            <w:tcPrChange w:id="206" w:author="Iva Chervenkova" w:date="2024-07-03T11:12:00Z">
              <w:tcPr>
                <w:tcW w:w="285" w:type="pct"/>
              </w:tcPr>
            </w:tcPrChange>
          </w:tcPr>
          <w:p w14:paraId="77DCF4D0" w14:textId="77777777" w:rsidR="00D833D7" w:rsidRPr="00BA2131" w:rsidRDefault="00D833D7" w:rsidP="00173635">
            <w:pPr>
              <w:jc w:val="left"/>
              <w:rPr>
                <w:sz w:val="16"/>
                <w:szCs w:val="16"/>
              </w:rPr>
            </w:pPr>
          </w:p>
        </w:tc>
        <w:tc>
          <w:tcPr>
            <w:tcW w:w="226" w:type="pct"/>
            <w:tcPrChange w:id="207" w:author="Iva Chervenkova" w:date="2024-07-03T11:12:00Z">
              <w:tcPr>
                <w:tcW w:w="226" w:type="pct"/>
              </w:tcPr>
            </w:tcPrChange>
          </w:tcPr>
          <w:p w14:paraId="72A8B46A" w14:textId="77777777" w:rsidR="00D833D7" w:rsidRPr="00435AC3" w:rsidRDefault="00D833D7" w:rsidP="00173635">
            <w:pPr>
              <w:jc w:val="left"/>
              <w:rPr>
                <w:sz w:val="16"/>
                <w:szCs w:val="16"/>
              </w:rPr>
            </w:pPr>
          </w:p>
        </w:tc>
      </w:tr>
      <w:tr w:rsidR="007B694B" w:rsidRPr="008340BB" w14:paraId="708A3CD0" w14:textId="77777777" w:rsidTr="007B694B">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8" w:author="Iva Chervenkova" w:date="2024-07-03T11:12:00Z">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320" w:type="pct"/>
            <w:tcPrChange w:id="209" w:author="Iva Chervenkova" w:date="2024-07-03T11:12:00Z">
              <w:tcPr>
                <w:tcW w:w="320" w:type="pct"/>
                <w:gridSpan w:val="2"/>
              </w:tcPr>
            </w:tcPrChange>
          </w:tcPr>
          <w:p w14:paraId="17E3D863" w14:textId="77777777" w:rsidR="00D833D7" w:rsidRPr="008340BB" w:rsidRDefault="00D833D7" w:rsidP="00C07BA3">
            <w:pPr>
              <w:jc w:val="left"/>
              <w:rPr>
                <w:sz w:val="16"/>
                <w:szCs w:val="16"/>
              </w:rPr>
            </w:pPr>
            <w:r w:rsidRPr="008340BB">
              <w:rPr>
                <w:sz w:val="16"/>
                <w:szCs w:val="16"/>
              </w:rPr>
              <w:t>Total</w:t>
            </w:r>
          </w:p>
        </w:tc>
        <w:tc>
          <w:tcPr>
            <w:tcW w:w="252" w:type="pct"/>
            <w:tcPrChange w:id="210" w:author="Iva Chervenkova" w:date="2024-07-03T11:12:00Z">
              <w:tcPr>
                <w:tcW w:w="252" w:type="pct"/>
                <w:gridSpan w:val="2"/>
              </w:tcPr>
            </w:tcPrChange>
          </w:tcPr>
          <w:p w14:paraId="1AF11C1E" w14:textId="77777777" w:rsidR="00D833D7" w:rsidRPr="008340BB" w:rsidRDefault="00D833D7" w:rsidP="00C07BA3">
            <w:pPr>
              <w:jc w:val="left"/>
              <w:rPr>
                <w:sz w:val="16"/>
                <w:szCs w:val="16"/>
              </w:rPr>
            </w:pPr>
            <w:r w:rsidRPr="008340BB">
              <w:rPr>
                <w:sz w:val="16"/>
                <w:szCs w:val="16"/>
              </w:rPr>
              <w:t>CF</w:t>
            </w:r>
          </w:p>
        </w:tc>
        <w:tc>
          <w:tcPr>
            <w:tcW w:w="261" w:type="pct"/>
            <w:tcPrChange w:id="211" w:author="Iva Chervenkova" w:date="2024-07-03T11:12:00Z">
              <w:tcPr>
                <w:tcW w:w="261" w:type="pct"/>
                <w:gridSpan w:val="2"/>
              </w:tcPr>
            </w:tcPrChange>
          </w:tcPr>
          <w:p w14:paraId="2ED06FAF" w14:textId="77777777" w:rsidR="00D833D7" w:rsidRPr="008340BB" w:rsidRDefault="00D833D7" w:rsidP="00C07BA3">
            <w:pPr>
              <w:jc w:val="left"/>
              <w:rPr>
                <w:sz w:val="16"/>
                <w:szCs w:val="16"/>
              </w:rPr>
            </w:pPr>
            <w:r w:rsidRPr="008340BB">
              <w:rPr>
                <w:sz w:val="16"/>
                <w:szCs w:val="16"/>
              </w:rPr>
              <w:t>N/A</w:t>
            </w:r>
          </w:p>
        </w:tc>
        <w:tc>
          <w:tcPr>
            <w:tcW w:w="220" w:type="pct"/>
            <w:tcPrChange w:id="212" w:author="Iva Chervenkova" w:date="2024-07-03T11:12:00Z">
              <w:tcPr>
                <w:tcW w:w="220" w:type="pct"/>
                <w:gridSpan w:val="2"/>
              </w:tcPr>
            </w:tcPrChange>
          </w:tcPr>
          <w:p w14:paraId="0D595CAD" w14:textId="77777777" w:rsidR="00D833D7" w:rsidRPr="008340BB" w:rsidRDefault="00D833D7" w:rsidP="00C07BA3">
            <w:pPr>
              <w:jc w:val="left"/>
              <w:rPr>
                <w:sz w:val="16"/>
                <w:szCs w:val="16"/>
              </w:rPr>
            </w:pPr>
            <w:r w:rsidRPr="008340BB">
              <w:rPr>
                <w:sz w:val="16"/>
                <w:szCs w:val="16"/>
              </w:rPr>
              <w:t>public</w:t>
            </w:r>
          </w:p>
        </w:tc>
        <w:tc>
          <w:tcPr>
            <w:tcW w:w="379" w:type="pct"/>
            <w:shd w:val="clear" w:color="auto" w:fill="auto"/>
            <w:tcPrChange w:id="213" w:author="Iva Chervenkova" w:date="2024-07-03T11:12:00Z">
              <w:tcPr>
                <w:tcW w:w="379" w:type="pct"/>
                <w:gridSpan w:val="2"/>
                <w:shd w:val="clear" w:color="auto" w:fill="auto"/>
              </w:tcPr>
            </w:tcPrChange>
          </w:tcPr>
          <w:p w14:paraId="4CF67250" w14:textId="206723D5" w:rsidR="00D833D7" w:rsidRPr="0024746B" w:rsidRDefault="00D833D7" w:rsidP="00C07BA3">
            <w:pPr>
              <w:jc w:val="left"/>
              <w:rPr>
                <w:sz w:val="16"/>
                <w:szCs w:val="16"/>
              </w:rPr>
            </w:pPr>
            <w:r w:rsidRPr="0024746B">
              <w:rPr>
                <w:b/>
                <w:bCs/>
                <w:sz w:val="16"/>
                <w:szCs w:val="16"/>
                <w:lang w:eastAsia="bg-BG"/>
              </w:rPr>
              <w:t>1 082 143 334,00</w:t>
            </w:r>
          </w:p>
        </w:tc>
        <w:tc>
          <w:tcPr>
            <w:tcW w:w="377" w:type="pct"/>
            <w:shd w:val="clear" w:color="auto" w:fill="auto"/>
            <w:tcPrChange w:id="214" w:author="Iva Chervenkova" w:date="2024-07-03T11:12:00Z">
              <w:tcPr>
                <w:tcW w:w="377" w:type="pct"/>
                <w:gridSpan w:val="2"/>
                <w:shd w:val="clear" w:color="auto" w:fill="auto"/>
              </w:tcPr>
            </w:tcPrChange>
          </w:tcPr>
          <w:p w14:paraId="6E94C572" w14:textId="77777777" w:rsidR="00D833D7" w:rsidRPr="0024746B" w:rsidRDefault="00D833D7" w:rsidP="001C3326">
            <w:pPr>
              <w:keepNext/>
              <w:jc w:val="left"/>
              <w:rPr>
                <w:b/>
                <w:bCs/>
                <w:sz w:val="16"/>
                <w:szCs w:val="16"/>
                <w:lang w:val="bg-BG"/>
              </w:rPr>
            </w:pPr>
            <w:r w:rsidRPr="0024746B">
              <w:rPr>
                <w:b/>
                <w:bCs/>
                <w:sz w:val="16"/>
                <w:szCs w:val="16"/>
                <w:lang w:val="bg-BG"/>
              </w:rPr>
              <w:t>166 172 354,00</w:t>
            </w:r>
          </w:p>
          <w:p w14:paraId="39827914" w14:textId="77777777" w:rsidR="00D833D7" w:rsidRPr="0024746B" w:rsidRDefault="00D833D7" w:rsidP="00042DBC">
            <w:pPr>
              <w:keepNext/>
              <w:jc w:val="left"/>
              <w:rPr>
                <w:b/>
                <w:bCs/>
                <w:sz w:val="16"/>
                <w:szCs w:val="16"/>
                <w:lang w:val="bg-BG"/>
              </w:rPr>
            </w:pPr>
          </w:p>
          <w:p w14:paraId="6FABFA69" w14:textId="7857261B" w:rsidR="00D833D7" w:rsidRPr="0024746B" w:rsidRDefault="00D833D7" w:rsidP="00042DBC">
            <w:pPr>
              <w:keepNext/>
              <w:jc w:val="left"/>
              <w:rPr>
                <w:b/>
                <w:bCs/>
                <w:sz w:val="16"/>
                <w:szCs w:val="16"/>
                <w:lang w:val="bg-BG"/>
              </w:rPr>
            </w:pPr>
          </w:p>
          <w:p w14:paraId="2A7CACF1" w14:textId="77777777" w:rsidR="00D833D7" w:rsidRPr="0024746B" w:rsidRDefault="00D833D7" w:rsidP="00C07BA3">
            <w:pPr>
              <w:keepNext/>
              <w:jc w:val="left"/>
              <w:rPr>
                <w:b/>
                <w:bCs/>
                <w:sz w:val="16"/>
                <w:szCs w:val="16"/>
              </w:rPr>
            </w:pPr>
          </w:p>
          <w:p w14:paraId="13183345" w14:textId="77777777" w:rsidR="00D833D7" w:rsidRPr="0024746B" w:rsidRDefault="00D833D7" w:rsidP="00C07BA3">
            <w:pPr>
              <w:jc w:val="left"/>
              <w:rPr>
                <w:sz w:val="16"/>
                <w:szCs w:val="16"/>
              </w:rPr>
            </w:pPr>
          </w:p>
        </w:tc>
        <w:tc>
          <w:tcPr>
            <w:tcW w:w="403" w:type="pct"/>
            <w:shd w:val="clear" w:color="auto" w:fill="auto"/>
            <w:tcPrChange w:id="215" w:author="Iva Chervenkova" w:date="2024-07-03T11:12:00Z">
              <w:tcPr>
                <w:tcW w:w="403" w:type="pct"/>
                <w:gridSpan w:val="2"/>
                <w:shd w:val="clear" w:color="auto" w:fill="auto"/>
              </w:tcPr>
            </w:tcPrChange>
          </w:tcPr>
          <w:p w14:paraId="38ED02D2" w14:textId="77777777" w:rsidR="00D833D7" w:rsidRPr="0024746B" w:rsidRDefault="00D833D7" w:rsidP="001C3326">
            <w:pPr>
              <w:keepNext/>
              <w:jc w:val="left"/>
              <w:rPr>
                <w:b/>
                <w:bCs/>
                <w:sz w:val="16"/>
                <w:szCs w:val="16"/>
                <w:lang w:val="bg-BG"/>
              </w:rPr>
            </w:pPr>
            <w:r w:rsidRPr="0024746B">
              <w:rPr>
                <w:b/>
                <w:bCs/>
                <w:sz w:val="16"/>
                <w:szCs w:val="16"/>
                <w:lang w:val="bg-BG"/>
              </w:rPr>
              <w:t>166 172 354,00</w:t>
            </w:r>
          </w:p>
          <w:p w14:paraId="12DC1439" w14:textId="77777777" w:rsidR="00D833D7" w:rsidRPr="0024746B" w:rsidRDefault="00D833D7" w:rsidP="00042DBC">
            <w:pPr>
              <w:keepNext/>
              <w:jc w:val="left"/>
              <w:rPr>
                <w:b/>
                <w:bCs/>
                <w:sz w:val="16"/>
                <w:szCs w:val="16"/>
                <w:lang w:val="bg-BG"/>
              </w:rPr>
            </w:pPr>
          </w:p>
          <w:p w14:paraId="60F8C19F" w14:textId="6ADF05A1" w:rsidR="00D833D7" w:rsidRPr="0024746B" w:rsidRDefault="00D833D7" w:rsidP="00042DBC">
            <w:pPr>
              <w:keepNext/>
              <w:jc w:val="left"/>
              <w:rPr>
                <w:b/>
                <w:bCs/>
                <w:sz w:val="16"/>
                <w:szCs w:val="16"/>
                <w:lang w:val="bg-BG"/>
              </w:rPr>
            </w:pPr>
          </w:p>
          <w:p w14:paraId="4543EDAA" w14:textId="77777777" w:rsidR="00D833D7" w:rsidRPr="0024746B" w:rsidRDefault="00D833D7" w:rsidP="00C07BA3">
            <w:pPr>
              <w:keepNext/>
              <w:jc w:val="left"/>
              <w:rPr>
                <w:b/>
                <w:bCs/>
                <w:sz w:val="16"/>
                <w:szCs w:val="16"/>
              </w:rPr>
            </w:pPr>
          </w:p>
          <w:p w14:paraId="688EE2F9" w14:textId="08E7DCB7" w:rsidR="00D833D7" w:rsidRPr="0024746B" w:rsidRDefault="00D833D7" w:rsidP="00C07BA3">
            <w:pPr>
              <w:keepNext/>
              <w:jc w:val="left"/>
              <w:rPr>
                <w:b/>
                <w:bCs/>
                <w:sz w:val="16"/>
                <w:szCs w:val="16"/>
              </w:rPr>
            </w:pPr>
          </w:p>
          <w:p w14:paraId="5FAC63FA" w14:textId="77777777" w:rsidR="00D833D7" w:rsidRPr="0024746B" w:rsidRDefault="00D833D7" w:rsidP="00C07BA3">
            <w:pPr>
              <w:keepNext/>
              <w:jc w:val="left"/>
              <w:rPr>
                <w:b/>
                <w:bCs/>
                <w:sz w:val="16"/>
                <w:szCs w:val="16"/>
              </w:rPr>
            </w:pPr>
          </w:p>
          <w:p w14:paraId="494C9484" w14:textId="77777777" w:rsidR="00D833D7" w:rsidRPr="0024746B" w:rsidRDefault="00D833D7" w:rsidP="00C07BA3">
            <w:pPr>
              <w:keepNext/>
              <w:jc w:val="left"/>
              <w:rPr>
                <w:b/>
                <w:sz w:val="16"/>
                <w:szCs w:val="16"/>
              </w:rPr>
            </w:pPr>
          </w:p>
        </w:tc>
        <w:tc>
          <w:tcPr>
            <w:tcW w:w="157" w:type="pct"/>
            <w:shd w:val="clear" w:color="auto" w:fill="auto"/>
            <w:tcPrChange w:id="216" w:author="Iva Chervenkova" w:date="2024-07-03T11:12:00Z">
              <w:tcPr>
                <w:tcW w:w="157" w:type="pct"/>
                <w:gridSpan w:val="2"/>
                <w:shd w:val="clear" w:color="auto" w:fill="auto"/>
              </w:tcPr>
            </w:tcPrChange>
          </w:tcPr>
          <w:p w14:paraId="19EA7A1A" w14:textId="0B1918AB" w:rsidR="00D833D7" w:rsidRPr="0024746B" w:rsidRDefault="00D833D7" w:rsidP="00C07BA3">
            <w:pPr>
              <w:jc w:val="left"/>
              <w:rPr>
                <w:sz w:val="16"/>
                <w:szCs w:val="16"/>
              </w:rPr>
            </w:pPr>
            <w:r w:rsidRPr="0024746B">
              <w:rPr>
                <w:sz w:val="16"/>
              </w:rPr>
              <w:t>0</w:t>
            </w:r>
          </w:p>
        </w:tc>
        <w:tc>
          <w:tcPr>
            <w:tcW w:w="399" w:type="pct"/>
            <w:shd w:val="clear" w:color="auto" w:fill="auto"/>
            <w:tcPrChange w:id="217" w:author="Iva Chervenkova" w:date="2024-07-03T11:12:00Z">
              <w:tcPr>
                <w:tcW w:w="399" w:type="pct"/>
                <w:gridSpan w:val="2"/>
                <w:shd w:val="clear" w:color="auto" w:fill="auto"/>
              </w:tcPr>
            </w:tcPrChange>
          </w:tcPr>
          <w:p w14:paraId="4E469CD6" w14:textId="77777777" w:rsidR="00D833D7" w:rsidRPr="0024746B" w:rsidRDefault="00D833D7" w:rsidP="00811490">
            <w:pPr>
              <w:keepNext/>
              <w:jc w:val="left"/>
              <w:rPr>
                <w:b/>
                <w:bCs/>
                <w:sz w:val="16"/>
                <w:szCs w:val="16"/>
                <w:lang w:val="bg-BG"/>
              </w:rPr>
            </w:pPr>
            <w:r w:rsidRPr="0024746B">
              <w:rPr>
                <w:b/>
                <w:bCs/>
                <w:sz w:val="16"/>
                <w:szCs w:val="16"/>
                <w:lang w:val="bg-BG"/>
              </w:rPr>
              <w:t>1 248 315 688,00</w:t>
            </w:r>
          </w:p>
          <w:p w14:paraId="177ACB38" w14:textId="77777777" w:rsidR="00D833D7" w:rsidRPr="0024746B" w:rsidRDefault="00D833D7" w:rsidP="00042DBC">
            <w:pPr>
              <w:keepNext/>
              <w:jc w:val="left"/>
              <w:rPr>
                <w:b/>
                <w:bCs/>
                <w:sz w:val="16"/>
                <w:szCs w:val="16"/>
                <w:lang w:val="bg-BG"/>
              </w:rPr>
            </w:pPr>
          </w:p>
          <w:p w14:paraId="16B981CB" w14:textId="3C6F0C55" w:rsidR="00D833D7" w:rsidRPr="0024746B" w:rsidRDefault="00D833D7" w:rsidP="00042DBC">
            <w:pPr>
              <w:keepNext/>
              <w:jc w:val="left"/>
              <w:rPr>
                <w:b/>
                <w:bCs/>
                <w:sz w:val="16"/>
                <w:szCs w:val="16"/>
                <w:lang w:val="bg-BG"/>
              </w:rPr>
            </w:pPr>
          </w:p>
          <w:p w14:paraId="4540C7E1" w14:textId="77777777" w:rsidR="00D833D7" w:rsidRPr="0024746B" w:rsidRDefault="00D833D7" w:rsidP="00C07BA3">
            <w:pPr>
              <w:keepNext/>
              <w:jc w:val="left"/>
              <w:rPr>
                <w:b/>
                <w:bCs/>
                <w:sz w:val="16"/>
                <w:szCs w:val="16"/>
              </w:rPr>
            </w:pPr>
          </w:p>
          <w:p w14:paraId="387077AF" w14:textId="21EF9816" w:rsidR="00D833D7" w:rsidRPr="0024746B" w:rsidRDefault="00D833D7" w:rsidP="00C07BA3">
            <w:pPr>
              <w:keepNext/>
              <w:jc w:val="left"/>
              <w:rPr>
                <w:b/>
                <w:bCs/>
                <w:sz w:val="16"/>
                <w:szCs w:val="16"/>
              </w:rPr>
            </w:pPr>
          </w:p>
          <w:p w14:paraId="620470A1" w14:textId="77777777" w:rsidR="00D833D7" w:rsidRPr="0024746B" w:rsidRDefault="00D833D7" w:rsidP="00C07BA3">
            <w:pPr>
              <w:keepNext/>
              <w:jc w:val="left"/>
              <w:rPr>
                <w:b/>
                <w:sz w:val="16"/>
                <w:szCs w:val="16"/>
              </w:rPr>
            </w:pPr>
          </w:p>
        </w:tc>
        <w:tc>
          <w:tcPr>
            <w:tcW w:w="226" w:type="pct"/>
            <w:shd w:val="clear" w:color="auto" w:fill="auto"/>
            <w:tcPrChange w:id="218" w:author="Iva Chervenkova" w:date="2024-07-03T11:12:00Z">
              <w:tcPr>
                <w:tcW w:w="226" w:type="pct"/>
                <w:gridSpan w:val="2"/>
                <w:shd w:val="clear" w:color="auto" w:fill="auto"/>
              </w:tcPr>
            </w:tcPrChange>
          </w:tcPr>
          <w:p w14:paraId="3E269243" w14:textId="77777777" w:rsidR="00D833D7" w:rsidRPr="0024746B" w:rsidRDefault="00D833D7" w:rsidP="0010431C">
            <w:pPr>
              <w:keepNext/>
              <w:jc w:val="left"/>
              <w:rPr>
                <w:b/>
                <w:sz w:val="16"/>
                <w:szCs w:val="16"/>
                <w:lang w:val="bg-BG"/>
              </w:rPr>
            </w:pPr>
            <w:r w:rsidRPr="0024746B">
              <w:rPr>
                <w:b/>
                <w:sz w:val="16"/>
                <w:szCs w:val="16"/>
                <w:lang w:val="bg-BG"/>
              </w:rPr>
              <w:t>86,688274801</w:t>
            </w:r>
          </w:p>
          <w:p w14:paraId="1F5F36AA" w14:textId="77777777" w:rsidR="00D833D7" w:rsidRPr="0024746B" w:rsidRDefault="00D833D7" w:rsidP="006E380C">
            <w:pPr>
              <w:keepNext/>
              <w:jc w:val="left"/>
              <w:rPr>
                <w:b/>
                <w:sz w:val="16"/>
                <w:szCs w:val="16"/>
                <w:lang w:val="bg-BG"/>
              </w:rPr>
            </w:pPr>
          </w:p>
          <w:p w14:paraId="4A9D48E3" w14:textId="45828A30" w:rsidR="00D833D7" w:rsidRPr="0024746B" w:rsidRDefault="00D833D7" w:rsidP="006E380C">
            <w:pPr>
              <w:keepNext/>
              <w:jc w:val="left"/>
              <w:rPr>
                <w:b/>
                <w:sz w:val="16"/>
                <w:szCs w:val="16"/>
                <w:lang w:val="bg-BG"/>
              </w:rPr>
            </w:pPr>
          </w:p>
          <w:p w14:paraId="755D6991" w14:textId="0BBD8492" w:rsidR="00D833D7" w:rsidRPr="0024746B" w:rsidRDefault="00D833D7" w:rsidP="00C07BA3">
            <w:pPr>
              <w:keepNext/>
              <w:jc w:val="left"/>
              <w:rPr>
                <w:b/>
                <w:sz w:val="16"/>
                <w:szCs w:val="16"/>
              </w:rPr>
            </w:pPr>
          </w:p>
          <w:p w14:paraId="42CA136D" w14:textId="0093829A" w:rsidR="00D833D7" w:rsidRPr="0024746B" w:rsidRDefault="00D833D7" w:rsidP="00C07BA3">
            <w:pPr>
              <w:jc w:val="left"/>
              <w:rPr>
                <w:sz w:val="16"/>
                <w:szCs w:val="16"/>
              </w:rPr>
            </w:pPr>
          </w:p>
        </w:tc>
        <w:tc>
          <w:tcPr>
            <w:tcW w:w="278" w:type="pct"/>
            <w:tcPrChange w:id="219" w:author="Iva Chervenkova" w:date="2024-07-03T11:12:00Z">
              <w:tcPr>
                <w:tcW w:w="164" w:type="pct"/>
                <w:gridSpan w:val="2"/>
              </w:tcPr>
            </w:tcPrChange>
          </w:tcPr>
          <w:p w14:paraId="0944F98E" w14:textId="77777777" w:rsidR="00D833D7" w:rsidRPr="0024746B" w:rsidRDefault="00D833D7" w:rsidP="00C07BA3">
            <w:pPr>
              <w:jc w:val="left"/>
              <w:rPr>
                <w:sz w:val="16"/>
                <w:szCs w:val="16"/>
              </w:rPr>
            </w:pPr>
          </w:p>
        </w:tc>
        <w:tc>
          <w:tcPr>
            <w:tcW w:w="182" w:type="pct"/>
            <w:shd w:val="clear" w:color="auto" w:fill="auto"/>
            <w:tcPrChange w:id="220" w:author="Iva Chervenkova" w:date="2024-07-03T11:12:00Z">
              <w:tcPr>
                <w:tcW w:w="251" w:type="pct"/>
                <w:gridSpan w:val="2"/>
                <w:shd w:val="clear" w:color="auto" w:fill="auto"/>
              </w:tcPr>
            </w:tcPrChange>
          </w:tcPr>
          <w:p w14:paraId="5D581995" w14:textId="2A152BFB" w:rsidR="00D833D7" w:rsidRPr="0024746B" w:rsidRDefault="00D833D7" w:rsidP="00C07BA3">
            <w:pPr>
              <w:jc w:val="left"/>
              <w:rPr>
                <w:sz w:val="16"/>
                <w:szCs w:val="16"/>
              </w:rPr>
            </w:pPr>
          </w:p>
        </w:tc>
        <w:tc>
          <w:tcPr>
            <w:tcW w:w="364" w:type="pct"/>
            <w:tcPrChange w:id="221" w:author="Iva Chervenkova" w:date="2024-07-03T11:12:00Z">
              <w:tcPr>
                <w:tcW w:w="316" w:type="pct"/>
                <w:gridSpan w:val="2"/>
              </w:tcPr>
            </w:tcPrChange>
          </w:tcPr>
          <w:p w14:paraId="4BD92006" w14:textId="77777777" w:rsidR="00D833D7" w:rsidRPr="0024746B" w:rsidRDefault="00D833D7" w:rsidP="00C07BA3">
            <w:pPr>
              <w:jc w:val="left"/>
              <w:rPr>
                <w:b/>
                <w:bCs/>
                <w:sz w:val="16"/>
                <w:szCs w:val="16"/>
                <w:lang w:eastAsia="bg-BG"/>
              </w:rPr>
            </w:pPr>
            <w:r w:rsidRPr="0024746B">
              <w:rPr>
                <w:b/>
                <w:bCs/>
                <w:sz w:val="16"/>
                <w:szCs w:val="16"/>
                <w:lang w:eastAsia="bg-BG"/>
              </w:rPr>
              <w:t xml:space="preserve">1 013 462 098,00 </w:t>
            </w:r>
          </w:p>
          <w:p w14:paraId="63AE59CC" w14:textId="77777777" w:rsidR="00D833D7" w:rsidRPr="0024746B" w:rsidRDefault="00D833D7" w:rsidP="00C07BA3">
            <w:pPr>
              <w:jc w:val="left"/>
              <w:rPr>
                <w:b/>
                <w:bCs/>
                <w:sz w:val="16"/>
                <w:szCs w:val="16"/>
                <w:lang w:eastAsia="bg-BG"/>
              </w:rPr>
            </w:pPr>
          </w:p>
          <w:p w14:paraId="2DAC3A38" w14:textId="77777777" w:rsidR="00D833D7" w:rsidRPr="0024746B" w:rsidRDefault="00D833D7" w:rsidP="00C07BA3">
            <w:pPr>
              <w:jc w:val="left"/>
              <w:rPr>
                <w:sz w:val="16"/>
                <w:szCs w:val="16"/>
              </w:rPr>
            </w:pPr>
          </w:p>
        </w:tc>
        <w:tc>
          <w:tcPr>
            <w:tcW w:w="310" w:type="pct"/>
            <w:tcPrChange w:id="222" w:author="Iva Chervenkova" w:date="2024-07-03T11:12:00Z">
              <w:tcPr>
                <w:tcW w:w="403" w:type="pct"/>
                <w:gridSpan w:val="2"/>
              </w:tcPr>
            </w:tcPrChange>
          </w:tcPr>
          <w:p w14:paraId="7EBA355A" w14:textId="77777777" w:rsidR="00D833D7" w:rsidRPr="0024746B" w:rsidRDefault="00D833D7" w:rsidP="009C65B6">
            <w:pPr>
              <w:keepNext/>
              <w:jc w:val="left"/>
              <w:rPr>
                <w:b/>
                <w:sz w:val="16"/>
                <w:szCs w:val="16"/>
                <w:lang w:val="bg-BG"/>
              </w:rPr>
            </w:pPr>
            <w:r w:rsidRPr="0024746B">
              <w:rPr>
                <w:b/>
                <w:sz w:val="16"/>
                <w:szCs w:val="16"/>
                <w:lang w:val="bg-BG"/>
              </w:rPr>
              <w:t>157 416 496,00</w:t>
            </w:r>
          </w:p>
          <w:p w14:paraId="17BE46BF" w14:textId="77777777" w:rsidR="00D833D7" w:rsidRPr="0024746B" w:rsidRDefault="00D833D7" w:rsidP="00F20A3E">
            <w:pPr>
              <w:keepNext/>
              <w:jc w:val="left"/>
              <w:rPr>
                <w:b/>
                <w:sz w:val="16"/>
                <w:szCs w:val="16"/>
                <w:lang w:val="bg-BG"/>
              </w:rPr>
            </w:pPr>
          </w:p>
          <w:p w14:paraId="7B47A13F" w14:textId="3605EBD8" w:rsidR="00D833D7" w:rsidRPr="0024746B" w:rsidRDefault="00D833D7" w:rsidP="00F20A3E">
            <w:pPr>
              <w:keepNext/>
              <w:jc w:val="left"/>
              <w:rPr>
                <w:b/>
                <w:sz w:val="16"/>
                <w:szCs w:val="16"/>
                <w:lang w:val="bg-BG"/>
              </w:rPr>
            </w:pPr>
          </w:p>
          <w:p w14:paraId="32CDE535" w14:textId="77777777" w:rsidR="00D833D7" w:rsidRPr="0024746B" w:rsidRDefault="00D833D7" w:rsidP="00C07BA3">
            <w:pPr>
              <w:keepNext/>
              <w:jc w:val="left"/>
              <w:rPr>
                <w:b/>
                <w:sz w:val="16"/>
                <w:szCs w:val="16"/>
                <w:lang w:val="bg-BG"/>
              </w:rPr>
            </w:pPr>
          </w:p>
          <w:p w14:paraId="012C29C0" w14:textId="1C358328" w:rsidR="00D833D7" w:rsidRPr="0024746B" w:rsidRDefault="00D833D7" w:rsidP="00C07BA3">
            <w:pPr>
              <w:keepNext/>
              <w:jc w:val="left"/>
              <w:rPr>
                <w:b/>
                <w:sz w:val="16"/>
                <w:szCs w:val="16"/>
                <w:lang w:val="bg-BG"/>
              </w:rPr>
            </w:pPr>
          </w:p>
          <w:p w14:paraId="52884CE0" w14:textId="77777777" w:rsidR="00D833D7" w:rsidRPr="0024746B" w:rsidRDefault="00D833D7" w:rsidP="00C07BA3">
            <w:pPr>
              <w:keepNext/>
              <w:jc w:val="left"/>
              <w:rPr>
                <w:b/>
                <w:sz w:val="16"/>
                <w:szCs w:val="16"/>
              </w:rPr>
            </w:pPr>
          </w:p>
          <w:p w14:paraId="62A905A2" w14:textId="77777777" w:rsidR="00D833D7" w:rsidRPr="0024746B" w:rsidRDefault="00D833D7" w:rsidP="00C07BA3">
            <w:pPr>
              <w:jc w:val="left"/>
              <w:rPr>
                <w:sz w:val="16"/>
                <w:szCs w:val="16"/>
              </w:rPr>
            </w:pPr>
          </w:p>
        </w:tc>
        <w:tc>
          <w:tcPr>
            <w:tcW w:w="361" w:type="pct"/>
            <w:tcPrChange w:id="223" w:author="Iva Chervenkova" w:date="2024-07-03T11:12:00Z">
              <w:tcPr>
                <w:tcW w:w="361" w:type="pct"/>
              </w:tcPr>
            </w:tcPrChange>
          </w:tcPr>
          <w:p w14:paraId="51FA02DE" w14:textId="77777777" w:rsidR="00D833D7" w:rsidRPr="006444F0" w:rsidRDefault="00D833D7" w:rsidP="00C07BA3">
            <w:pPr>
              <w:jc w:val="left"/>
              <w:rPr>
                <w:b/>
                <w:bCs/>
                <w:sz w:val="16"/>
                <w:szCs w:val="16"/>
                <w:lang w:eastAsia="bg-BG"/>
              </w:rPr>
            </w:pPr>
            <w:r w:rsidRPr="006444F0">
              <w:rPr>
                <w:b/>
                <w:bCs/>
                <w:sz w:val="16"/>
                <w:szCs w:val="16"/>
                <w:lang w:eastAsia="bg-BG"/>
              </w:rPr>
              <w:t>68 681 236.00</w:t>
            </w:r>
          </w:p>
          <w:p w14:paraId="753FBFAB" w14:textId="77777777" w:rsidR="00D833D7" w:rsidRPr="00BA2131" w:rsidRDefault="00D833D7" w:rsidP="00C07BA3">
            <w:pPr>
              <w:jc w:val="left"/>
              <w:rPr>
                <w:sz w:val="16"/>
                <w:szCs w:val="16"/>
              </w:rPr>
            </w:pPr>
          </w:p>
        </w:tc>
        <w:tc>
          <w:tcPr>
            <w:tcW w:w="285" w:type="pct"/>
            <w:tcPrChange w:id="224" w:author="Iva Chervenkova" w:date="2024-07-03T11:12:00Z">
              <w:tcPr>
                <w:tcW w:w="285" w:type="pct"/>
              </w:tcPr>
            </w:tcPrChange>
          </w:tcPr>
          <w:p w14:paraId="7F4CE226" w14:textId="77777777" w:rsidR="00D833D7" w:rsidRPr="00BD1D7E" w:rsidRDefault="00D833D7" w:rsidP="00C07BA3">
            <w:pPr>
              <w:keepNext/>
              <w:jc w:val="left"/>
              <w:rPr>
                <w:b/>
                <w:sz w:val="16"/>
                <w:szCs w:val="16"/>
              </w:rPr>
            </w:pPr>
            <w:r w:rsidRPr="00C70C70">
              <w:rPr>
                <w:b/>
                <w:sz w:val="16"/>
                <w:szCs w:val="16"/>
              </w:rPr>
              <w:t>12 120</w:t>
            </w:r>
            <w:r w:rsidRPr="006444F0">
              <w:rPr>
                <w:b/>
                <w:sz w:val="16"/>
                <w:szCs w:val="16"/>
              </w:rPr>
              <w:t> 218.00</w:t>
            </w:r>
          </w:p>
          <w:p w14:paraId="518D1485" w14:textId="77777777" w:rsidR="00D833D7" w:rsidRPr="00A828C5" w:rsidRDefault="00D833D7" w:rsidP="00C07BA3">
            <w:pPr>
              <w:jc w:val="left"/>
              <w:rPr>
                <w:sz w:val="16"/>
                <w:szCs w:val="16"/>
              </w:rPr>
            </w:pPr>
          </w:p>
        </w:tc>
        <w:tc>
          <w:tcPr>
            <w:tcW w:w="226" w:type="pct"/>
            <w:tcPrChange w:id="225" w:author="Iva Chervenkova" w:date="2024-07-03T11:12:00Z">
              <w:tcPr>
                <w:tcW w:w="226" w:type="pct"/>
              </w:tcPr>
            </w:tcPrChange>
          </w:tcPr>
          <w:p w14:paraId="2C591513" w14:textId="438CD466" w:rsidR="00D833D7" w:rsidRPr="005628FE" w:rsidRDefault="00D833D7" w:rsidP="00C07BA3">
            <w:pPr>
              <w:rPr>
                <w:sz w:val="16"/>
                <w:szCs w:val="16"/>
              </w:rPr>
            </w:pPr>
            <w:r w:rsidRPr="006444F0">
              <w:rPr>
                <w:sz w:val="16"/>
                <w:szCs w:val="16"/>
              </w:rPr>
              <w:t>6.35%</w:t>
            </w:r>
          </w:p>
        </w:tc>
      </w:tr>
      <w:tr w:rsidR="007B694B" w:rsidRPr="008340BB" w14:paraId="6C06BE03" w14:textId="77777777" w:rsidTr="007B694B">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6" w:author="Iva Chervenkova" w:date="2024-07-03T11:12:00Z">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320" w:type="pct"/>
            <w:tcPrChange w:id="227" w:author="Iva Chervenkova" w:date="2024-07-03T11:12:00Z">
              <w:tcPr>
                <w:tcW w:w="320" w:type="pct"/>
                <w:gridSpan w:val="2"/>
              </w:tcPr>
            </w:tcPrChange>
          </w:tcPr>
          <w:p w14:paraId="024BD946" w14:textId="77777777" w:rsidR="00D833D7" w:rsidRPr="008340BB" w:rsidRDefault="00D833D7" w:rsidP="00776BAD">
            <w:pPr>
              <w:jc w:val="left"/>
              <w:rPr>
                <w:sz w:val="16"/>
                <w:szCs w:val="16"/>
              </w:rPr>
            </w:pPr>
            <w:r w:rsidRPr="008340BB">
              <w:rPr>
                <w:sz w:val="16"/>
                <w:szCs w:val="16"/>
              </w:rPr>
              <w:t>Total</w:t>
            </w:r>
          </w:p>
        </w:tc>
        <w:tc>
          <w:tcPr>
            <w:tcW w:w="252" w:type="pct"/>
            <w:tcPrChange w:id="228" w:author="Iva Chervenkova" w:date="2024-07-03T11:12:00Z">
              <w:tcPr>
                <w:tcW w:w="252" w:type="pct"/>
                <w:gridSpan w:val="2"/>
              </w:tcPr>
            </w:tcPrChange>
          </w:tcPr>
          <w:p w14:paraId="32DB0083" w14:textId="77777777" w:rsidR="00D833D7" w:rsidRPr="008340BB" w:rsidRDefault="00D833D7" w:rsidP="00776BAD">
            <w:pPr>
              <w:jc w:val="left"/>
              <w:rPr>
                <w:sz w:val="16"/>
                <w:szCs w:val="16"/>
              </w:rPr>
            </w:pPr>
            <w:r w:rsidRPr="008340BB">
              <w:rPr>
                <w:sz w:val="16"/>
                <w:szCs w:val="16"/>
              </w:rPr>
              <w:t>ERDF</w:t>
            </w:r>
          </w:p>
        </w:tc>
        <w:tc>
          <w:tcPr>
            <w:tcW w:w="261" w:type="pct"/>
            <w:tcPrChange w:id="229" w:author="Iva Chervenkova" w:date="2024-07-03T11:12:00Z">
              <w:tcPr>
                <w:tcW w:w="261" w:type="pct"/>
                <w:gridSpan w:val="2"/>
              </w:tcPr>
            </w:tcPrChange>
          </w:tcPr>
          <w:p w14:paraId="16AF7045" w14:textId="77777777" w:rsidR="00D833D7" w:rsidRPr="008340BB" w:rsidRDefault="00D833D7" w:rsidP="00776BAD">
            <w:pPr>
              <w:jc w:val="left"/>
              <w:rPr>
                <w:sz w:val="16"/>
                <w:szCs w:val="16"/>
              </w:rPr>
            </w:pPr>
            <w:r w:rsidRPr="008340BB">
              <w:rPr>
                <w:sz w:val="16"/>
                <w:szCs w:val="16"/>
              </w:rPr>
              <w:t>Less developed</w:t>
            </w:r>
          </w:p>
        </w:tc>
        <w:tc>
          <w:tcPr>
            <w:tcW w:w="220" w:type="pct"/>
            <w:tcPrChange w:id="230" w:author="Iva Chervenkova" w:date="2024-07-03T11:12:00Z">
              <w:tcPr>
                <w:tcW w:w="220" w:type="pct"/>
                <w:gridSpan w:val="2"/>
              </w:tcPr>
            </w:tcPrChange>
          </w:tcPr>
          <w:p w14:paraId="6372C6E7" w14:textId="77777777" w:rsidR="00D833D7" w:rsidRPr="008340BB" w:rsidRDefault="00D833D7" w:rsidP="00776BAD">
            <w:pPr>
              <w:jc w:val="left"/>
              <w:rPr>
                <w:sz w:val="16"/>
                <w:szCs w:val="16"/>
              </w:rPr>
            </w:pPr>
            <w:r w:rsidRPr="008340BB">
              <w:rPr>
                <w:sz w:val="16"/>
                <w:szCs w:val="16"/>
              </w:rPr>
              <w:t>public</w:t>
            </w:r>
          </w:p>
        </w:tc>
        <w:tc>
          <w:tcPr>
            <w:tcW w:w="379" w:type="pct"/>
            <w:tcPrChange w:id="231" w:author="Iva Chervenkova" w:date="2024-07-03T11:12:00Z">
              <w:tcPr>
                <w:tcW w:w="379" w:type="pct"/>
                <w:gridSpan w:val="2"/>
              </w:tcPr>
            </w:tcPrChange>
          </w:tcPr>
          <w:p w14:paraId="454582D4" w14:textId="523F2655" w:rsidR="00D833D7" w:rsidRPr="0024746B" w:rsidRDefault="00D833D7" w:rsidP="00776BAD">
            <w:pPr>
              <w:jc w:val="left"/>
              <w:rPr>
                <w:sz w:val="16"/>
                <w:szCs w:val="16"/>
              </w:rPr>
            </w:pPr>
            <w:r w:rsidRPr="0024746B">
              <w:rPr>
                <w:b/>
                <w:bCs/>
                <w:sz w:val="16"/>
                <w:szCs w:val="16"/>
                <w:lang w:val="bg-BG" w:eastAsia="bg-BG"/>
              </w:rPr>
              <w:t xml:space="preserve">438 611 756.00 </w:t>
            </w:r>
          </w:p>
        </w:tc>
        <w:tc>
          <w:tcPr>
            <w:tcW w:w="377" w:type="pct"/>
            <w:tcPrChange w:id="232" w:author="Iva Chervenkova" w:date="2024-07-03T11:12:00Z">
              <w:tcPr>
                <w:tcW w:w="377" w:type="pct"/>
                <w:gridSpan w:val="2"/>
              </w:tcPr>
            </w:tcPrChange>
          </w:tcPr>
          <w:p w14:paraId="145718DA" w14:textId="77777777" w:rsidR="00D833D7" w:rsidRPr="0024746B" w:rsidRDefault="00D833D7" w:rsidP="00871F0B">
            <w:pPr>
              <w:jc w:val="left"/>
              <w:rPr>
                <w:b/>
                <w:bCs/>
                <w:sz w:val="16"/>
                <w:szCs w:val="16"/>
                <w:lang w:val="bg-BG" w:eastAsia="bg-BG"/>
              </w:rPr>
            </w:pPr>
            <w:r w:rsidRPr="0024746B">
              <w:rPr>
                <w:b/>
                <w:bCs/>
                <w:sz w:val="16"/>
                <w:szCs w:val="16"/>
                <w:lang w:val="bg-BG" w:eastAsia="bg-BG"/>
              </w:rPr>
              <w:t>76 607 959,00</w:t>
            </w:r>
          </w:p>
          <w:p w14:paraId="016FE427" w14:textId="77777777" w:rsidR="00D833D7" w:rsidRPr="0024746B" w:rsidRDefault="00D833D7" w:rsidP="002A5279">
            <w:pPr>
              <w:jc w:val="left"/>
              <w:rPr>
                <w:b/>
                <w:bCs/>
                <w:sz w:val="16"/>
                <w:szCs w:val="16"/>
                <w:lang w:val="bg-BG" w:eastAsia="bg-BG"/>
              </w:rPr>
            </w:pPr>
          </w:p>
          <w:p w14:paraId="1C1B84A0" w14:textId="1D493487" w:rsidR="00D833D7" w:rsidRPr="0024746B" w:rsidRDefault="00D833D7" w:rsidP="002A5279">
            <w:pPr>
              <w:jc w:val="left"/>
              <w:rPr>
                <w:b/>
                <w:bCs/>
                <w:sz w:val="16"/>
                <w:szCs w:val="16"/>
                <w:lang w:val="bg-BG" w:eastAsia="bg-BG"/>
              </w:rPr>
            </w:pPr>
          </w:p>
          <w:p w14:paraId="16B8E2F9" w14:textId="1C70EADF" w:rsidR="00D833D7" w:rsidRPr="0024746B" w:rsidRDefault="00D833D7" w:rsidP="002A5279">
            <w:pPr>
              <w:jc w:val="left"/>
              <w:rPr>
                <w:sz w:val="16"/>
                <w:szCs w:val="16"/>
              </w:rPr>
            </w:pPr>
            <w:r w:rsidRPr="0024746B">
              <w:rPr>
                <w:b/>
                <w:bCs/>
                <w:sz w:val="16"/>
                <w:szCs w:val="16"/>
                <w:lang w:val="bg-BG" w:eastAsia="bg-BG"/>
              </w:rPr>
              <w:t xml:space="preserve"> </w:t>
            </w:r>
          </w:p>
        </w:tc>
        <w:tc>
          <w:tcPr>
            <w:tcW w:w="403" w:type="pct"/>
            <w:tcPrChange w:id="233" w:author="Iva Chervenkova" w:date="2024-07-03T11:12:00Z">
              <w:tcPr>
                <w:tcW w:w="403" w:type="pct"/>
                <w:gridSpan w:val="2"/>
              </w:tcPr>
            </w:tcPrChange>
          </w:tcPr>
          <w:p w14:paraId="55B95F05" w14:textId="77777777" w:rsidR="00D833D7" w:rsidRPr="0024746B" w:rsidRDefault="00D833D7" w:rsidP="00871F0B">
            <w:pPr>
              <w:jc w:val="left"/>
              <w:rPr>
                <w:b/>
                <w:bCs/>
                <w:sz w:val="16"/>
                <w:szCs w:val="16"/>
                <w:lang w:val="bg-BG" w:eastAsia="bg-BG"/>
              </w:rPr>
            </w:pPr>
            <w:r w:rsidRPr="0024746B">
              <w:rPr>
                <w:b/>
                <w:bCs/>
                <w:sz w:val="16"/>
                <w:szCs w:val="16"/>
                <w:lang w:val="bg-BG" w:eastAsia="bg-BG"/>
              </w:rPr>
              <w:t>76 607 959,00</w:t>
            </w:r>
          </w:p>
          <w:p w14:paraId="44A92E2F" w14:textId="77777777" w:rsidR="00D833D7" w:rsidRPr="0024746B" w:rsidRDefault="00D833D7" w:rsidP="002A5279">
            <w:pPr>
              <w:jc w:val="left"/>
              <w:rPr>
                <w:b/>
                <w:bCs/>
                <w:sz w:val="16"/>
                <w:szCs w:val="16"/>
                <w:lang w:val="bg-BG" w:eastAsia="bg-BG"/>
              </w:rPr>
            </w:pPr>
          </w:p>
          <w:p w14:paraId="5394171C" w14:textId="32EF3FF5" w:rsidR="00D833D7" w:rsidRPr="0024746B" w:rsidRDefault="00D833D7" w:rsidP="002A5279">
            <w:pPr>
              <w:jc w:val="left"/>
              <w:rPr>
                <w:b/>
                <w:bCs/>
                <w:sz w:val="16"/>
                <w:szCs w:val="16"/>
                <w:lang w:val="bg-BG" w:eastAsia="bg-BG"/>
              </w:rPr>
            </w:pPr>
          </w:p>
          <w:p w14:paraId="4DE829C5" w14:textId="1F7576C4" w:rsidR="00D833D7" w:rsidRPr="0024746B" w:rsidRDefault="00D833D7" w:rsidP="002A5279">
            <w:pPr>
              <w:jc w:val="left"/>
              <w:rPr>
                <w:sz w:val="16"/>
                <w:szCs w:val="16"/>
              </w:rPr>
            </w:pPr>
            <w:r w:rsidRPr="0024746B">
              <w:rPr>
                <w:b/>
                <w:bCs/>
                <w:sz w:val="16"/>
                <w:szCs w:val="16"/>
                <w:lang w:val="bg-BG" w:eastAsia="bg-BG"/>
              </w:rPr>
              <w:t xml:space="preserve"> </w:t>
            </w:r>
          </w:p>
        </w:tc>
        <w:tc>
          <w:tcPr>
            <w:tcW w:w="157" w:type="pct"/>
            <w:tcPrChange w:id="234" w:author="Iva Chervenkova" w:date="2024-07-03T11:12:00Z">
              <w:tcPr>
                <w:tcW w:w="157" w:type="pct"/>
                <w:gridSpan w:val="2"/>
              </w:tcPr>
            </w:tcPrChange>
          </w:tcPr>
          <w:p w14:paraId="5E975710" w14:textId="77777777" w:rsidR="00D833D7" w:rsidRPr="0024746B" w:rsidRDefault="00D833D7" w:rsidP="00776BAD">
            <w:pPr>
              <w:jc w:val="left"/>
              <w:rPr>
                <w:sz w:val="16"/>
                <w:szCs w:val="16"/>
              </w:rPr>
            </w:pPr>
            <w:r w:rsidRPr="0024746B">
              <w:rPr>
                <w:sz w:val="16"/>
              </w:rPr>
              <w:t>0</w:t>
            </w:r>
          </w:p>
        </w:tc>
        <w:tc>
          <w:tcPr>
            <w:tcW w:w="399" w:type="pct"/>
            <w:tcPrChange w:id="235" w:author="Iva Chervenkova" w:date="2024-07-03T11:12:00Z">
              <w:tcPr>
                <w:tcW w:w="399" w:type="pct"/>
                <w:gridSpan w:val="2"/>
              </w:tcPr>
            </w:tcPrChange>
          </w:tcPr>
          <w:p w14:paraId="3813C5CE" w14:textId="77777777" w:rsidR="00D833D7" w:rsidRPr="0024746B" w:rsidRDefault="00D833D7" w:rsidP="00A34DAB">
            <w:pPr>
              <w:jc w:val="left"/>
              <w:rPr>
                <w:b/>
                <w:bCs/>
                <w:sz w:val="16"/>
                <w:szCs w:val="16"/>
                <w:lang w:val="bg-BG" w:eastAsia="bg-BG"/>
              </w:rPr>
            </w:pPr>
            <w:r w:rsidRPr="0024746B">
              <w:rPr>
                <w:b/>
                <w:bCs/>
                <w:sz w:val="16"/>
                <w:szCs w:val="16"/>
                <w:lang w:val="bg-BG" w:eastAsia="bg-BG"/>
              </w:rPr>
              <w:t>515 219 715,00</w:t>
            </w:r>
          </w:p>
          <w:p w14:paraId="22124BC3" w14:textId="77777777" w:rsidR="00D833D7" w:rsidRPr="0024746B" w:rsidRDefault="00D833D7" w:rsidP="00E8593A">
            <w:pPr>
              <w:jc w:val="left"/>
              <w:rPr>
                <w:b/>
                <w:bCs/>
                <w:sz w:val="16"/>
                <w:szCs w:val="16"/>
                <w:lang w:val="bg-BG" w:eastAsia="bg-BG"/>
              </w:rPr>
            </w:pPr>
          </w:p>
          <w:p w14:paraId="5342F0C9" w14:textId="32751B34" w:rsidR="00D833D7" w:rsidRPr="0024746B" w:rsidRDefault="00D833D7" w:rsidP="00E8593A">
            <w:pPr>
              <w:jc w:val="left"/>
              <w:rPr>
                <w:b/>
                <w:bCs/>
                <w:sz w:val="16"/>
                <w:szCs w:val="16"/>
                <w:lang w:val="bg-BG" w:eastAsia="bg-BG"/>
              </w:rPr>
            </w:pPr>
          </w:p>
          <w:p w14:paraId="6EF3DB40" w14:textId="51A176BA" w:rsidR="00D833D7" w:rsidRPr="0024746B" w:rsidRDefault="00D833D7" w:rsidP="00776BAD">
            <w:pPr>
              <w:jc w:val="left"/>
              <w:rPr>
                <w:sz w:val="16"/>
                <w:szCs w:val="16"/>
              </w:rPr>
            </w:pPr>
            <w:r w:rsidRPr="0024746B">
              <w:rPr>
                <w:b/>
                <w:bCs/>
                <w:sz w:val="16"/>
                <w:szCs w:val="16"/>
                <w:lang w:val="bg-BG" w:eastAsia="bg-BG"/>
              </w:rPr>
              <w:t xml:space="preserve"> </w:t>
            </w:r>
          </w:p>
        </w:tc>
        <w:tc>
          <w:tcPr>
            <w:tcW w:w="226" w:type="pct"/>
            <w:tcPrChange w:id="236" w:author="Iva Chervenkova" w:date="2024-07-03T11:12:00Z">
              <w:tcPr>
                <w:tcW w:w="226" w:type="pct"/>
                <w:gridSpan w:val="2"/>
              </w:tcPr>
            </w:tcPrChange>
          </w:tcPr>
          <w:p w14:paraId="0919C790" w14:textId="77777777" w:rsidR="00D833D7" w:rsidRPr="0024746B" w:rsidRDefault="00D833D7" w:rsidP="00A34DAB">
            <w:pPr>
              <w:jc w:val="left"/>
              <w:rPr>
                <w:b/>
                <w:sz w:val="16"/>
                <w:szCs w:val="16"/>
                <w:lang w:val="bg-BG"/>
              </w:rPr>
            </w:pPr>
            <w:r w:rsidRPr="0024746B">
              <w:rPr>
                <w:b/>
                <w:sz w:val="16"/>
                <w:szCs w:val="16"/>
                <w:lang w:val="bg-BG"/>
              </w:rPr>
              <w:t>85,131011728</w:t>
            </w:r>
          </w:p>
          <w:p w14:paraId="18198C33" w14:textId="77777777" w:rsidR="00D833D7" w:rsidRPr="0024746B" w:rsidRDefault="00D833D7" w:rsidP="00E8593A">
            <w:pPr>
              <w:jc w:val="left"/>
              <w:rPr>
                <w:b/>
                <w:sz w:val="16"/>
                <w:szCs w:val="16"/>
                <w:lang w:val="bg-BG"/>
              </w:rPr>
            </w:pPr>
          </w:p>
          <w:p w14:paraId="689B84AC" w14:textId="3A54996F" w:rsidR="00D833D7" w:rsidRPr="0024746B" w:rsidRDefault="00D833D7" w:rsidP="00E8593A">
            <w:pPr>
              <w:jc w:val="left"/>
              <w:rPr>
                <w:b/>
                <w:sz w:val="16"/>
                <w:szCs w:val="16"/>
                <w:lang w:val="bg-BG"/>
              </w:rPr>
            </w:pPr>
          </w:p>
          <w:p w14:paraId="1C2F094F" w14:textId="20B5AE21" w:rsidR="00D833D7" w:rsidRPr="0024746B" w:rsidRDefault="00D833D7" w:rsidP="00776BAD">
            <w:pPr>
              <w:jc w:val="left"/>
              <w:rPr>
                <w:b/>
                <w:sz w:val="16"/>
                <w:szCs w:val="16"/>
              </w:rPr>
            </w:pPr>
            <w:r w:rsidRPr="0024746B">
              <w:rPr>
                <w:b/>
                <w:sz w:val="16"/>
                <w:szCs w:val="16"/>
              </w:rPr>
              <w:lastRenderedPageBreak/>
              <w:t>%</w:t>
            </w:r>
          </w:p>
        </w:tc>
        <w:tc>
          <w:tcPr>
            <w:tcW w:w="278" w:type="pct"/>
            <w:tcPrChange w:id="237" w:author="Iva Chervenkova" w:date="2024-07-03T11:12:00Z">
              <w:tcPr>
                <w:tcW w:w="164" w:type="pct"/>
                <w:gridSpan w:val="2"/>
              </w:tcPr>
            </w:tcPrChange>
          </w:tcPr>
          <w:p w14:paraId="7A4A1721" w14:textId="77777777" w:rsidR="00D833D7" w:rsidRPr="0024746B" w:rsidRDefault="00D833D7" w:rsidP="00776BAD">
            <w:pPr>
              <w:jc w:val="left"/>
              <w:rPr>
                <w:sz w:val="16"/>
                <w:szCs w:val="16"/>
              </w:rPr>
            </w:pPr>
          </w:p>
        </w:tc>
        <w:tc>
          <w:tcPr>
            <w:tcW w:w="182" w:type="pct"/>
            <w:tcPrChange w:id="238" w:author="Iva Chervenkova" w:date="2024-07-03T11:12:00Z">
              <w:tcPr>
                <w:tcW w:w="251" w:type="pct"/>
                <w:gridSpan w:val="2"/>
              </w:tcPr>
            </w:tcPrChange>
          </w:tcPr>
          <w:p w14:paraId="5384D445" w14:textId="362666FF" w:rsidR="00D833D7" w:rsidRPr="0024746B" w:rsidRDefault="00D833D7" w:rsidP="00776BAD">
            <w:pPr>
              <w:jc w:val="left"/>
              <w:rPr>
                <w:sz w:val="16"/>
                <w:szCs w:val="16"/>
              </w:rPr>
            </w:pPr>
          </w:p>
        </w:tc>
        <w:tc>
          <w:tcPr>
            <w:tcW w:w="364" w:type="pct"/>
            <w:tcPrChange w:id="239" w:author="Iva Chervenkova" w:date="2024-07-03T11:12:00Z">
              <w:tcPr>
                <w:tcW w:w="316" w:type="pct"/>
                <w:gridSpan w:val="2"/>
              </w:tcPr>
            </w:tcPrChange>
          </w:tcPr>
          <w:p w14:paraId="721DD72A" w14:textId="77777777" w:rsidR="00D833D7" w:rsidRPr="0024746B" w:rsidRDefault="00D833D7" w:rsidP="00776BAD">
            <w:pPr>
              <w:jc w:val="left"/>
              <w:rPr>
                <w:b/>
                <w:bCs/>
                <w:sz w:val="16"/>
                <w:szCs w:val="16"/>
                <w:lang w:val="bg-BG" w:eastAsia="bg-BG"/>
              </w:rPr>
            </w:pPr>
            <w:r w:rsidRPr="0024746B">
              <w:rPr>
                <w:b/>
                <w:bCs/>
                <w:sz w:val="16"/>
                <w:szCs w:val="16"/>
                <w:lang w:val="bg-BG" w:eastAsia="bg-BG"/>
              </w:rPr>
              <w:t>411 026 040.00</w:t>
            </w:r>
          </w:p>
          <w:p w14:paraId="29D03A3A" w14:textId="13792247" w:rsidR="00D833D7" w:rsidRPr="0024746B" w:rsidRDefault="00D833D7" w:rsidP="00776BAD">
            <w:pPr>
              <w:jc w:val="left"/>
              <w:rPr>
                <w:sz w:val="16"/>
                <w:szCs w:val="16"/>
              </w:rPr>
            </w:pPr>
          </w:p>
        </w:tc>
        <w:tc>
          <w:tcPr>
            <w:tcW w:w="310" w:type="pct"/>
            <w:tcPrChange w:id="240" w:author="Iva Chervenkova" w:date="2024-07-03T11:12:00Z">
              <w:tcPr>
                <w:tcW w:w="403" w:type="pct"/>
                <w:gridSpan w:val="2"/>
              </w:tcPr>
            </w:tcPrChange>
          </w:tcPr>
          <w:p w14:paraId="505C664F" w14:textId="77777777" w:rsidR="00D833D7" w:rsidRPr="0024746B" w:rsidRDefault="00D833D7" w:rsidP="00A34DAB">
            <w:pPr>
              <w:jc w:val="left"/>
              <w:rPr>
                <w:b/>
                <w:bCs/>
                <w:sz w:val="16"/>
                <w:szCs w:val="16"/>
                <w:lang w:val="bg-BG" w:eastAsia="bg-BG"/>
              </w:rPr>
            </w:pPr>
            <w:r w:rsidRPr="0024746B">
              <w:rPr>
                <w:b/>
                <w:bCs/>
                <w:sz w:val="16"/>
                <w:szCs w:val="16"/>
                <w:lang w:val="bg-BG" w:eastAsia="bg-BG"/>
              </w:rPr>
              <w:t>71 739 891,00</w:t>
            </w:r>
          </w:p>
          <w:p w14:paraId="545474A3" w14:textId="77777777" w:rsidR="00D833D7" w:rsidRPr="0024746B" w:rsidRDefault="00D833D7" w:rsidP="007D61F4">
            <w:pPr>
              <w:jc w:val="left"/>
              <w:rPr>
                <w:b/>
                <w:bCs/>
                <w:sz w:val="16"/>
                <w:szCs w:val="16"/>
                <w:lang w:val="bg-BG" w:eastAsia="bg-BG"/>
              </w:rPr>
            </w:pPr>
          </w:p>
          <w:p w14:paraId="6B8FEC69" w14:textId="74E5E161" w:rsidR="00D833D7" w:rsidRPr="0024746B" w:rsidRDefault="00D833D7" w:rsidP="007D61F4">
            <w:pPr>
              <w:jc w:val="left"/>
              <w:rPr>
                <w:b/>
                <w:bCs/>
                <w:sz w:val="16"/>
                <w:szCs w:val="16"/>
                <w:lang w:val="bg-BG" w:eastAsia="bg-BG"/>
              </w:rPr>
            </w:pPr>
          </w:p>
          <w:p w14:paraId="345690C6" w14:textId="32044BB0" w:rsidR="00D833D7" w:rsidRPr="0024746B" w:rsidRDefault="00D833D7" w:rsidP="00776BAD">
            <w:pPr>
              <w:jc w:val="left"/>
              <w:rPr>
                <w:sz w:val="16"/>
                <w:szCs w:val="16"/>
              </w:rPr>
            </w:pPr>
            <w:r w:rsidRPr="0024746B">
              <w:rPr>
                <w:b/>
                <w:bCs/>
                <w:sz w:val="16"/>
                <w:szCs w:val="16"/>
                <w:lang w:val="en-US" w:eastAsia="bg-BG"/>
              </w:rPr>
              <w:lastRenderedPageBreak/>
              <w:t xml:space="preserve"> </w:t>
            </w:r>
          </w:p>
        </w:tc>
        <w:tc>
          <w:tcPr>
            <w:tcW w:w="361" w:type="pct"/>
            <w:tcPrChange w:id="241" w:author="Iva Chervenkova" w:date="2024-07-03T11:12:00Z">
              <w:tcPr>
                <w:tcW w:w="361" w:type="pct"/>
              </w:tcPr>
            </w:tcPrChange>
          </w:tcPr>
          <w:p w14:paraId="77FCBD44" w14:textId="2CDF2CA8" w:rsidR="00D833D7" w:rsidRPr="009F694B" w:rsidRDefault="00D833D7" w:rsidP="00776BAD">
            <w:pPr>
              <w:jc w:val="left"/>
              <w:rPr>
                <w:sz w:val="16"/>
                <w:szCs w:val="16"/>
              </w:rPr>
            </w:pPr>
            <w:r w:rsidRPr="009F694B">
              <w:rPr>
                <w:b/>
                <w:bCs/>
                <w:sz w:val="16"/>
                <w:szCs w:val="16"/>
                <w:lang w:eastAsia="bg-BG"/>
              </w:rPr>
              <w:lastRenderedPageBreak/>
              <w:t>27 585</w:t>
            </w:r>
            <w:r>
              <w:rPr>
                <w:b/>
                <w:bCs/>
                <w:sz w:val="16"/>
                <w:szCs w:val="16"/>
                <w:lang w:eastAsia="bg-BG"/>
              </w:rPr>
              <w:t> </w:t>
            </w:r>
            <w:r w:rsidRPr="009F694B">
              <w:rPr>
                <w:b/>
                <w:bCs/>
                <w:sz w:val="16"/>
                <w:szCs w:val="16"/>
                <w:lang w:eastAsia="bg-BG"/>
              </w:rPr>
              <w:t>71</w:t>
            </w:r>
            <w:r>
              <w:rPr>
                <w:b/>
                <w:bCs/>
                <w:sz w:val="16"/>
                <w:szCs w:val="16"/>
                <w:lang w:eastAsia="bg-BG"/>
              </w:rPr>
              <w:t>6.00</w:t>
            </w:r>
          </w:p>
        </w:tc>
        <w:tc>
          <w:tcPr>
            <w:tcW w:w="285" w:type="pct"/>
            <w:tcPrChange w:id="242" w:author="Iva Chervenkova" w:date="2024-07-03T11:12:00Z">
              <w:tcPr>
                <w:tcW w:w="285" w:type="pct"/>
              </w:tcPr>
            </w:tcPrChange>
          </w:tcPr>
          <w:p w14:paraId="35F5C287" w14:textId="1069F93C" w:rsidR="00D833D7" w:rsidRPr="005628FE" w:rsidRDefault="00D833D7" w:rsidP="00776BAD">
            <w:pPr>
              <w:jc w:val="left"/>
              <w:rPr>
                <w:sz w:val="16"/>
                <w:szCs w:val="16"/>
              </w:rPr>
            </w:pPr>
            <w:r w:rsidRPr="005628FE">
              <w:rPr>
                <w:b/>
                <w:bCs/>
                <w:sz w:val="16"/>
                <w:szCs w:val="16"/>
                <w:lang w:eastAsia="bg-BG"/>
              </w:rPr>
              <w:t>4 868</w:t>
            </w:r>
            <w:r>
              <w:rPr>
                <w:b/>
                <w:bCs/>
                <w:sz w:val="16"/>
                <w:szCs w:val="16"/>
                <w:lang w:eastAsia="bg-BG"/>
              </w:rPr>
              <w:t> 068.00</w:t>
            </w:r>
          </w:p>
        </w:tc>
        <w:tc>
          <w:tcPr>
            <w:tcW w:w="226" w:type="pct"/>
            <w:tcPrChange w:id="243" w:author="Iva Chervenkova" w:date="2024-07-03T11:12:00Z">
              <w:tcPr>
                <w:tcW w:w="226" w:type="pct"/>
              </w:tcPr>
            </w:tcPrChange>
          </w:tcPr>
          <w:p w14:paraId="30349361" w14:textId="20B1474F" w:rsidR="00D833D7" w:rsidRPr="005628FE" w:rsidRDefault="00D833D7" w:rsidP="00776BAD">
            <w:pPr>
              <w:rPr>
                <w:sz w:val="16"/>
                <w:szCs w:val="16"/>
              </w:rPr>
            </w:pPr>
            <w:r w:rsidRPr="005628FE">
              <w:rPr>
                <w:sz w:val="16"/>
                <w:szCs w:val="16"/>
              </w:rPr>
              <w:t>6</w:t>
            </w:r>
            <w:r>
              <w:rPr>
                <w:sz w:val="16"/>
                <w:szCs w:val="16"/>
              </w:rPr>
              <w:t>.29</w:t>
            </w:r>
            <w:r w:rsidRPr="005628FE">
              <w:rPr>
                <w:sz w:val="16"/>
                <w:szCs w:val="16"/>
              </w:rPr>
              <w:t>%</w:t>
            </w:r>
          </w:p>
        </w:tc>
      </w:tr>
      <w:tr w:rsidR="007B694B" w:rsidRPr="008340BB" w14:paraId="3878AA0C" w14:textId="77777777" w:rsidTr="007B694B">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4" w:author="Iva Chervenkova" w:date="2024-07-03T11:12:00Z">
            <w:tblPrEx>
              <w:tblW w:w="52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320" w:type="pct"/>
            <w:tcPrChange w:id="245" w:author="Iva Chervenkova" w:date="2024-07-03T11:12:00Z">
              <w:tcPr>
                <w:tcW w:w="320" w:type="pct"/>
                <w:gridSpan w:val="2"/>
              </w:tcPr>
            </w:tcPrChange>
          </w:tcPr>
          <w:p w14:paraId="59B467C2" w14:textId="77777777" w:rsidR="00D833D7" w:rsidRPr="008340BB" w:rsidRDefault="00D833D7" w:rsidP="00E32EA4">
            <w:pPr>
              <w:jc w:val="left"/>
              <w:rPr>
                <w:sz w:val="16"/>
                <w:szCs w:val="16"/>
              </w:rPr>
            </w:pPr>
            <w:r w:rsidRPr="008340BB">
              <w:rPr>
                <w:sz w:val="16"/>
                <w:szCs w:val="16"/>
              </w:rPr>
              <w:t>Grand Total</w:t>
            </w:r>
          </w:p>
        </w:tc>
        <w:tc>
          <w:tcPr>
            <w:tcW w:w="252" w:type="pct"/>
            <w:tcPrChange w:id="246" w:author="Iva Chervenkova" w:date="2024-07-03T11:12:00Z">
              <w:tcPr>
                <w:tcW w:w="252" w:type="pct"/>
                <w:gridSpan w:val="2"/>
              </w:tcPr>
            </w:tcPrChange>
          </w:tcPr>
          <w:p w14:paraId="78FD6241" w14:textId="77777777" w:rsidR="00D833D7" w:rsidRPr="008340BB" w:rsidRDefault="00D833D7" w:rsidP="00E32EA4">
            <w:pPr>
              <w:jc w:val="left"/>
              <w:rPr>
                <w:sz w:val="16"/>
                <w:szCs w:val="16"/>
              </w:rPr>
            </w:pPr>
          </w:p>
        </w:tc>
        <w:tc>
          <w:tcPr>
            <w:tcW w:w="261" w:type="pct"/>
            <w:tcPrChange w:id="247" w:author="Iva Chervenkova" w:date="2024-07-03T11:12:00Z">
              <w:tcPr>
                <w:tcW w:w="261" w:type="pct"/>
                <w:gridSpan w:val="2"/>
              </w:tcPr>
            </w:tcPrChange>
          </w:tcPr>
          <w:p w14:paraId="2BAF3D38" w14:textId="77777777" w:rsidR="00D833D7" w:rsidRPr="008340BB" w:rsidRDefault="00D833D7" w:rsidP="00E32EA4">
            <w:pPr>
              <w:jc w:val="left"/>
              <w:rPr>
                <w:sz w:val="16"/>
                <w:szCs w:val="16"/>
              </w:rPr>
            </w:pPr>
          </w:p>
        </w:tc>
        <w:tc>
          <w:tcPr>
            <w:tcW w:w="220" w:type="pct"/>
            <w:tcPrChange w:id="248" w:author="Iva Chervenkova" w:date="2024-07-03T11:12:00Z">
              <w:tcPr>
                <w:tcW w:w="220" w:type="pct"/>
                <w:gridSpan w:val="2"/>
              </w:tcPr>
            </w:tcPrChange>
          </w:tcPr>
          <w:p w14:paraId="7CCC4C81" w14:textId="77777777" w:rsidR="00D833D7" w:rsidRPr="008340BB" w:rsidRDefault="00D833D7" w:rsidP="00E32EA4">
            <w:pPr>
              <w:jc w:val="left"/>
              <w:rPr>
                <w:sz w:val="16"/>
                <w:szCs w:val="16"/>
              </w:rPr>
            </w:pPr>
          </w:p>
        </w:tc>
        <w:tc>
          <w:tcPr>
            <w:tcW w:w="379" w:type="pct"/>
            <w:shd w:val="clear" w:color="auto" w:fill="auto"/>
            <w:tcPrChange w:id="249" w:author="Iva Chervenkova" w:date="2024-07-03T11:12:00Z">
              <w:tcPr>
                <w:tcW w:w="379" w:type="pct"/>
                <w:gridSpan w:val="2"/>
                <w:shd w:val="clear" w:color="auto" w:fill="auto"/>
              </w:tcPr>
            </w:tcPrChange>
          </w:tcPr>
          <w:p w14:paraId="6BE9A06A" w14:textId="77777777" w:rsidR="00D833D7" w:rsidRPr="00BD2019" w:rsidRDefault="00D833D7" w:rsidP="00E32EA4">
            <w:pPr>
              <w:keepNext/>
              <w:jc w:val="left"/>
              <w:rPr>
                <w:b/>
                <w:bCs/>
                <w:sz w:val="16"/>
                <w:szCs w:val="16"/>
              </w:rPr>
            </w:pPr>
            <w:r w:rsidRPr="00BD2019">
              <w:rPr>
                <w:b/>
                <w:bCs/>
                <w:sz w:val="16"/>
                <w:szCs w:val="16"/>
              </w:rPr>
              <w:t>1 520 755 090,00</w:t>
            </w:r>
          </w:p>
          <w:p w14:paraId="47A502DA" w14:textId="7CBBF6DE" w:rsidR="00D833D7" w:rsidRPr="00DC0475" w:rsidRDefault="00D833D7" w:rsidP="00E32EA4">
            <w:pPr>
              <w:jc w:val="left"/>
              <w:rPr>
                <w:sz w:val="16"/>
                <w:szCs w:val="16"/>
              </w:rPr>
            </w:pPr>
            <w:r w:rsidRPr="00C70C70">
              <w:rPr>
                <w:b/>
                <w:sz w:val="16"/>
                <w:szCs w:val="16"/>
              </w:rPr>
              <w:t xml:space="preserve"> </w:t>
            </w:r>
          </w:p>
        </w:tc>
        <w:tc>
          <w:tcPr>
            <w:tcW w:w="377" w:type="pct"/>
            <w:shd w:val="clear" w:color="auto" w:fill="auto"/>
            <w:tcPrChange w:id="250" w:author="Iva Chervenkova" w:date="2024-07-03T11:12:00Z">
              <w:tcPr>
                <w:tcW w:w="377" w:type="pct"/>
                <w:gridSpan w:val="2"/>
                <w:shd w:val="clear" w:color="auto" w:fill="auto"/>
              </w:tcPr>
            </w:tcPrChange>
          </w:tcPr>
          <w:p w14:paraId="394A6197" w14:textId="77777777" w:rsidR="00D833D7" w:rsidRPr="0024746B" w:rsidRDefault="00D833D7" w:rsidP="000B774B">
            <w:pPr>
              <w:keepNext/>
              <w:jc w:val="left"/>
              <w:rPr>
                <w:b/>
                <w:bCs/>
                <w:sz w:val="16"/>
                <w:szCs w:val="16"/>
                <w:lang w:val="bg-BG"/>
              </w:rPr>
            </w:pPr>
            <w:r w:rsidRPr="0024746B">
              <w:rPr>
                <w:b/>
                <w:bCs/>
                <w:sz w:val="16"/>
                <w:szCs w:val="16"/>
                <w:lang w:val="bg-BG"/>
              </w:rPr>
              <w:t>242 780 313,00</w:t>
            </w:r>
          </w:p>
          <w:p w14:paraId="074D0474" w14:textId="77777777" w:rsidR="00D833D7" w:rsidRPr="0024746B" w:rsidRDefault="00D833D7" w:rsidP="000F080F">
            <w:pPr>
              <w:keepNext/>
              <w:jc w:val="left"/>
              <w:rPr>
                <w:b/>
                <w:bCs/>
                <w:sz w:val="16"/>
                <w:szCs w:val="16"/>
                <w:lang w:val="bg-BG"/>
              </w:rPr>
            </w:pPr>
          </w:p>
          <w:p w14:paraId="56659FA5" w14:textId="69D865BE" w:rsidR="00D833D7" w:rsidRPr="0024746B" w:rsidRDefault="00D833D7" w:rsidP="000F080F">
            <w:pPr>
              <w:keepNext/>
              <w:jc w:val="left"/>
              <w:rPr>
                <w:b/>
                <w:bCs/>
                <w:sz w:val="16"/>
                <w:szCs w:val="16"/>
                <w:lang w:val="bg-BG"/>
              </w:rPr>
            </w:pPr>
          </w:p>
          <w:p w14:paraId="3907A247" w14:textId="77777777" w:rsidR="00D833D7" w:rsidRPr="0024746B" w:rsidRDefault="00D833D7" w:rsidP="00E32EA4">
            <w:pPr>
              <w:keepNext/>
              <w:jc w:val="left"/>
              <w:rPr>
                <w:b/>
                <w:bCs/>
                <w:sz w:val="16"/>
                <w:szCs w:val="16"/>
              </w:rPr>
            </w:pPr>
          </w:p>
          <w:p w14:paraId="72245216" w14:textId="2DC41CD1" w:rsidR="00D833D7" w:rsidRPr="0024746B" w:rsidRDefault="00D833D7" w:rsidP="00E32EA4">
            <w:pPr>
              <w:keepNext/>
              <w:jc w:val="left"/>
              <w:rPr>
                <w:b/>
                <w:bCs/>
                <w:sz w:val="16"/>
                <w:szCs w:val="16"/>
              </w:rPr>
            </w:pPr>
          </w:p>
          <w:p w14:paraId="4AF9C97D" w14:textId="77777777" w:rsidR="00D833D7" w:rsidRPr="0024746B" w:rsidRDefault="00D833D7" w:rsidP="00E32EA4">
            <w:pPr>
              <w:jc w:val="left"/>
              <w:rPr>
                <w:sz w:val="16"/>
                <w:szCs w:val="16"/>
              </w:rPr>
            </w:pPr>
          </w:p>
        </w:tc>
        <w:tc>
          <w:tcPr>
            <w:tcW w:w="403" w:type="pct"/>
            <w:shd w:val="clear" w:color="auto" w:fill="auto"/>
            <w:tcPrChange w:id="251" w:author="Iva Chervenkova" w:date="2024-07-03T11:12:00Z">
              <w:tcPr>
                <w:tcW w:w="403" w:type="pct"/>
                <w:gridSpan w:val="2"/>
                <w:shd w:val="clear" w:color="auto" w:fill="auto"/>
              </w:tcPr>
            </w:tcPrChange>
          </w:tcPr>
          <w:p w14:paraId="4487E6C5" w14:textId="77777777" w:rsidR="00D833D7" w:rsidRPr="0024746B" w:rsidRDefault="00D833D7" w:rsidP="000B774B">
            <w:pPr>
              <w:keepNext/>
              <w:jc w:val="left"/>
              <w:rPr>
                <w:b/>
                <w:bCs/>
                <w:sz w:val="16"/>
                <w:szCs w:val="16"/>
                <w:lang w:val="bg-BG"/>
              </w:rPr>
            </w:pPr>
            <w:r w:rsidRPr="0024746B">
              <w:rPr>
                <w:b/>
                <w:bCs/>
                <w:sz w:val="16"/>
                <w:szCs w:val="16"/>
                <w:lang w:val="bg-BG"/>
              </w:rPr>
              <w:t>242 780 313,00</w:t>
            </w:r>
          </w:p>
          <w:p w14:paraId="69430FF1" w14:textId="77777777" w:rsidR="00D833D7" w:rsidRPr="0024746B" w:rsidRDefault="00D833D7" w:rsidP="000F080F">
            <w:pPr>
              <w:keepNext/>
              <w:jc w:val="left"/>
              <w:rPr>
                <w:b/>
                <w:bCs/>
                <w:sz w:val="16"/>
                <w:szCs w:val="16"/>
                <w:lang w:val="bg-BG"/>
              </w:rPr>
            </w:pPr>
          </w:p>
          <w:p w14:paraId="2F7208E9" w14:textId="77777777" w:rsidR="00D833D7" w:rsidRPr="0024746B" w:rsidRDefault="00D833D7" w:rsidP="000F080F">
            <w:pPr>
              <w:keepNext/>
              <w:jc w:val="left"/>
              <w:rPr>
                <w:b/>
                <w:bCs/>
                <w:sz w:val="16"/>
                <w:szCs w:val="16"/>
                <w:lang w:val="bg-BG"/>
              </w:rPr>
            </w:pPr>
          </w:p>
          <w:p w14:paraId="5E011186" w14:textId="18E4DC73" w:rsidR="00D833D7" w:rsidRPr="0024746B" w:rsidRDefault="00D833D7" w:rsidP="000F080F">
            <w:pPr>
              <w:keepNext/>
              <w:jc w:val="left"/>
              <w:rPr>
                <w:b/>
                <w:bCs/>
                <w:sz w:val="16"/>
                <w:szCs w:val="16"/>
                <w:lang w:val="bg-BG"/>
              </w:rPr>
            </w:pPr>
          </w:p>
          <w:p w14:paraId="5EC78703" w14:textId="77777777" w:rsidR="00D833D7" w:rsidRPr="0024746B" w:rsidRDefault="00D833D7" w:rsidP="00E32EA4">
            <w:pPr>
              <w:keepNext/>
              <w:jc w:val="left"/>
              <w:rPr>
                <w:b/>
                <w:bCs/>
                <w:sz w:val="16"/>
                <w:szCs w:val="16"/>
              </w:rPr>
            </w:pPr>
          </w:p>
          <w:p w14:paraId="3BAA41C3" w14:textId="1EE9EC44" w:rsidR="00D833D7" w:rsidRPr="0024746B" w:rsidRDefault="00D833D7" w:rsidP="00E32EA4">
            <w:pPr>
              <w:keepNext/>
              <w:jc w:val="left"/>
              <w:rPr>
                <w:b/>
                <w:bCs/>
                <w:sz w:val="16"/>
                <w:szCs w:val="16"/>
              </w:rPr>
            </w:pPr>
          </w:p>
          <w:p w14:paraId="6370C396" w14:textId="77777777" w:rsidR="00D833D7" w:rsidRPr="0024746B" w:rsidRDefault="00D833D7" w:rsidP="00E32EA4">
            <w:pPr>
              <w:jc w:val="left"/>
              <w:rPr>
                <w:sz w:val="16"/>
                <w:szCs w:val="16"/>
              </w:rPr>
            </w:pPr>
          </w:p>
        </w:tc>
        <w:tc>
          <w:tcPr>
            <w:tcW w:w="157" w:type="pct"/>
            <w:shd w:val="clear" w:color="auto" w:fill="auto"/>
            <w:tcPrChange w:id="252" w:author="Iva Chervenkova" w:date="2024-07-03T11:12:00Z">
              <w:tcPr>
                <w:tcW w:w="157" w:type="pct"/>
                <w:gridSpan w:val="2"/>
                <w:shd w:val="clear" w:color="auto" w:fill="auto"/>
              </w:tcPr>
            </w:tcPrChange>
          </w:tcPr>
          <w:p w14:paraId="780C3285" w14:textId="6529ADE3" w:rsidR="00D833D7" w:rsidRPr="0024746B" w:rsidRDefault="00D833D7" w:rsidP="00E32EA4">
            <w:pPr>
              <w:jc w:val="left"/>
              <w:rPr>
                <w:sz w:val="16"/>
                <w:szCs w:val="16"/>
              </w:rPr>
            </w:pPr>
            <w:r w:rsidRPr="0024746B">
              <w:rPr>
                <w:sz w:val="16"/>
                <w:szCs w:val="16"/>
              </w:rPr>
              <w:t>0</w:t>
            </w:r>
          </w:p>
        </w:tc>
        <w:tc>
          <w:tcPr>
            <w:tcW w:w="399" w:type="pct"/>
            <w:shd w:val="clear" w:color="auto" w:fill="auto"/>
            <w:tcPrChange w:id="253" w:author="Iva Chervenkova" w:date="2024-07-03T11:12:00Z">
              <w:tcPr>
                <w:tcW w:w="399" w:type="pct"/>
                <w:gridSpan w:val="2"/>
                <w:shd w:val="clear" w:color="auto" w:fill="auto"/>
              </w:tcPr>
            </w:tcPrChange>
          </w:tcPr>
          <w:p w14:paraId="76074EB2" w14:textId="77777777" w:rsidR="00D833D7" w:rsidRPr="0024746B" w:rsidRDefault="00D833D7" w:rsidP="00B26DDE">
            <w:pPr>
              <w:keepNext/>
              <w:jc w:val="left"/>
              <w:rPr>
                <w:b/>
                <w:bCs/>
                <w:sz w:val="16"/>
                <w:szCs w:val="16"/>
                <w:lang w:val="bg-BG"/>
              </w:rPr>
            </w:pPr>
            <w:r w:rsidRPr="0024746B">
              <w:rPr>
                <w:b/>
                <w:bCs/>
                <w:sz w:val="16"/>
                <w:szCs w:val="16"/>
                <w:lang w:val="bg-BG"/>
              </w:rPr>
              <w:t>1 763 535 403,00</w:t>
            </w:r>
          </w:p>
          <w:p w14:paraId="0A895726" w14:textId="77777777" w:rsidR="00D833D7" w:rsidRPr="0024746B" w:rsidRDefault="00D833D7" w:rsidP="000F080F">
            <w:pPr>
              <w:keepNext/>
              <w:jc w:val="left"/>
              <w:rPr>
                <w:b/>
                <w:bCs/>
                <w:sz w:val="16"/>
                <w:szCs w:val="16"/>
                <w:lang w:val="bg-BG"/>
              </w:rPr>
            </w:pPr>
          </w:p>
          <w:p w14:paraId="38201FB6" w14:textId="653F9516" w:rsidR="00D833D7" w:rsidRPr="0024746B" w:rsidRDefault="00D833D7" w:rsidP="000F080F">
            <w:pPr>
              <w:keepNext/>
              <w:jc w:val="left"/>
              <w:rPr>
                <w:b/>
                <w:bCs/>
                <w:sz w:val="16"/>
                <w:szCs w:val="16"/>
                <w:lang w:val="bg-BG"/>
              </w:rPr>
            </w:pPr>
          </w:p>
          <w:p w14:paraId="4FE92F34" w14:textId="77777777" w:rsidR="00D833D7" w:rsidRPr="0024746B" w:rsidRDefault="00D833D7" w:rsidP="00E32EA4">
            <w:pPr>
              <w:keepNext/>
              <w:jc w:val="left"/>
              <w:rPr>
                <w:b/>
                <w:bCs/>
                <w:sz w:val="16"/>
                <w:szCs w:val="16"/>
              </w:rPr>
            </w:pPr>
          </w:p>
          <w:p w14:paraId="154D666E" w14:textId="534769E6" w:rsidR="00D833D7" w:rsidRPr="0024746B" w:rsidRDefault="00D833D7" w:rsidP="00E32EA4">
            <w:pPr>
              <w:keepNext/>
              <w:jc w:val="left"/>
              <w:rPr>
                <w:b/>
                <w:bCs/>
                <w:sz w:val="16"/>
                <w:szCs w:val="16"/>
              </w:rPr>
            </w:pPr>
          </w:p>
          <w:p w14:paraId="6B330943" w14:textId="77777777" w:rsidR="00D833D7" w:rsidRPr="0024746B" w:rsidRDefault="00D833D7" w:rsidP="00E32EA4">
            <w:pPr>
              <w:keepNext/>
              <w:jc w:val="left"/>
              <w:rPr>
                <w:b/>
                <w:sz w:val="16"/>
                <w:szCs w:val="16"/>
              </w:rPr>
            </w:pPr>
          </w:p>
        </w:tc>
        <w:tc>
          <w:tcPr>
            <w:tcW w:w="226" w:type="pct"/>
            <w:shd w:val="clear" w:color="auto" w:fill="auto"/>
            <w:tcPrChange w:id="254" w:author="Iva Chervenkova" w:date="2024-07-03T11:12:00Z">
              <w:tcPr>
                <w:tcW w:w="226" w:type="pct"/>
                <w:gridSpan w:val="2"/>
                <w:shd w:val="clear" w:color="auto" w:fill="auto"/>
              </w:tcPr>
            </w:tcPrChange>
          </w:tcPr>
          <w:p w14:paraId="651D67CC" w14:textId="77777777" w:rsidR="00D833D7" w:rsidRPr="0024746B" w:rsidRDefault="00D833D7" w:rsidP="00357E83">
            <w:pPr>
              <w:keepNext/>
              <w:jc w:val="left"/>
              <w:rPr>
                <w:b/>
                <w:sz w:val="16"/>
                <w:szCs w:val="16"/>
                <w:lang w:val="bg-BG"/>
              </w:rPr>
            </w:pPr>
            <w:r w:rsidRPr="0024746B">
              <w:rPr>
                <w:b/>
                <w:sz w:val="16"/>
                <w:szCs w:val="16"/>
                <w:lang w:val="bg-BG"/>
              </w:rPr>
              <w:t>86,233317880</w:t>
            </w:r>
          </w:p>
          <w:p w14:paraId="77ED2EEC" w14:textId="77777777" w:rsidR="00D833D7" w:rsidRPr="0024746B" w:rsidRDefault="00D833D7" w:rsidP="000F080F">
            <w:pPr>
              <w:keepNext/>
              <w:jc w:val="left"/>
              <w:rPr>
                <w:b/>
                <w:sz w:val="16"/>
                <w:szCs w:val="16"/>
                <w:lang w:val="bg-BG"/>
              </w:rPr>
            </w:pPr>
          </w:p>
          <w:p w14:paraId="3EC56EE3" w14:textId="72BAFFF1" w:rsidR="00D833D7" w:rsidRPr="0024746B" w:rsidRDefault="00D833D7" w:rsidP="000F080F">
            <w:pPr>
              <w:keepNext/>
              <w:jc w:val="left"/>
              <w:rPr>
                <w:b/>
                <w:sz w:val="16"/>
                <w:szCs w:val="16"/>
                <w:lang w:val="bg-BG"/>
              </w:rPr>
            </w:pPr>
          </w:p>
          <w:p w14:paraId="42FE1543" w14:textId="26316E3B" w:rsidR="00D833D7" w:rsidRPr="0024746B" w:rsidRDefault="00D833D7" w:rsidP="00E32EA4">
            <w:pPr>
              <w:keepNext/>
              <w:jc w:val="left"/>
              <w:rPr>
                <w:b/>
                <w:sz w:val="16"/>
                <w:szCs w:val="16"/>
              </w:rPr>
            </w:pPr>
            <w:r w:rsidRPr="0024746B">
              <w:rPr>
                <w:b/>
                <w:sz w:val="16"/>
                <w:szCs w:val="16"/>
              </w:rPr>
              <w:t xml:space="preserve"> %</w:t>
            </w:r>
          </w:p>
          <w:p w14:paraId="6DB07972" w14:textId="77777777" w:rsidR="00D833D7" w:rsidRPr="0024746B" w:rsidRDefault="00D833D7" w:rsidP="00E32EA4">
            <w:pPr>
              <w:jc w:val="left"/>
              <w:rPr>
                <w:sz w:val="16"/>
                <w:szCs w:val="16"/>
              </w:rPr>
            </w:pPr>
          </w:p>
        </w:tc>
        <w:tc>
          <w:tcPr>
            <w:tcW w:w="278" w:type="pct"/>
            <w:tcPrChange w:id="255" w:author="Iva Chervenkova" w:date="2024-07-03T11:12:00Z">
              <w:tcPr>
                <w:tcW w:w="164" w:type="pct"/>
                <w:gridSpan w:val="2"/>
              </w:tcPr>
            </w:tcPrChange>
          </w:tcPr>
          <w:p w14:paraId="7A980360" w14:textId="77777777" w:rsidR="00D833D7" w:rsidRPr="0024746B" w:rsidRDefault="00D833D7" w:rsidP="00E32EA4">
            <w:pPr>
              <w:jc w:val="left"/>
              <w:rPr>
                <w:sz w:val="16"/>
                <w:szCs w:val="16"/>
              </w:rPr>
            </w:pPr>
          </w:p>
        </w:tc>
        <w:tc>
          <w:tcPr>
            <w:tcW w:w="182" w:type="pct"/>
            <w:shd w:val="clear" w:color="auto" w:fill="auto"/>
            <w:tcPrChange w:id="256" w:author="Iva Chervenkova" w:date="2024-07-03T11:12:00Z">
              <w:tcPr>
                <w:tcW w:w="251" w:type="pct"/>
                <w:gridSpan w:val="2"/>
                <w:shd w:val="clear" w:color="auto" w:fill="auto"/>
              </w:tcPr>
            </w:tcPrChange>
          </w:tcPr>
          <w:p w14:paraId="262FF5DD" w14:textId="07664CAB" w:rsidR="00D833D7" w:rsidRPr="0024746B" w:rsidRDefault="00D833D7" w:rsidP="00E32EA4">
            <w:pPr>
              <w:jc w:val="left"/>
              <w:rPr>
                <w:sz w:val="16"/>
                <w:szCs w:val="16"/>
              </w:rPr>
            </w:pPr>
          </w:p>
        </w:tc>
        <w:tc>
          <w:tcPr>
            <w:tcW w:w="364" w:type="pct"/>
            <w:tcPrChange w:id="257" w:author="Iva Chervenkova" w:date="2024-07-03T11:12:00Z">
              <w:tcPr>
                <w:tcW w:w="316" w:type="pct"/>
                <w:gridSpan w:val="2"/>
              </w:tcPr>
            </w:tcPrChange>
          </w:tcPr>
          <w:p w14:paraId="3CEAECCA" w14:textId="77777777" w:rsidR="00D833D7" w:rsidRPr="0024746B" w:rsidRDefault="00D833D7" w:rsidP="00E32EA4">
            <w:pPr>
              <w:keepNext/>
              <w:jc w:val="left"/>
              <w:rPr>
                <w:b/>
                <w:sz w:val="16"/>
                <w:szCs w:val="16"/>
              </w:rPr>
            </w:pPr>
            <w:r w:rsidRPr="0024746B">
              <w:rPr>
                <w:b/>
                <w:sz w:val="16"/>
                <w:szCs w:val="16"/>
              </w:rPr>
              <w:t xml:space="preserve">1 424 488 138,00 </w:t>
            </w:r>
          </w:p>
          <w:p w14:paraId="1B8ACF03" w14:textId="77777777" w:rsidR="00D833D7" w:rsidRPr="0024746B" w:rsidRDefault="00D833D7" w:rsidP="00E32EA4">
            <w:pPr>
              <w:keepNext/>
              <w:jc w:val="left"/>
              <w:rPr>
                <w:b/>
                <w:sz w:val="16"/>
                <w:szCs w:val="16"/>
              </w:rPr>
            </w:pPr>
          </w:p>
          <w:p w14:paraId="791AB4F4" w14:textId="77777777" w:rsidR="00D833D7" w:rsidRPr="0024746B" w:rsidRDefault="00D833D7" w:rsidP="00E32EA4">
            <w:pPr>
              <w:keepNext/>
              <w:jc w:val="left"/>
              <w:rPr>
                <w:sz w:val="16"/>
                <w:szCs w:val="16"/>
              </w:rPr>
            </w:pPr>
          </w:p>
        </w:tc>
        <w:tc>
          <w:tcPr>
            <w:tcW w:w="310" w:type="pct"/>
            <w:tcPrChange w:id="258" w:author="Iva Chervenkova" w:date="2024-07-03T11:12:00Z">
              <w:tcPr>
                <w:tcW w:w="403" w:type="pct"/>
                <w:gridSpan w:val="2"/>
              </w:tcPr>
            </w:tcPrChange>
          </w:tcPr>
          <w:p w14:paraId="129447DA" w14:textId="77777777" w:rsidR="00D833D7" w:rsidRPr="0024746B" w:rsidRDefault="00D833D7" w:rsidP="006809E2">
            <w:pPr>
              <w:keepNext/>
              <w:jc w:val="left"/>
              <w:rPr>
                <w:b/>
                <w:sz w:val="16"/>
                <w:szCs w:val="16"/>
                <w:lang w:val="bg-BG"/>
              </w:rPr>
            </w:pPr>
            <w:r w:rsidRPr="0024746B">
              <w:rPr>
                <w:b/>
                <w:sz w:val="16"/>
                <w:szCs w:val="16"/>
                <w:lang w:val="bg-BG"/>
              </w:rPr>
              <w:t>229 156 387,00</w:t>
            </w:r>
          </w:p>
          <w:p w14:paraId="2CF4FEF2" w14:textId="77777777" w:rsidR="00D833D7" w:rsidRPr="0024746B" w:rsidRDefault="00D833D7" w:rsidP="00EF1701">
            <w:pPr>
              <w:keepNext/>
              <w:jc w:val="left"/>
              <w:rPr>
                <w:b/>
                <w:sz w:val="16"/>
                <w:szCs w:val="16"/>
                <w:lang w:val="bg-BG"/>
              </w:rPr>
            </w:pPr>
          </w:p>
          <w:p w14:paraId="582FFEAD" w14:textId="358A3C0B" w:rsidR="00D833D7" w:rsidRPr="0024746B" w:rsidRDefault="00D833D7" w:rsidP="00EF1701">
            <w:pPr>
              <w:keepNext/>
              <w:jc w:val="left"/>
              <w:rPr>
                <w:b/>
                <w:sz w:val="16"/>
                <w:szCs w:val="16"/>
                <w:lang w:val="bg-BG"/>
              </w:rPr>
            </w:pPr>
          </w:p>
          <w:p w14:paraId="1C259E2D" w14:textId="77777777" w:rsidR="00D833D7" w:rsidRPr="0024746B" w:rsidRDefault="00D833D7" w:rsidP="00764273">
            <w:pPr>
              <w:keepNext/>
              <w:jc w:val="left"/>
              <w:rPr>
                <w:b/>
                <w:sz w:val="16"/>
                <w:szCs w:val="16"/>
                <w:lang w:val="bg-BG"/>
              </w:rPr>
            </w:pPr>
          </w:p>
          <w:p w14:paraId="15E58F94" w14:textId="132E3450" w:rsidR="00D833D7" w:rsidRPr="0024746B" w:rsidRDefault="00D833D7" w:rsidP="00764273">
            <w:pPr>
              <w:keepNext/>
              <w:jc w:val="left"/>
              <w:rPr>
                <w:b/>
                <w:sz w:val="16"/>
                <w:szCs w:val="16"/>
                <w:lang w:val="bg-BG"/>
              </w:rPr>
            </w:pPr>
          </w:p>
          <w:p w14:paraId="6F2222F5" w14:textId="4E881B20" w:rsidR="00D833D7" w:rsidRPr="0024746B" w:rsidRDefault="00D833D7" w:rsidP="00764273">
            <w:pPr>
              <w:keepNext/>
              <w:jc w:val="left"/>
              <w:rPr>
                <w:sz w:val="16"/>
                <w:szCs w:val="16"/>
              </w:rPr>
            </w:pPr>
          </w:p>
        </w:tc>
        <w:tc>
          <w:tcPr>
            <w:tcW w:w="361" w:type="pct"/>
            <w:tcPrChange w:id="259" w:author="Iva Chervenkova" w:date="2024-07-03T11:12:00Z">
              <w:tcPr>
                <w:tcW w:w="361" w:type="pct"/>
              </w:tcPr>
            </w:tcPrChange>
          </w:tcPr>
          <w:p w14:paraId="6F655572" w14:textId="77777777" w:rsidR="00D833D7" w:rsidRPr="005628FE" w:rsidRDefault="00D833D7" w:rsidP="00E32EA4">
            <w:pPr>
              <w:keepNext/>
              <w:jc w:val="left"/>
              <w:rPr>
                <w:b/>
                <w:sz w:val="16"/>
                <w:szCs w:val="16"/>
              </w:rPr>
            </w:pPr>
            <w:r w:rsidRPr="00A828C5">
              <w:rPr>
                <w:b/>
                <w:sz w:val="16"/>
                <w:szCs w:val="16"/>
              </w:rPr>
              <w:t>96 266</w:t>
            </w:r>
            <w:r>
              <w:rPr>
                <w:b/>
                <w:sz w:val="16"/>
                <w:szCs w:val="16"/>
              </w:rPr>
              <w:t> </w:t>
            </w:r>
            <w:r w:rsidRPr="005628FE">
              <w:rPr>
                <w:b/>
                <w:sz w:val="16"/>
                <w:szCs w:val="16"/>
              </w:rPr>
              <w:t>95</w:t>
            </w:r>
            <w:r>
              <w:rPr>
                <w:b/>
                <w:sz w:val="16"/>
                <w:szCs w:val="16"/>
              </w:rPr>
              <w:t>2.00</w:t>
            </w:r>
          </w:p>
          <w:p w14:paraId="2CD97698" w14:textId="77777777" w:rsidR="00D833D7" w:rsidRPr="00BA2131" w:rsidRDefault="00D833D7" w:rsidP="00E32EA4">
            <w:pPr>
              <w:jc w:val="left"/>
              <w:rPr>
                <w:sz w:val="16"/>
                <w:szCs w:val="16"/>
              </w:rPr>
            </w:pPr>
          </w:p>
        </w:tc>
        <w:tc>
          <w:tcPr>
            <w:tcW w:w="285" w:type="pct"/>
            <w:tcPrChange w:id="260" w:author="Iva Chervenkova" w:date="2024-07-03T11:12:00Z">
              <w:tcPr>
                <w:tcW w:w="285" w:type="pct"/>
              </w:tcPr>
            </w:tcPrChange>
          </w:tcPr>
          <w:p w14:paraId="1D8BFAAA" w14:textId="77777777" w:rsidR="00D833D7" w:rsidRPr="009F72DF" w:rsidRDefault="00D833D7" w:rsidP="00E32EA4">
            <w:pPr>
              <w:keepNext/>
              <w:jc w:val="left"/>
              <w:rPr>
                <w:b/>
                <w:sz w:val="16"/>
                <w:szCs w:val="16"/>
              </w:rPr>
            </w:pPr>
            <w:r>
              <w:rPr>
                <w:b/>
                <w:sz w:val="16"/>
                <w:szCs w:val="16"/>
              </w:rPr>
              <w:t>16 988 286.00</w:t>
            </w:r>
          </w:p>
          <w:p w14:paraId="0E604D03" w14:textId="77777777" w:rsidR="00D833D7" w:rsidRPr="00A828C5" w:rsidRDefault="00D833D7" w:rsidP="00E32EA4">
            <w:pPr>
              <w:jc w:val="left"/>
              <w:rPr>
                <w:sz w:val="16"/>
                <w:szCs w:val="16"/>
              </w:rPr>
            </w:pPr>
          </w:p>
        </w:tc>
        <w:tc>
          <w:tcPr>
            <w:tcW w:w="226" w:type="pct"/>
            <w:tcPrChange w:id="261" w:author="Iva Chervenkova" w:date="2024-07-03T11:12:00Z">
              <w:tcPr>
                <w:tcW w:w="226" w:type="pct"/>
              </w:tcPr>
            </w:tcPrChange>
          </w:tcPr>
          <w:p w14:paraId="1F7722A4" w14:textId="1E1C162A" w:rsidR="00D833D7" w:rsidRPr="005628FE" w:rsidRDefault="00D833D7" w:rsidP="00E32EA4">
            <w:r w:rsidRPr="00BD2019">
              <w:rPr>
                <w:sz w:val="16"/>
                <w:szCs w:val="16"/>
              </w:rPr>
              <w:t>6.33</w:t>
            </w:r>
            <w:r w:rsidRPr="005628FE">
              <w:rPr>
                <w:sz w:val="16"/>
                <w:szCs w:val="16"/>
              </w:rPr>
              <w:t>%</w:t>
            </w:r>
          </w:p>
        </w:tc>
      </w:tr>
    </w:tbl>
    <w:p w14:paraId="0820583E" w14:textId="77777777" w:rsidR="00F1341F" w:rsidRPr="008340BB" w:rsidRDefault="00F1341F" w:rsidP="00F03C1E">
      <w:pPr>
        <w:spacing w:after="0"/>
        <w:rPr>
          <w:sz w:val="20"/>
        </w:rPr>
      </w:pPr>
    </w:p>
    <w:p w14:paraId="5BE5F9BF" w14:textId="77777777" w:rsidR="00F1341F" w:rsidRPr="008340BB" w:rsidRDefault="00F1341F" w:rsidP="00F03C1E">
      <w:pPr>
        <w:spacing w:after="0"/>
        <w:rPr>
          <w:sz w:val="20"/>
        </w:rPr>
      </w:pPr>
      <w:r w:rsidRPr="008340BB">
        <w:rPr>
          <w:sz w:val="20"/>
        </w:rPr>
        <w:t>(1)   To be completed only when priority axes are expressed in total costs.</w:t>
      </w:r>
    </w:p>
    <w:p w14:paraId="20AAE935" w14:textId="77777777" w:rsidR="00F1341F" w:rsidRPr="008340BB" w:rsidRDefault="00F1341F" w:rsidP="00F03C1E">
      <w:pPr>
        <w:spacing w:after="0"/>
        <w:rPr>
          <w:sz w:val="20"/>
        </w:rPr>
      </w:pPr>
      <w:r w:rsidRPr="008340BB">
        <w:rPr>
          <w:sz w:val="20"/>
        </w:rPr>
        <w:t>(2)   This rate may be rounded to the nearest whole number in the table. The precise rate used to reimburse payments is the ratio (f).</w:t>
      </w:r>
    </w:p>
    <w:p w14:paraId="57C16168" w14:textId="77777777" w:rsidR="00F1341F" w:rsidRPr="008340BB" w:rsidRDefault="00F1341F">
      <w:pPr>
        <w:rPr>
          <w:b/>
          <w:szCs w:val="24"/>
        </w:rPr>
      </w:pPr>
    </w:p>
    <w:p w14:paraId="30C2B3BD" w14:textId="77777777" w:rsidR="00F1341F" w:rsidRPr="0067246B" w:rsidRDefault="00F1341F">
      <w:r w:rsidRPr="008340BB">
        <w:rPr>
          <w:b/>
          <w:szCs w:val="24"/>
        </w:rPr>
        <w:br w:type="page"/>
      </w:r>
      <w:r w:rsidRPr="008340BB">
        <w:rPr>
          <w:b/>
          <w:szCs w:val="24"/>
        </w:rPr>
        <w:lastRenderedPageBreak/>
        <w:t xml:space="preserve">Table 18B: </w:t>
      </w:r>
      <w:r w:rsidRPr="008340BB">
        <w:rPr>
          <w:b/>
          <w:szCs w:val="24"/>
        </w:rPr>
        <w:tab/>
        <w:t>Youth Employment Initiative – ESF- and YEI</w:t>
      </w:r>
      <w:r w:rsidRPr="008340BB">
        <w:rPr>
          <w:b/>
          <w:szCs w:val="24"/>
        </w:rPr>
        <w:noBreakHyphen/>
        <w:t>specific allocations</w:t>
      </w:r>
      <w:r w:rsidRPr="008340BB">
        <w:rPr>
          <w:rStyle w:val="FootnoteReference"/>
          <w:b/>
          <w:szCs w:val="24"/>
        </w:rPr>
        <w:footnoteReference w:id="85"/>
      </w:r>
      <w:r w:rsidRPr="008340BB">
        <w:rPr>
          <w:b/>
          <w:szCs w:val="24"/>
        </w:rPr>
        <w:t xml:space="preserve"> (where appropriate)</w:t>
      </w:r>
    </w:p>
    <w:p w14:paraId="38763526" w14:textId="77777777" w:rsidR="00F1341F" w:rsidRPr="00020ADD" w:rsidRDefault="00F1341F" w:rsidP="00846E0C">
      <w:pPr>
        <w:jc w:val="left"/>
      </w:pPr>
      <w:r w:rsidRPr="00020ADD">
        <w:t>Not applicable.</w:t>
      </w:r>
    </w:p>
    <w:p w14:paraId="29E1C454" w14:textId="77777777" w:rsidR="00F1341F" w:rsidRPr="00020ADD" w:rsidRDefault="00F1341F" w:rsidP="00846E0C">
      <w:pPr>
        <w:jc w:val="left"/>
      </w:pPr>
    </w:p>
    <w:p w14:paraId="553595F8" w14:textId="77777777" w:rsidR="00F1341F" w:rsidRPr="00020ADD" w:rsidRDefault="00F1341F" w:rsidP="00846E0C">
      <w:pPr>
        <w:jc w:val="left"/>
        <w:rPr>
          <w:b/>
        </w:rPr>
      </w:pPr>
      <w:r w:rsidRPr="000D1D51">
        <w:rPr>
          <w:b/>
        </w:rPr>
        <w:t>Table 18C:</w:t>
      </w:r>
      <w:r w:rsidRPr="00020ADD">
        <w:rPr>
          <w:b/>
        </w:rPr>
        <w:tab/>
        <w:t xml:space="preserve">Breakdown of the financial plan by priority axis, fund, category of region and thematic objective </w:t>
      </w:r>
    </w:p>
    <w:p w14:paraId="03C72191" w14:textId="77777777" w:rsidR="00F1341F" w:rsidRPr="00B5130A" w:rsidRDefault="00F1341F" w:rsidP="00261A02">
      <w:r w:rsidRPr="00DC0475">
        <w:t>(Reference: point (d)(ii) of the first subparagraph of Article 96(2) of Regulation (EU)</w:t>
      </w:r>
      <w:r w:rsidRPr="00B5130A">
        <w:t xml:space="preserve"> No 1303/2013)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0"/>
        <w:gridCol w:w="1816"/>
        <w:gridCol w:w="2360"/>
        <w:gridCol w:w="2307"/>
        <w:gridCol w:w="2177"/>
        <w:gridCol w:w="2254"/>
        <w:gridCol w:w="2094"/>
      </w:tblGrid>
      <w:tr w:rsidR="00E21D7F" w:rsidRPr="008340BB" w14:paraId="553541D4" w14:textId="77777777" w:rsidTr="001B2954">
        <w:tc>
          <w:tcPr>
            <w:tcW w:w="602" w:type="pct"/>
          </w:tcPr>
          <w:p w14:paraId="095F5C52" w14:textId="77777777" w:rsidR="00F1341F" w:rsidRPr="00BA2131" w:rsidRDefault="00F1341F" w:rsidP="001B2954">
            <w:pPr>
              <w:spacing w:before="60" w:after="60"/>
              <w:rPr>
                <w:b/>
                <w:sz w:val="20"/>
              </w:rPr>
            </w:pPr>
            <w:r w:rsidRPr="00BA2131">
              <w:rPr>
                <w:b/>
                <w:sz w:val="20"/>
              </w:rPr>
              <w:t>Priority axis</w:t>
            </w:r>
          </w:p>
        </w:tc>
        <w:tc>
          <w:tcPr>
            <w:tcW w:w="614" w:type="pct"/>
          </w:tcPr>
          <w:p w14:paraId="2A656273" w14:textId="77777777" w:rsidR="00F1341F" w:rsidRPr="008340BB" w:rsidRDefault="00F1341F" w:rsidP="001B2954">
            <w:pPr>
              <w:spacing w:before="60" w:after="60"/>
              <w:rPr>
                <w:b/>
                <w:sz w:val="20"/>
              </w:rPr>
            </w:pPr>
            <w:r w:rsidRPr="00A828C5">
              <w:rPr>
                <w:b/>
                <w:sz w:val="20"/>
              </w:rPr>
              <w:t>Fund</w:t>
            </w:r>
            <w:r w:rsidRPr="008340BB">
              <w:rPr>
                <w:rStyle w:val="FootnoteReference"/>
                <w:b/>
                <w:sz w:val="20"/>
              </w:rPr>
              <w:footnoteReference w:id="86"/>
            </w:r>
          </w:p>
        </w:tc>
        <w:tc>
          <w:tcPr>
            <w:tcW w:w="798" w:type="pct"/>
          </w:tcPr>
          <w:p w14:paraId="0E7E9326" w14:textId="77777777" w:rsidR="00F1341F" w:rsidRPr="0067246B" w:rsidRDefault="00F1341F" w:rsidP="001B2954">
            <w:pPr>
              <w:spacing w:before="60" w:after="60"/>
              <w:rPr>
                <w:b/>
                <w:sz w:val="20"/>
              </w:rPr>
            </w:pPr>
            <w:r w:rsidRPr="0067246B">
              <w:rPr>
                <w:b/>
                <w:sz w:val="20"/>
              </w:rPr>
              <w:t>Category of region</w:t>
            </w:r>
          </w:p>
        </w:tc>
        <w:tc>
          <w:tcPr>
            <w:tcW w:w="780" w:type="pct"/>
          </w:tcPr>
          <w:p w14:paraId="28DFC337" w14:textId="77777777" w:rsidR="00F1341F" w:rsidRPr="00020ADD" w:rsidRDefault="00F1341F" w:rsidP="001B2954">
            <w:pPr>
              <w:spacing w:before="60" w:after="60"/>
              <w:rPr>
                <w:b/>
                <w:sz w:val="20"/>
              </w:rPr>
            </w:pPr>
            <w:r w:rsidRPr="00020ADD">
              <w:rPr>
                <w:b/>
                <w:sz w:val="20"/>
              </w:rPr>
              <w:t>Thematic objective</w:t>
            </w:r>
          </w:p>
        </w:tc>
        <w:tc>
          <w:tcPr>
            <w:tcW w:w="736" w:type="pct"/>
          </w:tcPr>
          <w:p w14:paraId="2B50E77A" w14:textId="77777777" w:rsidR="00F1341F" w:rsidRPr="00020ADD" w:rsidRDefault="00F1341F" w:rsidP="001B2954">
            <w:pPr>
              <w:pStyle w:val="Text1"/>
              <w:spacing w:before="60" w:after="60"/>
              <w:ind w:left="0"/>
              <w:rPr>
                <w:b/>
                <w:smallCaps/>
                <w:sz w:val="20"/>
                <w:lang w:val="en-GB" w:eastAsia="en-GB"/>
              </w:rPr>
            </w:pPr>
            <w:r w:rsidRPr="00020ADD">
              <w:rPr>
                <w:b/>
                <w:bCs/>
                <w:sz w:val="20"/>
                <w:lang w:val="en-GB" w:eastAsia="en-GB"/>
              </w:rPr>
              <w:t>Union support (in euro)</w:t>
            </w:r>
          </w:p>
        </w:tc>
        <w:tc>
          <w:tcPr>
            <w:tcW w:w="762" w:type="pct"/>
          </w:tcPr>
          <w:p w14:paraId="59CD0CA2" w14:textId="77777777" w:rsidR="00F1341F" w:rsidRPr="00B5130A" w:rsidRDefault="00F1341F" w:rsidP="001B2954">
            <w:pPr>
              <w:pStyle w:val="Text1"/>
              <w:spacing w:before="60" w:after="60"/>
              <w:ind w:left="0"/>
              <w:rPr>
                <w:b/>
                <w:smallCaps/>
                <w:sz w:val="20"/>
                <w:lang w:val="en-GB" w:eastAsia="en-GB"/>
              </w:rPr>
            </w:pPr>
            <w:r w:rsidRPr="00DC0475">
              <w:rPr>
                <w:b/>
                <w:bCs/>
                <w:sz w:val="20"/>
                <w:lang w:val="en-GB" w:eastAsia="en-GB"/>
              </w:rPr>
              <w:t>National counterpart (in euro)</w:t>
            </w:r>
          </w:p>
        </w:tc>
        <w:tc>
          <w:tcPr>
            <w:tcW w:w="708" w:type="pct"/>
          </w:tcPr>
          <w:p w14:paraId="2A6A9079" w14:textId="77777777" w:rsidR="00F1341F" w:rsidRPr="009F72DF" w:rsidRDefault="00F1341F" w:rsidP="001B2954">
            <w:pPr>
              <w:pStyle w:val="Text1"/>
              <w:spacing w:before="60" w:after="60"/>
              <w:ind w:left="0"/>
              <w:rPr>
                <w:b/>
                <w:smallCaps/>
                <w:sz w:val="20"/>
                <w:lang w:val="en-GB" w:eastAsia="en-GB"/>
              </w:rPr>
            </w:pPr>
            <w:r w:rsidRPr="00BA2131">
              <w:rPr>
                <w:b/>
                <w:bCs/>
                <w:sz w:val="20"/>
                <w:lang w:val="en-GB" w:eastAsia="en-GB"/>
              </w:rPr>
              <w:t>Total funding</w:t>
            </w:r>
          </w:p>
        </w:tc>
      </w:tr>
      <w:tr w:rsidR="000A41FC" w:rsidRPr="008340BB" w14:paraId="6EB14D80" w14:textId="77777777" w:rsidTr="000A41FC">
        <w:tc>
          <w:tcPr>
            <w:tcW w:w="602" w:type="pct"/>
          </w:tcPr>
          <w:p w14:paraId="772B53FA" w14:textId="3E955B8C" w:rsidR="000A41FC" w:rsidRPr="008340BB" w:rsidRDefault="000A41FC" w:rsidP="000A41FC">
            <w:pPr>
              <w:spacing w:before="60" w:after="60"/>
              <w:jc w:val="left"/>
              <w:rPr>
                <w:sz w:val="20"/>
              </w:rPr>
            </w:pPr>
            <w:r w:rsidRPr="008340BB">
              <w:rPr>
                <w:b/>
                <w:sz w:val="20"/>
              </w:rPr>
              <w:t xml:space="preserve">1. “Development of railway infrastructure along the „core” </w:t>
            </w:r>
            <w:r>
              <w:rPr>
                <w:b/>
                <w:sz w:val="20"/>
              </w:rPr>
              <w:t xml:space="preserve">and “comprehensive” </w:t>
            </w:r>
            <w:r w:rsidRPr="008340BB">
              <w:rPr>
                <w:b/>
                <w:sz w:val="20"/>
              </w:rPr>
              <w:t>Trans-European transport network”</w:t>
            </w:r>
          </w:p>
        </w:tc>
        <w:tc>
          <w:tcPr>
            <w:tcW w:w="614" w:type="pct"/>
          </w:tcPr>
          <w:p w14:paraId="5441A896" w14:textId="77777777" w:rsidR="000A41FC" w:rsidRPr="008340BB" w:rsidRDefault="000A41FC" w:rsidP="000A41FC">
            <w:pPr>
              <w:spacing w:before="60" w:after="60"/>
              <w:rPr>
                <w:sz w:val="20"/>
              </w:rPr>
            </w:pPr>
            <w:r w:rsidRPr="008340BB">
              <w:rPr>
                <w:sz w:val="20"/>
              </w:rPr>
              <w:t>Cohesion Fund</w:t>
            </w:r>
          </w:p>
        </w:tc>
        <w:tc>
          <w:tcPr>
            <w:tcW w:w="798" w:type="pct"/>
          </w:tcPr>
          <w:p w14:paraId="75ED6B9D" w14:textId="77777777" w:rsidR="000A41FC" w:rsidRPr="008340BB" w:rsidRDefault="000A41FC" w:rsidP="000A41FC">
            <w:pPr>
              <w:spacing w:before="60" w:after="60"/>
              <w:ind w:left="129"/>
              <w:rPr>
                <w:sz w:val="20"/>
              </w:rPr>
            </w:pPr>
            <w:r w:rsidRPr="008340BB">
              <w:rPr>
                <w:sz w:val="20"/>
              </w:rPr>
              <w:t>N/A</w:t>
            </w:r>
          </w:p>
        </w:tc>
        <w:tc>
          <w:tcPr>
            <w:tcW w:w="780" w:type="pct"/>
          </w:tcPr>
          <w:p w14:paraId="3046602B" w14:textId="77777777" w:rsidR="000A41FC" w:rsidRPr="008340BB" w:rsidRDefault="000A41FC" w:rsidP="000A41FC">
            <w:pPr>
              <w:spacing w:before="60" w:after="60"/>
              <w:ind w:left="35"/>
              <w:jc w:val="left"/>
              <w:rPr>
                <w:sz w:val="20"/>
              </w:rPr>
            </w:pPr>
            <w:r>
              <w:rPr>
                <w:sz w:val="20"/>
              </w:rPr>
              <w:t>TO</w:t>
            </w:r>
            <w:r w:rsidRPr="008340BB">
              <w:rPr>
                <w:sz w:val="20"/>
              </w:rPr>
              <w:t xml:space="preserve"> 7</w:t>
            </w:r>
          </w:p>
        </w:tc>
        <w:tc>
          <w:tcPr>
            <w:tcW w:w="736" w:type="pct"/>
            <w:shd w:val="clear" w:color="auto" w:fill="auto"/>
          </w:tcPr>
          <w:p w14:paraId="1379A50A" w14:textId="77777777" w:rsidR="009E43AE" w:rsidRPr="0024746B" w:rsidRDefault="009E43AE" w:rsidP="009E43AE">
            <w:pPr>
              <w:spacing w:before="60" w:after="60"/>
              <w:ind w:left="-15"/>
              <w:rPr>
                <w:b/>
                <w:bCs/>
                <w:smallCaps/>
                <w:sz w:val="20"/>
                <w:szCs w:val="22"/>
                <w:lang w:val="bg-BG" w:eastAsia="bg-BG"/>
              </w:rPr>
            </w:pPr>
            <w:r w:rsidRPr="0024746B">
              <w:rPr>
                <w:b/>
                <w:bCs/>
                <w:smallCaps/>
                <w:sz w:val="20"/>
                <w:szCs w:val="22"/>
                <w:lang w:val="bg-BG" w:eastAsia="bg-BG"/>
              </w:rPr>
              <w:t>480 354 023,00</w:t>
            </w:r>
          </w:p>
          <w:p w14:paraId="3B11D7C4" w14:textId="77777777" w:rsidR="009E43AE" w:rsidRPr="0024746B" w:rsidRDefault="009E43AE" w:rsidP="00D74B71">
            <w:pPr>
              <w:pStyle w:val="Text1"/>
              <w:ind w:left="0"/>
              <w:rPr>
                <w:b/>
                <w:bCs/>
                <w:smallCaps/>
                <w:sz w:val="20"/>
                <w:lang w:val="x-none"/>
              </w:rPr>
            </w:pPr>
          </w:p>
          <w:p w14:paraId="0B727A9A" w14:textId="1377343B" w:rsidR="00D74B71" w:rsidRPr="0024746B" w:rsidRDefault="00D74B71" w:rsidP="00D74B71">
            <w:pPr>
              <w:pStyle w:val="Text1"/>
              <w:ind w:left="0"/>
              <w:rPr>
                <w:b/>
                <w:bCs/>
                <w:smallCaps/>
                <w:sz w:val="20"/>
                <w:lang w:val="x-none"/>
              </w:rPr>
            </w:pPr>
          </w:p>
          <w:p w14:paraId="437D61C6" w14:textId="3E1E086A" w:rsidR="000A41FC" w:rsidRPr="0024746B" w:rsidRDefault="000A41FC" w:rsidP="000A41FC">
            <w:pPr>
              <w:pStyle w:val="Text1"/>
              <w:spacing w:before="60" w:after="60"/>
              <w:ind w:left="0"/>
              <w:rPr>
                <w:b/>
                <w:smallCaps/>
                <w:sz w:val="20"/>
                <w:lang w:eastAsia="en-GB"/>
              </w:rPr>
            </w:pPr>
            <w:r w:rsidRPr="0024746B">
              <w:rPr>
                <w:b/>
                <w:smallCaps/>
                <w:sz w:val="20"/>
                <w:lang w:val="en-GB" w:eastAsia="en-GB"/>
              </w:rPr>
              <w:t xml:space="preserve">       </w:t>
            </w:r>
            <w:r w:rsidRPr="0024746B">
              <w:rPr>
                <w:b/>
                <w:smallCaps/>
                <w:sz w:val="20"/>
                <w:lang w:eastAsia="en-GB"/>
              </w:rPr>
              <w:t xml:space="preserve"> </w:t>
            </w:r>
          </w:p>
          <w:p w14:paraId="16E42E76" w14:textId="3CD809CD" w:rsidR="000A41FC" w:rsidRPr="0024746B" w:rsidRDefault="000A41FC" w:rsidP="000A41FC">
            <w:pPr>
              <w:pStyle w:val="Text1"/>
              <w:spacing w:before="60" w:after="60"/>
              <w:ind w:left="0"/>
              <w:rPr>
                <w:b/>
                <w:smallCaps/>
                <w:sz w:val="20"/>
                <w:lang w:val="en-GB" w:eastAsia="en-GB"/>
              </w:rPr>
            </w:pPr>
          </w:p>
        </w:tc>
        <w:tc>
          <w:tcPr>
            <w:tcW w:w="762" w:type="pct"/>
            <w:shd w:val="clear" w:color="auto" w:fill="auto"/>
          </w:tcPr>
          <w:p w14:paraId="30500EF0" w14:textId="77777777" w:rsidR="00063A72" w:rsidRPr="0024746B" w:rsidRDefault="00063A72" w:rsidP="00063A72">
            <w:pPr>
              <w:spacing w:before="60" w:after="60"/>
              <w:ind w:left="25"/>
              <w:rPr>
                <w:b/>
                <w:smallCaps/>
                <w:sz w:val="20"/>
                <w:szCs w:val="22"/>
                <w:lang w:val="bg-BG" w:eastAsia="bg-BG"/>
              </w:rPr>
            </w:pPr>
            <w:r w:rsidRPr="0024746B">
              <w:rPr>
                <w:b/>
                <w:smallCaps/>
                <w:sz w:val="20"/>
                <w:szCs w:val="22"/>
                <w:lang w:val="bg-BG" w:eastAsia="bg-BG"/>
              </w:rPr>
              <w:t>84 768 357,00</w:t>
            </w:r>
          </w:p>
          <w:p w14:paraId="577EF48A" w14:textId="77777777" w:rsidR="00063A72" w:rsidRPr="0024746B" w:rsidRDefault="00063A72" w:rsidP="00D74B71">
            <w:pPr>
              <w:pStyle w:val="Text1"/>
              <w:ind w:left="0"/>
              <w:rPr>
                <w:b/>
                <w:smallCaps/>
                <w:sz w:val="20"/>
                <w:lang w:val="x-none"/>
              </w:rPr>
            </w:pPr>
          </w:p>
          <w:p w14:paraId="73852050" w14:textId="5C8A2D79" w:rsidR="00D74B71" w:rsidRPr="0024746B" w:rsidRDefault="00D74B71" w:rsidP="00D74B71">
            <w:pPr>
              <w:pStyle w:val="Text1"/>
              <w:ind w:left="0"/>
              <w:rPr>
                <w:b/>
                <w:smallCaps/>
                <w:sz w:val="20"/>
                <w:lang w:val="x-none"/>
              </w:rPr>
            </w:pPr>
          </w:p>
          <w:p w14:paraId="3C1CB369" w14:textId="3BFF6C66" w:rsidR="000A41FC" w:rsidRPr="0024746B" w:rsidRDefault="000A41FC" w:rsidP="000A41FC">
            <w:pPr>
              <w:pStyle w:val="Text1"/>
              <w:spacing w:before="60" w:after="60"/>
              <w:ind w:left="0"/>
              <w:rPr>
                <w:b/>
                <w:smallCaps/>
                <w:sz w:val="20"/>
              </w:rPr>
            </w:pPr>
          </w:p>
          <w:p w14:paraId="391B5626" w14:textId="77777777" w:rsidR="000A41FC" w:rsidRPr="0024746B" w:rsidRDefault="000A41FC" w:rsidP="000A41FC">
            <w:pPr>
              <w:pStyle w:val="Text1"/>
              <w:spacing w:before="60" w:after="60"/>
              <w:ind w:left="0"/>
              <w:rPr>
                <w:b/>
                <w:smallCaps/>
                <w:sz w:val="20"/>
                <w:lang w:val="en-GB" w:eastAsia="en-GB"/>
              </w:rPr>
            </w:pPr>
          </w:p>
        </w:tc>
        <w:tc>
          <w:tcPr>
            <w:tcW w:w="708" w:type="pct"/>
            <w:shd w:val="clear" w:color="auto" w:fill="auto"/>
          </w:tcPr>
          <w:p w14:paraId="7DE27353" w14:textId="77777777" w:rsidR="003408E6" w:rsidRPr="0024746B" w:rsidRDefault="003408E6" w:rsidP="003408E6">
            <w:pPr>
              <w:spacing w:before="60" w:after="60"/>
              <w:rPr>
                <w:b/>
                <w:smallCaps/>
                <w:sz w:val="20"/>
                <w:szCs w:val="22"/>
                <w:lang w:val="bg-BG" w:eastAsia="bg-BG"/>
              </w:rPr>
            </w:pPr>
            <w:r w:rsidRPr="0024746B">
              <w:rPr>
                <w:b/>
                <w:smallCaps/>
                <w:sz w:val="20"/>
                <w:szCs w:val="22"/>
                <w:lang w:val="bg-BG" w:eastAsia="bg-BG"/>
              </w:rPr>
              <w:t>565 122 380,00</w:t>
            </w:r>
          </w:p>
          <w:p w14:paraId="7A0C3A74" w14:textId="77777777" w:rsidR="003408E6" w:rsidRPr="0024746B" w:rsidRDefault="003408E6" w:rsidP="00D74B71">
            <w:pPr>
              <w:pStyle w:val="Text1"/>
              <w:ind w:left="-45"/>
              <w:rPr>
                <w:b/>
                <w:smallCaps/>
                <w:sz w:val="20"/>
                <w:lang w:val="x-none"/>
              </w:rPr>
            </w:pPr>
          </w:p>
          <w:p w14:paraId="50795471" w14:textId="63C1089A" w:rsidR="00D74B71" w:rsidRPr="0024746B" w:rsidRDefault="00D74B71" w:rsidP="00D74B71">
            <w:pPr>
              <w:pStyle w:val="Text1"/>
              <w:ind w:left="-45"/>
              <w:rPr>
                <w:b/>
                <w:smallCaps/>
                <w:sz w:val="20"/>
                <w:lang w:val="x-none"/>
              </w:rPr>
            </w:pPr>
          </w:p>
          <w:p w14:paraId="1B29B7E2" w14:textId="7F73F374" w:rsidR="000A41FC" w:rsidRPr="0024746B" w:rsidRDefault="000A41FC" w:rsidP="000A41FC">
            <w:pPr>
              <w:pStyle w:val="Text1"/>
              <w:spacing w:before="60" w:after="60"/>
              <w:ind w:left="0"/>
              <w:rPr>
                <w:b/>
                <w:smallCaps/>
                <w:sz w:val="20"/>
              </w:rPr>
            </w:pPr>
          </w:p>
          <w:p w14:paraId="60F9EACB" w14:textId="5BE3B0D9" w:rsidR="000A41FC" w:rsidRPr="0024746B" w:rsidRDefault="000A41FC" w:rsidP="000A41FC">
            <w:pPr>
              <w:pStyle w:val="Text1"/>
              <w:spacing w:before="60" w:after="60"/>
              <w:ind w:left="0"/>
              <w:rPr>
                <w:b/>
                <w:smallCaps/>
                <w:sz w:val="20"/>
                <w:lang w:val="en-GB" w:eastAsia="en-GB"/>
              </w:rPr>
            </w:pPr>
            <w:r w:rsidRPr="0024746B">
              <w:rPr>
                <w:b/>
                <w:smallCaps/>
                <w:sz w:val="20"/>
                <w:lang w:eastAsia="en-GB"/>
              </w:rPr>
              <w:t xml:space="preserve"> </w:t>
            </w:r>
          </w:p>
        </w:tc>
      </w:tr>
      <w:tr w:rsidR="00D6681D" w:rsidRPr="008340BB" w14:paraId="769266A4" w14:textId="77777777" w:rsidTr="000D3176">
        <w:tc>
          <w:tcPr>
            <w:tcW w:w="602" w:type="pct"/>
          </w:tcPr>
          <w:p w14:paraId="22F72CF3" w14:textId="51AFB512" w:rsidR="00D6681D" w:rsidRPr="008340BB" w:rsidRDefault="00D6681D" w:rsidP="00D6681D">
            <w:pPr>
              <w:spacing w:before="60" w:after="60"/>
              <w:jc w:val="left"/>
              <w:rPr>
                <w:sz w:val="20"/>
              </w:rPr>
            </w:pPr>
            <w:r w:rsidRPr="008340BB">
              <w:rPr>
                <w:b/>
                <w:sz w:val="20"/>
              </w:rPr>
              <w:t>2. “Development of road infrastructure along the „core”</w:t>
            </w:r>
            <w:r w:rsidRPr="008340BB">
              <w:rPr>
                <w:b/>
                <w:color w:val="FFFFFF"/>
                <w:sz w:val="20"/>
              </w:rPr>
              <w:t xml:space="preserve"> </w:t>
            </w:r>
            <w:r w:rsidRPr="00DE3E40">
              <w:rPr>
                <w:b/>
                <w:sz w:val="20"/>
              </w:rPr>
              <w:t>and “comprehensive”</w:t>
            </w:r>
            <w:r w:rsidRPr="007C4E8B">
              <w:rPr>
                <w:b/>
                <w:sz w:val="20"/>
              </w:rPr>
              <w:t xml:space="preserve"> </w:t>
            </w:r>
            <w:r w:rsidRPr="00DE3E40">
              <w:rPr>
                <w:b/>
                <w:sz w:val="20"/>
              </w:rPr>
              <w:t xml:space="preserve">Trans-European transport network” </w:t>
            </w:r>
          </w:p>
        </w:tc>
        <w:tc>
          <w:tcPr>
            <w:tcW w:w="614" w:type="pct"/>
          </w:tcPr>
          <w:p w14:paraId="7F842D15" w14:textId="77777777" w:rsidR="00D6681D" w:rsidRPr="008340BB" w:rsidRDefault="00D6681D" w:rsidP="00D6681D">
            <w:pPr>
              <w:spacing w:before="60" w:after="60"/>
              <w:rPr>
                <w:sz w:val="20"/>
              </w:rPr>
            </w:pPr>
            <w:r w:rsidRPr="008340BB">
              <w:rPr>
                <w:sz w:val="20"/>
              </w:rPr>
              <w:t>Cohesion Fund</w:t>
            </w:r>
          </w:p>
        </w:tc>
        <w:tc>
          <w:tcPr>
            <w:tcW w:w="798" w:type="pct"/>
          </w:tcPr>
          <w:p w14:paraId="0CC2716C" w14:textId="77777777" w:rsidR="00D6681D" w:rsidRPr="008340BB" w:rsidRDefault="00D6681D" w:rsidP="00D6681D">
            <w:pPr>
              <w:spacing w:before="60" w:after="60"/>
              <w:ind w:left="128"/>
              <w:rPr>
                <w:sz w:val="20"/>
              </w:rPr>
            </w:pPr>
            <w:r w:rsidRPr="008340BB">
              <w:rPr>
                <w:sz w:val="20"/>
              </w:rPr>
              <w:t>N/A</w:t>
            </w:r>
          </w:p>
        </w:tc>
        <w:tc>
          <w:tcPr>
            <w:tcW w:w="780" w:type="pct"/>
          </w:tcPr>
          <w:p w14:paraId="1A85FA34" w14:textId="77777777" w:rsidR="00D6681D" w:rsidRPr="008340BB" w:rsidRDefault="00D6681D" w:rsidP="00D6681D">
            <w:pPr>
              <w:spacing w:before="60" w:after="60"/>
              <w:ind w:left="35"/>
              <w:jc w:val="left"/>
              <w:rPr>
                <w:sz w:val="20"/>
              </w:rPr>
            </w:pPr>
            <w:r>
              <w:rPr>
                <w:sz w:val="20"/>
              </w:rPr>
              <w:t>TO</w:t>
            </w:r>
            <w:r w:rsidRPr="008340BB">
              <w:rPr>
                <w:sz w:val="20"/>
              </w:rPr>
              <w:t xml:space="preserve"> 7</w:t>
            </w:r>
          </w:p>
        </w:tc>
        <w:tc>
          <w:tcPr>
            <w:tcW w:w="736" w:type="pct"/>
            <w:shd w:val="clear" w:color="auto" w:fill="auto"/>
          </w:tcPr>
          <w:p w14:paraId="64134261" w14:textId="77777777" w:rsidR="00D6681D" w:rsidRPr="0024746B" w:rsidRDefault="00D6681D" w:rsidP="00D6681D">
            <w:pPr>
              <w:pStyle w:val="Text1"/>
              <w:ind w:left="-15"/>
              <w:rPr>
                <w:b/>
                <w:bCs/>
                <w:smallCaps/>
                <w:sz w:val="20"/>
              </w:rPr>
            </w:pPr>
            <w:r w:rsidRPr="0024746B">
              <w:rPr>
                <w:b/>
                <w:bCs/>
                <w:smallCaps/>
                <w:sz w:val="20"/>
              </w:rPr>
              <w:t>461 289 311,00</w:t>
            </w:r>
          </w:p>
          <w:p w14:paraId="09BD0BD5" w14:textId="77777777" w:rsidR="00D6681D" w:rsidRPr="0024746B" w:rsidRDefault="00D6681D" w:rsidP="00D6681D">
            <w:pPr>
              <w:pStyle w:val="Text1"/>
              <w:ind w:left="0"/>
              <w:rPr>
                <w:b/>
                <w:smallCaps/>
                <w:sz w:val="20"/>
              </w:rPr>
            </w:pPr>
          </w:p>
          <w:p w14:paraId="20DC58B0" w14:textId="414AD3FD" w:rsidR="00D6681D" w:rsidRPr="0024746B" w:rsidRDefault="00D6681D" w:rsidP="00D6681D">
            <w:pPr>
              <w:pStyle w:val="Text1"/>
              <w:spacing w:before="60" w:after="60"/>
              <w:ind w:left="0"/>
              <w:rPr>
                <w:b/>
                <w:smallCaps/>
                <w:sz w:val="20"/>
                <w:lang w:val="en-GB" w:eastAsia="en-GB"/>
              </w:rPr>
            </w:pPr>
          </w:p>
        </w:tc>
        <w:tc>
          <w:tcPr>
            <w:tcW w:w="762" w:type="pct"/>
            <w:shd w:val="clear" w:color="auto" w:fill="auto"/>
          </w:tcPr>
          <w:p w14:paraId="123B894E" w14:textId="77777777" w:rsidR="00D6681D" w:rsidRPr="0024746B" w:rsidRDefault="00D6681D" w:rsidP="00D6681D">
            <w:pPr>
              <w:pStyle w:val="Text1"/>
              <w:spacing w:before="60" w:after="60"/>
              <w:ind w:left="0"/>
              <w:rPr>
                <w:b/>
                <w:smallCaps/>
                <w:sz w:val="20"/>
              </w:rPr>
            </w:pPr>
            <w:r w:rsidRPr="0024746B">
              <w:rPr>
                <w:b/>
                <w:smallCaps/>
                <w:sz w:val="20"/>
              </w:rPr>
              <w:t>81 403 997,00</w:t>
            </w:r>
          </w:p>
          <w:p w14:paraId="110F2944" w14:textId="77777777" w:rsidR="00D6681D" w:rsidRPr="0024746B" w:rsidRDefault="00D6681D" w:rsidP="00D6681D">
            <w:pPr>
              <w:pStyle w:val="Text1"/>
              <w:spacing w:before="60" w:after="60"/>
              <w:ind w:left="0"/>
              <w:rPr>
                <w:b/>
                <w:smallCaps/>
                <w:sz w:val="20"/>
              </w:rPr>
            </w:pPr>
          </w:p>
          <w:p w14:paraId="66CEF68A" w14:textId="0E8746D6" w:rsidR="00D6681D" w:rsidRPr="0024746B" w:rsidRDefault="00D6681D" w:rsidP="00D6681D">
            <w:pPr>
              <w:pStyle w:val="Text1"/>
              <w:spacing w:before="60" w:after="60"/>
              <w:ind w:left="0"/>
              <w:rPr>
                <w:b/>
                <w:smallCaps/>
                <w:sz w:val="20"/>
                <w:lang w:val="en-GB" w:eastAsia="en-GB"/>
              </w:rPr>
            </w:pPr>
            <w:r w:rsidRPr="0024746B">
              <w:rPr>
                <w:b/>
                <w:smallCaps/>
                <w:sz w:val="20"/>
                <w:lang w:val="en-US" w:eastAsia="en-GB"/>
              </w:rPr>
              <w:t xml:space="preserve"> </w:t>
            </w:r>
          </w:p>
        </w:tc>
        <w:tc>
          <w:tcPr>
            <w:tcW w:w="708" w:type="pct"/>
            <w:shd w:val="clear" w:color="auto" w:fill="auto"/>
          </w:tcPr>
          <w:p w14:paraId="4CF93AFC" w14:textId="77777777" w:rsidR="00D6681D" w:rsidRPr="0024746B" w:rsidRDefault="00D6681D" w:rsidP="00D6681D">
            <w:pPr>
              <w:pStyle w:val="Text1"/>
              <w:spacing w:before="60" w:after="60"/>
              <w:ind w:left="0"/>
              <w:rPr>
                <w:b/>
                <w:smallCaps/>
                <w:sz w:val="20"/>
              </w:rPr>
            </w:pPr>
            <w:r w:rsidRPr="0024746B">
              <w:rPr>
                <w:b/>
                <w:smallCaps/>
                <w:sz w:val="20"/>
              </w:rPr>
              <w:t>542 693 308,00</w:t>
            </w:r>
          </w:p>
          <w:p w14:paraId="1058A1AD" w14:textId="77777777" w:rsidR="00D6681D" w:rsidRPr="0024746B" w:rsidRDefault="00D6681D" w:rsidP="00D6681D">
            <w:pPr>
              <w:pStyle w:val="Text1"/>
              <w:spacing w:before="60" w:after="60"/>
              <w:ind w:left="0"/>
              <w:rPr>
                <w:b/>
                <w:smallCaps/>
                <w:sz w:val="20"/>
              </w:rPr>
            </w:pPr>
          </w:p>
          <w:p w14:paraId="03051F67" w14:textId="5BE13F53" w:rsidR="00D6681D" w:rsidRPr="0024746B" w:rsidRDefault="00D6681D" w:rsidP="00D6681D">
            <w:pPr>
              <w:pStyle w:val="Text1"/>
              <w:spacing w:before="60" w:after="60"/>
              <w:ind w:left="0"/>
              <w:rPr>
                <w:b/>
                <w:smallCaps/>
                <w:sz w:val="20"/>
                <w:lang w:val="en-GB" w:eastAsia="en-GB"/>
              </w:rPr>
            </w:pPr>
            <w:r w:rsidRPr="0024746B">
              <w:rPr>
                <w:b/>
                <w:smallCaps/>
                <w:sz w:val="20"/>
                <w:lang w:val="en-GB" w:eastAsia="en-GB"/>
              </w:rPr>
              <w:t xml:space="preserve"> </w:t>
            </w:r>
          </w:p>
        </w:tc>
      </w:tr>
      <w:tr w:rsidR="00937CCD" w:rsidRPr="008340BB" w14:paraId="364B3AFF" w14:textId="77777777" w:rsidTr="00937CCD">
        <w:tc>
          <w:tcPr>
            <w:tcW w:w="602" w:type="pct"/>
            <w:vMerge w:val="restart"/>
          </w:tcPr>
          <w:p w14:paraId="69789292" w14:textId="77777777" w:rsidR="00937CCD" w:rsidRPr="008340BB" w:rsidRDefault="00937CCD" w:rsidP="00937CCD">
            <w:pPr>
              <w:spacing w:before="60" w:after="60"/>
              <w:jc w:val="left"/>
              <w:rPr>
                <w:sz w:val="20"/>
              </w:rPr>
            </w:pPr>
            <w:r w:rsidRPr="008340BB">
              <w:rPr>
                <w:b/>
                <w:sz w:val="20"/>
              </w:rPr>
              <w:t xml:space="preserve">3. “Improvement of intermodal transport services </w:t>
            </w:r>
            <w:r w:rsidRPr="008340BB">
              <w:rPr>
                <w:b/>
                <w:sz w:val="20"/>
              </w:rPr>
              <w:lastRenderedPageBreak/>
              <w:t>for passengers and freights and development of sustainable urban transport”</w:t>
            </w:r>
          </w:p>
        </w:tc>
        <w:tc>
          <w:tcPr>
            <w:tcW w:w="614" w:type="pct"/>
            <w:vMerge w:val="restart"/>
          </w:tcPr>
          <w:p w14:paraId="519BD8A9" w14:textId="77777777" w:rsidR="00937CCD" w:rsidRPr="008340BB" w:rsidRDefault="00937CCD" w:rsidP="00937CCD">
            <w:pPr>
              <w:spacing w:before="60" w:after="60"/>
              <w:rPr>
                <w:sz w:val="20"/>
              </w:rPr>
            </w:pPr>
            <w:r w:rsidRPr="008340BB">
              <w:rPr>
                <w:sz w:val="20"/>
              </w:rPr>
              <w:lastRenderedPageBreak/>
              <w:t xml:space="preserve">European Regional Development Fund </w:t>
            </w:r>
          </w:p>
        </w:tc>
        <w:tc>
          <w:tcPr>
            <w:tcW w:w="798" w:type="pct"/>
          </w:tcPr>
          <w:p w14:paraId="62D39B44" w14:textId="77777777" w:rsidR="00937CCD" w:rsidRPr="008340BB" w:rsidRDefault="00937CCD" w:rsidP="00937CCD">
            <w:pPr>
              <w:spacing w:before="60" w:after="60"/>
              <w:ind w:left="128"/>
              <w:rPr>
                <w:sz w:val="20"/>
              </w:rPr>
            </w:pPr>
            <w:r w:rsidRPr="008340BB">
              <w:rPr>
                <w:sz w:val="20"/>
              </w:rPr>
              <w:t>Less developed</w:t>
            </w:r>
          </w:p>
        </w:tc>
        <w:tc>
          <w:tcPr>
            <w:tcW w:w="780" w:type="pct"/>
          </w:tcPr>
          <w:p w14:paraId="6AF871AB" w14:textId="77777777" w:rsidR="00937CCD" w:rsidRPr="008340BB" w:rsidRDefault="00937CCD" w:rsidP="00937CCD">
            <w:pPr>
              <w:spacing w:before="60" w:after="60"/>
              <w:ind w:left="35"/>
              <w:jc w:val="left"/>
              <w:rPr>
                <w:sz w:val="20"/>
              </w:rPr>
            </w:pPr>
            <w:r>
              <w:rPr>
                <w:sz w:val="20"/>
              </w:rPr>
              <w:t>TO</w:t>
            </w:r>
            <w:r w:rsidRPr="008340BB">
              <w:rPr>
                <w:sz w:val="20"/>
              </w:rPr>
              <w:t xml:space="preserve"> 4</w:t>
            </w:r>
          </w:p>
        </w:tc>
        <w:tc>
          <w:tcPr>
            <w:tcW w:w="736" w:type="pct"/>
            <w:shd w:val="clear" w:color="auto" w:fill="auto"/>
          </w:tcPr>
          <w:p w14:paraId="4E901F59" w14:textId="77777777" w:rsidR="00F515E9" w:rsidRPr="0024746B" w:rsidRDefault="00F515E9" w:rsidP="00F515E9">
            <w:pPr>
              <w:pStyle w:val="Text1"/>
              <w:ind w:left="-10"/>
              <w:rPr>
                <w:b/>
                <w:bCs/>
                <w:smallCaps/>
                <w:sz w:val="20"/>
              </w:rPr>
            </w:pPr>
            <w:r w:rsidRPr="0024746B">
              <w:rPr>
                <w:b/>
                <w:bCs/>
                <w:smallCaps/>
                <w:sz w:val="20"/>
              </w:rPr>
              <w:t>345 153 286,00</w:t>
            </w:r>
          </w:p>
          <w:p w14:paraId="01537E49" w14:textId="2C171FCE" w:rsidR="00937CCD" w:rsidRPr="0024746B" w:rsidRDefault="00937CCD" w:rsidP="00937CCD">
            <w:pPr>
              <w:pStyle w:val="Text1"/>
              <w:spacing w:before="60" w:after="60"/>
              <w:ind w:left="0"/>
              <w:rPr>
                <w:b/>
                <w:smallCaps/>
                <w:sz w:val="20"/>
              </w:rPr>
            </w:pPr>
          </w:p>
          <w:p w14:paraId="7B206B7E" w14:textId="77777777" w:rsidR="00937CCD" w:rsidRPr="0024746B" w:rsidRDefault="00937CCD" w:rsidP="00937CCD">
            <w:pPr>
              <w:pStyle w:val="Text1"/>
              <w:spacing w:before="60" w:after="60"/>
              <w:ind w:left="0"/>
              <w:rPr>
                <w:b/>
                <w:smallCaps/>
                <w:sz w:val="20"/>
                <w:lang w:val="en-GB" w:eastAsia="en-GB"/>
              </w:rPr>
            </w:pPr>
          </w:p>
          <w:p w14:paraId="582D9186" w14:textId="0E2BE7AC" w:rsidR="00937CCD" w:rsidRPr="0024746B" w:rsidRDefault="00937CCD" w:rsidP="00937CCD">
            <w:pPr>
              <w:pStyle w:val="Text1"/>
              <w:spacing w:before="60" w:after="60"/>
              <w:ind w:left="0"/>
              <w:rPr>
                <w:b/>
                <w:smallCaps/>
                <w:sz w:val="20"/>
                <w:lang w:val="en-GB" w:eastAsia="en-GB"/>
              </w:rPr>
            </w:pPr>
          </w:p>
        </w:tc>
        <w:tc>
          <w:tcPr>
            <w:tcW w:w="762" w:type="pct"/>
            <w:shd w:val="clear" w:color="auto" w:fill="auto"/>
          </w:tcPr>
          <w:p w14:paraId="10721ECA" w14:textId="77777777" w:rsidR="00F515E9" w:rsidRPr="0024746B" w:rsidRDefault="00F515E9" w:rsidP="00F515E9">
            <w:pPr>
              <w:pStyle w:val="Text1"/>
              <w:ind w:left="0"/>
              <w:rPr>
                <w:b/>
                <w:smallCaps/>
                <w:sz w:val="20"/>
              </w:rPr>
            </w:pPr>
            <w:r w:rsidRPr="0024746B">
              <w:rPr>
                <w:b/>
                <w:smallCaps/>
                <w:sz w:val="20"/>
              </w:rPr>
              <w:lastRenderedPageBreak/>
              <w:t>60 909 404,00</w:t>
            </w:r>
          </w:p>
          <w:p w14:paraId="1BCA9A29" w14:textId="77777777" w:rsidR="00F515E9" w:rsidRPr="0024746B" w:rsidRDefault="00F515E9" w:rsidP="00937CCD">
            <w:pPr>
              <w:pStyle w:val="Text1"/>
              <w:spacing w:before="60" w:after="60"/>
              <w:ind w:left="0"/>
              <w:rPr>
                <w:b/>
                <w:smallCaps/>
                <w:sz w:val="20"/>
                <w:lang w:eastAsia="en-GB"/>
              </w:rPr>
            </w:pPr>
          </w:p>
          <w:p w14:paraId="6734AACD" w14:textId="3D30ABEE" w:rsidR="00937CCD" w:rsidRPr="0024746B" w:rsidRDefault="00937CCD" w:rsidP="00937CCD">
            <w:pPr>
              <w:pStyle w:val="Text1"/>
              <w:spacing w:before="60" w:after="60"/>
              <w:ind w:left="0"/>
              <w:rPr>
                <w:b/>
                <w:smallCaps/>
                <w:sz w:val="20"/>
                <w:lang w:val="en-GB" w:eastAsia="en-GB"/>
              </w:rPr>
            </w:pPr>
          </w:p>
        </w:tc>
        <w:tc>
          <w:tcPr>
            <w:tcW w:w="708" w:type="pct"/>
            <w:shd w:val="clear" w:color="auto" w:fill="auto"/>
          </w:tcPr>
          <w:p w14:paraId="0549AD1F" w14:textId="77777777" w:rsidR="00F515E9" w:rsidRPr="0024746B" w:rsidRDefault="00F515E9" w:rsidP="00937CCD">
            <w:pPr>
              <w:pStyle w:val="Text1"/>
              <w:spacing w:before="60" w:after="60"/>
              <w:ind w:left="0"/>
              <w:rPr>
                <w:b/>
                <w:smallCaps/>
                <w:sz w:val="20"/>
                <w:lang w:val="en-GB"/>
              </w:rPr>
            </w:pPr>
            <w:r w:rsidRPr="0024746B">
              <w:rPr>
                <w:b/>
                <w:smallCaps/>
                <w:sz w:val="20"/>
                <w:lang w:val="en-GB"/>
              </w:rPr>
              <w:lastRenderedPageBreak/>
              <w:t xml:space="preserve">406 062 690,00 </w:t>
            </w:r>
          </w:p>
          <w:p w14:paraId="4E08263A" w14:textId="77777777" w:rsidR="00F515E9" w:rsidRPr="0024746B" w:rsidRDefault="00F515E9" w:rsidP="00937CCD">
            <w:pPr>
              <w:pStyle w:val="Text1"/>
              <w:spacing w:before="60" w:after="60"/>
              <w:ind w:left="0"/>
              <w:rPr>
                <w:b/>
                <w:smallCaps/>
                <w:sz w:val="20"/>
                <w:lang w:val="en-GB"/>
              </w:rPr>
            </w:pPr>
          </w:p>
          <w:p w14:paraId="1E4A5A71" w14:textId="6B43FD6A" w:rsidR="00937CCD" w:rsidRPr="0024746B" w:rsidRDefault="00937CCD" w:rsidP="00937CCD">
            <w:pPr>
              <w:pStyle w:val="Text1"/>
              <w:spacing w:before="60" w:after="60"/>
              <w:ind w:left="0"/>
              <w:rPr>
                <w:b/>
                <w:smallCaps/>
                <w:sz w:val="20"/>
              </w:rPr>
            </w:pPr>
          </w:p>
          <w:p w14:paraId="257C75B9" w14:textId="77777777" w:rsidR="00937CCD" w:rsidRPr="0024746B" w:rsidRDefault="00937CCD" w:rsidP="00937CCD">
            <w:pPr>
              <w:pStyle w:val="Text1"/>
              <w:spacing w:before="60" w:after="60"/>
              <w:ind w:left="0"/>
              <w:rPr>
                <w:b/>
                <w:smallCaps/>
                <w:sz w:val="20"/>
                <w:lang w:val="en-GB" w:eastAsia="en-GB"/>
              </w:rPr>
            </w:pPr>
          </w:p>
          <w:p w14:paraId="6A89749A" w14:textId="2B02F1F7" w:rsidR="00937CCD" w:rsidRPr="0024746B" w:rsidRDefault="00937CCD" w:rsidP="00937CCD">
            <w:pPr>
              <w:pStyle w:val="Text1"/>
              <w:spacing w:before="60" w:after="60"/>
              <w:ind w:left="0"/>
              <w:rPr>
                <w:b/>
                <w:smallCaps/>
                <w:sz w:val="20"/>
                <w:lang w:val="en-GB" w:eastAsia="en-GB"/>
              </w:rPr>
            </w:pPr>
          </w:p>
        </w:tc>
      </w:tr>
      <w:tr w:rsidR="0008563A" w:rsidRPr="008340BB" w14:paraId="71BA759D" w14:textId="77777777" w:rsidTr="00406A4C">
        <w:tc>
          <w:tcPr>
            <w:tcW w:w="602" w:type="pct"/>
            <w:vMerge/>
          </w:tcPr>
          <w:p w14:paraId="7F23168F" w14:textId="77777777" w:rsidR="0008563A" w:rsidRPr="008340BB" w:rsidRDefault="0008563A" w:rsidP="0008563A">
            <w:pPr>
              <w:spacing w:before="60" w:after="60"/>
              <w:rPr>
                <w:sz w:val="20"/>
              </w:rPr>
            </w:pPr>
          </w:p>
        </w:tc>
        <w:tc>
          <w:tcPr>
            <w:tcW w:w="614" w:type="pct"/>
            <w:vMerge/>
          </w:tcPr>
          <w:p w14:paraId="0025688F" w14:textId="77777777" w:rsidR="0008563A" w:rsidRPr="008340BB" w:rsidRDefault="0008563A" w:rsidP="0008563A">
            <w:pPr>
              <w:spacing w:before="60" w:after="60"/>
              <w:rPr>
                <w:sz w:val="20"/>
              </w:rPr>
            </w:pPr>
          </w:p>
        </w:tc>
        <w:tc>
          <w:tcPr>
            <w:tcW w:w="798" w:type="pct"/>
          </w:tcPr>
          <w:p w14:paraId="3628EC20" w14:textId="77777777" w:rsidR="0008563A" w:rsidRPr="008340BB" w:rsidRDefault="0008563A" w:rsidP="0008563A">
            <w:pPr>
              <w:spacing w:before="60" w:after="60"/>
              <w:ind w:left="128"/>
              <w:rPr>
                <w:sz w:val="20"/>
              </w:rPr>
            </w:pPr>
            <w:r w:rsidRPr="008340BB">
              <w:rPr>
                <w:sz w:val="20"/>
              </w:rPr>
              <w:t>Less developed</w:t>
            </w:r>
          </w:p>
        </w:tc>
        <w:tc>
          <w:tcPr>
            <w:tcW w:w="780" w:type="pct"/>
          </w:tcPr>
          <w:p w14:paraId="5AF7479D" w14:textId="77777777" w:rsidR="0008563A" w:rsidRPr="008340BB" w:rsidRDefault="0008563A" w:rsidP="0008563A">
            <w:pPr>
              <w:spacing w:before="60" w:after="60"/>
              <w:ind w:left="35"/>
              <w:jc w:val="left"/>
              <w:rPr>
                <w:sz w:val="20"/>
              </w:rPr>
            </w:pPr>
            <w:r>
              <w:rPr>
                <w:sz w:val="20"/>
              </w:rPr>
              <w:t>TO</w:t>
            </w:r>
            <w:r w:rsidRPr="008340BB">
              <w:rPr>
                <w:sz w:val="20"/>
              </w:rPr>
              <w:t xml:space="preserve"> 7</w:t>
            </w:r>
          </w:p>
        </w:tc>
        <w:tc>
          <w:tcPr>
            <w:tcW w:w="736" w:type="pct"/>
            <w:shd w:val="clear" w:color="auto" w:fill="auto"/>
          </w:tcPr>
          <w:p w14:paraId="449C3215" w14:textId="2237AE33" w:rsidR="00972C24" w:rsidRPr="0024746B" w:rsidRDefault="00972C24" w:rsidP="00972C24">
            <w:pPr>
              <w:pStyle w:val="Text1"/>
              <w:ind w:left="0"/>
              <w:rPr>
                <w:b/>
                <w:smallCaps/>
                <w:sz w:val="20"/>
                <w:lang w:val="x-none"/>
              </w:rPr>
            </w:pPr>
            <w:r w:rsidRPr="0024746B">
              <w:rPr>
                <w:b/>
                <w:smallCaps/>
                <w:sz w:val="20"/>
                <w:lang w:val="x-none"/>
              </w:rPr>
              <w:t>11 245 311,00</w:t>
            </w:r>
          </w:p>
          <w:p w14:paraId="4D229C50" w14:textId="77777777" w:rsidR="00972C24" w:rsidRPr="0024746B" w:rsidRDefault="00972C24" w:rsidP="00972C24">
            <w:pPr>
              <w:pStyle w:val="Text1"/>
              <w:ind w:left="0"/>
              <w:rPr>
                <w:b/>
                <w:smallCaps/>
                <w:sz w:val="20"/>
                <w:lang w:val="x-none"/>
              </w:rPr>
            </w:pPr>
          </w:p>
          <w:p w14:paraId="4D63F573" w14:textId="63D20C55" w:rsidR="0008563A" w:rsidRPr="0024746B" w:rsidRDefault="0008563A" w:rsidP="0008563A">
            <w:pPr>
              <w:pStyle w:val="Text1"/>
              <w:spacing w:before="60" w:after="60"/>
              <w:ind w:left="0"/>
              <w:rPr>
                <w:b/>
                <w:smallCaps/>
                <w:sz w:val="20"/>
                <w:lang w:eastAsia="en-GB"/>
              </w:rPr>
            </w:pPr>
          </w:p>
          <w:p w14:paraId="5B833EE8" w14:textId="2B095883" w:rsidR="0008563A" w:rsidRPr="0024746B" w:rsidRDefault="0008563A" w:rsidP="0008563A">
            <w:pPr>
              <w:pStyle w:val="Text1"/>
              <w:spacing w:before="60" w:after="60"/>
              <w:ind w:left="0"/>
              <w:rPr>
                <w:b/>
                <w:smallCaps/>
                <w:sz w:val="20"/>
                <w:lang w:val="en-GB" w:eastAsia="en-GB"/>
              </w:rPr>
            </w:pPr>
          </w:p>
        </w:tc>
        <w:tc>
          <w:tcPr>
            <w:tcW w:w="762" w:type="pct"/>
            <w:shd w:val="clear" w:color="auto" w:fill="auto"/>
          </w:tcPr>
          <w:p w14:paraId="2F3A1BE6" w14:textId="6B857DAE" w:rsidR="00972C24" w:rsidRPr="0024746B" w:rsidRDefault="00972C24" w:rsidP="00972C24">
            <w:pPr>
              <w:pStyle w:val="Text1"/>
              <w:ind w:left="0"/>
              <w:rPr>
                <w:b/>
                <w:smallCaps/>
                <w:sz w:val="20"/>
                <w:lang w:val="x-none"/>
              </w:rPr>
            </w:pPr>
            <w:r w:rsidRPr="0024746B">
              <w:rPr>
                <w:b/>
                <w:smallCaps/>
                <w:sz w:val="20"/>
                <w:lang w:val="x-none"/>
              </w:rPr>
              <w:t>1 984 467,00</w:t>
            </w:r>
          </w:p>
          <w:p w14:paraId="7B3373CB" w14:textId="77777777" w:rsidR="00972C24" w:rsidRPr="0024746B" w:rsidRDefault="00972C24" w:rsidP="00972C24">
            <w:pPr>
              <w:pStyle w:val="Text1"/>
              <w:ind w:left="0"/>
              <w:rPr>
                <w:b/>
                <w:smallCaps/>
                <w:sz w:val="20"/>
                <w:lang w:val="x-none"/>
              </w:rPr>
            </w:pPr>
          </w:p>
          <w:p w14:paraId="44A26328" w14:textId="77777777" w:rsidR="0008563A" w:rsidRPr="0024746B" w:rsidRDefault="0008563A" w:rsidP="0008563A">
            <w:pPr>
              <w:pStyle w:val="Text1"/>
              <w:spacing w:before="60" w:after="60"/>
              <w:ind w:left="0"/>
              <w:rPr>
                <w:b/>
                <w:smallCaps/>
                <w:sz w:val="20"/>
              </w:rPr>
            </w:pPr>
          </w:p>
          <w:p w14:paraId="0D336FFB" w14:textId="5E039120" w:rsidR="0008563A" w:rsidRPr="0024746B" w:rsidRDefault="0008563A" w:rsidP="0008563A">
            <w:pPr>
              <w:pStyle w:val="Text1"/>
              <w:spacing w:before="60" w:after="60"/>
              <w:ind w:left="0"/>
              <w:rPr>
                <w:b/>
                <w:smallCaps/>
                <w:sz w:val="20"/>
                <w:lang w:val="en-GB" w:eastAsia="en-GB"/>
              </w:rPr>
            </w:pPr>
          </w:p>
        </w:tc>
        <w:tc>
          <w:tcPr>
            <w:tcW w:w="708" w:type="pct"/>
            <w:shd w:val="clear" w:color="auto" w:fill="auto"/>
          </w:tcPr>
          <w:p w14:paraId="246FA764" w14:textId="77777777" w:rsidR="00972C24" w:rsidRPr="0024746B" w:rsidRDefault="00972C24" w:rsidP="0008563A">
            <w:pPr>
              <w:pStyle w:val="Text1"/>
              <w:spacing w:before="60" w:after="60"/>
              <w:ind w:left="0"/>
              <w:rPr>
                <w:b/>
                <w:smallCaps/>
                <w:sz w:val="20"/>
                <w:lang w:val="en-GB"/>
              </w:rPr>
            </w:pPr>
            <w:r w:rsidRPr="0024746B">
              <w:rPr>
                <w:b/>
                <w:smallCaps/>
                <w:sz w:val="20"/>
                <w:lang w:val="en-GB"/>
              </w:rPr>
              <w:t>13 229 778,00</w:t>
            </w:r>
          </w:p>
          <w:p w14:paraId="317C60A9" w14:textId="77777777" w:rsidR="00972C24" w:rsidRPr="0024746B" w:rsidRDefault="00972C24" w:rsidP="0008563A">
            <w:pPr>
              <w:pStyle w:val="Text1"/>
              <w:spacing w:before="60" w:after="60"/>
              <w:ind w:left="0"/>
              <w:rPr>
                <w:b/>
                <w:smallCaps/>
                <w:sz w:val="20"/>
                <w:lang w:val="en-GB"/>
              </w:rPr>
            </w:pPr>
          </w:p>
          <w:p w14:paraId="3981C96A" w14:textId="77777777" w:rsidR="0008563A" w:rsidRPr="0024746B" w:rsidRDefault="0008563A" w:rsidP="0008563A">
            <w:pPr>
              <w:pStyle w:val="Text1"/>
              <w:spacing w:before="60" w:after="60"/>
              <w:ind w:left="0"/>
              <w:rPr>
                <w:b/>
                <w:smallCaps/>
                <w:sz w:val="20"/>
                <w:lang w:val="en-GB"/>
              </w:rPr>
            </w:pPr>
          </w:p>
          <w:p w14:paraId="1CA7F04D" w14:textId="59938AFB" w:rsidR="0008563A" w:rsidRPr="0024746B" w:rsidRDefault="0008563A" w:rsidP="0008563A">
            <w:pPr>
              <w:pStyle w:val="Text1"/>
              <w:spacing w:before="60" w:after="60"/>
              <w:ind w:left="0"/>
              <w:rPr>
                <w:b/>
                <w:smallCaps/>
                <w:sz w:val="20"/>
                <w:lang w:val="en-GB" w:eastAsia="en-GB"/>
              </w:rPr>
            </w:pPr>
          </w:p>
        </w:tc>
      </w:tr>
      <w:tr w:rsidR="00486074" w:rsidRPr="008340BB" w14:paraId="7336FFE4" w14:textId="77777777" w:rsidTr="00406A4C">
        <w:trPr>
          <w:trHeight w:val="70"/>
        </w:trPr>
        <w:tc>
          <w:tcPr>
            <w:tcW w:w="602" w:type="pct"/>
          </w:tcPr>
          <w:p w14:paraId="193EF85B" w14:textId="77777777" w:rsidR="00486074" w:rsidRPr="008340BB" w:rsidRDefault="00486074" w:rsidP="00486074">
            <w:pPr>
              <w:pStyle w:val="Text1"/>
              <w:ind w:left="0"/>
              <w:jc w:val="left"/>
              <w:rPr>
                <w:b/>
                <w:sz w:val="20"/>
                <w:lang w:val="en-GB" w:eastAsia="en-GB"/>
              </w:rPr>
            </w:pPr>
            <w:r w:rsidRPr="008340BB">
              <w:rPr>
                <w:b/>
                <w:sz w:val="20"/>
                <w:lang w:val="en-GB" w:eastAsia="en-GB"/>
              </w:rPr>
              <w:t>4. “Innovations in management and services - establishment of modern infrastructure for traffic management and transport safety improvement”</w:t>
            </w:r>
          </w:p>
          <w:p w14:paraId="1FCA7954" w14:textId="77777777" w:rsidR="00486074" w:rsidRPr="008340BB" w:rsidRDefault="00486074" w:rsidP="00486074">
            <w:pPr>
              <w:pStyle w:val="Text1"/>
              <w:spacing w:before="60" w:after="60"/>
              <w:ind w:left="0"/>
              <w:jc w:val="left"/>
              <w:rPr>
                <w:rFonts w:ascii="Times New Roman Bold" w:hAnsi="Times New Roman Bold"/>
                <w:b/>
                <w:sz w:val="20"/>
                <w:lang w:val="en-GB" w:eastAsia="en-GB"/>
              </w:rPr>
            </w:pPr>
          </w:p>
        </w:tc>
        <w:tc>
          <w:tcPr>
            <w:tcW w:w="614" w:type="pct"/>
          </w:tcPr>
          <w:p w14:paraId="359D3CD2" w14:textId="77777777" w:rsidR="00486074" w:rsidRPr="008340BB" w:rsidRDefault="00486074" w:rsidP="00486074">
            <w:pPr>
              <w:pStyle w:val="Text1"/>
              <w:spacing w:before="60" w:after="60"/>
              <w:ind w:left="0"/>
              <w:rPr>
                <w:rFonts w:ascii="Times New Roman Bold" w:hAnsi="Times New Roman Bold"/>
                <w:b/>
                <w:sz w:val="20"/>
                <w:lang w:val="en-GB" w:eastAsia="en-GB"/>
              </w:rPr>
            </w:pPr>
            <w:r w:rsidRPr="008340BB">
              <w:rPr>
                <w:sz w:val="20"/>
                <w:lang w:val="en-GB" w:eastAsia="en-GB"/>
              </w:rPr>
              <w:t>European Regional Development Fund</w:t>
            </w:r>
          </w:p>
        </w:tc>
        <w:tc>
          <w:tcPr>
            <w:tcW w:w="798" w:type="pct"/>
          </w:tcPr>
          <w:p w14:paraId="6C330BB1" w14:textId="77777777" w:rsidR="00486074" w:rsidRPr="008340BB" w:rsidRDefault="00486074" w:rsidP="00486074">
            <w:pPr>
              <w:pStyle w:val="Text1"/>
              <w:spacing w:before="60" w:after="60"/>
              <w:ind w:left="0" w:firstLine="128"/>
              <w:rPr>
                <w:rFonts w:ascii="Times New Roman Bold" w:hAnsi="Times New Roman Bold"/>
                <w:b/>
                <w:sz w:val="20"/>
                <w:lang w:val="en-GB" w:eastAsia="en-GB"/>
              </w:rPr>
            </w:pPr>
            <w:r w:rsidRPr="008340BB">
              <w:rPr>
                <w:sz w:val="20"/>
                <w:lang w:val="en-GB" w:eastAsia="en-GB"/>
              </w:rPr>
              <w:t>Less developed</w:t>
            </w:r>
          </w:p>
        </w:tc>
        <w:tc>
          <w:tcPr>
            <w:tcW w:w="780" w:type="pct"/>
          </w:tcPr>
          <w:p w14:paraId="7D548979" w14:textId="77777777" w:rsidR="00486074" w:rsidRPr="008340BB" w:rsidRDefault="00486074" w:rsidP="00486074">
            <w:pPr>
              <w:pStyle w:val="Text1"/>
              <w:spacing w:before="60" w:after="60"/>
              <w:ind w:left="0"/>
              <w:rPr>
                <w:rFonts w:ascii="Times New Roman Bold" w:hAnsi="Times New Roman Bold"/>
                <w:b/>
                <w:sz w:val="20"/>
                <w:lang w:val="en-GB" w:eastAsia="en-GB"/>
              </w:rPr>
            </w:pPr>
            <w:r>
              <w:rPr>
                <w:sz w:val="20"/>
                <w:lang w:val="en-GB" w:eastAsia="en-GB"/>
              </w:rPr>
              <w:t>TO</w:t>
            </w:r>
            <w:r w:rsidRPr="008340BB">
              <w:rPr>
                <w:sz w:val="20"/>
                <w:lang w:val="en-GB" w:eastAsia="en-GB"/>
              </w:rPr>
              <w:t xml:space="preserve"> 7</w:t>
            </w:r>
          </w:p>
        </w:tc>
        <w:tc>
          <w:tcPr>
            <w:tcW w:w="736" w:type="pct"/>
            <w:shd w:val="clear" w:color="auto" w:fill="auto"/>
          </w:tcPr>
          <w:p w14:paraId="680243E9" w14:textId="77777777" w:rsidR="00486074" w:rsidRPr="0024746B" w:rsidRDefault="00486074" w:rsidP="00486074">
            <w:pPr>
              <w:pStyle w:val="Text1"/>
              <w:ind w:left="0"/>
              <w:rPr>
                <w:b/>
                <w:sz w:val="20"/>
              </w:rPr>
            </w:pPr>
            <w:r w:rsidRPr="0024746B">
              <w:rPr>
                <w:b/>
                <w:sz w:val="20"/>
              </w:rPr>
              <w:t>47 495 843,00</w:t>
            </w:r>
          </w:p>
          <w:p w14:paraId="18948871" w14:textId="11171884" w:rsidR="00486074" w:rsidRPr="0024746B" w:rsidRDefault="00486074" w:rsidP="00486074">
            <w:pPr>
              <w:pStyle w:val="Text1"/>
              <w:spacing w:before="60" w:after="60"/>
              <w:ind w:left="0"/>
              <w:rPr>
                <w:rFonts w:ascii="Times New Roman Bold" w:hAnsi="Times New Roman Bold"/>
                <w:b/>
                <w:sz w:val="20"/>
                <w:lang w:val="en-GB" w:eastAsia="en-GB"/>
              </w:rPr>
            </w:pPr>
          </w:p>
        </w:tc>
        <w:tc>
          <w:tcPr>
            <w:tcW w:w="762" w:type="pct"/>
            <w:shd w:val="clear" w:color="auto" w:fill="auto"/>
          </w:tcPr>
          <w:p w14:paraId="6E3FF52E" w14:textId="77777777" w:rsidR="00486074" w:rsidRPr="0024746B" w:rsidRDefault="00486074" w:rsidP="00486074">
            <w:pPr>
              <w:pStyle w:val="Text1"/>
              <w:spacing w:before="60" w:after="60"/>
              <w:ind w:left="0"/>
              <w:rPr>
                <w:b/>
                <w:sz w:val="20"/>
              </w:rPr>
            </w:pPr>
            <w:r w:rsidRPr="0024746B">
              <w:rPr>
                <w:b/>
                <w:sz w:val="20"/>
              </w:rPr>
              <w:t>8 381 620,00</w:t>
            </w:r>
          </w:p>
          <w:p w14:paraId="34951704" w14:textId="3821B2E4" w:rsidR="00486074" w:rsidRPr="0024746B" w:rsidRDefault="00486074" w:rsidP="00486074">
            <w:pPr>
              <w:pStyle w:val="Text1"/>
              <w:spacing w:before="60" w:after="60"/>
              <w:rPr>
                <w:b/>
                <w:sz w:val="20"/>
                <w:lang w:eastAsia="en-GB"/>
              </w:rPr>
            </w:pPr>
            <w:r w:rsidRPr="0024746B">
              <w:rPr>
                <w:b/>
                <w:sz w:val="20"/>
                <w:lang w:eastAsia="en-GB"/>
              </w:rPr>
              <w:t xml:space="preserve"> </w:t>
            </w:r>
            <w:r w:rsidRPr="0024746B">
              <w:rPr>
                <w:b/>
                <w:sz w:val="20"/>
                <w:lang w:eastAsia="en-GB"/>
              </w:rPr>
              <w:tab/>
              <w:t xml:space="preserve"> </w:t>
            </w:r>
          </w:p>
          <w:p w14:paraId="4A3F3476" w14:textId="5DD6EB83" w:rsidR="00486074" w:rsidRPr="0024746B" w:rsidRDefault="00486074" w:rsidP="00486074">
            <w:pPr>
              <w:pStyle w:val="Text1"/>
              <w:spacing w:before="60" w:after="60"/>
              <w:ind w:left="0"/>
              <w:rPr>
                <w:rFonts w:ascii="Times New Roman Bold" w:hAnsi="Times New Roman Bold"/>
                <w:b/>
                <w:sz w:val="20"/>
                <w:lang w:val="en-GB" w:eastAsia="en-GB"/>
              </w:rPr>
            </w:pPr>
          </w:p>
        </w:tc>
        <w:tc>
          <w:tcPr>
            <w:tcW w:w="708" w:type="pct"/>
            <w:shd w:val="clear" w:color="auto" w:fill="auto"/>
          </w:tcPr>
          <w:p w14:paraId="56A0CED1" w14:textId="77777777" w:rsidR="00486074" w:rsidRPr="0024746B" w:rsidRDefault="00486074" w:rsidP="00486074">
            <w:pPr>
              <w:pStyle w:val="Text1"/>
              <w:spacing w:before="60" w:after="60"/>
              <w:ind w:left="0"/>
              <w:rPr>
                <w:b/>
                <w:sz w:val="20"/>
              </w:rPr>
            </w:pPr>
            <w:r w:rsidRPr="0024746B">
              <w:rPr>
                <w:b/>
                <w:sz w:val="20"/>
              </w:rPr>
              <w:t>55 877 463,00</w:t>
            </w:r>
          </w:p>
          <w:p w14:paraId="7745C9FE" w14:textId="77777777" w:rsidR="00486074" w:rsidRPr="0024746B" w:rsidRDefault="00486074" w:rsidP="00486074">
            <w:pPr>
              <w:pStyle w:val="Text1"/>
              <w:spacing w:before="60" w:after="60"/>
              <w:ind w:left="0"/>
              <w:rPr>
                <w:b/>
                <w:sz w:val="20"/>
                <w:lang w:eastAsia="en-GB"/>
              </w:rPr>
            </w:pPr>
            <w:r w:rsidRPr="0024746B">
              <w:rPr>
                <w:b/>
                <w:sz w:val="20"/>
                <w:lang w:eastAsia="en-GB"/>
              </w:rPr>
              <w:t xml:space="preserve"> </w:t>
            </w:r>
          </w:p>
          <w:p w14:paraId="3F7E8166" w14:textId="7ACA6A1F" w:rsidR="00486074" w:rsidRPr="0024746B" w:rsidRDefault="00486074" w:rsidP="00486074">
            <w:pPr>
              <w:pStyle w:val="Text1"/>
              <w:spacing w:before="60" w:after="60"/>
              <w:ind w:left="0"/>
              <w:rPr>
                <w:rFonts w:ascii="Times New Roman Bold" w:hAnsi="Times New Roman Bold"/>
                <w:b/>
                <w:sz w:val="20"/>
                <w:lang w:val="en-GB" w:eastAsia="en-GB"/>
              </w:rPr>
            </w:pPr>
          </w:p>
        </w:tc>
      </w:tr>
      <w:tr w:rsidR="00B00977" w:rsidRPr="008340BB" w14:paraId="6FD270D7" w14:textId="77777777" w:rsidTr="009156A6">
        <w:trPr>
          <w:trHeight w:val="70"/>
        </w:trPr>
        <w:tc>
          <w:tcPr>
            <w:tcW w:w="602" w:type="pct"/>
          </w:tcPr>
          <w:p w14:paraId="38CBA9DC" w14:textId="33A0463B" w:rsidR="00B00977" w:rsidRPr="0024746B" w:rsidRDefault="00B00977" w:rsidP="00B00977">
            <w:pPr>
              <w:pStyle w:val="Text1"/>
              <w:spacing w:before="60" w:after="60"/>
              <w:ind w:left="0"/>
              <w:rPr>
                <w:b/>
                <w:sz w:val="20"/>
                <w:lang w:val="en-US" w:eastAsia="en-GB"/>
              </w:rPr>
            </w:pPr>
            <w:r w:rsidRPr="0024746B">
              <w:rPr>
                <w:b/>
                <w:sz w:val="20"/>
                <w:lang w:val="en-US" w:eastAsia="en-GB"/>
              </w:rPr>
              <w:t>6.</w:t>
            </w:r>
            <w:r w:rsidRPr="0024746B">
              <w:rPr>
                <w:b/>
                <w:sz w:val="24"/>
                <w:lang w:val="en-GB" w:eastAsia="en-GB"/>
              </w:rPr>
              <w:t xml:space="preserve"> </w:t>
            </w:r>
            <w:r w:rsidRPr="0024746B">
              <w:rPr>
                <w:b/>
                <w:sz w:val="20"/>
                <w:lang w:val="en-GB" w:eastAsia="en-GB"/>
              </w:rPr>
              <w:t>Support for SMEs through the SAFE instrument</w:t>
            </w:r>
          </w:p>
        </w:tc>
        <w:tc>
          <w:tcPr>
            <w:tcW w:w="614" w:type="pct"/>
          </w:tcPr>
          <w:p w14:paraId="78403ABB" w14:textId="4D0312F1" w:rsidR="00B00977" w:rsidRPr="0056605E" w:rsidRDefault="00B00977" w:rsidP="00B00977">
            <w:pPr>
              <w:pStyle w:val="Text1"/>
              <w:spacing w:before="60" w:after="60"/>
              <w:ind w:left="0"/>
              <w:rPr>
                <w:rFonts w:ascii="Times New Roman Bold" w:hAnsi="Times New Roman Bold"/>
                <w:sz w:val="20"/>
                <w:lang w:val="en-GB" w:eastAsia="en-GB"/>
              </w:rPr>
            </w:pPr>
            <w:r w:rsidRPr="0056605E">
              <w:rPr>
                <w:rFonts w:ascii="Times New Roman Bold" w:hAnsi="Times New Roman Bold"/>
                <w:sz w:val="20"/>
                <w:lang w:val="en-GB" w:eastAsia="en-GB"/>
              </w:rPr>
              <w:t>Cohesion Fund</w:t>
            </w:r>
          </w:p>
        </w:tc>
        <w:tc>
          <w:tcPr>
            <w:tcW w:w="798" w:type="pct"/>
          </w:tcPr>
          <w:p w14:paraId="531A01A8" w14:textId="45F3D8B3" w:rsidR="00B00977" w:rsidRPr="008340BB" w:rsidRDefault="00B00977" w:rsidP="00B00977">
            <w:pPr>
              <w:pStyle w:val="Text1"/>
              <w:spacing w:before="60" w:after="60"/>
              <w:ind w:left="0"/>
              <w:rPr>
                <w:sz w:val="20"/>
                <w:lang w:val="en-GB" w:eastAsia="en-GB"/>
              </w:rPr>
            </w:pPr>
            <w:r w:rsidRPr="0056605E">
              <w:rPr>
                <w:sz w:val="20"/>
                <w:lang w:val="en-GB" w:eastAsia="en-GB"/>
              </w:rPr>
              <w:t>N/A</w:t>
            </w:r>
          </w:p>
        </w:tc>
        <w:tc>
          <w:tcPr>
            <w:tcW w:w="780" w:type="pct"/>
          </w:tcPr>
          <w:p w14:paraId="27BE6F43" w14:textId="0AB93D16" w:rsidR="00B00977" w:rsidRPr="0061436F" w:rsidRDefault="00B00977" w:rsidP="00B00977">
            <w:pPr>
              <w:pStyle w:val="Text1"/>
              <w:spacing w:before="60" w:after="60"/>
              <w:ind w:left="0"/>
              <w:rPr>
                <w:rFonts w:ascii="Times New Roman Bold" w:hAnsi="Times New Roman Bold"/>
                <w:sz w:val="20"/>
                <w:lang w:val="en-GB" w:eastAsia="en-GB"/>
              </w:rPr>
            </w:pPr>
            <w:r w:rsidRPr="0061436F">
              <w:rPr>
                <w:rFonts w:ascii="Times New Roman Bold" w:hAnsi="Times New Roman Bold"/>
                <w:sz w:val="20"/>
                <w:lang w:val="en-GB" w:eastAsia="en-GB"/>
              </w:rPr>
              <w:t>TO 3</w:t>
            </w:r>
          </w:p>
        </w:tc>
        <w:tc>
          <w:tcPr>
            <w:tcW w:w="736" w:type="pct"/>
            <w:shd w:val="clear" w:color="auto" w:fill="auto"/>
          </w:tcPr>
          <w:p w14:paraId="499A6712" w14:textId="7E9CF646" w:rsidR="005F10A3" w:rsidRPr="0024746B" w:rsidRDefault="005F10A3" w:rsidP="005F10A3">
            <w:pPr>
              <w:rPr>
                <w:b/>
                <w:bCs/>
                <w:sz w:val="20"/>
                <w:szCs w:val="22"/>
                <w:lang w:val="x-none" w:eastAsia="bg-BG"/>
              </w:rPr>
            </w:pPr>
            <w:r w:rsidRPr="0024746B">
              <w:rPr>
                <w:b/>
                <w:bCs/>
                <w:sz w:val="20"/>
                <w:szCs w:val="22"/>
                <w:lang w:val="x-none" w:eastAsia="bg-BG"/>
              </w:rPr>
              <w:t>140 500 000,00</w:t>
            </w:r>
          </w:p>
          <w:p w14:paraId="66A0D63C" w14:textId="77777777" w:rsidR="005F10A3" w:rsidRPr="0024746B" w:rsidRDefault="005F10A3" w:rsidP="005F10A3">
            <w:pPr>
              <w:rPr>
                <w:b/>
                <w:bCs/>
                <w:sz w:val="20"/>
                <w:szCs w:val="22"/>
                <w:lang w:val="x-none" w:eastAsia="bg-BG"/>
              </w:rPr>
            </w:pPr>
          </w:p>
          <w:p w14:paraId="5A92AF9B" w14:textId="694DE959" w:rsidR="00B00977" w:rsidRPr="0024746B" w:rsidRDefault="00B00977" w:rsidP="00B00977">
            <w:pPr>
              <w:pStyle w:val="Text1"/>
              <w:ind w:left="0" w:hanging="15"/>
              <w:rPr>
                <w:b/>
                <w:sz w:val="20"/>
              </w:rPr>
            </w:pPr>
          </w:p>
          <w:p w14:paraId="4867ADAB" w14:textId="77777777" w:rsidR="00B00977" w:rsidRPr="0024746B" w:rsidRDefault="00B00977" w:rsidP="00B00977">
            <w:pPr>
              <w:pStyle w:val="Text1"/>
              <w:ind w:left="0"/>
              <w:rPr>
                <w:b/>
                <w:sz w:val="20"/>
              </w:rPr>
            </w:pPr>
          </w:p>
          <w:p w14:paraId="4FBF2007" w14:textId="77777777" w:rsidR="00B00977" w:rsidRPr="0024746B" w:rsidRDefault="00B00977" w:rsidP="00B00977">
            <w:pPr>
              <w:pStyle w:val="Text1"/>
              <w:spacing w:before="60" w:after="60"/>
              <w:ind w:left="-18"/>
              <w:rPr>
                <w:b/>
                <w:bCs/>
                <w:sz w:val="20"/>
              </w:rPr>
            </w:pPr>
          </w:p>
        </w:tc>
        <w:tc>
          <w:tcPr>
            <w:tcW w:w="762" w:type="pct"/>
            <w:shd w:val="clear" w:color="auto" w:fill="auto"/>
          </w:tcPr>
          <w:p w14:paraId="4C7E433A" w14:textId="77777777" w:rsidR="00B00977" w:rsidRPr="0024746B" w:rsidRDefault="00B00977" w:rsidP="00B00977">
            <w:pPr>
              <w:pStyle w:val="Text1"/>
              <w:spacing w:before="60" w:after="60"/>
              <w:ind w:left="0"/>
              <w:rPr>
                <w:b/>
                <w:sz w:val="20"/>
              </w:rPr>
            </w:pPr>
            <w:r w:rsidRPr="0024746B">
              <w:rPr>
                <w:b/>
                <w:sz w:val="20"/>
              </w:rPr>
              <w:t>0,00</w:t>
            </w:r>
          </w:p>
          <w:p w14:paraId="723C7957" w14:textId="77777777" w:rsidR="00B00977" w:rsidRPr="0024746B" w:rsidRDefault="00B00977" w:rsidP="00B00977">
            <w:pPr>
              <w:pStyle w:val="Text1"/>
              <w:spacing w:before="60" w:after="60"/>
              <w:ind w:left="22"/>
              <w:rPr>
                <w:b/>
                <w:sz w:val="20"/>
              </w:rPr>
            </w:pPr>
          </w:p>
        </w:tc>
        <w:tc>
          <w:tcPr>
            <w:tcW w:w="708" w:type="pct"/>
            <w:shd w:val="clear" w:color="auto" w:fill="auto"/>
          </w:tcPr>
          <w:p w14:paraId="1EC0BAC3" w14:textId="582EF6E5" w:rsidR="005F10A3" w:rsidRPr="0024746B" w:rsidRDefault="005F10A3" w:rsidP="005F10A3">
            <w:pPr>
              <w:rPr>
                <w:b/>
                <w:bCs/>
                <w:sz w:val="20"/>
                <w:szCs w:val="22"/>
                <w:lang w:val="x-none" w:eastAsia="bg-BG"/>
              </w:rPr>
            </w:pPr>
            <w:r w:rsidRPr="0024746B">
              <w:rPr>
                <w:b/>
                <w:bCs/>
                <w:sz w:val="20"/>
                <w:szCs w:val="22"/>
                <w:lang w:val="x-none" w:eastAsia="bg-BG"/>
              </w:rPr>
              <w:t>140 500 000,00</w:t>
            </w:r>
          </w:p>
          <w:p w14:paraId="1CC2A162" w14:textId="77777777" w:rsidR="005F10A3" w:rsidRPr="0024746B" w:rsidRDefault="005F10A3" w:rsidP="005F10A3">
            <w:pPr>
              <w:rPr>
                <w:b/>
                <w:bCs/>
                <w:sz w:val="20"/>
                <w:szCs w:val="22"/>
                <w:lang w:val="x-none" w:eastAsia="bg-BG"/>
              </w:rPr>
            </w:pPr>
          </w:p>
          <w:p w14:paraId="22E5D433" w14:textId="6CFDF038" w:rsidR="00B00977" w:rsidRPr="0024746B" w:rsidRDefault="00B00977" w:rsidP="00B00977">
            <w:pPr>
              <w:pStyle w:val="Text1"/>
              <w:spacing w:before="60" w:after="60"/>
              <w:ind w:left="0"/>
              <w:rPr>
                <w:b/>
                <w:sz w:val="20"/>
              </w:rPr>
            </w:pPr>
          </w:p>
          <w:p w14:paraId="660A70FB" w14:textId="77777777" w:rsidR="00B00977" w:rsidRPr="0024746B" w:rsidRDefault="00B00977" w:rsidP="00B00977">
            <w:pPr>
              <w:pStyle w:val="Text1"/>
              <w:spacing w:before="60" w:after="60"/>
              <w:ind w:left="0"/>
              <w:rPr>
                <w:b/>
                <w:sz w:val="20"/>
              </w:rPr>
            </w:pPr>
          </w:p>
          <w:p w14:paraId="150805C7" w14:textId="77777777" w:rsidR="00B00977" w:rsidRPr="0024746B" w:rsidRDefault="00B00977" w:rsidP="00B00977">
            <w:pPr>
              <w:pStyle w:val="Text1"/>
              <w:spacing w:before="60" w:after="60"/>
              <w:ind w:left="67"/>
              <w:rPr>
                <w:rFonts w:ascii="Times New Roman Bold" w:hAnsi="Times New Roman Bold"/>
                <w:b/>
                <w:bCs/>
                <w:sz w:val="20"/>
              </w:rPr>
            </w:pPr>
          </w:p>
        </w:tc>
      </w:tr>
      <w:tr w:rsidR="00B00977" w:rsidRPr="008340BB" w14:paraId="7773B1F2" w14:textId="77777777" w:rsidTr="009156A6">
        <w:trPr>
          <w:trHeight w:val="70"/>
        </w:trPr>
        <w:tc>
          <w:tcPr>
            <w:tcW w:w="602" w:type="pct"/>
          </w:tcPr>
          <w:p w14:paraId="0A993CAA" w14:textId="0A27F9CE" w:rsidR="00B00977" w:rsidRPr="0024746B" w:rsidRDefault="00B00977" w:rsidP="00B00977">
            <w:pPr>
              <w:pStyle w:val="Text1"/>
              <w:spacing w:before="60" w:after="60"/>
              <w:ind w:left="0"/>
              <w:rPr>
                <w:rFonts w:ascii="Times New Roman Bold" w:hAnsi="Times New Roman Bold"/>
                <w:b/>
                <w:sz w:val="20"/>
                <w:lang w:val="en-GB" w:eastAsia="en-GB"/>
              </w:rPr>
            </w:pPr>
            <w:r w:rsidRPr="0024746B">
              <w:rPr>
                <w:rFonts w:ascii="Times New Roman Bold" w:hAnsi="Times New Roman Bold"/>
                <w:b/>
                <w:sz w:val="20"/>
                <w:lang w:val="en-US" w:eastAsia="en-GB"/>
              </w:rPr>
              <w:t>6.</w:t>
            </w:r>
            <w:r w:rsidRPr="0024746B">
              <w:rPr>
                <w:rFonts w:ascii="Times New Roman Bold" w:hAnsi="Times New Roman Bold"/>
                <w:b/>
                <w:sz w:val="20"/>
                <w:lang w:val="en-GB" w:eastAsia="en-GB"/>
              </w:rPr>
              <w:t xml:space="preserve"> Support for SMEs through the SAFE instrument</w:t>
            </w:r>
          </w:p>
        </w:tc>
        <w:tc>
          <w:tcPr>
            <w:tcW w:w="614" w:type="pct"/>
          </w:tcPr>
          <w:p w14:paraId="33B90260" w14:textId="2CDA3F5F" w:rsidR="00B00977" w:rsidRPr="0056605E" w:rsidRDefault="00B00977" w:rsidP="00B00977">
            <w:pPr>
              <w:pStyle w:val="Text1"/>
              <w:spacing w:before="60" w:after="60"/>
              <w:ind w:left="0"/>
              <w:rPr>
                <w:rFonts w:ascii="Times New Roman Bold" w:hAnsi="Times New Roman Bold"/>
                <w:sz w:val="20"/>
                <w:lang w:val="en-GB" w:eastAsia="en-GB"/>
              </w:rPr>
            </w:pPr>
            <w:r w:rsidRPr="0056605E">
              <w:rPr>
                <w:rFonts w:ascii="Times New Roman Bold" w:hAnsi="Times New Roman Bold"/>
                <w:sz w:val="20"/>
                <w:lang w:val="en-GB" w:eastAsia="en-GB"/>
              </w:rPr>
              <w:t>European Regional Development Fund</w:t>
            </w:r>
          </w:p>
        </w:tc>
        <w:tc>
          <w:tcPr>
            <w:tcW w:w="798" w:type="pct"/>
          </w:tcPr>
          <w:p w14:paraId="5B9CF4B1" w14:textId="6AF7864F" w:rsidR="00B00977" w:rsidRPr="008340BB" w:rsidRDefault="00B00977" w:rsidP="00B00977">
            <w:pPr>
              <w:pStyle w:val="Text1"/>
              <w:spacing w:before="60" w:after="60"/>
              <w:ind w:left="0"/>
              <w:rPr>
                <w:sz w:val="20"/>
                <w:lang w:val="en-GB" w:eastAsia="en-GB"/>
              </w:rPr>
            </w:pPr>
            <w:r w:rsidRPr="0056605E">
              <w:rPr>
                <w:sz w:val="20"/>
                <w:lang w:val="en-GB" w:eastAsia="en-GB"/>
              </w:rPr>
              <w:t>Less developed</w:t>
            </w:r>
          </w:p>
        </w:tc>
        <w:tc>
          <w:tcPr>
            <w:tcW w:w="780" w:type="pct"/>
          </w:tcPr>
          <w:p w14:paraId="2F63FFA5" w14:textId="75CCA9C5" w:rsidR="00B00977" w:rsidRPr="008340BB" w:rsidRDefault="00B00977" w:rsidP="00B00977">
            <w:pPr>
              <w:pStyle w:val="Text1"/>
              <w:spacing w:before="60" w:after="60"/>
              <w:ind w:left="0"/>
              <w:rPr>
                <w:rFonts w:ascii="Times New Roman Bold" w:hAnsi="Times New Roman Bold"/>
                <w:b/>
                <w:sz w:val="20"/>
                <w:lang w:val="en-GB" w:eastAsia="en-GB"/>
              </w:rPr>
            </w:pPr>
            <w:r>
              <w:rPr>
                <w:rFonts w:ascii="Times New Roman Bold" w:hAnsi="Times New Roman Bold"/>
                <w:b/>
                <w:sz w:val="20"/>
                <w:lang w:val="en-GB" w:eastAsia="en-GB"/>
              </w:rPr>
              <w:t>TO 3</w:t>
            </w:r>
          </w:p>
        </w:tc>
        <w:tc>
          <w:tcPr>
            <w:tcW w:w="736" w:type="pct"/>
            <w:shd w:val="clear" w:color="auto" w:fill="auto"/>
          </w:tcPr>
          <w:p w14:paraId="4E165548" w14:textId="77777777" w:rsidR="00707048" w:rsidRPr="0024746B" w:rsidRDefault="00707048" w:rsidP="00707048">
            <w:pPr>
              <w:ind w:left="127" w:hanging="142"/>
              <w:rPr>
                <w:b/>
                <w:bCs/>
                <w:sz w:val="20"/>
                <w:szCs w:val="22"/>
                <w:lang w:val="bg-BG" w:eastAsia="bg-BG"/>
              </w:rPr>
            </w:pPr>
            <w:r w:rsidRPr="0024746B">
              <w:rPr>
                <w:b/>
                <w:bCs/>
                <w:sz w:val="20"/>
                <w:szCs w:val="22"/>
                <w:lang w:val="bg-BG" w:eastAsia="bg-BG"/>
              </w:rPr>
              <w:t>4 500 000,00</w:t>
            </w:r>
          </w:p>
          <w:p w14:paraId="4F1FB299" w14:textId="77777777" w:rsidR="00707048" w:rsidRPr="0024746B" w:rsidRDefault="00707048" w:rsidP="00B00977">
            <w:pPr>
              <w:pStyle w:val="Text1"/>
              <w:ind w:left="127" w:hanging="142"/>
              <w:rPr>
                <w:b/>
                <w:sz w:val="20"/>
              </w:rPr>
            </w:pPr>
          </w:p>
          <w:p w14:paraId="399D3FD3" w14:textId="64F57BF8" w:rsidR="00B00977" w:rsidRPr="0024746B" w:rsidRDefault="00B00977" w:rsidP="00B00977">
            <w:pPr>
              <w:pStyle w:val="Text1"/>
              <w:ind w:left="127" w:hanging="142"/>
              <w:rPr>
                <w:b/>
                <w:sz w:val="20"/>
              </w:rPr>
            </w:pPr>
          </w:p>
          <w:p w14:paraId="60A6580B" w14:textId="77777777" w:rsidR="00B00977" w:rsidRPr="0024746B" w:rsidRDefault="00B00977" w:rsidP="00B00977">
            <w:pPr>
              <w:pStyle w:val="Text1"/>
              <w:ind w:left="0"/>
              <w:rPr>
                <w:b/>
                <w:sz w:val="20"/>
              </w:rPr>
            </w:pPr>
          </w:p>
          <w:p w14:paraId="2A533283" w14:textId="77777777" w:rsidR="00B00977" w:rsidRPr="0024746B" w:rsidRDefault="00B00977" w:rsidP="00B00977">
            <w:pPr>
              <w:pStyle w:val="Text1"/>
              <w:spacing w:before="60" w:after="60"/>
              <w:ind w:left="-18"/>
              <w:rPr>
                <w:b/>
                <w:bCs/>
                <w:sz w:val="20"/>
              </w:rPr>
            </w:pPr>
          </w:p>
        </w:tc>
        <w:tc>
          <w:tcPr>
            <w:tcW w:w="762" w:type="pct"/>
            <w:shd w:val="clear" w:color="auto" w:fill="auto"/>
          </w:tcPr>
          <w:p w14:paraId="688C8864" w14:textId="77777777" w:rsidR="00B00977" w:rsidRPr="0024746B" w:rsidRDefault="00B00977" w:rsidP="00B00977">
            <w:pPr>
              <w:pStyle w:val="Text1"/>
              <w:spacing w:before="60" w:after="60"/>
              <w:ind w:left="0"/>
              <w:rPr>
                <w:b/>
                <w:sz w:val="20"/>
              </w:rPr>
            </w:pPr>
            <w:r w:rsidRPr="0024746B">
              <w:rPr>
                <w:b/>
                <w:sz w:val="20"/>
              </w:rPr>
              <w:lastRenderedPageBreak/>
              <w:t>0,00</w:t>
            </w:r>
          </w:p>
          <w:p w14:paraId="54C58FB3" w14:textId="77777777" w:rsidR="00B00977" w:rsidRPr="0024746B" w:rsidRDefault="00B00977" w:rsidP="00B00977">
            <w:pPr>
              <w:pStyle w:val="Text1"/>
              <w:spacing w:before="60" w:after="60"/>
              <w:ind w:left="22"/>
              <w:rPr>
                <w:b/>
                <w:sz w:val="20"/>
              </w:rPr>
            </w:pPr>
          </w:p>
        </w:tc>
        <w:tc>
          <w:tcPr>
            <w:tcW w:w="708" w:type="pct"/>
            <w:shd w:val="clear" w:color="auto" w:fill="auto"/>
          </w:tcPr>
          <w:p w14:paraId="7FCD5918" w14:textId="77777777" w:rsidR="00707048" w:rsidRPr="0024746B" w:rsidRDefault="00707048" w:rsidP="00707048">
            <w:pPr>
              <w:ind w:left="127" w:hanging="142"/>
              <w:rPr>
                <w:b/>
                <w:bCs/>
                <w:sz w:val="20"/>
                <w:szCs w:val="22"/>
                <w:lang w:val="bg-BG" w:eastAsia="bg-BG"/>
              </w:rPr>
            </w:pPr>
            <w:r w:rsidRPr="0024746B">
              <w:rPr>
                <w:b/>
                <w:bCs/>
                <w:sz w:val="20"/>
                <w:szCs w:val="22"/>
                <w:lang w:val="bg-BG" w:eastAsia="bg-BG"/>
              </w:rPr>
              <w:t>4 500 000,00</w:t>
            </w:r>
          </w:p>
          <w:p w14:paraId="563D3CF1" w14:textId="77777777" w:rsidR="00707048" w:rsidRPr="0024746B" w:rsidRDefault="00707048" w:rsidP="00B00977">
            <w:pPr>
              <w:pStyle w:val="Text1"/>
              <w:spacing w:before="60" w:after="60"/>
              <w:ind w:left="0"/>
              <w:rPr>
                <w:b/>
                <w:sz w:val="20"/>
              </w:rPr>
            </w:pPr>
          </w:p>
          <w:p w14:paraId="725961D5" w14:textId="38A1BB07" w:rsidR="00B00977" w:rsidRPr="0024746B" w:rsidRDefault="00B00977" w:rsidP="00B00977">
            <w:pPr>
              <w:pStyle w:val="Text1"/>
              <w:spacing w:before="60" w:after="60"/>
              <w:ind w:left="0"/>
              <w:rPr>
                <w:b/>
                <w:sz w:val="20"/>
              </w:rPr>
            </w:pPr>
          </w:p>
          <w:p w14:paraId="6A0B0BBB" w14:textId="77777777" w:rsidR="00B00977" w:rsidRPr="0024746B" w:rsidRDefault="00B00977" w:rsidP="00B00977">
            <w:pPr>
              <w:pStyle w:val="Text1"/>
              <w:spacing w:before="60" w:after="60"/>
              <w:ind w:left="0"/>
              <w:rPr>
                <w:b/>
                <w:sz w:val="20"/>
              </w:rPr>
            </w:pPr>
          </w:p>
          <w:p w14:paraId="3A26A423" w14:textId="77777777" w:rsidR="00B00977" w:rsidRPr="0024746B" w:rsidRDefault="00B00977" w:rsidP="00B00977">
            <w:pPr>
              <w:pStyle w:val="Text1"/>
              <w:spacing w:before="60" w:after="60"/>
              <w:ind w:left="67"/>
              <w:rPr>
                <w:rFonts w:ascii="Times New Roman Bold" w:hAnsi="Times New Roman Bold"/>
                <w:b/>
                <w:bCs/>
                <w:sz w:val="20"/>
              </w:rPr>
            </w:pPr>
          </w:p>
        </w:tc>
      </w:tr>
      <w:tr w:rsidR="00E83853" w:rsidRPr="008340BB" w14:paraId="73516BC0" w14:textId="77777777" w:rsidTr="009156A6">
        <w:trPr>
          <w:trHeight w:val="70"/>
        </w:trPr>
        <w:tc>
          <w:tcPr>
            <w:tcW w:w="602" w:type="pct"/>
          </w:tcPr>
          <w:p w14:paraId="2003C5DE" w14:textId="77777777" w:rsidR="00E83853" w:rsidRPr="00A828C5" w:rsidRDefault="00E83853" w:rsidP="00E83853">
            <w:pPr>
              <w:pStyle w:val="Text1"/>
              <w:spacing w:before="60" w:after="60"/>
              <w:ind w:left="0"/>
              <w:rPr>
                <w:rFonts w:ascii="Times New Roman Bold" w:hAnsi="Times New Roman Bold"/>
                <w:b/>
                <w:sz w:val="20"/>
                <w:lang w:val="en-GB" w:eastAsia="en-GB"/>
              </w:rPr>
            </w:pPr>
            <w:r w:rsidRPr="00A828C5">
              <w:rPr>
                <w:rFonts w:ascii="Times New Roman Bold" w:hAnsi="Times New Roman Bold"/>
                <w:b/>
                <w:sz w:val="20"/>
                <w:lang w:val="en-GB" w:eastAsia="en-GB"/>
              </w:rPr>
              <w:t>Total</w:t>
            </w:r>
          </w:p>
        </w:tc>
        <w:tc>
          <w:tcPr>
            <w:tcW w:w="614" w:type="pct"/>
          </w:tcPr>
          <w:p w14:paraId="4BCA88D3" w14:textId="77777777" w:rsidR="00E83853" w:rsidRPr="008340BB" w:rsidRDefault="00E83853" w:rsidP="00E83853">
            <w:pPr>
              <w:pStyle w:val="Text1"/>
              <w:spacing w:before="60" w:after="60"/>
              <w:ind w:left="0"/>
              <w:rPr>
                <w:rFonts w:ascii="Times New Roman Bold" w:hAnsi="Times New Roman Bold"/>
                <w:b/>
                <w:sz w:val="20"/>
                <w:lang w:val="en-GB" w:eastAsia="en-GB"/>
              </w:rPr>
            </w:pPr>
          </w:p>
        </w:tc>
        <w:tc>
          <w:tcPr>
            <w:tcW w:w="798" w:type="pct"/>
          </w:tcPr>
          <w:p w14:paraId="33EFE2D1" w14:textId="77777777" w:rsidR="00E83853" w:rsidRPr="008340BB" w:rsidRDefault="00E83853" w:rsidP="00E83853">
            <w:pPr>
              <w:pStyle w:val="Text1"/>
              <w:spacing w:before="60" w:after="60"/>
              <w:ind w:left="0"/>
              <w:rPr>
                <w:rFonts w:ascii="Times New Roman Bold" w:hAnsi="Times New Roman Bold"/>
                <w:b/>
                <w:sz w:val="20"/>
                <w:lang w:val="en-GB" w:eastAsia="en-GB"/>
              </w:rPr>
            </w:pPr>
            <w:r w:rsidRPr="008340BB">
              <w:rPr>
                <w:sz w:val="20"/>
                <w:lang w:val="en-GB" w:eastAsia="en-GB"/>
              </w:rPr>
              <w:t>Less developed</w:t>
            </w:r>
          </w:p>
        </w:tc>
        <w:tc>
          <w:tcPr>
            <w:tcW w:w="780" w:type="pct"/>
          </w:tcPr>
          <w:p w14:paraId="14DD2F70" w14:textId="77777777" w:rsidR="00E83853" w:rsidRPr="008340BB" w:rsidRDefault="00E83853" w:rsidP="00E83853">
            <w:pPr>
              <w:pStyle w:val="Text1"/>
              <w:spacing w:before="60" w:after="60"/>
              <w:ind w:left="0"/>
              <w:rPr>
                <w:rFonts w:ascii="Times New Roman Bold" w:hAnsi="Times New Roman Bold"/>
                <w:b/>
                <w:sz w:val="20"/>
                <w:lang w:val="en-GB" w:eastAsia="en-GB"/>
              </w:rPr>
            </w:pPr>
            <w:r w:rsidRPr="008340BB">
              <w:rPr>
                <w:rFonts w:ascii="Times New Roman Bold" w:hAnsi="Times New Roman Bold"/>
                <w:b/>
                <w:sz w:val="20"/>
                <w:lang w:val="en-GB" w:eastAsia="en-GB"/>
              </w:rPr>
              <w:t>-</w:t>
            </w:r>
          </w:p>
        </w:tc>
        <w:tc>
          <w:tcPr>
            <w:tcW w:w="736" w:type="pct"/>
            <w:shd w:val="clear" w:color="auto" w:fill="auto"/>
          </w:tcPr>
          <w:p w14:paraId="43C9658F" w14:textId="77777777" w:rsidR="00E83853" w:rsidRPr="0024746B" w:rsidRDefault="00E83853" w:rsidP="00E83853">
            <w:pPr>
              <w:pStyle w:val="Text1"/>
              <w:spacing w:before="60" w:after="60"/>
              <w:ind w:left="-18"/>
              <w:rPr>
                <w:b/>
                <w:bCs/>
                <w:sz w:val="20"/>
              </w:rPr>
            </w:pPr>
          </w:p>
          <w:p w14:paraId="76071279" w14:textId="77777777" w:rsidR="00E83853" w:rsidRPr="0024746B" w:rsidRDefault="00E83853" w:rsidP="00E83853">
            <w:pPr>
              <w:pStyle w:val="Text1"/>
              <w:spacing w:before="60" w:after="60"/>
              <w:ind w:left="0"/>
              <w:rPr>
                <w:rFonts w:ascii="Times New Roman Bold" w:hAnsi="Times New Roman Bold"/>
                <w:b/>
                <w:sz w:val="20"/>
              </w:rPr>
            </w:pPr>
            <w:r w:rsidRPr="0024746B">
              <w:rPr>
                <w:rFonts w:ascii="Times New Roman Bold" w:hAnsi="Times New Roman Bold"/>
                <w:b/>
                <w:sz w:val="20"/>
              </w:rPr>
              <w:t>1 490 537 774,00</w:t>
            </w:r>
          </w:p>
          <w:p w14:paraId="0471A86B" w14:textId="3375A370" w:rsidR="00E83853" w:rsidRPr="0024746B" w:rsidRDefault="00E83853" w:rsidP="00E83853">
            <w:pPr>
              <w:pStyle w:val="Text1"/>
              <w:spacing w:before="60" w:after="60"/>
              <w:ind w:left="0"/>
              <w:rPr>
                <w:rFonts w:ascii="Times New Roman Bold" w:hAnsi="Times New Roman Bold"/>
                <w:b/>
                <w:sz w:val="20"/>
                <w:lang w:val="en-GB" w:eastAsia="en-GB"/>
              </w:rPr>
            </w:pPr>
          </w:p>
        </w:tc>
        <w:tc>
          <w:tcPr>
            <w:tcW w:w="762" w:type="pct"/>
            <w:shd w:val="clear" w:color="auto" w:fill="auto"/>
          </w:tcPr>
          <w:p w14:paraId="651075EC" w14:textId="77777777" w:rsidR="00E83853" w:rsidRPr="0024746B" w:rsidRDefault="00E83853" w:rsidP="00E83853">
            <w:pPr>
              <w:pStyle w:val="Text1"/>
              <w:spacing w:before="60" w:after="60"/>
              <w:ind w:left="22"/>
              <w:rPr>
                <w:b/>
                <w:sz w:val="20"/>
              </w:rPr>
            </w:pPr>
          </w:p>
          <w:p w14:paraId="63CD6E49" w14:textId="77777777" w:rsidR="00E83853" w:rsidRPr="0024746B" w:rsidRDefault="00E83853" w:rsidP="00E83853">
            <w:pPr>
              <w:spacing w:before="0" w:after="0"/>
              <w:rPr>
                <w:b/>
                <w:sz w:val="20"/>
              </w:rPr>
            </w:pPr>
            <w:r w:rsidRPr="0024746B">
              <w:rPr>
                <w:b/>
                <w:sz w:val="20"/>
              </w:rPr>
              <w:t>237 447 845,00</w:t>
            </w:r>
          </w:p>
          <w:p w14:paraId="783F266C" w14:textId="77777777" w:rsidR="00E83853" w:rsidRPr="0024746B" w:rsidRDefault="00E83853" w:rsidP="00E83853">
            <w:pPr>
              <w:pStyle w:val="Text1"/>
              <w:spacing w:before="60" w:after="60"/>
              <w:ind w:left="22"/>
              <w:rPr>
                <w:b/>
                <w:sz w:val="20"/>
              </w:rPr>
            </w:pPr>
          </w:p>
          <w:p w14:paraId="1756C45A" w14:textId="2BB16EBE" w:rsidR="00E83853" w:rsidRPr="0024746B" w:rsidRDefault="00E83853" w:rsidP="00E83853">
            <w:pPr>
              <w:pStyle w:val="Text1"/>
              <w:spacing w:before="60" w:after="60"/>
              <w:ind w:left="0"/>
              <w:rPr>
                <w:rFonts w:ascii="Times New Roman Bold" w:hAnsi="Times New Roman Bold"/>
                <w:b/>
                <w:sz w:val="20"/>
                <w:lang w:val="en-GB" w:eastAsia="en-GB"/>
              </w:rPr>
            </w:pPr>
          </w:p>
        </w:tc>
        <w:tc>
          <w:tcPr>
            <w:tcW w:w="708" w:type="pct"/>
            <w:shd w:val="clear" w:color="auto" w:fill="auto"/>
          </w:tcPr>
          <w:p w14:paraId="04F8F621" w14:textId="77777777" w:rsidR="00E83853" w:rsidRPr="0024746B" w:rsidRDefault="00E83853" w:rsidP="00E83853">
            <w:pPr>
              <w:pStyle w:val="Text1"/>
              <w:spacing w:before="60" w:after="60"/>
              <w:ind w:left="67"/>
              <w:rPr>
                <w:rFonts w:ascii="Times New Roman Bold" w:hAnsi="Times New Roman Bold"/>
                <w:b/>
                <w:bCs/>
                <w:sz w:val="20"/>
              </w:rPr>
            </w:pPr>
          </w:p>
          <w:p w14:paraId="47483BF2" w14:textId="77777777" w:rsidR="00E83853" w:rsidRPr="0024746B" w:rsidRDefault="00E83853" w:rsidP="00E83853">
            <w:pPr>
              <w:pStyle w:val="Text1"/>
              <w:spacing w:before="60" w:after="60"/>
              <w:ind w:left="0"/>
              <w:rPr>
                <w:b/>
                <w:sz w:val="20"/>
              </w:rPr>
            </w:pPr>
            <w:r w:rsidRPr="0024746B">
              <w:rPr>
                <w:b/>
                <w:sz w:val="20"/>
              </w:rPr>
              <w:t>1 727 985 619,00</w:t>
            </w:r>
          </w:p>
          <w:p w14:paraId="76B75C00" w14:textId="3EC73242" w:rsidR="00E83853" w:rsidRPr="0024746B" w:rsidRDefault="00E83853" w:rsidP="00E83853">
            <w:pPr>
              <w:pStyle w:val="Text1"/>
              <w:ind w:left="0"/>
              <w:rPr>
                <w:rFonts w:ascii="Times New Roman Bold" w:hAnsi="Times New Roman Bold"/>
                <w:b/>
                <w:sz w:val="20"/>
                <w:lang w:val="en-GB" w:eastAsia="en-GB"/>
              </w:rPr>
            </w:pPr>
          </w:p>
        </w:tc>
      </w:tr>
    </w:tbl>
    <w:p w14:paraId="159F996B" w14:textId="77777777" w:rsidR="00F1341F" w:rsidRPr="008340BB" w:rsidRDefault="00F1341F" w:rsidP="00F03C1E">
      <w:pPr>
        <w:jc w:val="left"/>
        <w:rPr>
          <w:b/>
        </w:rPr>
      </w:pPr>
    </w:p>
    <w:p w14:paraId="26CD4A4E" w14:textId="77777777" w:rsidR="00F1341F" w:rsidRPr="008340BB" w:rsidRDefault="00F1341F" w:rsidP="00B97B59">
      <w:pPr>
        <w:rPr>
          <w:b/>
        </w:rPr>
      </w:pPr>
      <w:r w:rsidRPr="008340BB">
        <w:rPr>
          <w:b/>
        </w:rPr>
        <w:br w:type="page"/>
      </w:r>
      <w:r w:rsidRPr="009F0FA7">
        <w:rPr>
          <w:b/>
        </w:rPr>
        <w:lastRenderedPageBreak/>
        <w:t>Table 19:</w:t>
      </w:r>
      <w:r w:rsidRPr="008340BB">
        <w:rPr>
          <w:b/>
        </w:rPr>
        <w:t xml:space="preserve"> </w:t>
      </w:r>
      <w:r w:rsidRPr="008340BB">
        <w:rPr>
          <w:b/>
        </w:rPr>
        <w:tab/>
        <w:t xml:space="preserve">Indicative amount of support to be used for climate change objectives </w:t>
      </w:r>
    </w:p>
    <w:p w14:paraId="2CA86129" w14:textId="77777777" w:rsidR="00F1341F" w:rsidRPr="008340BB" w:rsidRDefault="00F1341F" w:rsidP="00B97B59">
      <w:r w:rsidRPr="008340BB">
        <w:t>(Reference: Article 27(5) of Regulation (EU) No 1303/2013)</w:t>
      </w:r>
      <w:r w:rsidRPr="008340BB">
        <w:rPr>
          <w:rStyle w:val="FootnoteReference"/>
        </w:rPr>
        <w:footnoteReference w:id="87"/>
      </w:r>
    </w:p>
    <w:p w14:paraId="52A43F08" w14:textId="77777777" w:rsidR="00F1341F" w:rsidRPr="0067246B" w:rsidRDefault="00F1341F" w:rsidP="00F03C1E">
      <w:pPr>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33"/>
        <w:gridCol w:w="4933"/>
        <w:gridCol w:w="4922"/>
      </w:tblGrid>
      <w:tr w:rsidR="00F1341F" w:rsidRPr="008340BB" w14:paraId="4596D26C" w14:textId="77777777" w:rsidTr="00952FDE">
        <w:tc>
          <w:tcPr>
            <w:tcW w:w="4933" w:type="dxa"/>
          </w:tcPr>
          <w:p w14:paraId="0212E748" w14:textId="77777777" w:rsidR="00F1341F" w:rsidRPr="00020ADD" w:rsidRDefault="00F1341F" w:rsidP="00BF3391">
            <w:pPr>
              <w:spacing w:before="60" w:after="60"/>
              <w:rPr>
                <w:b/>
                <w:sz w:val="20"/>
              </w:rPr>
            </w:pPr>
            <w:r w:rsidRPr="00020ADD">
              <w:rPr>
                <w:b/>
                <w:sz w:val="20"/>
              </w:rPr>
              <w:t>Priority axis</w:t>
            </w:r>
          </w:p>
        </w:tc>
        <w:tc>
          <w:tcPr>
            <w:tcW w:w="4933" w:type="dxa"/>
          </w:tcPr>
          <w:p w14:paraId="2A3F72AD" w14:textId="77777777" w:rsidR="00F1341F" w:rsidRPr="00020ADD" w:rsidRDefault="00F1341F" w:rsidP="00BF3391">
            <w:pPr>
              <w:spacing w:before="60" w:after="60"/>
              <w:rPr>
                <w:b/>
                <w:sz w:val="20"/>
              </w:rPr>
            </w:pPr>
            <w:r w:rsidRPr="00020ADD">
              <w:rPr>
                <w:b/>
                <w:sz w:val="20"/>
              </w:rPr>
              <w:t>Indicative amount of support to be used for climate change objectives (EUR)</w:t>
            </w:r>
          </w:p>
        </w:tc>
        <w:tc>
          <w:tcPr>
            <w:tcW w:w="4922" w:type="dxa"/>
          </w:tcPr>
          <w:p w14:paraId="5F1F0F32" w14:textId="77777777" w:rsidR="00F1341F" w:rsidRPr="00DC0475" w:rsidRDefault="00F1341F" w:rsidP="00BF3391">
            <w:pPr>
              <w:spacing w:before="60" w:after="60"/>
              <w:rPr>
                <w:b/>
                <w:sz w:val="20"/>
              </w:rPr>
            </w:pPr>
            <w:r w:rsidRPr="00020ADD">
              <w:rPr>
                <w:b/>
                <w:sz w:val="20"/>
              </w:rPr>
              <w:t>Proportion of total allocation to</w:t>
            </w:r>
            <w:r w:rsidRPr="00DC0475">
              <w:rPr>
                <w:b/>
                <w:sz w:val="20"/>
              </w:rPr>
              <w:t xml:space="preserve"> the operational programme (%)</w:t>
            </w:r>
          </w:p>
        </w:tc>
      </w:tr>
      <w:tr w:rsidR="00952FDE" w:rsidRPr="008340BB" w14:paraId="474F6486" w14:textId="77777777" w:rsidTr="00952FDE">
        <w:tc>
          <w:tcPr>
            <w:tcW w:w="4933" w:type="dxa"/>
          </w:tcPr>
          <w:p w14:paraId="46134A3B" w14:textId="69586A33" w:rsidR="00952FDE" w:rsidRPr="008340BB" w:rsidRDefault="00952FDE" w:rsidP="00952FDE">
            <w:pPr>
              <w:spacing w:before="60" w:after="60"/>
              <w:jc w:val="left"/>
              <w:rPr>
                <w:b/>
              </w:rPr>
            </w:pPr>
            <w:r w:rsidRPr="008340BB">
              <w:rPr>
                <w:b/>
                <w:sz w:val="20"/>
              </w:rPr>
              <w:t xml:space="preserve">1. “Development of railway infrastructure along the „core” </w:t>
            </w:r>
            <w:r w:rsidRPr="00351517">
              <w:rPr>
                <w:b/>
                <w:sz w:val="20"/>
              </w:rPr>
              <w:t>and “comprehensive”</w:t>
            </w:r>
            <w:r>
              <w:rPr>
                <w:b/>
                <w:sz w:val="20"/>
              </w:rPr>
              <w:t xml:space="preserve"> </w:t>
            </w:r>
            <w:r w:rsidRPr="008340BB">
              <w:rPr>
                <w:b/>
                <w:sz w:val="20"/>
              </w:rPr>
              <w:t>Trans-European transport network”</w:t>
            </w:r>
          </w:p>
        </w:tc>
        <w:tc>
          <w:tcPr>
            <w:tcW w:w="4933" w:type="dxa"/>
            <w:shd w:val="clear" w:color="auto" w:fill="auto"/>
          </w:tcPr>
          <w:p w14:paraId="67670F96" w14:textId="77777777" w:rsidR="00557085" w:rsidRPr="0024746B" w:rsidRDefault="00557085" w:rsidP="00557085">
            <w:pPr>
              <w:spacing w:before="60" w:after="60"/>
              <w:jc w:val="left"/>
              <w:rPr>
                <w:b/>
                <w:lang w:val="bg-BG"/>
              </w:rPr>
            </w:pPr>
            <w:r w:rsidRPr="0024746B">
              <w:rPr>
                <w:b/>
                <w:lang w:val="bg-BG"/>
              </w:rPr>
              <w:t>192 141 609,20</w:t>
            </w:r>
          </w:p>
          <w:p w14:paraId="6464A02A" w14:textId="77777777" w:rsidR="00557085" w:rsidRPr="0024746B" w:rsidRDefault="00557085" w:rsidP="002B667E">
            <w:pPr>
              <w:spacing w:before="60" w:after="60"/>
              <w:jc w:val="left"/>
              <w:rPr>
                <w:b/>
                <w:lang w:val="bg-BG"/>
              </w:rPr>
            </w:pPr>
          </w:p>
          <w:p w14:paraId="4089C34D" w14:textId="448ABAD4" w:rsidR="002B667E" w:rsidRPr="0024746B" w:rsidRDefault="002B667E" w:rsidP="002B667E">
            <w:pPr>
              <w:spacing w:before="60" w:after="60"/>
              <w:jc w:val="left"/>
              <w:rPr>
                <w:b/>
                <w:lang w:val="bg-BG"/>
              </w:rPr>
            </w:pPr>
          </w:p>
          <w:p w14:paraId="6D69A5EA" w14:textId="192E3EDE" w:rsidR="00952FDE" w:rsidRPr="0024746B" w:rsidRDefault="00952FDE" w:rsidP="00952FDE">
            <w:pPr>
              <w:spacing w:before="60" w:after="60"/>
              <w:jc w:val="left"/>
              <w:rPr>
                <w:b/>
              </w:rPr>
            </w:pPr>
          </w:p>
          <w:p w14:paraId="250DFEB2" w14:textId="7CFEF160" w:rsidR="00952FDE" w:rsidRPr="0024746B" w:rsidRDefault="00952FDE" w:rsidP="00952FDE">
            <w:pPr>
              <w:spacing w:before="60" w:after="60"/>
              <w:jc w:val="left"/>
              <w:rPr>
                <w:b/>
              </w:rPr>
            </w:pPr>
          </w:p>
        </w:tc>
        <w:tc>
          <w:tcPr>
            <w:tcW w:w="4922" w:type="dxa"/>
            <w:shd w:val="clear" w:color="auto" w:fill="auto"/>
          </w:tcPr>
          <w:p w14:paraId="6745256F" w14:textId="77777777" w:rsidR="00557085" w:rsidRPr="0024746B" w:rsidRDefault="00557085" w:rsidP="00557085">
            <w:pPr>
              <w:spacing w:before="60" w:after="60"/>
              <w:jc w:val="left"/>
              <w:rPr>
                <w:b/>
                <w:lang w:val="en-US"/>
              </w:rPr>
            </w:pPr>
            <w:r w:rsidRPr="0024746B">
              <w:rPr>
                <w:b/>
                <w:lang w:val="bg-BG"/>
              </w:rPr>
              <w:t>12,63</w:t>
            </w:r>
            <w:r w:rsidRPr="0024746B">
              <w:rPr>
                <w:b/>
                <w:lang w:val="en-US"/>
              </w:rPr>
              <w:t xml:space="preserve"> %</w:t>
            </w:r>
          </w:p>
          <w:p w14:paraId="330685CB" w14:textId="77777777" w:rsidR="00557085" w:rsidRPr="0024746B" w:rsidRDefault="00557085" w:rsidP="002B667E">
            <w:pPr>
              <w:spacing w:before="60" w:after="60"/>
              <w:jc w:val="left"/>
              <w:rPr>
                <w:b/>
                <w:lang w:val="bg-BG"/>
              </w:rPr>
            </w:pPr>
          </w:p>
          <w:p w14:paraId="696925CB" w14:textId="2D0FA092" w:rsidR="002B667E" w:rsidRPr="0024746B" w:rsidRDefault="002B667E" w:rsidP="002B667E">
            <w:pPr>
              <w:spacing w:before="60" w:after="60"/>
              <w:jc w:val="left"/>
              <w:rPr>
                <w:b/>
                <w:lang w:val="en-US"/>
              </w:rPr>
            </w:pPr>
          </w:p>
          <w:p w14:paraId="090EECA2" w14:textId="040D6533" w:rsidR="00952FDE" w:rsidRPr="0024746B" w:rsidRDefault="00952FDE" w:rsidP="00952FDE">
            <w:pPr>
              <w:spacing w:before="60" w:after="60"/>
              <w:jc w:val="left"/>
              <w:rPr>
                <w:b/>
                <w:lang w:val="en-US"/>
              </w:rPr>
            </w:pPr>
          </w:p>
          <w:p w14:paraId="4247608A" w14:textId="77777777" w:rsidR="00952FDE" w:rsidRPr="0024746B" w:rsidRDefault="00952FDE" w:rsidP="00952FDE">
            <w:pPr>
              <w:spacing w:before="60" w:after="60"/>
              <w:jc w:val="left"/>
              <w:rPr>
                <w:b/>
              </w:rPr>
            </w:pPr>
          </w:p>
        </w:tc>
      </w:tr>
      <w:tr w:rsidR="00F1341F" w:rsidRPr="008340BB" w14:paraId="6DB6AD02" w14:textId="77777777" w:rsidTr="00952FDE">
        <w:tc>
          <w:tcPr>
            <w:tcW w:w="4933" w:type="dxa"/>
          </w:tcPr>
          <w:p w14:paraId="4BD05314" w14:textId="77777777" w:rsidR="00F1341F" w:rsidRPr="008340BB" w:rsidRDefault="00F1341F" w:rsidP="00F03C1E">
            <w:pPr>
              <w:spacing w:before="60" w:after="60"/>
              <w:jc w:val="left"/>
              <w:rPr>
                <w:b/>
              </w:rPr>
            </w:pPr>
            <w:r w:rsidRPr="008340BB">
              <w:rPr>
                <w:b/>
                <w:sz w:val="20"/>
              </w:rPr>
              <w:t>2. “Development of road infrastructure along the „core”</w:t>
            </w:r>
            <w:r w:rsidRPr="008340BB">
              <w:rPr>
                <w:b/>
                <w:color w:val="FFFFFF"/>
                <w:sz w:val="20"/>
              </w:rPr>
              <w:t xml:space="preserve"> </w:t>
            </w:r>
            <w:r w:rsidRPr="008340BB">
              <w:rPr>
                <w:b/>
                <w:sz w:val="20"/>
              </w:rPr>
              <w:t>and “comprehensive</w:t>
            </w:r>
            <w:r w:rsidR="005F4C19" w:rsidRPr="008340BB">
              <w:rPr>
                <w:b/>
                <w:sz w:val="20"/>
              </w:rPr>
              <w:t>”</w:t>
            </w:r>
            <w:r w:rsidRPr="008340BB">
              <w:rPr>
                <w:b/>
                <w:color w:val="FFFFFF"/>
                <w:sz w:val="20"/>
              </w:rPr>
              <w:t xml:space="preserve">” </w:t>
            </w:r>
            <w:r w:rsidRPr="008340BB">
              <w:rPr>
                <w:b/>
                <w:sz w:val="20"/>
              </w:rPr>
              <w:t>Trans-European transport network”</w:t>
            </w:r>
          </w:p>
        </w:tc>
        <w:tc>
          <w:tcPr>
            <w:tcW w:w="4933" w:type="dxa"/>
          </w:tcPr>
          <w:p w14:paraId="120FFD69" w14:textId="77777777" w:rsidR="00F1341F" w:rsidRPr="0024746B" w:rsidRDefault="00F1341F" w:rsidP="009D34EB">
            <w:pPr>
              <w:spacing w:before="60" w:after="60"/>
              <w:jc w:val="left"/>
              <w:rPr>
                <w:b/>
              </w:rPr>
            </w:pPr>
            <w:r w:rsidRPr="0024746B">
              <w:rPr>
                <w:b/>
              </w:rPr>
              <w:t>0</w:t>
            </w:r>
          </w:p>
        </w:tc>
        <w:tc>
          <w:tcPr>
            <w:tcW w:w="4922" w:type="dxa"/>
          </w:tcPr>
          <w:p w14:paraId="0A796224" w14:textId="77777777" w:rsidR="00F1341F" w:rsidRPr="0024746B" w:rsidRDefault="00F1341F" w:rsidP="009D34EB">
            <w:pPr>
              <w:spacing w:before="60" w:after="60"/>
              <w:jc w:val="left"/>
              <w:rPr>
                <w:b/>
              </w:rPr>
            </w:pPr>
            <w:r w:rsidRPr="0024746B">
              <w:rPr>
                <w:b/>
              </w:rPr>
              <w:t>0</w:t>
            </w:r>
          </w:p>
        </w:tc>
      </w:tr>
      <w:tr w:rsidR="00952FDE" w:rsidRPr="008340BB" w14:paraId="3294F579" w14:textId="77777777" w:rsidTr="00952FDE">
        <w:tc>
          <w:tcPr>
            <w:tcW w:w="4933" w:type="dxa"/>
          </w:tcPr>
          <w:p w14:paraId="14180CD5" w14:textId="77777777" w:rsidR="00952FDE" w:rsidRPr="008340BB" w:rsidRDefault="00952FDE" w:rsidP="00952FDE">
            <w:pPr>
              <w:spacing w:before="60" w:after="60"/>
              <w:jc w:val="left"/>
              <w:rPr>
                <w:b/>
              </w:rPr>
            </w:pPr>
            <w:r w:rsidRPr="008340BB">
              <w:rPr>
                <w:b/>
                <w:sz w:val="20"/>
              </w:rPr>
              <w:t>3. “Improvement of intermodal transport services for passengers and freights and development of sustainable urban transport”</w:t>
            </w:r>
          </w:p>
        </w:tc>
        <w:tc>
          <w:tcPr>
            <w:tcW w:w="4933" w:type="dxa"/>
            <w:shd w:val="clear" w:color="auto" w:fill="auto"/>
          </w:tcPr>
          <w:p w14:paraId="0FB485E6" w14:textId="77777777" w:rsidR="003468E3" w:rsidRPr="0024746B" w:rsidRDefault="003468E3" w:rsidP="003468E3">
            <w:pPr>
              <w:spacing w:before="60" w:after="60"/>
              <w:jc w:val="left"/>
              <w:rPr>
                <w:b/>
                <w:lang w:val="bg-BG"/>
              </w:rPr>
            </w:pPr>
            <w:r w:rsidRPr="0024746B">
              <w:rPr>
                <w:b/>
                <w:lang w:val="bg-BG"/>
              </w:rPr>
              <w:t>142 559 438,80</w:t>
            </w:r>
          </w:p>
          <w:p w14:paraId="3879F91E" w14:textId="3593F9F7" w:rsidR="00952FDE" w:rsidRPr="0024746B" w:rsidRDefault="00952FDE" w:rsidP="00952FDE">
            <w:pPr>
              <w:spacing w:before="60" w:after="60"/>
              <w:jc w:val="left"/>
              <w:rPr>
                <w:b/>
              </w:rPr>
            </w:pPr>
          </w:p>
          <w:p w14:paraId="79B0F874" w14:textId="3F9099FC" w:rsidR="00952FDE" w:rsidRPr="0024746B" w:rsidRDefault="00952FDE" w:rsidP="00952FDE">
            <w:pPr>
              <w:spacing w:before="60" w:after="60"/>
              <w:jc w:val="left"/>
              <w:rPr>
                <w:b/>
              </w:rPr>
            </w:pPr>
          </w:p>
        </w:tc>
        <w:tc>
          <w:tcPr>
            <w:tcW w:w="4922" w:type="dxa"/>
            <w:shd w:val="clear" w:color="auto" w:fill="auto"/>
          </w:tcPr>
          <w:p w14:paraId="66E84C0C" w14:textId="77777777" w:rsidR="003468E3" w:rsidRPr="0024746B" w:rsidRDefault="003468E3" w:rsidP="003468E3">
            <w:pPr>
              <w:spacing w:before="60" w:after="60"/>
              <w:jc w:val="left"/>
              <w:rPr>
                <w:b/>
                <w:lang w:val="en-US"/>
              </w:rPr>
            </w:pPr>
            <w:r w:rsidRPr="0024746B">
              <w:rPr>
                <w:b/>
                <w:lang w:val="bg-BG"/>
              </w:rPr>
              <w:t>9,37</w:t>
            </w:r>
            <w:r w:rsidRPr="0024746B">
              <w:rPr>
                <w:b/>
                <w:lang w:val="en-US"/>
              </w:rPr>
              <w:t xml:space="preserve"> %</w:t>
            </w:r>
          </w:p>
          <w:p w14:paraId="2B70C7C1" w14:textId="4F780977" w:rsidR="00952FDE" w:rsidRPr="0024746B" w:rsidRDefault="00952FDE" w:rsidP="00952FDE">
            <w:pPr>
              <w:spacing w:before="60" w:after="60"/>
              <w:jc w:val="left"/>
              <w:rPr>
                <w:b/>
                <w:lang w:val="en-US"/>
              </w:rPr>
            </w:pPr>
          </w:p>
          <w:p w14:paraId="1538795F" w14:textId="54FDC155" w:rsidR="00952FDE" w:rsidRPr="0024746B" w:rsidRDefault="00952FDE" w:rsidP="00952FDE">
            <w:pPr>
              <w:spacing w:before="60" w:after="60"/>
              <w:jc w:val="left"/>
              <w:rPr>
                <w:b/>
              </w:rPr>
            </w:pPr>
          </w:p>
        </w:tc>
      </w:tr>
      <w:tr w:rsidR="00952FDE" w:rsidRPr="008340BB" w14:paraId="5C5E216D" w14:textId="77777777" w:rsidTr="00952FDE">
        <w:tc>
          <w:tcPr>
            <w:tcW w:w="4933" w:type="dxa"/>
          </w:tcPr>
          <w:p w14:paraId="1799F322" w14:textId="77777777" w:rsidR="00952FDE" w:rsidRPr="008340BB" w:rsidRDefault="00952FDE" w:rsidP="00952FDE">
            <w:pPr>
              <w:spacing w:before="60" w:after="60"/>
              <w:jc w:val="left"/>
              <w:rPr>
                <w:b/>
              </w:rPr>
            </w:pPr>
            <w:r w:rsidRPr="008340BB">
              <w:rPr>
                <w:b/>
                <w:sz w:val="20"/>
              </w:rPr>
              <w:t>4. “Innovations in management and services - establishment of modern infrastructure for traffic management and transport safety improvement”</w:t>
            </w:r>
          </w:p>
        </w:tc>
        <w:tc>
          <w:tcPr>
            <w:tcW w:w="4933" w:type="dxa"/>
            <w:shd w:val="clear" w:color="auto" w:fill="auto"/>
          </w:tcPr>
          <w:p w14:paraId="1F8DBC89" w14:textId="77777777" w:rsidR="00952FDE" w:rsidRPr="0024746B" w:rsidRDefault="00952FDE" w:rsidP="00952FDE">
            <w:pPr>
              <w:spacing w:before="60" w:after="60"/>
              <w:jc w:val="left"/>
              <w:rPr>
                <w:b/>
              </w:rPr>
            </w:pPr>
            <w:r w:rsidRPr="0024746B">
              <w:rPr>
                <w:b/>
              </w:rPr>
              <w:t>18 998 337,20</w:t>
            </w:r>
          </w:p>
          <w:p w14:paraId="08112078" w14:textId="71139091" w:rsidR="00952FDE" w:rsidRPr="0024746B" w:rsidRDefault="00952FDE" w:rsidP="00952FDE">
            <w:pPr>
              <w:spacing w:before="60" w:after="60"/>
              <w:jc w:val="left"/>
              <w:rPr>
                <w:b/>
              </w:rPr>
            </w:pPr>
            <w:r w:rsidRPr="0024746B">
              <w:rPr>
                <w:b/>
              </w:rPr>
              <w:t xml:space="preserve"> </w:t>
            </w:r>
          </w:p>
        </w:tc>
        <w:tc>
          <w:tcPr>
            <w:tcW w:w="4922" w:type="dxa"/>
            <w:shd w:val="clear" w:color="auto" w:fill="auto"/>
          </w:tcPr>
          <w:p w14:paraId="14B719C6" w14:textId="77777777" w:rsidR="00952FDE" w:rsidRPr="0024746B" w:rsidRDefault="00952FDE" w:rsidP="00952FDE">
            <w:pPr>
              <w:spacing w:before="60" w:after="60"/>
              <w:jc w:val="left"/>
              <w:rPr>
                <w:b/>
                <w:lang w:val="en-US"/>
              </w:rPr>
            </w:pPr>
            <w:r w:rsidRPr="0024746B">
              <w:rPr>
                <w:b/>
              </w:rPr>
              <w:t>1,25</w:t>
            </w:r>
            <w:r w:rsidRPr="0024746B">
              <w:rPr>
                <w:b/>
                <w:lang w:val="en-US"/>
              </w:rPr>
              <w:t xml:space="preserve"> %</w:t>
            </w:r>
          </w:p>
          <w:p w14:paraId="14174927" w14:textId="2D359A67" w:rsidR="00952FDE" w:rsidRPr="0024746B" w:rsidRDefault="00952FDE" w:rsidP="00952FDE">
            <w:pPr>
              <w:spacing w:before="60" w:after="60"/>
              <w:jc w:val="left"/>
              <w:rPr>
                <w:b/>
              </w:rPr>
            </w:pPr>
          </w:p>
        </w:tc>
      </w:tr>
      <w:tr w:rsidR="00F1341F" w:rsidRPr="008340BB" w14:paraId="0DAEBB10" w14:textId="77777777" w:rsidTr="00952FDE">
        <w:tc>
          <w:tcPr>
            <w:tcW w:w="4933" w:type="dxa"/>
          </w:tcPr>
          <w:p w14:paraId="22353EA5" w14:textId="77777777" w:rsidR="00F1341F" w:rsidRPr="008340BB" w:rsidRDefault="00F1341F" w:rsidP="00F03C1E">
            <w:pPr>
              <w:spacing w:before="60" w:after="60"/>
              <w:jc w:val="left"/>
              <w:rPr>
                <w:b/>
              </w:rPr>
            </w:pPr>
            <w:r w:rsidRPr="008340BB">
              <w:rPr>
                <w:b/>
                <w:sz w:val="20"/>
              </w:rPr>
              <w:t>5. “Technical Assistance”</w:t>
            </w:r>
          </w:p>
        </w:tc>
        <w:tc>
          <w:tcPr>
            <w:tcW w:w="4933" w:type="dxa"/>
          </w:tcPr>
          <w:p w14:paraId="6FB116EE" w14:textId="77777777" w:rsidR="00F1341F" w:rsidRPr="0024746B" w:rsidRDefault="00F1341F" w:rsidP="009D34EB">
            <w:pPr>
              <w:spacing w:before="60" w:after="60"/>
              <w:jc w:val="left"/>
              <w:rPr>
                <w:b/>
              </w:rPr>
            </w:pPr>
            <w:r w:rsidRPr="0024746B">
              <w:rPr>
                <w:b/>
              </w:rPr>
              <w:t>0</w:t>
            </w:r>
          </w:p>
        </w:tc>
        <w:tc>
          <w:tcPr>
            <w:tcW w:w="4922" w:type="dxa"/>
          </w:tcPr>
          <w:p w14:paraId="77C9A43D" w14:textId="77777777" w:rsidR="00F1341F" w:rsidRPr="0024746B" w:rsidRDefault="00F1341F" w:rsidP="009D34EB">
            <w:pPr>
              <w:spacing w:before="60" w:after="60"/>
              <w:jc w:val="left"/>
              <w:rPr>
                <w:b/>
              </w:rPr>
            </w:pPr>
            <w:r w:rsidRPr="0024746B">
              <w:rPr>
                <w:b/>
              </w:rPr>
              <w:t>0</w:t>
            </w:r>
          </w:p>
        </w:tc>
      </w:tr>
      <w:tr w:rsidR="002827DA" w:rsidRPr="008340BB" w14:paraId="161FE904" w14:textId="77777777" w:rsidTr="00952FDE">
        <w:tc>
          <w:tcPr>
            <w:tcW w:w="4933" w:type="dxa"/>
          </w:tcPr>
          <w:p w14:paraId="6B23794C" w14:textId="0F9C9DE8" w:rsidR="002827DA" w:rsidRPr="00965AE7" w:rsidRDefault="002827DA" w:rsidP="002827DA">
            <w:pPr>
              <w:spacing w:before="60" w:after="60"/>
              <w:jc w:val="left"/>
              <w:rPr>
                <w:b/>
                <w:sz w:val="20"/>
                <w:highlight w:val="yellow"/>
              </w:rPr>
            </w:pPr>
            <w:r w:rsidRPr="0024746B">
              <w:rPr>
                <w:b/>
                <w:sz w:val="20"/>
                <w:lang w:val="en-US"/>
              </w:rPr>
              <w:t>6.</w:t>
            </w:r>
            <w:r w:rsidRPr="0024746B">
              <w:rPr>
                <w:b/>
                <w:sz w:val="20"/>
              </w:rPr>
              <w:t xml:space="preserve"> “Support for SMEs through the SAFE instrument”</w:t>
            </w:r>
          </w:p>
        </w:tc>
        <w:tc>
          <w:tcPr>
            <w:tcW w:w="4933" w:type="dxa"/>
          </w:tcPr>
          <w:p w14:paraId="4AF13F7C" w14:textId="47CCB3CB" w:rsidR="002827DA" w:rsidRPr="0024746B" w:rsidRDefault="002827DA" w:rsidP="002827DA">
            <w:pPr>
              <w:spacing w:before="60" w:after="60"/>
              <w:jc w:val="left"/>
              <w:rPr>
                <w:b/>
              </w:rPr>
            </w:pPr>
            <w:r w:rsidRPr="0024746B">
              <w:rPr>
                <w:b/>
              </w:rPr>
              <w:t>0</w:t>
            </w:r>
          </w:p>
        </w:tc>
        <w:tc>
          <w:tcPr>
            <w:tcW w:w="4922" w:type="dxa"/>
          </w:tcPr>
          <w:p w14:paraId="241D6106" w14:textId="131A5355" w:rsidR="002827DA" w:rsidRPr="0024746B" w:rsidRDefault="002827DA" w:rsidP="002827DA">
            <w:pPr>
              <w:spacing w:before="60" w:after="60"/>
              <w:jc w:val="left"/>
              <w:rPr>
                <w:b/>
              </w:rPr>
            </w:pPr>
            <w:r w:rsidRPr="0024746B">
              <w:rPr>
                <w:b/>
              </w:rPr>
              <w:t>0</w:t>
            </w:r>
          </w:p>
        </w:tc>
      </w:tr>
      <w:tr w:rsidR="006F2052" w:rsidRPr="008340BB" w14:paraId="31C1DE61" w14:textId="77777777" w:rsidTr="006F2052">
        <w:tc>
          <w:tcPr>
            <w:tcW w:w="4933" w:type="dxa"/>
          </w:tcPr>
          <w:p w14:paraId="034B14E1" w14:textId="77777777" w:rsidR="006F2052" w:rsidRPr="008340BB" w:rsidRDefault="006F2052" w:rsidP="006F2052">
            <w:pPr>
              <w:pStyle w:val="Text1"/>
              <w:spacing w:before="60" w:after="60"/>
              <w:ind w:left="0"/>
              <w:rPr>
                <w:b/>
                <w:sz w:val="24"/>
                <w:lang w:val="en-GB" w:eastAsia="en-GB"/>
              </w:rPr>
            </w:pPr>
            <w:r w:rsidRPr="008340BB">
              <w:rPr>
                <w:rFonts w:ascii="Times New Roman Bold" w:hAnsi="Times New Roman Bold"/>
                <w:b/>
                <w:sz w:val="20"/>
                <w:lang w:val="en-GB" w:eastAsia="en-GB"/>
              </w:rPr>
              <w:t>Total</w:t>
            </w:r>
          </w:p>
        </w:tc>
        <w:tc>
          <w:tcPr>
            <w:tcW w:w="4933" w:type="dxa"/>
            <w:shd w:val="clear" w:color="auto" w:fill="auto"/>
          </w:tcPr>
          <w:p w14:paraId="55DC11AE" w14:textId="77777777" w:rsidR="002B08C6" w:rsidRPr="0024746B" w:rsidRDefault="002B08C6" w:rsidP="002B08C6">
            <w:pPr>
              <w:spacing w:before="60" w:after="60"/>
              <w:jc w:val="left"/>
              <w:rPr>
                <w:b/>
                <w:lang w:val="en-US"/>
              </w:rPr>
            </w:pPr>
            <w:r w:rsidRPr="0024746B">
              <w:rPr>
                <w:b/>
                <w:lang w:val="bg-BG"/>
              </w:rPr>
              <w:t>353 699 385,20</w:t>
            </w:r>
          </w:p>
          <w:p w14:paraId="5FF2D47B" w14:textId="77777777" w:rsidR="002B08C6" w:rsidRPr="0024746B" w:rsidRDefault="002B08C6" w:rsidP="00C835D4">
            <w:pPr>
              <w:spacing w:before="60" w:after="60"/>
              <w:jc w:val="left"/>
              <w:rPr>
                <w:b/>
                <w:lang w:val="bg-BG"/>
              </w:rPr>
            </w:pPr>
          </w:p>
          <w:p w14:paraId="47D4AE4E" w14:textId="7C7125F9" w:rsidR="00C835D4" w:rsidRPr="0024746B" w:rsidRDefault="00C835D4" w:rsidP="00C835D4">
            <w:pPr>
              <w:spacing w:before="60" w:after="60"/>
              <w:jc w:val="left"/>
              <w:rPr>
                <w:b/>
                <w:lang w:val="bg-BG"/>
              </w:rPr>
            </w:pPr>
          </w:p>
          <w:p w14:paraId="23863F5E" w14:textId="1BCAC961" w:rsidR="006F2052" w:rsidRPr="0024746B" w:rsidRDefault="006F2052" w:rsidP="006F2052">
            <w:pPr>
              <w:spacing w:before="60" w:after="60"/>
              <w:jc w:val="left"/>
              <w:rPr>
                <w:b/>
              </w:rPr>
            </w:pPr>
          </w:p>
          <w:p w14:paraId="50482E9C" w14:textId="2C61CA6D" w:rsidR="006F2052" w:rsidRPr="0024746B" w:rsidRDefault="006F2052" w:rsidP="006F2052">
            <w:pPr>
              <w:spacing w:before="60" w:after="60"/>
              <w:jc w:val="left"/>
              <w:rPr>
                <w:b/>
              </w:rPr>
            </w:pPr>
          </w:p>
        </w:tc>
        <w:tc>
          <w:tcPr>
            <w:tcW w:w="4922" w:type="dxa"/>
            <w:shd w:val="clear" w:color="auto" w:fill="auto"/>
          </w:tcPr>
          <w:p w14:paraId="147536D2" w14:textId="77777777" w:rsidR="002B08C6" w:rsidRPr="0024746B" w:rsidRDefault="002B08C6" w:rsidP="002B08C6">
            <w:pPr>
              <w:spacing w:before="60" w:after="60"/>
              <w:jc w:val="left"/>
              <w:rPr>
                <w:b/>
                <w:lang w:val="bg-BG"/>
              </w:rPr>
            </w:pPr>
            <w:r w:rsidRPr="0024746B">
              <w:rPr>
                <w:b/>
                <w:lang w:val="bg-BG"/>
              </w:rPr>
              <w:lastRenderedPageBreak/>
              <w:t>23,26</w:t>
            </w:r>
            <w:r w:rsidRPr="0024746B">
              <w:rPr>
                <w:b/>
                <w:lang w:val="en-US"/>
              </w:rPr>
              <w:t xml:space="preserve"> %</w:t>
            </w:r>
          </w:p>
          <w:p w14:paraId="6481DB2A" w14:textId="77777777" w:rsidR="002B08C6" w:rsidRPr="0024746B" w:rsidRDefault="002B08C6" w:rsidP="00C835D4">
            <w:pPr>
              <w:spacing w:before="60" w:after="60"/>
              <w:jc w:val="left"/>
              <w:rPr>
                <w:b/>
                <w:lang w:val="bg-BG"/>
              </w:rPr>
            </w:pPr>
          </w:p>
          <w:p w14:paraId="2C2877F6" w14:textId="02FB2492" w:rsidR="00C835D4" w:rsidRPr="0024746B" w:rsidRDefault="00C835D4" w:rsidP="00C835D4">
            <w:pPr>
              <w:spacing w:before="60" w:after="60"/>
              <w:jc w:val="left"/>
              <w:rPr>
                <w:b/>
                <w:lang w:val="en-US"/>
              </w:rPr>
            </w:pPr>
          </w:p>
          <w:p w14:paraId="74CD6C2D" w14:textId="368E0010" w:rsidR="006F2052" w:rsidRPr="0024746B" w:rsidRDefault="006F2052" w:rsidP="006F2052">
            <w:pPr>
              <w:spacing w:before="60" w:after="60"/>
              <w:jc w:val="left"/>
              <w:rPr>
                <w:b/>
                <w:lang w:val="en-US"/>
              </w:rPr>
            </w:pPr>
          </w:p>
          <w:p w14:paraId="7C2BA766" w14:textId="39DA7537" w:rsidR="006F2052" w:rsidRPr="0024746B" w:rsidRDefault="006F2052" w:rsidP="006F2052">
            <w:pPr>
              <w:spacing w:before="60" w:after="60"/>
              <w:jc w:val="left"/>
              <w:rPr>
                <w:b/>
              </w:rPr>
            </w:pPr>
            <w:r w:rsidRPr="0024746B">
              <w:rPr>
                <w:b/>
              </w:rPr>
              <w:t xml:space="preserve"> </w:t>
            </w:r>
          </w:p>
        </w:tc>
      </w:tr>
    </w:tbl>
    <w:p w14:paraId="757CFF7C" w14:textId="77777777" w:rsidR="00F1341F" w:rsidRPr="008340BB" w:rsidRDefault="00F1341F" w:rsidP="00F03C1E">
      <w:pPr>
        <w:jc w:val="left"/>
        <w:rPr>
          <w:b/>
        </w:rPr>
        <w:sectPr w:rsidR="00F1341F" w:rsidRPr="008340BB" w:rsidSect="001E1D6F">
          <w:pgSz w:w="16838" w:h="11906" w:orient="landscape"/>
          <w:pgMar w:top="1276" w:right="1020" w:bottom="1587" w:left="1020" w:header="601" w:footer="1077" w:gutter="0"/>
          <w:cols w:space="708"/>
          <w:docGrid w:linePitch="326"/>
        </w:sectPr>
      </w:pPr>
    </w:p>
    <w:p w14:paraId="5762267D" w14:textId="77777777" w:rsidR="00F1341F" w:rsidRPr="008340BB" w:rsidRDefault="00F1341F" w:rsidP="00445D2B">
      <w:pPr>
        <w:pStyle w:val="ManualHeading1"/>
        <w:tabs>
          <w:tab w:val="clear" w:pos="850"/>
          <w:tab w:val="left" w:pos="1418"/>
        </w:tabs>
        <w:ind w:left="1418" w:hanging="1418"/>
      </w:pPr>
      <w:r w:rsidRPr="008340BB">
        <w:lastRenderedPageBreak/>
        <w:t>SECTION 4</w:t>
      </w:r>
      <w:r w:rsidRPr="008340BB">
        <w:tab/>
        <w:t xml:space="preserve">Integrated approach to territorial development </w:t>
      </w:r>
    </w:p>
    <w:p w14:paraId="6B6B7FB8" w14:textId="77777777" w:rsidR="00F1341F" w:rsidRPr="008340BB" w:rsidRDefault="00F1341F" w:rsidP="00BF3391">
      <w:r w:rsidRPr="008340BB">
        <w:t>(Reference: Article 96(3) of Regulation (EU) No 1303/2013)</w:t>
      </w:r>
    </w:p>
    <w:p w14:paraId="160FAEC8" w14:textId="77777777" w:rsidR="00F1341F" w:rsidRPr="008340BB" w:rsidRDefault="00F1341F" w:rsidP="00BF3391"/>
    <w:p w14:paraId="72B0E8B9" w14:textId="77777777" w:rsidR="00F1341F" w:rsidRPr="008340BB" w:rsidRDefault="00F1341F" w:rsidP="00F03C1E">
      <w:r w:rsidRPr="008340BB">
        <w:rPr>
          <w:szCs w:val="24"/>
        </w:rPr>
        <w:t>Description of the integrated approach to territorial development taking into account the content and objectives of the operational programme having regard to the Partnership Agreement and showing how the operational programme contributes to the accomplishment of the objectives of the operational programme and expected results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33"/>
      </w:tblGrid>
      <w:tr w:rsidR="00F1341F" w:rsidRPr="008340BB" w14:paraId="396B2F3E" w14:textId="77777777" w:rsidTr="00BF3391">
        <w:trPr>
          <w:trHeight w:val="707"/>
        </w:trPr>
        <w:tc>
          <w:tcPr>
            <w:tcW w:w="8833" w:type="dxa"/>
          </w:tcPr>
          <w:p w14:paraId="07DCF8A6" w14:textId="77777777" w:rsidR="005F4C19" w:rsidRPr="008340BB" w:rsidRDefault="00F1341F" w:rsidP="00BA27A6">
            <w:r w:rsidRPr="008340BB">
              <w:t>According to the Partnership Agreement, the integrated approach to territorial development aimed at reducing the social, economic and territorial disparities will be applied thr</w:t>
            </w:r>
            <w:r w:rsidR="005F4C19" w:rsidRPr="008340BB">
              <w:t>ough the following instruments:</w:t>
            </w:r>
          </w:p>
          <w:p w14:paraId="433B9A19" w14:textId="77777777" w:rsidR="005F4C19" w:rsidRPr="008340BB" w:rsidRDefault="00F1341F" w:rsidP="005F4C19">
            <w:pPr>
              <w:numPr>
                <w:ilvl w:val="0"/>
                <w:numId w:val="95"/>
              </w:numPr>
              <w:ind w:left="567" w:hanging="283"/>
            </w:pPr>
            <w:r w:rsidRPr="008340BB">
              <w:t>pilot implementation of Integrated Territorial Investments for the North-Western Region (at NUTS II level), identified as the weakest developed within the whole t</w:t>
            </w:r>
            <w:r w:rsidR="005F4C19" w:rsidRPr="008340BB">
              <w:t>erritory of the European Union;</w:t>
            </w:r>
          </w:p>
          <w:p w14:paraId="609387D9" w14:textId="77777777" w:rsidR="005F4C19" w:rsidRPr="008340BB" w:rsidRDefault="00F1341F" w:rsidP="005F4C19">
            <w:pPr>
              <w:numPr>
                <w:ilvl w:val="0"/>
                <w:numId w:val="95"/>
              </w:numPr>
              <w:ind w:left="567" w:hanging="283"/>
            </w:pPr>
            <w:r w:rsidRPr="008340BB">
              <w:t>implementation of the new instrument “Community Led Local Development (CLLD)”, including the implementation of multifunded integrated territorial CLLD, by programming and implementing innovative integrated multisectoral strategies for local development;</w:t>
            </w:r>
          </w:p>
          <w:p w14:paraId="16CF76B6" w14:textId="77777777" w:rsidR="005F4C19" w:rsidRPr="008340BB" w:rsidRDefault="00F1341F" w:rsidP="005F4C19">
            <w:pPr>
              <w:numPr>
                <w:ilvl w:val="0"/>
                <w:numId w:val="95"/>
              </w:numPr>
              <w:ind w:left="567" w:hanging="283"/>
            </w:pPr>
            <w:r w:rsidRPr="008340BB">
              <w:t>continuing investments to promote sustainable urban development based on Integrated plans for urban regeneration and for development of the identified growth poles;</w:t>
            </w:r>
          </w:p>
          <w:p w14:paraId="3009E6A8" w14:textId="77777777" w:rsidR="005F4C19" w:rsidRPr="008340BB" w:rsidRDefault="00F1341F" w:rsidP="005F4C19">
            <w:pPr>
              <w:numPr>
                <w:ilvl w:val="0"/>
                <w:numId w:val="95"/>
              </w:numPr>
              <w:ind w:left="567" w:hanging="283"/>
            </w:pPr>
            <w:r w:rsidRPr="008340BB">
              <w:t xml:space="preserve">continuing implementation of the European Territorial Cooperation, including the EU </w:t>
            </w:r>
            <w:r w:rsidR="005F4C19" w:rsidRPr="008340BB">
              <w:t>Strategy for the Danube Region.</w:t>
            </w:r>
          </w:p>
          <w:p w14:paraId="06E279E6" w14:textId="77777777" w:rsidR="00F1341F" w:rsidRPr="008340BB" w:rsidRDefault="00F1341F" w:rsidP="00BA27A6">
            <w:r w:rsidRPr="008340BB">
              <w:t>Pursuant to the provisions of the Partnership Agreement and giving due consideration to the contents and objectives of OPTTI 2014-2020, the contribution of the operational program will be only to the implementation of the EU Strategy for the Danube Region.</w:t>
            </w:r>
          </w:p>
        </w:tc>
      </w:tr>
    </w:tbl>
    <w:p w14:paraId="60002A53" w14:textId="77777777" w:rsidR="00F1341F" w:rsidRPr="008340BB" w:rsidRDefault="00F1341F" w:rsidP="00F03C1E">
      <w:pPr>
        <w:ind w:left="709" w:hanging="709"/>
        <w:rPr>
          <w:b/>
        </w:rPr>
      </w:pPr>
    </w:p>
    <w:p w14:paraId="016492F7" w14:textId="77777777" w:rsidR="00F1341F" w:rsidRPr="008340BB" w:rsidRDefault="00F1341F" w:rsidP="00F03C1E">
      <w:pPr>
        <w:ind w:left="709" w:hanging="709"/>
        <w:rPr>
          <w:b/>
        </w:rPr>
      </w:pPr>
      <w:r w:rsidRPr="008340BB">
        <w:rPr>
          <w:b/>
        </w:rPr>
        <w:t>4.1</w:t>
      </w:r>
      <w:r w:rsidRPr="008340BB">
        <w:rPr>
          <w:b/>
        </w:rPr>
        <w:tab/>
        <w:t xml:space="preserve">Community-led local development </w:t>
      </w:r>
      <w:r w:rsidRPr="008340BB">
        <w:t>(where appropriate)</w:t>
      </w:r>
    </w:p>
    <w:p w14:paraId="0A66B4EC" w14:textId="77777777" w:rsidR="00F1341F" w:rsidRPr="008340BB" w:rsidRDefault="00F1341F" w:rsidP="00F03C1E">
      <w:pPr>
        <w:ind w:left="709" w:hanging="709"/>
      </w:pPr>
      <w:r w:rsidRPr="008340BB">
        <w:t>(Reference: point (a) of Article 96(3) of Regulation (EU) No 1303/2013)</w:t>
      </w:r>
    </w:p>
    <w:p w14:paraId="21377523" w14:textId="77777777" w:rsidR="00F1341F" w:rsidRPr="008340BB" w:rsidRDefault="00F1341F" w:rsidP="00F03C1E">
      <w:pPr>
        <w:ind w:left="709" w:hanging="709"/>
      </w:pPr>
    </w:p>
    <w:p w14:paraId="679595EB" w14:textId="77777777" w:rsidR="00F1341F" w:rsidRPr="008340BB" w:rsidRDefault="00F1341F" w:rsidP="00BF3391">
      <w:r w:rsidRPr="008340BB">
        <w:t xml:space="preserve">Where appropriate, the approach to the use of community-led local development instruments and the principles for identifying the areas in where they will be implemented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67"/>
      </w:tblGrid>
      <w:tr w:rsidR="00F1341F" w:rsidRPr="008340BB" w14:paraId="0F42E3A2" w14:textId="77777777" w:rsidTr="00BF3391">
        <w:trPr>
          <w:trHeight w:val="842"/>
        </w:trPr>
        <w:tc>
          <w:tcPr>
            <w:tcW w:w="8867" w:type="dxa"/>
          </w:tcPr>
          <w:p w14:paraId="70A54487" w14:textId="77777777" w:rsidR="00F1341F" w:rsidRPr="008340BB" w:rsidRDefault="00F1341F" w:rsidP="00F03C1E">
            <w:pPr>
              <w:pStyle w:val="ListDash2"/>
              <w:numPr>
                <w:ilvl w:val="0"/>
                <w:numId w:val="0"/>
              </w:numPr>
              <w:rPr>
                <w:i/>
              </w:rPr>
            </w:pPr>
            <w:r w:rsidRPr="008340BB">
              <w:t xml:space="preserve">Not applicable. </w:t>
            </w:r>
          </w:p>
        </w:tc>
      </w:tr>
    </w:tbl>
    <w:p w14:paraId="1423899B" w14:textId="77777777" w:rsidR="00F1341F" w:rsidRPr="008340BB" w:rsidRDefault="00F1341F" w:rsidP="003B600B"/>
    <w:p w14:paraId="3262CB49" w14:textId="77777777" w:rsidR="00F1341F" w:rsidRPr="008340BB" w:rsidRDefault="00F1341F" w:rsidP="00F03C1E">
      <w:pPr>
        <w:ind w:left="709" w:hanging="709"/>
        <w:rPr>
          <w:b/>
        </w:rPr>
      </w:pPr>
      <w:r w:rsidRPr="008340BB">
        <w:rPr>
          <w:b/>
        </w:rPr>
        <w:br w:type="page"/>
      </w:r>
      <w:r w:rsidRPr="008340BB">
        <w:rPr>
          <w:b/>
        </w:rPr>
        <w:lastRenderedPageBreak/>
        <w:t>4.2</w:t>
      </w:r>
      <w:r w:rsidRPr="008340BB">
        <w:rPr>
          <w:b/>
        </w:rPr>
        <w:tab/>
        <w:t xml:space="preserve">Sustainable urban development </w:t>
      </w:r>
      <w:r w:rsidRPr="008340BB">
        <w:t>(where appropriate)</w:t>
      </w:r>
    </w:p>
    <w:p w14:paraId="131D9068" w14:textId="77777777" w:rsidR="00F1341F" w:rsidRPr="008340BB" w:rsidRDefault="00F1341F" w:rsidP="00F03C1E">
      <w:pPr>
        <w:ind w:left="709" w:hanging="709"/>
      </w:pPr>
      <w:r w:rsidRPr="008340BB">
        <w:t>(Reference: point (b) of Article 96(3) of Regulation (EU) No 1303/2013; Article 7(2) and (3) of Regulation (EU) No 1301/2013 of the European Parliament and of the Council</w:t>
      </w:r>
      <w:r w:rsidRPr="008340BB">
        <w:rPr>
          <w:rStyle w:val="FootnoteReference"/>
        </w:rPr>
        <w:footnoteReference w:id="88"/>
      </w:r>
      <w:r w:rsidRPr="008340BB">
        <w:t xml:space="preserve">]) </w:t>
      </w:r>
    </w:p>
    <w:p w14:paraId="703993EF" w14:textId="77777777" w:rsidR="00F1341F" w:rsidRPr="00020ADD" w:rsidRDefault="00F1341F" w:rsidP="00BF3391">
      <w:r w:rsidRPr="0067246B">
        <w:t>Where appropriate the indicative amount of ERDF support for integrated actions for sustainable urban development to be implemented in accordance with the provisions under Article 7(2) of Regulation (EU) No 1301/2013 and the indicati</w:t>
      </w:r>
      <w:r w:rsidRPr="00020ADD">
        <w:t>ve allocation of ESF support for integrated action.</w:t>
      </w:r>
    </w:p>
    <w:p w14:paraId="6BED33D4" w14:textId="77777777" w:rsidR="00F1341F" w:rsidRPr="00020ADD" w:rsidRDefault="00F1341F" w:rsidP="00F03C1E">
      <w:pPr>
        <w:ind w:left="709" w:hanging="709"/>
        <w:rPr>
          <w: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67"/>
      </w:tblGrid>
      <w:tr w:rsidR="00F1341F" w:rsidRPr="008340BB" w14:paraId="06476B71" w14:textId="77777777" w:rsidTr="00BF3391">
        <w:trPr>
          <w:trHeight w:val="765"/>
        </w:trPr>
        <w:tc>
          <w:tcPr>
            <w:tcW w:w="8867" w:type="dxa"/>
          </w:tcPr>
          <w:p w14:paraId="05EA3D89" w14:textId="77777777" w:rsidR="00F1341F" w:rsidRPr="00DC0475" w:rsidRDefault="00F1341F" w:rsidP="00F03C1E">
            <w:pPr>
              <w:pStyle w:val="ListDash2"/>
              <w:numPr>
                <w:ilvl w:val="0"/>
                <w:numId w:val="0"/>
              </w:numPr>
              <w:rPr>
                <w:i/>
              </w:rPr>
            </w:pPr>
            <w:r w:rsidRPr="00020ADD">
              <w:t>Not applicable.</w:t>
            </w:r>
          </w:p>
        </w:tc>
      </w:tr>
    </w:tbl>
    <w:p w14:paraId="7CF18A24" w14:textId="77777777" w:rsidR="00F1341F" w:rsidRPr="008340BB" w:rsidRDefault="00F1341F" w:rsidP="003B600B"/>
    <w:p w14:paraId="594D7AD7" w14:textId="77777777" w:rsidR="00F1341F" w:rsidRPr="008340BB" w:rsidRDefault="00F1341F" w:rsidP="00A14D00">
      <w:pPr>
        <w:ind w:left="1418" w:hanging="1418"/>
        <w:rPr>
          <w:b/>
        </w:rPr>
      </w:pPr>
      <w:r w:rsidRPr="008340BB">
        <w:rPr>
          <w:b/>
        </w:rPr>
        <w:t>Table 20:</w:t>
      </w:r>
      <w:r w:rsidRPr="008340BB">
        <w:rPr>
          <w:b/>
        </w:rPr>
        <w:tab/>
        <w:t xml:space="preserve">Sustainable urban integrated actions – indicative amounts of ERDF and ESF support </w:t>
      </w:r>
    </w:p>
    <w:tbl>
      <w:tblPr>
        <w:tblW w:w="52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5"/>
        <w:gridCol w:w="4134"/>
        <w:gridCol w:w="2635"/>
      </w:tblGrid>
      <w:tr w:rsidR="00F1341F" w:rsidRPr="008340BB" w14:paraId="48BC878F" w14:textId="77777777" w:rsidTr="00825E88">
        <w:trPr>
          <w:jc w:val="center"/>
        </w:trPr>
        <w:tc>
          <w:tcPr>
            <w:tcW w:w="1450" w:type="pct"/>
            <w:shd w:val="clear" w:color="auto" w:fill="D9D9D9"/>
          </w:tcPr>
          <w:p w14:paraId="0C6E7C60" w14:textId="77777777" w:rsidR="00F1341F" w:rsidRPr="008340BB" w:rsidRDefault="00F1341F" w:rsidP="00592A9F">
            <w:pPr>
              <w:pStyle w:val="ListDash"/>
              <w:numPr>
                <w:ilvl w:val="0"/>
                <w:numId w:val="0"/>
              </w:numPr>
              <w:spacing w:beforeLines="40" w:before="96" w:afterLines="40" w:after="96"/>
              <w:rPr>
                <w:b/>
                <w:sz w:val="20"/>
              </w:rPr>
            </w:pPr>
            <w:r w:rsidRPr="008340BB">
              <w:rPr>
                <w:b/>
                <w:sz w:val="20"/>
              </w:rPr>
              <w:t>Fund</w:t>
            </w:r>
          </w:p>
        </w:tc>
        <w:tc>
          <w:tcPr>
            <w:tcW w:w="2168" w:type="pct"/>
            <w:shd w:val="clear" w:color="auto" w:fill="D9D9D9"/>
          </w:tcPr>
          <w:p w14:paraId="05A6226E" w14:textId="77777777" w:rsidR="00E87023" w:rsidRDefault="00F1341F">
            <w:pPr>
              <w:pStyle w:val="ListDash"/>
              <w:numPr>
                <w:ilvl w:val="0"/>
                <w:numId w:val="0"/>
              </w:numPr>
              <w:spacing w:beforeLines="40" w:before="96" w:afterLines="40" w:after="96"/>
              <w:rPr>
                <w:b/>
                <w:sz w:val="20"/>
              </w:rPr>
            </w:pPr>
            <w:r w:rsidRPr="008340BB">
              <w:rPr>
                <w:b/>
                <w:sz w:val="20"/>
              </w:rPr>
              <w:t>ERDF and ESF support (indicative)</w:t>
            </w:r>
          </w:p>
          <w:p w14:paraId="5183883D" w14:textId="77777777" w:rsidR="00E87023" w:rsidRDefault="00F1341F">
            <w:pPr>
              <w:pStyle w:val="ListDash"/>
              <w:numPr>
                <w:ilvl w:val="0"/>
                <w:numId w:val="0"/>
              </w:numPr>
              <w:spacing w:beforeLines="40" w:before="96" w:afterLines="40" w:after="96"/>
              <w:rPr>
                <w:b/>
                <w:sz w:val="20"/>
              </w:rPr>
            </w:pPr>
            <w:r w:rsidRPr="008340BB">
              <w:rPr>
                <w:b/>
                <w:sz w:val="20"/>
              </w:rPr>
              <w:t>((EUR))</w:t>
            </w:r>
          </w:p>
        </w:tc>
        <w:tc>
          <w:tcPr>
            <w:tcW w:w="1382" w:type="pct"/>
            <w:shd w:val="clear" w:color="auto" w:fill="D9D9D9"/>
          </w:tcPr>
          <w:p w14:paraId="3E0E616E" w14:textId="77777777" w:rsidR="00E87023" w:rsidRDefault="00F1341F">
            <w:pPr>
              <w:pStyle w:val="ListDash"/>
              <w:numPr>
                <w:ilvl w:val="0"/>
                <w:numId w:val="0"/>
              </w:numPr>
              <w:spacing w:beforeLines="40" w:before="96" w:afterLines="40" w:after="96"/>
              <w:rPr>
                <w:b/>
                <w:sz w:val="20"/>
              </w:rPr>
            </w:pPr>
            <w:r w:rsidRPr="008340BB">
              <w:rPr>
                <w:b/>
                <w:sz w:val="20"/>
              </w:rPr>
              <w:t>Proportion of fund’s total allocation to programme</w:t>
            </w:r>
          </w:p>
        </w:tc>
      </w:tr>
      <w:tr w:rsidR="00F1341F" w:rsidRPr="008340BB" w14:paraId="773A71B5" w14:textId="77777777" w:rsidTr="00825E88">
        <w:trPr>
          <w:jc w:val="center"/>
        </w:trPr>
        <w:tc>
          <w:tcPr>
            <w:tcW w:w="1450" w:type="pct"/>
          </w:tcPr>
          <w:p w14:paraId="03A9678C" w14:textId="77777777" w:rsidR="00F1341F" w:rsidRPr="008340BB" w:rsidRDefault="00F1341F" w:rsidP="00592A9F">
            <w:pPr>
              <w:pStyle w:val="ListDash"/>
              <w:numPr>
                <w:ilvl w:val="0"/>
                <w:numId w:val="0"/>
              </w:numPr>
              <w:spacing w:beforeLines="40" w:before="96" w:afterLines="40" w:after="96"/>
              <w:rPr>
                <w:sz w:val="20"/>
              </w:rPr>
            </w:pPr>
            <w:r w:rsidRPr="008340BB">
              <w:rPr>
                <w:sz w:val="20"/>
              </w:rPr>
              <w:t>Total ERDF</w:t>
            </w:r>
          </w:p>
        </w:tc>
        <w:tc>
          <w:tcPr>
            <w:tcW w:w="2168" w:type="pct"/>
          </w:tcPr>
          <w:p w14:paraId="14F61D3C" w14:textId="77777777" w:rsidR="00E87023" w:rsidRDefault="00F1341F">
            <w:pPr>
              <w:pStyle w:val="ListDash"/>
              <w:numPr>
                <w:ilvl w:val="0"/>
                <w:numId w:val="0"/>
              </w:numPr>
              <w:spacing w:beforeLines="40" w:before="96" w:afterLines="40" w:after="96"/>
              <w:rPr>
                <w:sz w:val="20"/>
              </w:rPr>
            </w:pPr>
            <w:r w:rsidRPr="008340BB">
              <w:rPr>
                <w:sz w:val="20"/>
              </w:rPr>
              <w:t>Not applicable</w:t>
            </w:r>
          </w:p>
        </w:tc>
        <w:tc>
          <w:tcPr>
            <w:tcW w:w="1382" w:type="pct"/>
          </w:tcPr>
          <w:p w14:paraId="40CC4330" w14:textId="77777777" w:rsidR="00E87023" w:rsidRDefault="00F1341F">
            <w:pPr>
              <w:pStyle w:val="ListDash"/>
              <w:numPr>
                <w:ilvl w:val="0"/>
                <w:numId w:val="0"/>
              </w:numPr>
              <w:spacing w:beforeLines="40" w:before="96" w:afterLines="40" w:after="96"/>
              <w:rPr>
                <w:sz w:val="20"/>
              </w:rPr>
            </w:pPr>
            <w:r w:rsidRPr="008340BB">
              <w:rPr>
                <w:sz w:val="20"/>
              </w:rPr>
              <w:t>Not applicable</w:t>
            </w:r>
          </w:p>
        </w:tc>
      </w:tr>
      <w:tr w:rsidR="00F1341F" w:rsidRPr="008340BB" w14:paraId="5E5669D3" w14:textId="77777777" w:rsidTr="00825E88">
        <w:trPr>
          <w:jc w:val="center"/>
        </w:trPr>
        <w:tc>
          <w:tcPr>
            <w:tcW w:w="1450" w:type="pct"/>
          </w:tcPr>
          <w:p w14:paraId="182934D4" w14:textId="77777777" w:rsidR="00F1341F" w:rsidRPr="008340BB" w:rsidRDefault="00F1341F" w:rsidP="00592A9F">
            <w:pPr>
              <w:pStyle w:val="ListDash"/>
              <w:numPr>
                <w:ilvl w:val="0"/>
                <w:numId w:val="0"/>
              </w:numPr>
              <w:spacing w:beforeLines="40" w:before="96" w:afterLines="40" w:after="96"/>
              <w:rPr>
                <w:sz w:val="20"/>
              </w:rPr>
            </w:pPr>
            <w:r w:rsidRPr="008340BB">
              <w:rPr>
                <w:sz w:val="20"/>
              </w:rPr>
              <w:t>Total ESF</w:t>
            </w:r>
          </w:p>
        </w:tc>
        <w:tc>
          <w:tcPr>
            <w:tcW w:w="2168" w:type="pct"/>
          </w:tcPr>
          <w:p w14:paraId="7FDC5718" w14:textId="77777777" w:rsidR="00E87023" w:rsidRDefault="00F1341F">
            <w:pPr>
              <w:pStyle w:val="ListDash"/>
              <w:numPr>
                <w:ilvl w:val="0"/>
                <w:numId w:val="0"/>
              </w:numPr>
              <w:spacing w:beforeLines="40" w:before="96" w:afterLines="40" w:after="96"/>
              <w:rPr>
                <w:sz w:val="20"/>
              </w:rPr>
            </w:pPr>
            <w:r w:rsidRPr="008340BB">
              <w:rPr>
                <w:sz w:val="20"/>
              </w:rPr>
              <w:t>Not applicable</w:t>
            </w:r>
          </w:p>
        </w:tc>
        <w:tc>
          <w:tcPr>
            <w:tcW w:w="1382" w:type="pct"/>
          </w:tcPr>
          <w:p w14:paraId="430628C2" w14:textId="77777777" w:rsidR="00E87023" w:rsidRDefault="00F1341F">
            <w:pPr>
              <w:pStyle w:val="ListDash"/>
              <w:numPr>
                <w:ilvl w:val="0"/>
                <w:numId w:val="0"/>
              </w:numPr>
              <w:spacing w:beforeLines="40" w:before="96" w:afterLines="40" w:after="96"/>
              <w:rPr>
                <w:sz w:val="20"/>
              </w:rPr>
            </w:pPr>
            <w:r w:rsidRPr="008340BB">
              <w:rPr>
                <w:sz w:val="20"/>
              </w:rPr>
              <w:t>Not applicable</w:t>
            </w:r>
          </w:p>
        </w:tc>
      </w:tr>
      <w:tr w:rsidR="00F1341F" w:rsidRPr="008340BB" w14:paraId="1860142C" w14:textId="77777777" w:rsidTr="00825E88">
        <w:trPr>
          <w:jc w:val="center"/>
        </w:trPr>
        <w:tc>
          <w:tcPr>
            <w:tcW w:w="1450" w:type="pct"/>
          </w:tcPr>
          <w:p w14:paraId="3426AB34" w14:textId="77777777" w:rsidR="00F1341F" w:rsidRPr="008340BB" w:rsidRDefault="00F1341F" w:rsidP="00592A9F">
            <w:pPr>
              <w:pStyle w:val="ListDash"/>
              <w:numPr>
                <w:ilvl w:val="0"/>
                <w:numId w:val="0"/>
              </w:numPr>
              <w:spacing w:beforeLines="40" w:before="96" w:afterLines="40" w:after="96"/>
              <w:rPr>
                <w:sz w:val="20"/>
              </w:rPr>
            </w:pPr>
            <w:r w:rsidRPr="008340BB">
              <w:rPr>
                <w:sz w:val="20"/>
              </w:rPr>
              <w:t>TOTAL ERDF+ESF</w:t>
            </w:r>
          </w:p>
        </w:tc>
        <w:tc>
          <w:tcPr>
            <w:tcW w:w="2168" w:type="pct"/>
          </w:tcPr>
          <w:p w14:paraId="4A82C4C7" w14:textId="77777777" w:rsidR="00E87023" w:rsidRDefault="00F1341F">
            <w:pPr>
              <w:pStyle w:val="ListDash"/>
              <w:numPr>
                <w:ilvl w:val="0"/>
                <w:numId w:val="0"/>
              </w:numPr>
              <w:spacing w:beforeLines="40" w:before="96" w:afterLines="40" w:after="96"/>
              <w:rPr>
                <w:sz w:val="20"/>
              </w:rPr>
            </w:pPr>
            <w:r w:rsidRPr="008340BB">
              <w:rPr>
                <w:sz w:val="20"/>
              </w:rPr>
              <w:t>Not applicable</w:t>
            </w:r>
          </w:p>
        </w:tc>
        <w:tc>
          <w:tcPr>
            <w:tcW w:w="1382" w:type="pct"/>
          </w:tcPr>
          <w:p w14:paraId="15C3ECCC" w14:textId="77777777" w:rsidR="00E87023" w:rsidRDefault="00F1341F">
            <w:pPr>
              <w:pStyle w:val="ListDash"/>
              <w:numPr>
                <w:ilvl w:val="0"/>
                <w:numId w:val="0"/>
              </w:numPr>
              <w:spacing w:beforeLines="40" w:before="96" w:afterLines="40" w:after="96"/>
              <w:rPr>
                <w:sz w:val="20"/>
              </w:rPr>
            </w:pPr>
            <w:r w:rsidRPr="008340BB">
              <w:rPr>
                <w:sz w:val="20"/>
              </w:rPr>
              <w:t>Not applicable</w:t>
            </w:r>
          </w:p>
        </w:tc>
      </w:tr>
    </w:tbl>
    <w:p w14:paraId="38F28918" w14:textId="77777777" w:rsidR="00F1341F" w:rsidRPr="008340BB" w:rsidRDefault="00F1341F" w:rsidP="00A14D00">
      <w:pPr>
        <w:ind w:left="709" w:hanging="709"/>
        <w:rPr>
          <w:b/>
        </w:rPr>
      </w:pPr>
    </w:p>
    <w:p w14:paraId="4B821E88" w14:textId="77777777" w:rsidR="00F1341F" w:rsidRPr="008340BB" w:rsidRDefault="00F1341F" w:rsidP="00A14D00">
      <w:pPr>
        <w:ind w:left="709" w:hanging="709"/>
        <w:rPr>
          <w:b/>
        </w:rPr>
      </w:pPr>
      <w:r w:rsidRPr="008340BB">
        <w:rPr>
          <w:b/>
        </w:rPr>
        <w:t>4.3</w:t>
      </w:r>
      <w:r w:rsidRPr="008340BB">
        <w:rPr>
          <w:b/>
        </w:rPr>
        <w:tab/>
        <w:t>Integrated Territorial Investment (ITI)</w:t>
      </w:r>
      <w:r w:rsidRPr="008340BB">
        <w:t xml:space="preserve"> (where appropriate)</w:t>
      </w:r>
    </w:p>
    <w:p w14:paraId="59DA25D1" w14:textId="77777777" w:rsidR="00F1341F" w:rsidRPr="008340BB" w:rsidRDefault="00F1341F" w:rsidP="00FC3852">
      <w:r w:rsidRPr="008340BB">
        <w:t>(Reference: point (c) of Article 96 (3) of Regulation (EU) No 1303/2013)</w:t>
      </w:r>
    </w:p>
    <w:p w14:paraId="20E997AC" w14:textId="77777777" w:rsidR="00F1341F" w:rsidRPr="008340BB" w:rsidRDefault="00F1341F" w:rsidP="00FC3852">
      <w:pPr>
        <w:ind w:left="709" w:hanging="709"/>
      </w:pPr>
    </w:p>
    <w:p w14:paraId="3C6C65AB" w14:textId="77777777" w:rsidR="00F1341F" w:rsidRPr="008340BB" w:rsidRDefault="00F1341F" w:rsidP="00BF3391">
      <w:pPr>
        <w:rPr>
          <w:b/>
        </w:rPr>
      </w:pPr>
      <w:r w:rsidRPr="008340BB">
        <w:t>Where appropriate, the approach to the use of Integrated Territorial Investment (ITI) (as defined in Article 36 of Regulation (EU) No 1303/2013) other than those for urban development under Article 7(2) of Regulation (EU) No 1301/2013 and their indicative financial allocation from each priority axis.</w:t>
      </w:r>
      <w:r w:rsidRPr="008340BB" w:rsidDel="00C31B20">
        <w:rPr>
          <w:b/>
        </w:rPr>
        <w:t xml:space="preserve"> </w:t>
      </w:r>
    </w:p>
    <w:tbl>
      <w:tblPr>
        <w:tblW w:w="537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5"/>
      </w:tblGrid>
      <w:tr w:rsidR="00F1341F" w:rsidRPr="008340BB" w14:paraId="027D1DA5" w14:textId="77777777" w:rsidTr="00BF3391">
        <w:trPr>
          <w:trHeight w:val="943"/>
        </w:trPr>
        <w:tc>
          <w:tcPr>
            <w:tcW w:w="9489" w:type="dxa"/>
          </w:tcPr>
          <w:p w14:paraId="25853634" w14:textId="77777777" w:rsidR="00F1341F" w:rsidRPr="008340BB" w:rsidRDefault="00F1341F" w:rsidP="00F03C1E">
            <w:pPr>
              <w:pStyle w:val="ListDash2"/>
              <w:numPr>
                <w:ilvl w:val="0"/>
                <w:numId w:val="0"/>
              </w:numPr>
            </w:pPr>
            <w:r w:rsidRPr="008340BB">
              <w:rPr>
                <w:sz w:val="20"/>
              </w:rPr>
              <w:t>Not applicable</w:t>
            </w:r>
          </w:p>
        </w:tc>
      </w:tr>
    </w:tbl>
    <w:p w14:paraId="14E6F1A0" w14:textId="77777777" w:rsidR="00F1341F" w:rsidRPr="00020ADD" w:rsidRDefault="00F1341F" w:rsidP="00F914D7"/>
    <w:p w14:paraId="7AD040D2" w14:textId="77777777" w:rsidR="00F1341F" w:rsidRPr="00020ADD" w:rsidRDefault="00F1341F" w:rsidP="005C14A8">
      <w:pPr>
        <w:rPr>
          <w:b/>
        </w:rPr>
      </w:pPr>
    </w:p>
    <w:p w14:paraId="2253A3E3" w14:textId="77777777" w:rsidR="00F1341F" w:rsidRPr="00DC0475" w:rsidRDefault="00F1341F" w:rsidP="005C14A8">
      <w:pPr>
        <w:rPr>
          <w:b/>
        </w:rPr>
      </w:pPr>
      <w:r w:rsidRPr="00DC0475">
        <w:rPr>
          <w:b/>
        </w:rPr>
        <w:t xml:space="preserve">Table 21: </w:t>
      </w:r>
      <w:r w:rsidRPr="00DC0475">
        <w:rPr>
          <w:b/>
        </w:rPr>
        <w:tab/>
        <w:t xml:space="preserve">Indicative financial allocation to ITI other than those mentioned under point 4.2 </w:t>
      </w:r>
    </w:p>
    <w:p w14:paraId="7DC30F02" w14:textId="77777777" w:rsidR="00F1341F" w:rsidRPr="00B5130A" w:rsidRDefault="00F1341F" w:rsidP="005C14A8">
      <w:r w:rsidRPr="00B5130A">
        <w:t xml:space="preserve"> (aggregate amount)</w:t>
      </w:r>
    </w:p>
    <w:p w14:paraId="3F23ADDF" w14:textId="77777777" w:rsidR="00F1341F" w:rsidRPr="00BA2131" w:rsidRDefault="00F1341F" w:rsidP="005C14A8"/>
    <w:tbl>
      <w:tblPr>
        <w:tblW w:w="5376"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9"/>
        <w:gridCol w:w="2133"/>
        <w:gridCol w:w="5233"/>
      </w:tblGrid>
      <w:tr w:rsidR="00F1341F" w:rsidRPr="008340BB" w14:paraId="1CAAA27C" w14:textId="77777777" w:rsidTr="004F2E2E">
        <w:tc>
          <w:tcPr>
            <w:tcW w:w="2431" w:type="dxa"/>
            <w:shd w:val="clear" w:color="auto" w:fill="D9D9D9"/>
            <w:vAlign w:val="center"/>
          </w:tcPr>
          <w:p w14:paraId="56D21E73" w14:textId="77777777" w:rsidR="00F1341F" w:rsidRPr="008340BB" w:rsidRDefault="00F1341F" w:rsidP="00BF3391">
            <w:pPr>
              <w:tabs>
                <w:tab w:val="left" w:pos="3237"/>
              </w:tabs>
              <w:suppressAutoHyphens/>
              <w:ind w:left="142"/>
              <w:rPr>
                <w:b/>
                <w:lang w:eastAsia="ar-SA"/>
              </w:rPr>
            </w:pPr>
            <w:r w:rsidRPr="00A828C5">
              <w:rPr>
                <w:b/>
                <w:sz w:val="22"/>
                <w:lang w:eastAsia="ar-SA"/>
              </w:rPr>
              <w:lastRenderedPageBreak/>
              <w:t>Priority axis</w:t>
            </w:r>
          </w:p>
        </w:tc>
        <w:tc>
          <w:tcPr>
            <w:tcW w:w="2162" w:type="dxa"/>
            <w:shd w:val="clear" w:color="auto" w:fill="D9D9D9"/>
            <w:vAlign w:val="center"/>
          </w:tcPr>
          <w:p w14:paraId="55E704D5" w14:textId="77777777" w:rsidR="00F1341F" w:rsidRPr="008340BB" w:rsidRDefault="00F1341F" w:rsidP="008D49F3">
            <w:pPr>
              <w:tabs>
                <w:tab w:val="left" w:pos="3237"/>
              </w:tabs>
              <w:suppressAutoHyphens/>
              <w:ind w:left="720"/>
              <w:jc w:val="left"/>
              <w:rPr>
                <w:b/>
                <w:lang w:eastAsia="ar-SA"/>
              </w:rPr>
            </w:pPr>
            <w:r w:rsidRPr="008340BB">
              <w:rPr>
                <w:b/>
                <w:sz w:val="22"/>
                <w:lang w:eastAsia="ar-SA"/>
              </w:rPr>
              <w:t>Fund</w:t>
            </w:r>
          </w:p>
        </w:tc>
        <w:tc>
          <w:tcPr>
            <w:tcW w:w="5395" w:type="dxa"/>
            <w:shd w:val="clear" w:color="auto" w:fill="D9D9D9"/>
            <w:vAlign w:val="center"/>
          </w:tcPr>
          <w:p w14:paraId="1AB13E2A" w14:textId="77777777" w:rsidR="00F1341F" w:rsidRPr="008340BB" w:rsidRDefault="00F1341F" w:rsidP="00BF3391">
            <w:pPr>
              <w:tabs>
                <w:tab w:val="left" w:pos="3237"/>
              </w:tabs>
              <w:suppressAutoHyphens/>
              <w:ind w:left="142"/>
              <w:rPr>
                <w:b/>
                <w:lang w:eastAsia="ar-SA"/>
              </w:rPr>
            </w:pPr>
            <w:r w:rsidRPr="008340BB">
              <w:rPr>
                <w:b/>
                <w:sz w:val="22"/>
                <w:lang w:eastAsia="ar-SA"/>
              </w:rPr>
              <w:t>Indicative financial allocation (Union support) ()</w:t>
            </w:r>
          </w:p>
        </w:tc>
      </w:tr>
      <w:tr w:rsidR="00F1341F" w:rsidRPr="008340BB" w14:paraId="7FE04DBF" w14:textId="77777777" w:rsidTr="009D34EB">
        <w:trPr>
          <w:trHeight w:val="248"/>
        </w:trPr>
        <w:tc>
          <w:tcPr>
            <w:tcW w:w="2431" w:type="dxa"/>
          </w:tcPr>
          <w:p w14:paraId="59281EA0" w14:textId="77777777" w:rsidR="00F1341F" w:rsidRPr="008340BB" w:rsidRDefault="00F1341F" w:rsidP="00F03C1E">
            <w:pPr>
              <w:tabs>
                <w:tab w:val="left" w:pos="3237"/>
              </w:tabs>
              <w:suppressAutoHyphens/>
              <w:spacing w:after="0" w:line="480" w:lineRule="auto"/>
              <w:jc w:val="left"/>
              <w:rPr>
                <w:lang w:eastAsia="ar-SA"/>
              </w:rPr>
            </w:pPr>
            <w:r w:rsidRPr="008340BB">
              <w:rPr>
                <w:sz w:val="22"/>
                <w:lang w:eastAsia="ar-SA"/>
              </w:rPr>
              <w:t>N/A</w:t>
            </w:r>
          </w:p>
        </w:tc>
        <w:tc>
          <w:tcPr>
            <w:tcW w:w="2162" w:type="dxa"/>
          </w:tcPr>
          <w:p w14:paraId="732BC713" w14:textId="77777777" w:rsidR="00F1341F" w:rsidRPr="008340BB" w:rsidRDefault="00F1341F">
            <w:r w:rsidRPr="008340BB">
              <w:rPr>
                <w:sz w:val="22"/>
                <w:lang w:eastAsia="ar-SA"/>
              </w:rPr>
              <w:t>N/A</w:t>
            </w:r>
          </w:p>
        </w:tc>
        <w:tc>
          <w:tcPr>
            <w:tcW w:w="5395" w:type="dxa"/>
          </w:tcPr>
          <w:p w14:paraId="718113C5" w14:textId="77777777" w:rsidR="00F1341F" w:rsidRPr="008340BB" w:rsidRDefault="00F1341F">
            <w:r w:rsidRPr="008340BB">
              <w:rPr>
                <w:sz w:val="22"/>
                <w:lang w:eastAsia="ar-SA"/>
              </w:rPr>
              <w:t>N/A</w:t>
            </w:r>
          </w:p>
        </w:tc>
      </w:tr>
      <w:tr w:rsidR="00F1341F" w:rsidRPr="008340BB" w14:paraId="7EE6CDDB" w14:textId="77777777" w:rsidTr="00374F4F">
        <w:trPr>
          <w:trHeight w:val="248"/>
        </w:trPr>
        <w:tc>
          <w:tcPr>
            <w:tcW w:w="2431" w:type="dxa"/>
          </w:tcPr>
          <w:p w14:paraId="5B1388DA" w14:textId="77777777" w:rsidR="00F1341F" w:rsidRPr="008340BB" w:rsidRDefault="00F1341F" w:rsidP="00374F4F">
            <w:pPr>
              <w:tabs>
                <w:tab w:val="left" w:pos="3237"/>
              </w:tabs>
              <w:suppressAutoHyphens/>
              <w:spacing w:after="0" w:line="480" w:lineRule="auto"/>
              <w:jc w:val="left"/>
              <w:rPr>
                <w:lang w:eastAsia="ar-SA"/>
              </w:rPr>
            </w:pPr>
            <w:r w:rsidRPr="008340BB">
              <w:rPr>
                <w:sz w:val="22"/>
                <w:lang w:eastAsia="ar-SA"/>
              </w:rPr>
              <w:t>N/A</w:t>
            </w:r>
          </w:p>
        </w:tc>
        <w:tc>
          <w:tcPr>
            <w:tcW w:w="2162" w:type="dxa"/>
          </w:tcPr>
          <w:p w14:paraId="177605C3" w14:textId="77777777" w:rsidR="00F1341F" w:rsidRPr="008340BB" w:rsidRDefault="00F1341F" w:rsidP="00374F4F">
            <w:r w:rsidRPr="008340BB">
              <w:rPr>
                <w:sz w:val="22"/>
                <w:lang w:eastAsia="ar-SA"/>
              </w:rPr>
              <w:t>N/A</w:t>
            </w:r>
          </w:p>
        </w:tc>
        <w:tc>
          <w:tcPr>
            <w:tcW w:w="5395" w:type="dxa"/>
          </w:tcPr>
          <w:p w14:paraId="25C7D944" w14:textId="77777777" w:rsidR="00F1341F" w:rsidRPr="008340BB" w:rsidRDefault="00F1341F" w:rsidP="00374F4F">
            <w:r w:rsidRPr="008340BB">
              <w:rPr>
                <w:sz w:val="22"/>
                <w:lang w:eastAsia="ar-SA"/>
              </w:rPr>
              <w:t>N/A</w:t>
            </w:r>
          </w:p>
        </w:tc>
      </w:tr>
      <w:tr w:rsidR="00F1341F" w:rsidRPr="008340BB" w14:paraId="1DEAE4C0" w14:textId="77777777" w:rsidTr="009D34EB">
        <w:trPr>
          <w:trHeight w:val="78"/>
        </w:trPr>
        <w:tc>
          <w:tcPr>
            <w:tcW w:w="2431" w:type="dxa"/>
            <w:vAlign w:val="center"/>
          </w:tcPr>
          <w:p w14:paraId="777447B0" w14:textId="77777777" w:rsidR="00F1341F" w:rsidRPr="008340BB" w:rsidRDefault="00F1341F" w:rsidP="008D49F3">
            <w:pPr>
              <w:tabs>
                <w:tab w:val="left" w:pos="3237"/>
              </w:tabs>
              <w:suppressAutoHyphens/>
              <w:jc w:val="left"/>
              <w:rPr>
                <w:lang w:eastAsia="ar-SA"/>
              </w:rPr>
            </w:pPr>
            <w:r w:rsidRPr="008340BB">
              <w:rPr>
                <w:sz w:val="22"/>
                <w:lang w:eastAsia="ar-SA"/>
              </w:rPr>
              <w:t>Total</w:t>
            </w:r>
          </w:p>
        </w:tc>
        <w:tc>
          <w:tcPr>
            <w:tcW w:w="2162" w:type="dxa"/>
          </w:tcPr>
          <w:p w14:paraId="42EF11F7" w14:textId="77777777" w:rsidR="00F1341F" w:rsidRPr="008340BB" w:rsidRDefault="00F1341F">
            <w:r w:rsidRPr="008340BB">
              <w:rPr>
                <w:sz w:val="22"/>
                <w:lang w:eastAsia="ar-SA"/>
              </w:rPr>
              <w:t>N/A</w:t>
            </w:r>
          </w:p>
        </w:tc>
        <w:tc>
          <w:tcPr>
            <w:tcW w:w="5395" w:type="dxa"/>
          </w:tcPr>
          <w:p w14:paraId="68910147" w14:textId="77777777" w:rsidR="00F1341F" w:rsidRPr="008340BB" w:rsidRDefault="00F1341F">
            <w:r w:rsidRPr="008340BB">
              <w:rPr>
                <w:sz w:val="22"/>
                <w:lang w:eastAsia="ar-SA"/>
              </w:rPr>
              <w:t>N/A</w:t>
            </w:r>
          </w:p>
        </w:tc>
      </w:tr>
    </w:tbl>
    <w:p w14:paraId="57565910" w14:textId="77777777" w:rsidR="00F1341F" w:rsidRPr="008340BB" w:rsidRDefault="00F1341F" w:rsidP="00F03C1E"/>
    <w:p w14:paraId="26A3A74F" w14:textId="77777777" w:rsidR="00F1341F" w:rsidRPr="008340BB" w:rsidRDefault="00F1341F" w:rsidP="00855D4D">
      <w:pPr>
        <w:ind w:left="709" w:hanging="709"/>
        <w:rPr>
          <w:b/>
        </w:rPr>
      </w:pPr>
      <w:r w:rsidRPr="008340BB">
        <w:rPr>
          <w:b/>
        </w:rPr>
        <w:t>4.4</w:t>
      </w:r>
      <w:r w:rsidRPr="008340BB">
        <w:rPr>
          <w:b/>
        </w:rPr>
        <w:tab/>
        <w:t xml:space="preserve">The arrangements for interregional and transnational actions, within the operational programme, with beneficiaries located in at least one other Member State </w:t>
      </w:r>
      <w:r w:rsidRPr="008340BB">
        <w:t>(where appropriate)</w:t>
      </w:r>
    </w:p>
    <w:p w14:paraId="6F565C23" w14:textId="77777777" w:rsidR="00F1341F" w:rsidRPr="008340BB" w:rsidRDefault="00F1341F" w:rsidP="00961324">
      <w:pPr>
        <w:ind w:left="709" w:hanging="709"/>
        <w:rPr>
          <w:b/>
          <w:lang w:eastAsia="fr-BE"/>
        </w:rPr>
      </w:pPr>
      <w:r w:rsidRPr="008340BB">
        <w:t>(Reference: point (d) of Article 96(3) of Regulation (EU) No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8"/>
      </w:tblGrid>
      <w:tr w:rsidR="00F1341F" w:rsidRPr="008340BB" w14:paraId="72609D7F" w14:textId="77777777" w:rsidTr="00EF312E">
        <w:trPr>
          <w:trHeight w:val="764"/>
        </w:trPr>
        <w:tc>
          <w:tcPr>
            <w:tcW w:w="9498" w:type="dxa"/>
          </w:tcPr>
          <w:p w14:paraId="5F198DC5" w14:textId="77777777" w:rsidR="00F1341F" w:rsidRPr="008340BB" w:rsidRDefault="00F1341F">
            <w:pPr>
              <w:pStyle w:val="ListDash2"/>
              <w:numPr>
                <w:ilvl w:val="0"/>
                <w:numId w:val="0"/>
              </w:numPr>
              <w:rPr>
                <w:i/>
                <w:lang w:eastAsia="fr-BE"/>
              </w:rPr>
            </w:pPr>
            <w:r w:rsidRPr="008340BB">
              <w:rPr>
                <w:rStyle w:val="hps"/>
              </w:rPr>
              <w:t>A possible</w:t>
            </w:r>
            <w:r w:rsidRPr="008340BB">
              <w:t xml:space="preserve"> </w:t>
            </w:r>
            <w:r w:rsidRPr="008340BB">
              <w:rPr>
                <w:rStyle w:val="hps"/>
              </w:rPr>
              <w:t>project to</w:t>
            </w:r>
            <w:r w:rsidRPr="008340BB">
              <w:t xml:space="preserve"> </w:t>
            </w:r>
            <w:r w:rsidRPr="008340BB">
              <w:rPr>
                <w:rStyle w:val="hps"/>
              </w:rPr>
              <w:t>qualify for</w:t>
            </w:r>
            <w:r w:rsidRPr="008340BB">
              <w:t xml:space="preserve"> </w:t>
            </w:r>
            <w:r w:rsidRPr="008340BB">
              <w:rPr>
                <w:rStyle w:val="hps"/>
              </w:rPr>
              <w:t>funding</w:t>
            </w:r>
            <w:r w:rsidRPr="008340BB">
              <w:t xml:space="preserve"> is the </w:t>
            </w:r>
            <w:r w:rsidRPr="008340BB">
              <w:rPr>
                <w:rStyle w:val="hps"/>
              </w:rPr>
              <w:t>rehabilitation of</w:t>
            </w:r>
            <w:r w:rsidRPr="008340BB">
              <w:t xml:space="preserve"> </w:t>
            </w:r>
            <w:r w:rsidR="00DA6313">
              <w:t xml:space="preserve">the </w:t>
            </w:r>
            <w:r w:rsidRPr="008340BB">
              <w:rPr>
                <w:rStyle w:val="hps"/>
              </w:rPr>
              <w:t>Danube Bridge</w:t>
            </w:r>
            <w:r w:rsidRPr="008340BB">
              <w:t xml:space="preserve"> </w:t>
            </w:r>
            <w:r w:rsidRPr="008340BB">
              <w:rPr>
                <w:rStyle w:val="hps"/>
              </w:rPr>
              <w:t>Ruse</w:t>
            </w:r>
            <w:r w:rsidRPr="008340BB">
              <w:rPr>
                <w:rStyle w:val="atn"/>
              </w:rPr>
              <w:t>-</w:t>
            </w:r>
            <w:r w:rsidRPr="008340BB">
              <w:t>Giurgiu</w:t>
            </w:r>
            <w:r w:rsidRPr="008340BB">
              <w:rPr>
                <w:rStyle w:val="alt-edited"/>
              </w:rPr>
              <w:t xml:space="preserve">. </w:t>
            </w:r>
            <w:r w:rsidRPr="008340BB">
              <w:rPr>
                <w:rStyle w:val="hps"/>
              </w:rPr>
              <w:t>This project</w:t>
            </w:r>
            <w:r w:rsidRPr="008340BB">
              <w:t xml:space="preserve"> </w:t>
            </w:r>
            <w:r w:rsidRPr="008340BB">
              <w:rPr>
                <w:rStyle w:val="hps"/>
              </w:rPr>
              <w:t>is intended</w:t>
            </w:r>
            <w:r w:rsidRPr="008340BB">
              <w:t xml:space="preserve"> </w:t>
            </w:r>
            <w:r w:rsidRPr="008340BB">
              <w:rPr>
                <w:rStyle w:val="hps"/>
              </w:rPr>
              <w:t>for funding</w:t>
            </w:r>
            <w:r w:rsidRPr="008340BB">
              <w:t xml:space="preserve"> </w:t>
            </w:r>
            <w:r w:rsidRPr="008340BB">
              <w:rPr>
                <w:rStyle w:val="hps"/>
              </w:rPr>
              <w:t>only</w:t>
            </w:r>
            <w:r w:rsidRPr="008340BB">
              <w:t xml:space="preserve"> </w:t>
            </w:r>
            <w:r w:rsidRPr="008340BB">
              <w:rPr>
                <w:rStyle w:val="hps"/>
              </w:rPr>
              <w:t xml:space="preserve">by the </w:t>
            </w:r>
            <w:r w:rsidR="00DA6313">
              <w:rPr>
                <w:rStyle w:val="hps"/>
              </w:rPr>
              <w:t>S</w:t>
            </w:r>
            <w:r w:rsidRPr="008340BB">
              <w:rPr>
                <w:rStyle w:val="hps"/>
              </w:rPr>
              <w:t>tate</w:t>
            </w:r>
            <w:r w:rsidRPr="008340BB">
              <w:t xml:space="preserve"> </w:t>
            </w:r>
            <w:r w:rsidRPr="008340BB">
              <w:rPr>
                <w:rStyle w:val="hps"/>
              </w:rPr>
              <w:t>budget,</w:t>
            </w:r>
            <w:r w:rsidRPr="008340BB">
              <w:t xml:space="preserve"> </w:t>
            </w:r>
            <w:r w:rsidRPr="008340BB">
              <w:rPr>
                <w:rStyle w:val="hps"/>
              </w:rPr>
              <w:t>i.e. with</w:t>
            </w:r>
            <w:r w:rsidRPr="008340BB">
              <w:t xml:space="preserve"> a </w:t>
            </w:r>
            <w:r w:rsidRPr="008340BB">
              <w:rPr>
                <w:rStyle w:val="hps"/>
              </w:rPr>
              <w:t>source</w:t>
            </w:r>
            <w:r w:rsidRPr="008340BB">
              <w:t xml:space="preserve"> </w:t>
            </w:r>
            <w:r w:rsidRPr="008340BB">
              <w:rPr>
                <w:rStyle w:val="hps"/>
              </w:rPr>
              <w:t>of funding</w:t>
            </w:r>
            <w:r w:rsidRPr="008340BB">
              <w:t xml:space="preserve"> </w:t>
            </w:r>
            <w:r w:rsidRPr="008340BB">
              <w:rPr>
                <w:rStyle w:val="hps"/>
              </w:rPr>
              <w:t>outside</w:t>
            </w:r>
            <w:r w:rsidRPr="008340BB">
              <w:t xml:space="preserve"> the </w:t>
            </w:r>
            <w:r w:rsidRPr="008340BB">
              <w:rPr>
                <w:rStyle w:val="hps"/>
              </w:rPr>
              <w:t>OPTTI</w:t>
            </w:r>
            <w:r w:rsidRPr="008340BB">
              <w:t xml:space="preserve"> </w:t>
            </w:r>
            <w:r w:rsidRPr="008340BB">
              <w:rPr>
                <w:rStyle w:val="hps"/>
              </w:rPr>
              <w:t>2014-2020</w:t>
            </w:r>
            <w:r w:rsidRPr="008340BB">
              <w:rPr>
                <w:rStyle w:val="alt-edited"/>
              </w:rPr>
              <w:t>.</w:t>
            </w:r>
          </w:p>
        </w:tc>
      </w:tr>
    </w:tbl>
    <w:p w14:paraId="7F8716A8" w14:textId="77777777" w:rsidR="00F1341F" w:rsidRPr="008340BB" w:rsidRDefault="00F1341F" w:rsidP="00C20439">
      <w:pPr>
        <w:rPr>
          <w:b/>
        </w:rPr>
      </w:pPr>
    </w:p>
    <w:p w14:paraId="7C7D1F3E" w14:textId="77777777" w:rsidR="00F1341F" w:rsidRPr="008340BB" w:rsidRDefault="00F1341F" w:rsidP="00C20439">
      <w:r w:rsidRPr="008340BB">
        <w:rPr>
          <w:b/>
        </w:rPr>
        <w:t>4.5</w:t>
      </w:r>
      <w:r w:rsidRPr="008340BB">
        <w:rPr>
          <w:b/>
        </w:rPr>
        <w:tab/>
        <w:t>Contribution of the planned actions under the programme to macro-regional and sea-basin strategies, subject to the needs of the programme area as identified by the Member State</w:t>
      </w:r>
      <w:r w:rsidRPr="008340BB">
        <w:t xml:space="preserve"> (where appropriate)</w:t>
      </w:r>
    </w:p>
    <w:p w14:paraId="6724833C" w14:textId="77777777" w:rsidR="00F1341F" w:rsidRPr="008340BB" w:rsidRDefault="00F1341F" w:rsidP="00C20439">
      <w:pPr>
        <w:ind w:left="720"/>
        <w:rPr>
          <w:lang w:eastAsia="fr-BE"/>
        </w:rPr>
      </w:pPr>
      <w:r w:rsidRPr="008340BB">
        <w:rPr>
          <w:lang w:eastAsia="fr-BE"/>
        </w:rPr>
        <w:t>(Where the Member State and regions participate in macro-regional strategies and sea basin strategies)</w:t>
      </w:r>
    </w:p>
    <w:p w14:paraId="7ECB7C6B" w14:textId="77777777" w:rsidR="00F1341F" w:rsidRPr="008340BB" w:rsidRDefault="00F1341F" w:rsidP="00C20439">
      <w:pPr>
        <w:rPr>
          <w:lang w:eastAsia="fr-BE"/>
        </w:rPr>
      </w:pPr>
      <w:r w:rsidRPr="008340BB">
        <w:t>(Reference: point (d) of Article 96(3) of Regulation (EU) No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8"/>
      </w:tblGrid>
      <w:tr w:rsidR="00F1341F" w:rsidRPr="008340BB" w14:paraId="4A204AF5" w14:textId="77777777" w:rsidTr="00BF3391">
        <w:tc>
          <w:tcPr>
            <w:tcW w:w="9498" w:type="dxa"/>
          </w:tcPr>
          <w:p w14:paraId="5F711D17" w14:textId="77777777" w:rsidR="00F1341F" w:rsidRPr="008340BB" w:rsidRDefault="00F1341F" w:rsidP="00DF189E">
            <w:pPr>
              <w:pStyle w:val="ListDash2"/>
              <w:numPr>
                <w:ilvl w:val="0"/>
                <w:numId w:val="0"/>
              </w:numPr>
              <w:spacing w:before="120" w:after="0"/>
            </w:pPr>
            <w:r w:rsidRPr="008340BB">
              <w:t xml:space="preserve">The concept for development of the TEN-T network is established in the Guidelines for the development of the Trans-European Transport Network. The construction and modernisation of the transport infrastructure along the TEN-T network requires joint actions by the countries, on the territory of which pass the network directions.   </w:t>
            </w:r>
          </w:p>
          <w:p w14:paraId="1175DDE4" w14:textId="77777777" w:rsidR="00F1341F" w:rsidRPr="008340BB" w:rsidRDefault="00F1341F" w:rsidP="00DF189E">
            <w:pPr>
              <w:keepNext/>
              <w:tabs>
                <w:tab w:val="left" w:pos="1418"/>
              </w:tabs>
              <w:spacing w:after="0"/>
              <w:outlineLvl w:val="0"/>
            </w:pPr>
            <w:r w:rsidRPr="008340BB">
              <w:t xml:space="preserve">Under Operational Programme “Transport and Transport Infrastructure” 2014-2020 will be funded projects for construction and modernisation of priority sections along the main directions of the Trans-European transport network, passing on the territory of the country, in order to be achieved connectivity and integration to the transport networks of the neighbouring countries.   </w:t>
            </w:r>
          </w:p>
          <w:p w14:paraId="71CE21D5" w14:textId="77777777" w:rsidR="00F1341F" w:rsidRPr="008340BB" w:rsidRDefault="00F1341F" w:rsidP="00DF189E">
            <w:pPr>
              <w:spacing w:after="0"/>
            </w:pPr>
            <w:r w:rsidRPr="008340BB">
              <w:t xml:space="preserve">The EU Strategy for the Danube region is a macro regional strategy ensuring a new approach for development of the region. One of the priority areas of the Action Plan of the strategy is “To improve mobility and multimodality”.  </w:t>
            </w:r>
          </w:p>
          <w:p w14:paraId="0BF4D674" w14:textId="77777777" w:rsidR="00F1341F" w:rsidRPr="008340BB" w:rsidRDefault="00F1341F" w:rsidP="00DF189E">
            <w:pPr>
              <w:spacing w:after="0"/>
            </w:pPr>
            <w:r w:rsidRPr="008340BB">
              <w:rPr>
                <w:rStyle w:val="hps"/>
              </w:rPr>
              <w:t>In this regard</w:t>
            </w:r>
            <w:r w:rsidRPr="008340BB">
              <w:t xml:space="preserve"> </w:t>
            </w:r>
            <w:r w:rsidRPr="008340BB">
              <w:rPr>
                <w:rStyle w:val="hps"/>
              </w:rPr>
              <w:t>OPTTI</w:t>
            </w:r>
            <w:r w:rsidRPr="008340BB">
              <w:t xml:space="preserve"> </w:t>
            </w:r>
            <w:r w:rsidRPr="008340BB">
              <w:rPr>
                <w:rStyle w:val="hps"/>
              </w:rPr>
              <w:t>2014-2020</w:t>
            </w:r>
            <w:r w:rsidRPr="008340BB">
              <w:t xml:space="preserve"> </w:t>
            </w:r>
            <w:r w:rsidRPr="008340BB">
              <w:rPr>
                <w:rStyle w:val="hps"/>
              </w:rPr>
              <w:t>will contribute</w:t>
            </w:r>
            <w:r w:rsidRPr="008340BB">
              <w:t xml:space="preserve"> </w:t>
            </w:r>
            <w:r w:rsidRPr="008340BB">
              <w:rPr>
                <w:rStyle w:val="hps"/>
              </w:rPr>
              <w:t>to the objectives</w:t>
            </w:r>
            <w:r w:rsidRPr="008340BB">
              <w:t xml:space="preserve"> </w:t>
            </w:r>
            <w:r w:rsidRPr="008340BB">
              <w:rPr>
                <w:rStyle w:val="hps"/>
              </w:rPr>
              <w:t>of the relevant</w:t>
            </w:r>
            <w:r w:rsidRPr="008340BB">
              <w:t xml:space="preserve"> </w:t>
            </w:r>
            <w:r w:rsidRPr="008340BB">
              <w:rPr>
                <w:rStyle w:val="hps"/>
              </w:rPr>
              <w:t>priority areas of the</w:t>
            </w:r>
            <w:r w:rsidRPr="008340BB">
              <w:t xml:space="preserve"> </w:t>
            </w:r>
            <w:r w:rsidRPr="008340BB">
              <w:rPr>
                <w:rStyle w:val="hps"/>
              </w:rPr>
              <w:t>EU Strategy</w:t>
            </w:r>
            <w:r w:rsidRPr="008340BB">
              <w:t xml:space="preserve"> </w:t>
            </w:r>
            <w:r w:rsidRPr="008340BB">
              <w:rPr>
                <w:rStyle w:val="hps"/>
              </w:rPr>
              <w:t>for the Danube Region</w:t>
            </w:r>
            <w:r w:rsidRPr="008340BB">
              <w:t xml:space="preserve">, namely: </w:t>
            </w:r>
          </w:p>
          <w:p w14:paraId="4AD3CD2C" w14:textId="77777777" w:rsidR="00F1341F" w:rsidRPr="008340BB" w:rsidRDefault="00F1341F" w:rsidP="00DF189E">
            <w:pPr>
              <w:numPr>
                <w:ilvl w:val="0"/>
                <w:numId w:val="96"/>
              </w:numPr>
              <w:spacing w:after="0"/>
              <w:ind w:left="602" w:hanging="284"/>
            </w:pPr>
            <w:r w:rsidRPr="008340BB">
              <w:rPr>
                <w:rStyle w:val="hps"/>
              </w:rPr>
              <w:t>Priority</w:t>
            </w:r>
            <w:r w:rsidRPr="008340BB">
              <w:t xml:space="preserve"> </w:t>
            </w:r>
            <w:r w:rsidRPr="008340BB">
              <w:rPr>
                <w:rStyle w:val="hps"/>
              </w:rPr>
              <w:t>area</w:t>
            </w:r>
            <w:r w:rsidRPr="008340BB">
              <w:t xml:space="preserve"> </w:t>
            </w:r>
            <w:r w:rsidRPr="008340BB">
              <w:rPr>
                <w:rStyle w:val="hps"/>
              </w:rPr>
              <w:t>1A</w:t>
            </w:r>
            <w:r w:rsidRPr="008340BB">
              <w:t xml:space="preserve"> </w:t>
            </w:r>
            <w:r w:rsidRPr="008340BB">
              <w:rPr>
                <w:rStyle w:val="hps"/>
              </w:rPr>
              <w:t>Improving the mobility</w:t>
            </w:r>
            <w:r w:rsidRPr="008340BB">
              <w:t xml:space="preserve"> </w:t>
            </w:r>
            <w:r w:rsidRPr="008340BB">
              <w:rPr>
                <w:rStyle w:val="hps"/>
              </w:rPr>
              <w:t>and multimodality</w:t>
            </w:r>
            <w:r w:rsidRPr="008340BB">
              <w:t xml:space="preserve"> </w:t>
            </w:r>
            <w:r w:rsidRPr="008340BB">
              <w:rPr>
                <w:rStyle w:val="hps"/>
              </w:rPr>
              <w:t>|</w:t>
            </w:r>
            <w:r w:rsidRPr="008340BB">
              <w:t xml:space="preserve"> </w:t>
            </w:r>
            <w:r w:rsidRPr="008340BB">
              <w:rPr>
                <w:rStyle w:val="hps"/>
              </w:rPr>
              <w:t>Inland Waterways.</w:t>
            </w:r>
            <w:r w:rsidRPr="008340BB">
              <w:t xml:space="preserve"> </w:t>
            </w:r>
          </w:p>
          <w:p w14:paraId="3A72F131" w14:textId="77777777" w:rsidR="00F1341F" w:rsidRPr="008340BB" w:rsidRDefault="00F1341F" w:rsidP="00DF189E">
            <w:pPr>
              <w:spacing w:after="0"/>
              <w:ind w:left="602"/>
            </w:pPr>
            <w:r w:rsidRPr="008340BB">
              <w:rPr>
                <w:rStyle w:val="hps"/>
              </w:rPr>
              <w:t>To achieve the objectives</w:t>
            </w:r>
            <w:r w:rsidRPr="008340BB">
              <w:t xml:space="preserve"> </w:t>
            </w:r>
            <w:r w:rsidRPr="008340BB">
              <w:rPr>
                <w:rStyle w:val="hps"/>
              </w:rPr>
              <w:t>of this priority</w:t>
            </w:r>
            <w:r w:rsidRPr="008340BB">
              <w:t xml:space="preserve"> area </w:t>
            </w:r>
            <w:r w:rsidRPr="008340BB">
              <w:rPr>
                <w:rStyle w:val="hps"/>
              </w:rPr>
              <w:t>will contribute</w:t>
            </w:r>
            <w:r w:rsidRPr="008340BB">
              <w:t xml:space="preserve"> </w:t>
            </w:r>
            <w:r w:rsidRPr="008340BB">
              <w:rPr>
                <w:rStyle w:val="hps"/>
              </w:rPr>
              <w:t>some of the projects</w:t>
            </w:r>
            <w:r w:rsidRPr="008340BB">
              <w:t xml:space="preserve"> </w:t>
            </w:r>
            <w:r w:rsidRPr="008340BB">
              <w:rPr>
                <w:rStyle w:val="hps"/>
              </w:rPr>
              <w:t>to be financed</w:t>
            </w:r>
            <w:r w:rsidRPr="008340BB">
              <w:t xml:space="preserve"> </w:t>
            </w:r>
            <w:r w:rsidRPr="008340BB">
              <w:rPr>
                <w:rStyle w:val="hps"/>
              </w:rPr>
              <w:t>under Priority axis</w:t>
            </w:r>
            <w:r w:rsidRPr="008340BB">
              <w:t xml:space="preserve"> </w:t>
            </w:r>
            <w:r w:rsidRPr="008340BB">
              <w:rPr>
                <w:rStyle w:val="hps"/>
              </w:rPr>
              <w:t>4</w:t>
            </w:r>
            <w:r w:rsidRPr="008340BB">
              <w:t xml:space="preserve"> of the </w:t>
            </w:r>
            <w:r w:rsidRPr="008340BB">
              <w:rPr>
                <w:rStyle w:val="hps"/>
              </w:rPr>
              <w:t>OPTTI</w:t>
            </w:r>
            <w:r w:rsidRPr="008340BB">
              <w:t xml:space="preserve"> </w:t>
            </w:r>
            <w:r w:rsidRPr="008340BB">
              <w:rPr>
                <w:rStyle w:val="hps"/>
              </w:rPr>
              <w:t>related to</w:t>
            </w:r>
            <w:r w:rsidRPr="008340BB">
              <w:t xml:space="preserve"> </w:t>
            </w:r>
            <w:r w:rsidRPr="008340BB">
              <w:rPr>
                <w:rStyle w:val="hps"/>
              </w:rPr>
              <w:t>upgrading</w:t>
            </w:r>
            <w:r w:rsidRPr="008340BB">
              <w:t xml:space="preserve"> </w:t>
            </w:r>
            <w:r w:rsidRPr="008340BB">
              <w:rPr>
                <w:rStyle w:val="hps"/>
              </w:rPr>
              <w:t>and further development of</w:t>
            </w:r>
            <w:r w:rsidRPr="008340BB">
              <w:t xml:space="preserve"> </w:t>
            </w:r>
            <w:r w:rsidRPr="008340BB">
              <w:rPr>
                <w:rStyle w:val="hps"/>
              </w:rPr>
              <w:t>harmonized</w:t>
            </w:r>
            <w:r w:rsidRPr="008340BB">
              <w:t xml:space="preserve"> navigation </w:t>
            </w:r>
            <w:r w:rsidRPr="008340BB">
              <w:rPr>
                <w:rStyle w:val="hps"/>
              </w:rPr>
              <w:t>information systems</w:t>
            </w:r>
            <w:r w:rsidRPr="008340BB">
              <w:t xml:space="preserve">, improving </w:t>
            </w:r>
            <w:r w:rsidRPr="008340BB">
              <w:rPr>
                <w:rStyle w:val="hps"/>
              </w:rPr>
              <w:t>navigability of the river</w:t>
            </w:r>
            <w:r w:rsidRPr="008340BB">
              <w:t xml:space="preserve">, </w:t>
            </w:r>
            <w:r w:rsidRPr="008340BB">
              <w:rPr>
                <w:rStyle w:val="hps"/>
              </w:rPr>
              <w:t>etc.</w:t>
            </w:r>
            <w:r w:rsidRPr="008340BB">
              <w:t xml:space="preserve"> </w:t>
            </w:r>
          </w:p>
          <w:p w14:paraId="669BC754" w14:textId="77777777" w:rsidR="00F1341F" w:rsidRPr="008340BB" w:rsidRDefault="00F1341F" w:rsidP="00DF189E">
            <w:pPr>
              <w:numPr>
                <w:ilvl w:val="0"/>
                <w:numId w:val="97"/>
              </w:numPr>
              <w:spacing w:after="0"/>
              <w:ind w:left="602" w:hanging="284"/>
              <w:rPr>
                <w:rStyle w:val="hps"/>
              </w:rPr>
            </w:pPr>
            <w:r w:rsidRPr="008340BB">
              <w:rPr>
                <w:rStyle w:val="hps"/>
              </w:rPr>
              <w:t>Priority</w:t>
            </w:r>
            <w:r w:rsidRPr="008340BB">
              <w:t xml:space="preserve"> </w:t>
            </w:r>
            <w:r w:rsidRPr="008340BB">
              <w:rPr>
                <w:rStyle w:val="hps"/>
              </w:rPr>
              <w:t>area</w:t>
            </w:r>
            <w:r w:rsidRPr="008340BB">
              <w:t xml:space="preserve"> </w:t>
            </w:r>
            <w:r w:rsidRPr="008340BB">
              <w:rPr>
                <w:rStyle w:val="hps"/>
              </w:rPr>
              <w:t>1B</w:t>
            </w:r>
            <w:r w:rsidRPr="008340BB">
              <w:t xml:space="preserve"> </w:t>
            </w:r>
            <w:r w:rsidRPr="008340BB">
              <w:rPr>
                <w:rStyle w:val="hps"/>
              </w:rPr>
              <w:t>Improving the mobility</w:t>
            </w:r>
            <w:r w:rsidRPr="008340BB">
              <w:t xml:space="preserve"> </w:t>
            </w:r>
            <w:r w:rsidRPr="008340BB">
              <w:rPr>
                <w:rStyle w:val="hps"/>
              </w:rPr>
              <w:t>and multimodality</w:t>
            </w:r>
            <w:r w:rsidRPr="008340BB">
              <w:t xml:space="preserve"> | </w:t>
            </w:r>
            <w:r w:rsidRPr="008340BB">
              <w:rPr>
                <w:rStyle w:val="hps"/>
              </w:rPr>
              <w:t>Road,</w:t>
            </w:r>
            <w:r w:rsidRPr="008340BB">
              <w:t xml:space="preserve"> </w:t>
            </w:r>
            <w:r w:rsidRPr="008340BB">
              <w:rPr>
                <w:rStyle w:val="hps"/>
              </w:rPr>
              <w:t>railway and air connections.</w:t>
            </w:r>
          </w:p>
          <w:p w14:paraId="013ADC41" w14:textId="6AAB45C1" w:rsidR="00F1341F" w:rsidRPr="008340BB" w:rsidRDefault="00F1341F" w:rsidP="00CD2813">
            <w:pPr>
              <w:ind w:left="602"/>
              <w:rPr>
                <w:lang w:eastAsia="fr-BE"/>
              </w:rPr>
            </w:pPr>
            <w:r w:rsidRPr="008340BB">
              <w:rPr>
                <w:rStyle w:val="hps"/>
              </w:rPr>
              <w:lastRenderedPageBreak/>
              <w:t>To achieve the objectives</w:t>
            </w:r>
            <w:r w:rsidRPr="008340BB">
              <w:t xml:space="preserve"> </w:t>
            </w:r>
            <w:r w:rsidRPr="008340BB">
              <w:rPr>
                <w:rStyle w:val="hps"/>
              </w:rPr>
              <w:t>of this priority</w:t>
            </w:r>
            <w:r w:rsidRPr="008340BB">
              <w:t xml:space="preserve"> </w:t>
            </w:r>
            <w:r w:rsidRPr="008340BB">
              <w:rPr>
                <w:rStyle w:val="hps"/>
              </w:rPr>
              <w:t>will contribute</w:t>
            </w:r>
            <w:r w:rsidRPr="008340BB">
              <w:t xml:space="preserve"> </w:t>
            </w:r>
            <w:r w:rsidRPr="008340BB">
              <w:rPr>
                <w:rStyle w:val="hps"/>
              </w:rPr>
              <w:t>part of the projects</w:t>
            </w:r>
            <w:r w:rsidRPr="008340BB">
              <w:t xml:space="preserve"> </w:t>
            </w:r>
            <w:r w:rsidRPr="008340BB">
              <w:rPr>
                <w:rStyle w:val="hps"/>
              </w:rPr>
              <w:t>to be financed</w:t>
            </w:r>
            <w:r w:rsidRPr="008340BB">
              <w:t xml:space="preserve"> </w:t>
            </w:r>
            <w:r w:rsidRPr="008340BB">
              <w:rPr>
                <w:rStyle w:val="hps"/>
              </w:rPr>
              <w:t>under Priority</w:t>
            </w:r>
            <w:r w:rsidRPr="008340BB">
              <w:t xml:space="preserve"> </w:t>
            </w:r>
            <w:r w:rsidRPr="008340BB">
              <w:rPr>
                <w:rStyle w:val="hps"/>
              </w:rPr>
              <w:t>axes 4</w:t>
            </w:r>
            <w:r w:rsidRPr="008340BB">
              <w:t xml:space="preserve"> </w:t>
            </w:r>
            <w:r w:rsidR="009010EA">
              <w:t xml:space="preserve">of </w:t>
            </w:r>
            <w:r w:rsidRPr="008340BB">
              <w:rPr>
                <w:rStyle w:val="hps"/>
              </w:rPr>
              <w:t>OPTTI</w:t>
            </w:r>
            <w:r w:rsidR="00B23FE0">
              <w:rPr>
                <w:rStyle w:val="hps"/>
              </w:rPr>
              <w:t>.</w:t>
            </w:r>
          </w:p>
        </w:tc>
      </w:tr>
    </w:tbl>
    <w:p w14:paraId="53E86C53" w14:textId="77777777" w:rsidR="00F1341F" w:rsidRPr="008340BB" w:rsidRDefault="00F1341F" w:rsidP="00F914D7">
      <w:pPr>
        <w:pStyle w:val="ManualHeading1"/>
        <w:tabs>
          <w:tab w:val="clear" w:pos="850"/>
          <w:tab w:val="left" w:pos="1560"/>
        </w:tabs>
        <w:ind w:left="1560" w:hanging="1560"/>
      </w:pPr>
      <w:r w:rsidRPr="008340BB">
        <w:rPr>
          <w:lang w:eastAsia="fr-BE"/>
        </w:rPr>
        <w:lastRenderedPageBreak/>
        <w:br w:type="page"/>
      </w:r>
      <w:r w:rsidRPr="008340BB">
        <w:rPr>
          <w:lang w:eastAsia="fr-BE"/>
        </w:rPr>
        <w:lastRenderedPageBreak/>
        <w:t xml:space="preserve">SECTION 5 </w:t>
      </w:r>
      <w:r w:rsidRPr="008340BB">
        <w:rPr>
          <w:lang w:eastAsia="fr-BE"/>
        </w:rPr>
        <w:tab/>
      </w:r>
      <w:r w:rsidRPr="008340BB">
        <w:t>Specific needs of Geographical areas most affected by poverty or target groups at highest risk of discrimination or social exclusion</w:t>
      </w:r>
      <w:r w:rsidRPr="008340BB" w:rsidDel="00107E6F">
        <w:t xml:space="preserve"> </w:t>
      </w:r>
      <w:r w:rsidRPr="008340BB">
        <w:rPr>
          <w:b w:val="0"/>
        </w:rPr>
        <w:t>(where appropriate)</w:t>
      </w:r>
    </w:p>
    <w:p w14:paraId="169090DC" w14:textId="77777777" w:rsidR="00F1341F" w:rsidRPr="008340BB" w:rsidRDefault="00F1341F" w:rsidP="00BF3391">
      <w:r w:rsidRPr="008340BB">
        <w:rPr>
          <w:rStyle w:val="CharacterStyle2"/>
          <w:rFonts w:ascii="Times New Roman Bold" w:hAnsi="Times New Roman Bold"/>
          <w:b/>
          <w:bCs/>
          <w:spacing w:val="2"/>
          <w:w w:val="105"/>
          <w:sz w:val="24"/>
          <w:szCs w:val="24"/>
        </w:rPr>
        <w:t xml:space="preserve"> </w:t>
      </w:r>
      <w:r w:rsidRPr="008340BB">
        <w:t>(Reference: point (a) of Article 96(4) of Regulation (EU) No 1303/2013)</w:t>
      </w:r>
    </w:p>
    <w:p w14:paraId="43120031" w14:textId="77777777" w:rsidR="00F1341F" w:rsidRPr="008340BB" w:rsidRDefault="00F1341F" w:rsidP="00F03C1E">
      <w:pPr>
        <w:pStyle w:val="Point2"/>
        <w:ind w:left="709" w:hanging="709"/>
        <w:rPr>
          <w:b/>
        </w:rPr>
      </w:pPr>
      <w:r w:rsidRPr="008340BB">
        <w:rPr>
          <w:b/>
        </w:rPr>
        <w:t>5.1</w:t>
      </w:r>
      <w:r w:rsidRPr="008340BB">
        <w:rPr>
          <w:b/>
        </w:rPr>
        <w:tab/>
        <w:t>Geographical areas most affected by poverty/target groups at highest risk of discrimination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68"/>
      </w:tblGrid>
      <w:tr w:rsidR="00F1341F" w:rsidRPr="008340BB" w14:paraId="6641B6F6" w14:textId="77777777" w:rsidTr="00F03C1E">
        <w:tc>
          <w:tcPr>
            <w:tcW w:w="8868" w:type="dxa"/>
          </w:tcPr>
          <w:p w14:paraId="249E4174" w14:textId="77777777" w:rsidR="00F1341F" w:rsidRPr="008340BB" w:rsidRDefault="00F1341F" w:rsidP="00F03C1E">
            <w:pPr>
              <w:pStyle w:val="ListDash2"/>
              <w:numPr>
                <w:ilvl w:val="0"/>
                <w:numId w:val="0"/>
              </w:numPr>
              <w:rPr>
                <w:i/>
              </w:rPr>
            </w:pPr>
            <w:r w:rsidRPr="008340BB">
              <w:rPr>
                <w:i/>
                <w:lang w:eastAsia="fr-BE"/>
              </w:rPr>
              <w:t>Not applicable.</w:t>
            </w:r>
          </w:p>
        </w:tc>
      </w:tr>
    </w:tbl>
    <w:p w14:paraId="0214E193" w14:textId="77777777" w:rsidR="00F1341F" w:rsidRPr="008340BB" w:rsidRDefault="00F1341F" w:rsidP="00F03C1E">
      <w:pPr>
        <w:pStyle w:val="Point2"/>
        <w:ind w:left="0" w:firstLine="0"/>
        <w:rPr>
          <w:b/>
        </w:rPr>
      </w:pPr>
    </w:p>
    <w:p w14:paraId="761E6E96" w14:textId="77777777" w:rsidR="00F1341F" w:rsidRPr="008340BB" w:rsidRDefault="00F1341F" w:rsidP="00F03C1E">
      <w:pPr>
        <w:pStyle w:val="Point2"/>
        <w:ind w:left="709" w:hanging="709"/>
        <w:rPr>
          <w:b/>
        </w:rPr>
      </w:pPr>
      <w:r w:rsidRPr="008340BB">
        <w:rPr>
          <w:b/>
        </w:rPr>
        <w:t>5.2</w:t>
      </w:r>
      <w:r w:rsidRPr="008340BB">
        <w:t xml:space="preserve"> </w:t>
      </w:r>
      <w:r w:rsidRPr="008340BB">
        <w:tab/>
      </w:r>
      <w:r w:rsidRPr="008340BB">
        <w:rPr>
          <w:b/>
        </w:rPr>
        <w:t>Strategy to address the specific needs of geographical areas/target groups most affected by poverty, and where relevant, the contribution to the integrated approach set out in the Partnership Agreement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67"/>
      </w:tblGrid>
      <w:tr w:rsidR="00F1341F" w:rsidRPr="008340BB" w14:paraId="7E05962B" w14:textId="77777777" w:rsidTr="00BF3391">
        <w:trPr>
          <w:trHeight w:val="495"/>
        </w:trPr>
        <w:tc>
          <w:tcPr>
            <w:tcW w:w="8867" w:type="dxa"/>
          </w:tcPr>
          <w:p w14:paraId="08855474" w14:textId="77777777" w:rsidR="00F1341F" w:rsidRPr="008340BB" w:rsidRDefault="00F1341F" w:rsidP="00F03C1E">
            <w:pPr>
              <w:pStyle w:val="ListDash2"/>
              <w:numPr>
                <w:ilvl w:val="0"/>
                <w:numId w:val="0"/>
              </w:numPr>
              <w:rPr>
                <w:i/>
              </w:rPr>
            </w:pPr>
            <w:r w:rsidRPr="008340BB">
              <w:rPr>
                <w:i/>
                <w:lang w:eastAsia="fr-BE"/>
              </w:rPr>
              <w:t>Not applicable.</w:t>
            </w:r>
          </w:p>
        </w:tc>
      </w:tr>
    </w:tbl>
    <w:p w14:paraId="375EDA05" w14:textId="77777777" w:rsidR="00F1341F" w:rsidRPr="008340BB" w:rsidRDefault="00F1341F" w:rsidP="00F03C1E">
      <w:pPr>
        <w:pStyle w:val="Point2"/>
        <w:ind w:left="0" w:firstLine="0"/>
        <w:rPr>
          <w:b/>
        </w:rPr>
      </w:pPr>
    </w:p>
    <w:p w14:paraId="4CDEC8F5" w14:textId="77777777" w:rsidR="00F1341F" w:rsidRPr="008340BB" w:rsidRDefault="00F1341F" w:rsidP="00BF3391">
      <w:pPr>
        <w:ind w:left="1134" w:hanging="1134"/>
        <w:rPr>
          <w:b/>
        </w:rPr>
      </w:pPr>
      <w:r w:rsidRPr="008340BB">
        <w:rPr>
          <w:b/>
        </w:rPr>
        <w:t xml:space="preserve">Table 22: </w:t>
      </w:r>
      <w:r w:rsidRPr="008340BB">
        <w:rPr>
          <w:b/>
        </w:rPr>
        <w:tab/>
        <w:t>Actions to address specific needs of geographical areas/target groups most affected by poverty</w:t>
      </w:r>
      <w:r w:rsidRPr="008340BB">
        <w:rPr>
          <w:rStyle w:val="FootnoteReference"/>
          <w:b/>
        </w:rPr>
        <w:footnoteReference w:id="89"/>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2"/>
        <w:gridCol w:w="1511"/>
        <w:gridCol w:w="1400"/>
        <w:gridCol w:w="1400"/>
        <w:gridCol w:w="1398"/>
        <w:gridCol w:w="1522"/>
      </w:tblGrid>
      <w:tr w:rsidR="00F1341F" w:rsidRPr="008340BB" w14:paraId="16DB68F5" w14:textId="77777777" w:rsidTr="00BF3391">
        <w:trPr>
          <w:trHeight w:val="1516"/>
        </w:trPr>
        <w:tc>
          <w:tcPr>
            <w:tcW w:w="976" w:type="pct"/>
          </w:tcPr>
          <w:p w14:paraId="19D0425D" w14:textId="77777777" w:rsidR="00F1341F" w:rsidRPr="0067246B" w:rsidRDefault="00F1341F" w:rsidP="00BF3391">
            <w:pPr>
              <w:pStyle w:val="Text1"/>
              <w:spacing w:after="0"/>
              <w:ind w:left="0"/>
              <w:rPr>
                <w:sz w:val="16"/>
                <w:szCs w:val="16"/>
                <w:lang w:val="en-GB" w:eastAsia="en-GB"/>
              </w:rPr>
            </w:pPr>
            <w:r w:rsidRPr="0067246B">
              <w:rPr>
                <w:sz w:val="16"/>
                <w:szCs w:val="16"/>
                <w:lang w:val="en-GB" w:eastAsia="en-GB"/>
              </w:rPr>
              <w:t>Target group/geographical area</w:t>
            </w:r>
          </w:p>
        </w:tc>
        <w:tc>
          <w:tcPr>
            <w:tcW w:w="841" w:type="pct"/>
          </w:tcPr>
          <w:p w14:paraId="658E97B7" w14:textId="77777777" w:rsidR="00F1341F" w:rsidRPr="00020ADD" w:rsidRDefault="00F1341F" w:rsidP="00BF3391">
            <w:pPr>
              <w:pStyle w:val="Text1"/>
              <w:spacing w:after="0"/>
              <w:ind w:left="0"/>
              <w:rPr>
                <w:sz w:val="16"/>
                <w:szCs w:val="16"/>
                <w:lang w:val="en-GB" w:eastAsia="en-GB"/>
              </w:rPr>
            </w:pPr>
            <w:r w:rsidRPr="00020ADD">
              <w:rPr>
                <w:sz w:val="16"/>
                <w:szCs w:val="16"/>
                <w:lang w:val="en-GB" w:eastAsia="en-GB"/>
              </w:rPr>
              <w:t>Main types of planned action as part of integrated approach</w:t>
            </w:r>
          </w:p>
        </w:tc>
        <w:tc>
          <w:tcPr>
            <w:tcW w:w="779" w:type="pct"/>
          </w:tcPr>
          <w:p w14:paraId="2A5F2E95" w14:textId="77777777" w:rsidR="00F1341F" w:rsidRPr="00020ADD" w:rsidRDefault="00F1341F" w:rsidP="00BF3391">
            <w:pPr>
              <w:pStyle w:val="Text1"/>
              <w:spacing w:after="0"/>
              <w:ind w:left="0"/>
              <w:rPr>
                <w:sz w:val="16"/>
                <w:szCs w:val="16"/>
                <w:lang w:val="en-GB" w:eastAsia="en-GB"/>
              </w:rPr>
            </w:pPr>
            <w:r w:rsidRPr="00020ADD">
              <w:rPr>
                <w:sz w:val="16"/>
                <w:szCs w:val="16"/>
                <w:lang w:val="en-GB" w:eastAsia="en-GB"/>
              </w:rPr>
              <w:t>Priority axis</w:t>
            </w:r>
          </w:p>
        </w:tc>
        <w:tc>
          <w:tcPr>
            <w:tcW w:w="779" w:type="pct"/>
          </w:tcPr>
          <w:p w14:paraId="208AE193" w14:textId="77777777" w:rsidR="00F1341F" w:rsidRPr="00020ADD" w:rsidRDefault="00F1341F" w:rsidP="00BF3391">
            <w:pPr>
              <w:pStyle w:val="Text1"/>
              <w:spacing w:after="0"/>
              <w:ind w:left="0"/>
              <w:rPr>
                <w:sz w:val="16"/>
                <w:szCs w:val="16"/>
                <w:lang w:val="en-GB" w:eastAsia="en-GB"/>
              </w:rPr>
            </w:pPr>
            <w:r w:rsidRPr="00020ADD">
              <w:rPr>
                <w:sz w:val="16"/>
                <w:szCs w:val="16"/>
                <w:lang w:val="en-GB" w:eastAsia="en-GB"/>
              </w:rPr>
              <w:t xml:space="preserve">Fund </w:t>
            </w:r>
          </w:p>
        </w:tc>
        <w:tc>
          <w:tcPr>
            <w:tcW w:w="778" w:type="pct"/>
          </w:tcPr>
          <w:p w14:paraId="0AFC76E8" w14:textId="77777777" w:rsidR="00F1341F" w:rsidRPr="00DC0475" w:rsidRDefault="00F1341F" w:rsidP="00BF3391">
            <w:pPr>
              <w:pStyle w:val="Text1"/>
              <w:spacing w:after="0"/>
              <w:ind w:left="0"/>
              <w:rPr>
                <w:sz w:val="16"/>
                <w:szCs w:val="16"/>
                <w:lang w:val="en-GB" w:eastAsia="en-GB"/>
              </w:rPr>
            </w:pPr>
            <w:r w:rsidRPr="00DC0475">
              <w:rPr>
                <w:sz w:val="16"/>
                <w:szCs w:val="16"/>
                <w:lang w:val="en-GB" w:eastAsia="en-GB"/>
              </w:rPr>
              <w:t>Category of region</w:t>
            </w:r>
          </w:p>
        </w:tc>
        <w:tc>
          <w:tcPr>
            <w:tcW w:w="847" w:type="pct"/>
          </w:tcPr>
          <w:p w14:paraId="126A6618" w14:textId="77777777" w:rsidR="00F1341F" w:rsidRPr="00B5130A" w:rsidRDefault="00F1341F" w:rsidP="00BF3391">
            <w:pPr>
              <w:pStyle w:val="Text1"/>
              <w:spacing w:after="0"/>
              <w:ind w:left="0"/>
              <w:rPr>
                <w:sz w:val="16"/>
                <w:szCs w:val="16"/>
                <w:lang w:val="en-GB" w:eastAsia="en-GB"/>
              </w:rPr>
            </w:pPr>
            <w:r w:rsidRPr="00B5130A">
              <w:rPr>
                <w:sz w:val="16"/>
                <w:szCs w:val="16"/>
                <w:lang w:val="en-GB" w:eastAsia="en-GB"/>
              </w:rPr>
              <w:t>Investment priority</w:t>
            </w:r>
          </w:p>
        </w:tc>
      </w:tr>
      <w:tr w:rsidR="00F1341F" w:rsidRPr="008340BB" w14:paraId="5615C219" w14:textId="77777777" w:rsidTr="00086534">
        <w:trPr>
          <w:trHeight w:val="773"/>
        </w:trPr>
        <w:tc>
          <w:tcPr>
            <w:tcW w:w="976" w:type="pct"/>
          </w:tcPr>
          <w:p w14:paraId="7A56485B" w14:textId="77777777" w:rsidR="00F1341F" w:rsidRPr="008340BB" w:rsidRDefault="00F1341F" w:rsidP="00F03C1E">
            <w:pPr>
              <w:pStyle w:val="Text1"/>
              <w:spacing w:after="0"/>
              <w:ind w:left="0"/>
              <w:rPr>
                <w:sz w:val="20"/>
                <w:lang w:val="en-GB" w:eastAsia="en-GB"/>
              </w:rPr>
            </w:pPr>
            <w:r w:rsidRPr="008340BB">
              <w:rPr>
                <w:sz w:val="20"/>
                <w:lang w:val="en-GB" w:eastAsia="en-GB"/>
              </w:rPr>
              <w:t>N/A</w:t>
            </w:r>
          </w:p>
        </w:tc>
        <w:tc>
          <w:tcPr>
            <w:tcW w:w="841" w:type="pct"/>
          </w:tcPr>
          <w:p w14:paraId="5B22C497" w14:textId="77777777" w:rsidR="00F1341F" w:rsidRPr="008340BB" w:rsidRDefault="00F1341F">
            <w:r w:rsidRPr="008340BB">
              <w:rPr>
                <w:sz w:val="20"/>
              </w:rPr>
              <w:t>N/A</w:t>
            </w:r>
          </w:p>
        </w:tc>
        <w:tc>
          <w:tcPr>
            <w:tcW w:w="779" w:type="pct"/>
          </w:tcPr>
          <w:p w14:paraId="5FDCC6AC" w14:textId="77777777" w:rsidR="00F1341F" w:rsidRPr="008340BB" w:rsidRDefault="00F1341F">
            <w:r w:rsidRPr="008340BB">
              <w:rPr>
                <w:sz w:val="20"/>
              </w:rPr>
              <w:t>N/A</w:t>
            </w:r>
          </w:p>
        </w:tc>
        <w:tc>
          <w:tcPr>
            <w:tcW w:w="779" w:type="pct"/>
          </w:tcPr>
          <w:p w14:paraId="33BE8AF4" w14:textId="77777777" w:rsidR="00F1341F" w:rsidRPr="008340BB" w:rsidRDefault="00F1341F">
            <w:r w:rsidRPr="008340BB">
              <w:rPr>
                <w:sz w:val="20"/>
              </w:rPr>
              <w:t>N/A</w:t>
            </w:r>
          </w:p>
        </w:tc>
        <w:tc>
          <w:tcPr>
            <w:tcW w:w="778" w:type="pct"/>
          </w:tcPr>
          <w:p w14:paraId="2FE57DA5" w14:textId="77777777" w:rsidR="00F1341F" w:rsidRPr="008340BB" w:rsidRDefault="00F1341F">
            <w:r w:rsidRPr="008340BB">
              <w:rPr>
                <w:sz w:val="20"/>
              </w:rPr>
              <w:t>N/A</w:t>
            </w:r>
          </w:p>
        </w:tc>
        <w:tc>
          <w:tcPr>
            <w:tcW w:w="847" w:type="pct"/>
          </w:tcPr>
          <w:p w14:paraId="1211F5F7" w14:textId="77777777" w:rsidR="00F1341F" w:rsidRPr="008340BB" w:rsidRDefault="00F1341F">
            <w:r w:rsidRPr="008340BB">
              <w:rPr>
                <w:sz w:val="20"/>
              </w:rPr>
              <w:t>N/A</w:t>
            </w:r>
          </w:p>
        </w:tc>
      </w:tr>
    </w:tbl>
    <w:p w14:paraId="1BC409DB" w14:textId="77777777" w:rsidR="00F1341F" w:rsidRPr="008340BB" w:rsidRDefault="00F1341F" w:rsidP="00F914D7">
      <w:pPr>
        <w:pStyle w:val="ManualHeading1"/>
        <w:tabs>
          <w:tab w:val="clear" w:pos="850"/>
          <w:tab w:val="left" w:pos="1560"/>
        </w:tabs>
        <w:ind w:left="1560" w:hanging="1560"/>
        <w:rPr>
          <w:lang w:eastAsia="fr-BE"/>
        </w:rPr>
      </w:pPr>
      <w:r w:rsidRPr="008340BB">
        <w:rPr>
          <w:lang w:eastAsia="fr-BE"/>
        </w:rPr>
        <w:t>SECTION 6</w:t>
      </w:r>
      <w:r w:rsidRPr="008340BB">
        <w:rPr>
          <w:lang w:eastAsia="fr-BE"/>
        </w:rPr>
        <w:tab/>
        <w:t xml:space="preserve">specific needs of geographical areas which suffer from severe and permanent natural or demographic handicaps </w:t>
      </w:r>
      <w:r w:rsidRPr="008340BB">
        <w:rPr>
          <w:b w:val="0"/>
        </w:rPr>
        <w:t>(where appropriate)</w:t>
      </w:r>
    </w:p>
    <w:p w14:paraId="4ABAE90E" w14:textId="77777777" w:rsidR="00F1341F" w:rsidRPr="008340BB" w:rsidRDefault="00F1341F" w:rsidP="00BF3391">
      <w:pPr>
        <w:pStyle w:val="ManualHeading1"/>
        <w:tabs>
          <w:tab w:val="clear" w:pos="850"/>
        </w:tabs>
        <w:ind w:left="0" w:firstLine="0"/>
        <w:rPr>
          <w:b w:val="0"/>
          <w:smallCaps w:val="0"/>
          <w:lang w:eastAsia="fr-BE"/>
        </w:rPr>
      </w:pPr>
      <w:r w:rsidRPr="008340BB">
        <w:rPr>
          <w:b w:val="0"/>
          <w:smallCaps w:val="0"/>
          <w:lang w:eastAsia="fr-BE"/>
        </w:rPr>
        <w:t xml:space="preserve"> (Reference: point (b) of Article 96(4) of Regulation (EU) No 1303/2013).</w:t>
      </w:r>
    </w:p>
    <w:p w14:paraId="7F8B9766" w14:textId="77777777" w:rsidR="00F1341F" w:rsidRPr="008340BB" w:rsidRDefault="00F1341F" w:rsidP="00F914D7">
      <w:pPr>
        <w:pStyle w:val="Text1"/>
        <w:rPr>
          <w:lang w:val="en-GB" w:eastAsia="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6"/>
      </w:tblGrid>
      <w:tr w:rsidR="00F1341F" w:rsidRPr="008340BB" w14:paraId="007EE9CD" w14:textId="77777777" w:rsidTr="00F03C1E">
        <w:tc>
          <w:tcPr>
            <w:tcW w:w="8726" w:type="dxa"/>
          </w:tcPr>
          <w:p w14:paraId="293C11AD" w14:textId="77777777" w:rsidR="00F1341F" w:rsidRPr="008340BB" w:rsidRDefault="00F1341F" w:rsidP="00F03C1E">
            <w:pPr>
              <w:pStyle w:val="Text1"/>
              <w:ind w:left="0"/>
              <w:rPr>
                <w:i/>
                <w:sz w:val="24"/>
                <w:lang w:val="en-GB" w:eastAsia="en-GB"/>
              </w:rPr>
            </w:pPr>
            <w:r w:rsidRPr="008340BB">
              <w:rPr>
                <w:i/>
                <w:sz w:val="24"/>
                <w:lang w:val="en-GB" w:eastAsia="fr-BE"/>
              </w:rPr>
              <w:t>Not applicable.</w:t>
            </w:r>
          </w:p>
        </w:tc>
      </w:tr>
    </w:tbl>
    <w:p w14:paraId="1FDC09AF" w14:textId="77777777" w:rsidR="00F1341F" w:rsidRPr="008340BB" w:rsidRDefault="00F1341F" w:rsidP="00F03C1E">
      <w:pPr>
        <w:pStyle w:val="Text1"/>
        <w:rPr>
          <w:lang w:val="en-GB"/>
        </w:rPr>
      </w:pPr>
    </w:p>
    <w:p w14:paraId="576C387E" w14:textId="77777777" w:rsidR="00F1341F" w:rsidRPr="008340BB" w:rsidRDefault="00F1341F" w:rsidP="00302F65">
      <w:pPr>
        <w:pStyle w:val="ManualHeading1"/>
        <w:tabs>
          <w:tab w:val="clear" w:pos="850"/>
          <w:tab w:val="left" w:pos="1418"/>
        </w:tabs>
        <w:ind w:left="1418" w:hanging="1418"/>
      </w:pPr>
      <w:r w:rsidRPr="008340BB">
        <w:br w:type="page"/>
      </w:r>
      <w:r w:rsidRPr="008340BB">
        <w:lastRenderedPageBreak/>
        <w:t>SECTION 7</w:t>
      </w:r>
      <w:r w:rsidRPr="008340BB">
        <w:tab/>
        <w:t xml:space="preserve">Authorities and bodies responsible for management, control and audit and the role of relevant partners </w:t>
      </w:r>
    </w:p>
    <w:p w14:paraId="6DC02EC6" w14:textId="77777777" w:rsidR="00F1341F" w:rsidRPr="008340BB" w:rsidRDefault="00F1341F" w:rsidP="00BF3391">
      <w:r w:rsidRPr="008340BB">
        <w:t>(Reference: Article 96(5) of Regulation (EU) No 1303/2013)</w:t>
      </w:r>
    </w:p>
    <w:p w14:paraId="00CF40CB" w14:textId="77777777" w:rsidR="00F1341F" w:rsidRPr="008340BB" w:rsidRDefault="00F1341F" w:rsidP="00302F65">
      <w:pPr>
        <w:pStyle w:val="ManualHeading2"/>
      </w:pPr>
      <w:r w:rsidRPr="008340BB">
        <w:t xml:space="preserve">7.1 </w:t>
      </w:r>
      <w:r w:rsidRPr="008340BB">
        <w:tab/>
        <w:t xml:space="preserve">Relevant authorities and bodies </w:t>
      </w:r>
    </w:p>
    <w:p w14:paraId="29F55DBA" w14:textId="77777777" w:rsidR="00F1341F" w:rsidRPr="008340BB" w:rsidRDefault="00F1341F" w:rsidP="00302F65">
      <w:pPr>
        <w:pStyle w:val="ManualHeading2"/>
        <w:rPr>
          <w:b w:val="0"/>
        </w:rPr>
      </w:pPr>
      <w:r w:rsidRPr="008340BB">
        <w:rPr>
          <w:b w:val="0"/>
        </w:rPr>
        <w:t>(Reference: points (a) and (b) of Article 96(5) of Regulation (EU) No 1303/2013)</w:t>
      </w:r>
    </w:p>
    <w:p w14:paraId="451961F7" w14:textId="77777777" w:rsidR="00F1341F" w:rsidRPr="008340BB" w:rsidRDefault="00F1341F" w:rsidP="00BF3391">
      <w:pPr>
        <w:pStyle w:val="Text1"/>
        <w:rPr>
          <w:lang w:val="en-GB"/>
        </w:rPr>
      </w:pPr>
    </w:p>
    <w:p w14:paraId="79D02B50" w14:textId="77777777" w:rsidR="00F1341F" w:rsidRPr="008340BB" w:rsidRDefault="00F1341F" w:rsidP="00F03C1E">
      <w:pPr>
        <w:suppressAutoHyphens/>
        <w:rPr>
          <w:b/>
        </w:rPr>
      </w:pPr>
      <w:r w:rsidRPr="008340BB">
        <w:rPr>
          <w:b/>
        </w:rPr>
        <w:t xml:space="preserve">Table 23: </w:t>
      </w:r>
      <w:r w:rsidRPr="008340BB">
        <w:rPr>
          <w:b/>
        </w:rPr>
        <w:tab/>
        <w:t>Relevant authorities and bodies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1"/>
        <w:gridCol w:w="2913"/>
        <w:gridCol w:w="2819"/>
      </w:tblGrid>
      <w:tr w:rsidR="00F1341F" w:rsidRPr="008340BB" w14:paraId="243CECF8" w14:textId="77777777" w:rsidTr="00F03C1E">
        <w:tc>
          <w:tcPr>
            <w:tcW w:w="1838" w:type="pct"/>
            <w:shd w:val="clear" w:color="auto" w:fill="DBE5F1"/>
          </w:tcPr>
          <w:p w14:paraId="421A97D8" w14:textId="77777777" w:rsidR="00F1341F" w:rsidRPr="00A828C5" w:rsidRDefault="00F1341F" w:rsidP="00BF3391">
            <w:pPr>
              <w:suppressAutoHyphens/>
              <w:rPr>
                <w:b/>
                <w:sz w:val="20"/>
              </w:rPr>
            </w:pPr>
            <w:r w:rsidRPr="00A828C5">
              <w:rPr>
                <w:b/>
                <w:sz w:val="20"/>
              </w:rPr>
              <w:t>Authority/body</w:t>
            </w:r>
          </w:p>
        </w:tc>
        <w:tc>
          <w:tcPr>
            <w:tcW w:w="1607" w:type="pct"/>
            <w:shd w:val="clear" w:color="auto" w:fill="DBE5F1"/>
          </w:tcPr>
          <w:p w14:paraId="11401602" w14:textId="77777777" w:rsidR="00F1341F" w:rsidRPr="008340BB" w:rsidRDefault="00F1341F" w:rsidP="00BF3391">
            <w:pPr>
              <w:suppressAutoHyphens/>
              <w:rPr>
                <w:b/>
                <w:sz w:val="20"/>
              </w:rPr>
            </w:pPr>
            <w:r w:rsidRPr="008340BB">
              <w:rPr>
                <w:b/>
                <w:sz w:val="20"/>
              </w:rPr>
              <w:t xml:space="preserve">Name of authority/body and department or unit </w:t>
            </w:r>
          </w:p>
        </w:tc>
        <w:tc>
          <w:tcPr>
            <w:tcW w:w="1555" w:type="pct"/>
            <w:shd w:val="clear" w:color="auto" w:fill="DBE5F1"/>
          </w:tcPr>
          <w:p w14:paraId="62990AB7" w14:textId="77777777" w:rsidR="00F1341F" w:rsidRPr="008340BB" w:rsidRDefault="00F1341F" w:rsidP="00BF3391">
            <w:pPr>
              <w:suppressAutoHyphens/>
              <w:rPr>
                <w:b/>
                <w:sz w:val="20"/>
              </w:rPr>
            </w:pPr>
            <w:r w:rsidRPr="008340BB">
              <w:rPr>
                <w:b/>
                <w:sz w:val="20"/>
              </w:rPr>
              <w:t>Head of authority/body (position or post)</w:t>
            </w:r>
          </w:p>
        </w:tc>
      </w:tr>
      <w:tr w:rsidR="00F1341F" w:rsidRPr="008340BB" w14:paraId="0C28E1D5" w14:textId="77777777" w:rsidTr="00F03C1E">
        <w:tc>
          <w:tcPr>
            <w:tcW w:w="1838" w:type="pct"/>
          </w:tcPr>
          <w:p w14:paraId="505B9B71" w14:textId="77777777" w:rsidR="00F1341F" w:rsidRPr="008340BB" w:rsidRDefault="00F1341F" w:rsidP="00F03C1E">
            <w:pPr>
              <w:suppressAutoHyphens/>
              <w:rPr>
                <w:sz w:val="20"/>
              </w:rPr>
            </w:pPr>
            <w:r w:rsidRPr="008340BB">
              <w:rPr>
                <w:sz w:val="20"/>
              </w:rPr>
              <w:t>Managing authority</w:t>
            </w:r>
          </w:p>
        </w:tc>
        <w:tc>
          <w:tcPr>
            <w:tcW w:w="1607" w:type="pct"/>
          </w:tcPr>
          <w:p w14:paraId="6567247A" w14:textId="77777777" w:rsidR="00F1341F" w:rsidRPr="008340BB" w:rsidRDefault="00F1341F" w:rsidP="009D34EB">
            <w:pPr>
              <w:pStyle w:val="Text1"/>
              <w:spacing w:before="0" w:after="0"/>
              <w:ind w:left="-4"/>
              <w:jc w:val="left"/>
              <w:rPr>
                <w:sz w:val="20"/>
                <w:lang w:val="en-GB" w:eastAsia="en-GB"/>
              </w:rPr>
            </w:pPr>
            <w:r w:rsidRPr="008340BB">
              <w:rPr>
                <w:sz w:val="20"/>
                <w:lang w:val="en-GB" w:eastAsia="en-GB"/>
              </w:rPr>
              <w:t>“Coordination of Programmes and Projects” Directorate,</w:t>
            </w:r>
          </w:p>
          <w:p w14:paraId="40EF41C6" w14:textId="77777777" w:rsidR="00F1341F" w:rsidRPr="008340BB" w:rsidRDefault="00F1341F" w:rsidP="009D34EB">
            <w:pPr>
              <w:pStyle w:val="Text1"/>
              <w:spacing w:before="0" w:after="0"/>
              <w:ind w:left="-4"/>
              <w:jc w:val="left"/>
              <w:rPr>
                <w:sz w:val="20"/>
                <w:lang w:val="en-GB" w:eastAsia="en-GB"/>
              </w:rPr>
            </w:pPr>
            <w:r w:rsidRPr="008340BB">
              <w:rPr>
                <w:sz w:val="20"/>
                <w:lang w:val="en-GB" w:eastAsia="en-GB"/>
              </w:rPr>
              <w:t xml:space="preserve">Ministry of Transport, Information Technology and Communications </w:t>
            </w:r>
          </w:p>
        </w:tc>
        <w:tc>
          <w:tcPr>
            <w:tcW w:w="1555" w:type="pct"/>
          </w:tcPr>
          <w:p w14:paraId="35BB2086" w14:textId="0CCF9C7F" w:rsidR="00CD2813" w:rsidRDefault="00E92E28" w:rsidP="003B4937">
            <w:pPr>
              <w:pStyle w:val="Text1"/>
              <w:spacing w:before="0" w:after="0"/>
              <w:ind w:left="14"/>
              <w:jc w:val="left"/>
              <w:rPr>
                <w:sz w:val="20"/>
                <w:lang w:val="en-GB" w:eastAsia="en-GB"/>
              </w:rPr>
            </w:pPr>
            <w:r>
              <w:rPr>
                <w:sz w:val="20"/>
                <w:lang w:val="en-GB" w:eastAsia="en-GB"/>
              </w:rPr>
              <w:t>Martin Georgiev</w:t>
            </w:r>
            <w:r w:rsidR="00CD2813">
              <w:rPr>
                <w:sz w:val="20"/>
                <w:lang w:val="en-GB" w:eastAsia="en-GB"/>
              </w:rPr>
              <w:t xml:space="preserve"> – director of </w:t>
            </w:r>
            <w:r w:rsidR="00CD2813" w:rsidRPr="00CD2813">
              <w:rPr>
                <w:sz w:val="20"/>
                <w:lang w:val="en-GB" w:eastAsia="en-GB"/>
              </w:rPr>
              <w:t>“Coordination of Programmes and Projects” Directorate</w:t>
            </w:r>
          </w:p>
          <w:p w14:paraId="66DB751E" w14:textId="479FFFA3" w:rsidR="00F1341F" w:rsidRPr="008340BB" w:rsidRDefault="00F1341F" w:rsidP="003B4937">
            <w:pPr>
              <w:pStyle w:val="Text1"/>
              <w:spacing w:before="0" w:after="0"/>
              <w:ind w:left="14"/>
              <w:jc w:val="left"/>
              <w:rPr>
                <w:sz w:val="20"/>
                <w:lang w:val="en-GB" w:eastAsia="en-GB"/>
              </w:rPr>
            </w:pPr>
          </w:p>
        </w:tc>
      </w:tr>
      <w:tr w:rsidR="00F1341F" w:rsidRPr="008340BB" w14:paraId="25AE8EE0" w14:textId="77777777" w:rsidTr="00F03C1E">
        <w:tc>
          <w:tcPr>
            <w:tcW w:w="1838" w:type="pct"/>
          </w:tcPr>
          <w:p w14:paraId="176C6B5E" w14:textId="77777777" w:rsidR="00F1341F" w:rsidRPr="008340BB" w:rsidRDefault="00F1341F" w:rsidP="00F03C1E">
            <w:pPr>
              <w:suppressAutoHyphens/>
              <w:rPr>
                <w:sz w:val="20"/>
              </w:rPr>
            </w:pPr>
            <w:r w:rsidRPr="008340BB">
              <w:rPr>
                <w:sz w:val="20"/>
              </w:rPr>
              <w:t>Certifying authority, where applicable</w:t>
            </w:r>
          </w:p>
        </w:tc>
        <w:tc>
          <w:tcPr>
            <w:tcW w:w="1607" w:type="pct"/>
          </w:tcPr>
          <w:p w14:paraId="355FB776" w14:textId="77777777" w:rsidR="00F1341F" w:rsidRPr="008340BB" w:rsidRDefault="00F1341F" w:rsidP="009D34EB">
            <w:pPr>
              <w:pStyle w:val="Text1"/>
              <w:spacing w:before="0" w:after="0"/>
              <w:ind w:left="-4"/>
              <w:jc w:val="left"/>
              <w:rPr>
                <w:sz w:val="20"/>
                <w:lang w:val="en-GB" w:eastAsia="en-GB"/>
              </w:rPr>
            </w:pPr>
            <w:r w:rsidRPr="008340BB">
              <w:rPr>
                <w:sz w:val="20"/>
                <w:lang w:val="en-GB" w:eastAsia="en-GB"/>
              </w:rPr>
              <w:t xml:space="preserve">“National Fund” Directorate, </w:t>
            </w:r>
          </w:p>
          <w:p w14:paraId="340DFA31" w14:textId="77777777" w:rsidR="00F1341F" w:rsidRPr="008340BB" w:rsidRDefault="00F1341F" w:rsidP="009D34EB">
            <w:pPr>
              <w:pStyle w:val="Text1"/>
              <w:spacing w:before="0" w:after="0"/>
              <w:ind w:left="-4"/>
              <w:jc w:val="left"/>
              <w:rPr>
                <w:sz w:val="20"/>
                <w:lang w:val="en-GB" w:eastAsia="en-GB"/>
              </w:rPr>
            </w:pPr>
            <w:r w:rsidRPr="008340BB">
              <w:rPr>
                <w:sz w:val="20"/>
                <w:lang w:val="en-GB" w:eastAsia="en-GB"/>
              </w:rPr>
              <w:t>Ministry of Finance</w:t>
            </w:r>
          </w:p>
        </w:tc>
        <w:tc>
          <w:tcPr>
            <w:tcW w:w="1555" w:type="pct"/>
          </w:tcPr>
          <w:p w14:paraId="1743F8DA" w14:textId="13B35BA1" w:rsidR="00F1341F" w:rsidRPr="00A12715" w:rsidRDefault="002416CC" w:rsidP="00560D32">
            <w:pPr>
              <w:pStyle w:val="Text1"/>
              <w:spacing w:before="0" w:after="0"/>
              <w:ind w:left="14"/>
              <w:jc w:val="left"/>
              <w:rPr>
                <w:sz w:val="20"/>
                <w:lang w:val="en-GB" w:eastAsia="en-GB"/>
              </w:rPr>
            </w:pPr>
            <w:r>
              <w:rPr>
                <w:sz w:val="20"/>
                <w:lang w:val="en-US" w:eastAsia="en-GB"/>
              </w:rPr>
              <w:t>Detelina Karaeneva</w:t>
            </w:r>
            <w:r w:rsidR="00F52C77">
              <w:rPr>
                <w:sz w:val="20"/>
                <w:lang w:val="en-GB" w:eastAsia="en-GB"/>
              </w:rPr>
              <w:t xml:space="preserve"> </w:t>
            </w:r>
            <w:r w:rsidR="00F1341F" w:rsidRPr="00F52C77">
              <w:rPr>
                <w:sz w:val="20"/>
                <w:lang w:val="en-GB" w:eastAsia="en-GB"/>
              </w:rPr>
              <w:t xml:space="preserve">– </w:t>
            </w:r>
            <w:r w:rsidR="00F1341F" w:rsidRPr="00A12715">
              <w:rPr>
                <w:sz w:val="20"/>
                <w:lang w:val="en-GB" w:eastAsia="en-GB"/>
              </w:rPr>
              <w:t xml:space="preserve">Director of Directorate and Head of the Certifying Authority </w:t>
            </w:r>
          </w:p>
        </w:tc>
      </w:tr>
      <w:tr w:rsidR="00F1341F" w:rsidRPr="008340BB" w14:paraId="3DF2214E" w14:textId="77777777" w:rsidTr="00F03C1E">
        <w:tc>
          <w:tcPr>
            <w:tcW w:w="1838" w:type="pct"/>
          </w:tcPr>
          <w:p w14:paraId="34ABEC63" w14:textId="77777777" w:rsidR="00F1341F" w:rsidRPr="008340BB" w:rsidRDefault="00F1341F" w:rsidP="00F03C1E">
            <w:pPr>
              <w:suppressAutoHyphens/>
              <w:rPr>
                <w:sz w:val="20"/>
              </w:rPr>
            </w:pPr>
            <w:r w:rsidRPr="008340BB">
              <w:rPr>
                <w:sz w:val="20"/>
              </w:rPr>
              <w:t>Audit authority</w:t>
            </w:r>
          </w:p>
        </w:tc>
        <w:tc>
          <w:tcPr>
            <w:tcW w:w="1607" w:type="pct"/>
          </w:tcPr>
          <w:p w14:paraId="4298509B" w14:textId="77777777" w:rsidR="00F1341F" w:rsidRPr="008340BB" w:rsidRDefault="00F1341F" w:rsidP="009D34EB">
            <w:pPr>
              <w:pStyle w:val="Text1"/>
              <w:spacing w:before="0" w:after="0"/>
              <w:ind w:left="-4"/>
              <w:jc w:val="left"/>
              <w:rPr>
                <w:sz w:val="20"/>
                <w:lang w:val="en-GB" w:eastAsia="en-GB"/>
              </w:rPr>
            </w:pPr>
            <w:r w:rsidRPr="008340BB">
              <w:rPr>
                <w:sz w:val="20"/>
                <w:lang w:val="en-GB" w:eastAsia="en-GB"/>
              </w:rPr>
              <w:t>IA “Audit of EU Funds”</w:t>
            </w:r>
          </w:p>
        </w:tc>
        <w:tc>
          <w:tcPr>
            <w:tcW w:w="1555" w:type="pct"/>
          </w:tcPr>
          <w:p w14:paraId="68591E73" w14:textId="62CED866" w:rsidR="00F1341F" w:rsidRPr="008340BB" w:rsidRDefault="00574AD7" w:rsidP="003B4937">
            <w:pPr>
              <w:pStyle w:val="Text1"/>
              <w:spacing w:before="0" w:after="0"/>
              <w:ind w:left="14"/>
              <w:jc w:val="left"/>
              <w:rPr>
                <w:sz w:val="20"/>
                <w:lang w:val="en-GB" w:eastAsia="en-GB"/>
              </w:rPr>
            </w:pPr>
            <w:r>
              <w:rPr>
                <w:sz w:val="20"/>
                <w:lang w:val="en-GB" w:eastAsia="en-GB"/>
              </w:rPr>
              <w:t>Katya Doychevska</w:t>
            </w:r>
            <w:r w:rsidR="00F1341F" w:rsidRPr="008340BB">
              <w:rPr>
                <w:sz w:val="20"/>
                <w:lang w:val="en-GB" w:eastAsia="en-GB"/>
              </w:rPr>
              <w:t xml:space="preserve"> – Executive Director </w:t>
            </w:r>
          </w:p>
        </w:tc>
      </w:tr>
      <w:tr w:rsidR="00F1341F" w:rsidRPr="008340BB" w14:paraId="4F7B6438" w14:textId="77777777" w:rsidTr="00F03C1E">
        <w:tc>
          <w:tcPr>
            <w:tcW w:w="1838" w:type="pct"/>
          </w:tcPr>
          <w:p w14:paraId="0CF48D06" w14:textId="77777777" w:rsidR="00F1341F" w:rsidRPr="008340BB" w:rsidRDefault="00F1341F" w:rsidP="00107E6F">
            <w:pPr>
              <w:suppressAutoHyphens/>
              <w:rPr>
                <w:b/>
                <w:sz w:val="20"/>
              </w:rPr>
            </w:pPr>
            <w:r w:rsidRPr="008340BB">
              <w:rPr>
                <w:sz w:val="20"/>
              </w:rPr>
              <w:t>Body to which Commission will make payments</w:t>
            </w:r>
          </w:p>
        </w:tc>
        <w:tc>
          <w:tcPr>
            <w:tcW w:w="1607" w:type="pct"/>
          </w:tcPr>
          <w:p w14:paraId="1CD2D0EF" w14:textId="77777777" w:rsidR="00F1341F" w:rsidRPr="008340BB" w:rsidRDefault="00F1341F" w:rsidP="009D34EB">
            <w:pPr>
              <w:pStyle w:val="Text1"/>
              <w:spacing w:before="0" w:after="0"/>
              <w:ind w:left="-4"/>
              <w:jc w:val="left"/>
              <w:rPr>
                <w:sz w:val="20"/>
                <w:lang w:val="en-GB" w:eastAsia="en-GB"/>
              </w:rPr>
            </w:pPr>
            <w:r w:rsidRPr="008340BB">
              <w:rPr>
                <w:sz w:val="20"/>
                <w:lang w:val="en-GB" w:eastAsia="en-GB"/>
              </w:rPr>
              <w:t xml:space="preserve">“National Fund” Directorate, </w:t>
            </w:r>
          </w:p>
          <w:p w14:paraId="5EA62BAD" w14:textId="77777777" w:rsidR="00F1341F" w:rsidRPr="008340BB" w:rsidRDefault="00F1341F" w:rsidP="009D34EB">
            <w:pPr>
              <w:pStyle w:val="References"/>
              <w:spacing w:after="0"/>
              <w:ind w:left="-4"/>
            </w:pPr>
            <w:r w:rsidRPr="008340BB">
              <w:t>Ministry of Finance</w:t>
            </w:r>
          </w:p>
        </w:tc>
        <w:tc>
          <w:tcPr>
            <w:tcW w:w="1555" w:type="pct"/>
          </w:tcPr>
          <w:p w14:paraId="27E6774C" w14:textId="3450A1A3" w:rsidR="00F1341F" w:rsidRPr="00A828C5" w:rsidRDefault="00B96A3B" w:rsidP="00560D32">
            <w:pPr>
              <w:pStyle w:val="References"/>
              <w:spacing w:after="0"/>
              <w:ind w:left="14"/>
            </w:pPr>
            <w:r>
              <w:t>Detelina Karaeneva</w:t>
            </w:r>
            <w:r w:rsidR="00F52C77">
              <w:t xml:space="preserve"> </w:t>
            </w:r>
            <w:r w:rsidR="00F52C77" w:rsidRPr="00F52C77">
              <w:t xml:space="preserve">– </w:t>
            </w:r>
            <w:r w:rsidR="00F52C77">
              <w:t xml:space="preserve"> </w:t>
            </w:r>
            <w:r w:rsidR="00F1341F" w:rsidRPr="00F52C77">
              <w:t xml:space="preserve"> Director of Directorate and Head of Certifying Authority </w:t>
            </w:r>
          </w:p>
        </w:tc>
      </w:tr>
    </w:tbl>
    <w:p w14:paraId="4BC0885E" w14:textId="77777777" w:rsidR="00F1341F" w:rsidRPr="00A828C5" w:rsidRDefault="00F1341F" w:rsidP="00F03C1E"/>
    <w:p w14:paraId="343C57B0" w14:textId="77777777" w:rsidR="00F1341F" w:rsidRPr="008340BB" w:rsidRDefault="00F1341F" w:rsidP="00302F65">
      <w:pPr>
        <w:pStyle w:val="ManualHeading2"/>
      </w:pPr>
      <w:r w:rsidRPr="008340BB">
        <w:t xml:space="preserve">7.2 </w:t>
      </w:r>
      <w:r w:rsidRPr="008340BB">
        <w:tab/>
        <w:t xml:space="preserve">Involvement of relevant partners </w:t>
      </w:r>
    </w:p>
    <w:p w14:paraId="09FCD71A" w14:textId="77777777" w:rsidR="00F1341F" w:rsidRPr="008340BB" w:rsidRDefault="00F1341F" w:rsidP="00F914D7">
      <w:pPr>
        <w:pStyle w:val="Text1"/>
        <w:rPr>
          <w:lang w:val="en-GB"/>
        </w:rPr>
      </w:pPr>
      <w:r w:rsidRPr="008340BB">
        <w:rPr>
          <w:lang w:val="en-GB"/>
        </w:rPr>
        <w:t>(Reference: point (c) of Article 96(5) of Regulation (EU) No 1303/2013)</w:t>
      </w:r>
    </w:p>
    <w:p w14:paraId="43D4C3F5" w14:textId="77777777" w:rsidR="00F1341F" w:rsidRPr="008340BB" w:rsidRDefault="00F1341F" w:rsidP="00981759">
      <w:pPr>
        <w:suppressAutoHyphens/>
        <w:rPr>
          <w:b/>
          <w:i/>
        </w:rPr>
      </w:pPr>
      <w:r w:rsidRPr="008340BB">
        <w:rPr>
          <w:b/>
          <w:i/>
        </w:rPr>
        <w:t xml:space="preserve">7.2.1 </w:t>
      </w:r>
      <w:r w:rsidRPr="008340BB">
        <w:rPr>
          <w:b/>
          <w:i/>
        </w:rPr>
        <w:tab/>
        <w:t>Actions taken to involve the relevant partners in the preparation of the operational programme, and the role of those partners in the implementation, monitoring and evaluation of the programme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67"/>
      </w:tblGrid>
      <w:tr w:rsidR="00F1341F" w:rsidRPr="008340BB" w14:paraId="153A64F4" w14:textId="77777777" w:rsidTr="00F03C1E">
        <w:trPr>
          <w:trHeight w:val="588"/>
        </w:trPr>
        <w:tc>
          <w:tcPr>
            <w:tcW w:w="8867" w:type="dxa"/>
          </w:tcPr>
          <w:p w14:paraId="546E5ABB" w14:textId="77777777" w:rsidR="00F1341F" w:rsidRPr="008340BB" w:rsidRDefault="00F1341F" w:rsidP="00DF189E">
            <w:pPr>
              <w:pStyle w:val="ListDash2"/>
              <w:numPr>
                <w:ilvl w:val="0"/>
                <w:numId w:val="0"/>
              </w:numPr>
              <w:spacing w:before="120" w:after="0"/>
            </w:pPr>
            <w:r w:rsidRPr="008340BB">
              <w:t xml:space="preserve">The </w:t>
            </w:r>
            <w:r w:rsidR="00EA20F8">
              <w:t>OPTTI</w:t>
            </w:r>
            <w:r w:rsidRPr="008340BB">
              <w:t xml:space="preserve"> 2014-2020 </w:t>
            </w:r>
            <w:r w:rsidRPr="008340BB">
              <w:rPr>
                <w:bCs/>
              </w:rPr>
              <w:t>is developed in accordance with Art</w:t>
            </w:r>
            <w:r w:rsidRPr="008340BB">
              <w:t xml:space="preserve">. 5 of Ministerial Council Decree № 5 dated 18.01.2012 for the development of strategic and programme documents of Republic of Bulgaria for management of resources from the funds under the Common Strategic Framework of the European Union for the 2014-2020 programming period (promulgated, SG, issue 7 of 24.01.2012) and in connection with Decision № 328 of 25 April 2012 approving a list of thematic objectives that are to be included in the Partnership Agreement of Republic of Bulgaria for the programming period 2014-2020, a list of programmes and leading office for the elaboration of each Programme. Ministry of Transport, Information Technology and Communications (“Coordination of Programmes and Projects” Directorate) is leading institution for the preparation of </w:t>
            </w:r>
            <w:r w:rsidR="00EA20F8">
              <w:t>OPTTI</w:t>
            </w:r>
            <w:r w:rsidRPr="008340BB">
              <w:t xml:space="preserve"> 2014-2020. In the process of preparation of the Programme the experience of the Managing Authority in the preparation, management and implementation of Operational Programme Transport 2007-2013 is used. </w:t>
            </w:r>
          </w:p>
          <w:p w14:paraId="289B91C6" w14:textId="77777777" w:rsidR="00F1341F" w:rsidRPr="008340BB" w:rsidRDefault="00F1341F" w:rsidP="00DF189E">
            <w:pPr>
              <w:snapToGrid w:val="0"/>
              <w:spacing w:after="0"/>
            </w:pPr>
            <w:r w:rsidRPr="008340BB">
              <w:t xml:space="preserve">Working group for the preparation of </w:t>
            </w:r>
            <w:r w:rsidR="00EA20F8">
              <w:t>OPTTI</w:t>
            </w:r>
            <w:r w:rsidRPr="008340BB">
              <w:t xml:space="preserve"> 2014-2020 was established with Order No </w:t>
            </w:r>
            <w:r w:rsidRPr="008340BB">
              <w:rPr>
                <w:color w:val="000000"/>
              </w:rPr>
              <w:t xml:space="preserve">РД-08-458/07.08.12 of the Minister of transport, information technology and communications, coordinated with the Minister of EU funds management. The composition of the Working group is according to Council of Ministries Decree No 5 dated 18.01.2012. The Working Group includes representatives of Central Coordination Unit, </w:t>
            </w:r>
            <w:r w:rsidRPr="008340BB">
              <w:rPr>
                <w:color w:val="000000"/>
              </w:rPr>
              <w:lastRenderedPageBreak/>
              <w:t>Certifying Authority and Audit Authority, institutions</w:t>
            </w:r>
            <w:r w:rsidRPr="008340BB">
              <w:t>, responsible for the policies measures of which will be funded under the programme, National Statistical Institute, Commission for Protection against Discrimination, Regional development councils on level 2, Nationally represented organizations of employers, workers and servants, acknowledged by the Council of Ministers according to the labour code, Nationally represented organizations of and for people with disabilities, acknowledged by the Council of Ministers according to the Law for integration of people with disabilities, National Association of Municipalities in Republic of Bulgaria, non</w:t>
            </w:r>
            <w:r w:rsidR="00DA6313">
              <w:t>-</w:t>
            </w:r>
            <w:r w:rsidRPr="008340BB">
              <w:t>governmental organizations</w:t>
            </w:r>
            <w:r w:rsidR="00DA6313">
              <w:t xml:space="preserve"> (NGOs)</w:t>
            </w:r>
            <w:r w:rsidRPr="008340BB">
              <w:t xml:space="preserve"> etc.  </w:t>
            </w:r>
          </w:p>
          <w:p w14:paraId="73342A99" w14:textId="77777777" w:rsidR="00F1341F" w:rsidRPr="00AB32BF" w:rsidRDefault="00F1341F" w:rsidP="00DF189E">
            <w:pPr>
              <w:autoSpaceDE w:val="0"/>
              <w:autoSpaceDN w:val="0"/>
              <w:adjustRightInd w:val="0"/>
              <w:spacing w:after="0"/>
              <w:rPr>
                <w:lang w:eastAsia="bg-BG"/>
              </w:rPr>
            </w:pPr>
            <w:r w:rsidRPr="008340BB">
              <w:rPr>
                <w:lang w:eastAsia="bg-BG"/>
              </w:rPr>
              <w:t>The role of the partners in the elaboration of the Operational programme is regulated in Council of Ministries Decree No 5/18.01.2012, as well as in Internal Rules and Procedures for the organization and functioning of the Working Group</w:t>
            </w:r>
            <w:r w:rsidR="00AB32BF">
              <w:rPr>
                <w:lang w:eastAsia="bg-BG"/>
              </w:rPr>
              <w:t xml:space="preserve"> (WG)</w:t>
            </w:r>
            <w:r w:rsidRPr="00AB32BF">
              <w:rPr>
                <w:lang w:eastAsia="bg-BG"/>
              </w:rPr>
              <w:t xml:space="preserve"> for preparation of Operational Programme „Transport and Transport Infrastructure” for the period 2014 -2020.</w:t>
            </w:r>
          </w:p>
          <w:p w14:paraId="33532F56" w14:textId="77777777" w:rsidR="00F1341F" w:rsidRPr="008340BB" w:rsidRDefault="00F1341F" w:rsidP="00DF189E">
            <w:pPr>
              <w:snapToGrid w:val="0"/>
              <w:spacing w:after="0"/>
            </w:pPr>
            <w:r w:rsidRPr="00A828C5">
              <w:t xml:space="preserve">The selection of representatives of </w:t>
            </w:r>
            <w:r w:rsidR="00DA6313">
              <w:t>NGOs</w:t>
            </w:r>
            <w:r w:rsidRPr="008340BB">
              <w:t xml:space="preserve"> was proceeded, according to the approved by the Minister of EU funds management, Mechanism for selection of </w:t>
            </w:r>
            <w:r w:rsidR="00DA6313">
              <w:t>NGOs</w:t>
            </w:r>
            <w:r w:rsidRPr="008340BB">
              <w:t xml:space="preserve">, which representatives should participate in the working for elaboration of Partnership agreement and Operational programmes of Republic of Bulgaria for the period 2014-2020. According to the Mechanism, representatives of the following </w:t>
            </w:r>
            <w:r w:rsidR="00DA6313">
              <w:t>NGOs</w:t>
            </w:r>
            <w:r w:rsidRPr="008340BB">
              <w:t xml:space="preserve"> are members of the Working Group for preparation of Operational Programme “Transport and Transport Infrastructure” 2014-2020 – ecological organisations, organisations in the transport sector and organisations in the area of policies for development.  </w:t>
            </w:r>
          </w:p>
          <w:p w14:paraId="194BC48C" w14:textId="77777777" w:rsidR="00F1341F" w:rsidRPr="008340BB" w:rsidRDefault="00F1341F" w:rsidP="00DF189E">
            <w:pPr>
              <w:autoSpaceDE w:val="0"/>
              <w:autoSpaceDN w:val="0"/>
              <w:adjustRightInd w:val="0"/>
              <w:spacing w:after="0"/>
            </w:pPr>
            <w:r w:rsidRPr="008340BB">
              <w:rPr>
                <w:lang w:eastAsia="bg-BG"/>
              </w:rPr>
              <w:t>The representatives of the partner’s institutions and organizations are involved in the process of preparation, assessment and agreement of the separate developments and texts of the Operational programme, as well as the final version of the programme. Their basic tasks are related to the preparation and submission of proposals, comments and statements, participation on the Working Group meetings, voting etc.</w:t>
            </w:r>
          </w:p>
          <w:p w14:paraId="0ABFDB38" w14:textId="77777777" w:rsidR="00F1341F" w:rsidRPr="008340BB" w:rsidRDefault="00F1341F" w:rsidP="00DF189E">
            <w:pPr>
              <w:autoSpaceDE w:val="0"/>
              <w:autoSpaceDN w:val="0"/>
              <w:adjustRightInd w:val="0"/>
              <w:spacing w:after="0"/>
              <w:rPr>
                <w:lang w:eastAsia="bg-BG"/>
              </w:rPr>
            </w:pPr>
            <w:r w:rsidRPr="008340BB">
              <w:rPr>
                <w:lang w:eastAsia="bg-BG"/>
              </w:rPr>
              <w:t xml:space="preserve">The meetings are proceeded with clear organization, according to the adopted by the WG members Internal Rules and Procedures for the organization and functioning of the Working Group. The materials for each meeting are submitted in due time before the meetings, in order to be ensured the necessary time and information for the WG members and deputies to prepare competent statements on the materials discussed. There were held </w:t>
            </w:r>
            <w:r w:rsidR="00547877">
              <w:rPr>
                <w:lang w:eastAsia="bg-BG"/>
              </w:rPr>
              <w:t>6</w:t>
            </w:r>
            <w:r w:rsidR="00547877" w:rsidRPr="00547877">
              <w:rPr>
                <w:lang w:eastAsia="bg-BG"/>
              </w:rPr>
              <w:t xml:space="preserve"> </w:t>
            </w:r>
            <w:r w:rsidRPr="00A828C5">
              <w:rPr>
                <w:lang w:eastAsia="bg-BG"/>
              </w:rPr>
              <w:t>meetings of the WG</w:t>
            </w:r>
            <w:r w:rsidRPr="008340BB">
              <w:rPr>
                <w:lang w:eastAsia="bg-BG"/>
              </w:rPr>
              <w:t>, provided that the specific programme components and prepared completed texts were submitted to the WG’s members for their comments and statements.</w:t>
            </w:r>
          </w:p>
          <w:p w14:paraId="7D49BB32" w14:textId="77777777" w:rsidR="00F1341F" w:rsidRPr="008340BB" w:rsidRDefault="00F1341F" w:rsidP="00DF189E">
            <w:pPr>
              <w:autoSpaceDE w:val="0"/>
              <w:autoSpaceDN w:val="0"/>
              <w:adjustRightInd w:val="0"/>
              <w:spacing w:after="0"/>
            </w:pPr>
            <w:r w:rsidRPr="008340BB">
              <w:rPr>
                <w:lang w:eastAsia="bg-BG"/>
              </w:rPr>
              <w:t xml:space="preserve">With regard to the dissemination of information to the public for the preparation of Operational Programme „Transport and Transport Infrastructure”, the memos and developments of the meetings are publicized on the web page of OP on Transport and on the EU Structural Funds Single Information Web Portal.    </w:t>
            </w:r>
          </w:p>
          <w:p w14:paraId="109F74CA" w14:textId="77777777" w:rsidR="00791A36" w:rsidRDefault="00F1341F" w:rsidP="00DF189E">
            <w:pPr>
              <w:autoSpaceDE w:val="0"/>
              <w:autoSpaceDN w:val="0"/>
              <w:adjustRightInd w:val="0"/>
              <w:spacing w:after="0"/>
              <w:rPr>
                <w:lang w:eastAsia="bg-BG"/>
              </w:rPr>
            </w:pPr>
            <w:r w:rsidRPr="008340BB">
              <w:rPr>
                <w:lang w:eastAsia="bg-BG"/>
              </w:rPr>
              <w:t xml:space="preserve">During the process of elaboration of the </w:t>
            </w:r>
            <w:r w:rsidR="00791A36">
              <w:rPr>
                <w:lang w:eastAsia="bg-BG"/>
              </w:rPr>
              <w:t>o</w:t>
            </w:r>
            <w:r w:rsidRPr="008340BB">
              <w:rPr>
                <w:lang w:eastAsia="bg-BG"/>
              </w:rPr>
              <w:t xml:space="preserve">perational programme the most appropriate decisions were discussed with regard to the achievement of the programme specific objectives. The most serious were discussions concerning the selection of operations and activities under the programme. </w:t>
            </w:r>
            <w:r w:rsidRPr="00CD1188">
              <w:rPr>
                <w:lang w:eastAsia="bg-BG"/>
              </w:rPr>
              <w:t xml:space="preserve">The scope of the </w:t>
            </w:r>
            <w:r w:rsidR="00791A36" w:rsidRPr="00CD1188">
              <w:rPr>
                <w:lang w:eastAsia="bg-BG"/>
              </w:rPr>
              <w:t>o</w:t>
            </w:r>
            <w:r w:rsidRPr="00CD1188">
              <w:rPr>
                <w:lang w:eastAsia="bg-BG"/>
              </w:rPr>
              <w:t xml:space="preserve">perational programme is in compliance with the </w:t>
            </w:r>
            <w:r w:rsidR="00F33641" w:rsidRPr="00CD1188">
              <w:rPr>
                <w:lang w:eastAsia="bg-BG"/>
              </w:rPr>
              <w:t>eligible</w:t>
            </w:r>
            <w:r w:rsidRPr="00CD1188">
              <w:rPr>
                <w:lang w:eastAsia="bg-BG"/>
              </w:rPr>
              <w:t xml:space="preserve"> funding activities under the relevant investment priority and thematic objective.</w:t>
            </w:r>
            <w:r w:rsidR="00791A36" w:rsidRPr="00CD1188">
              <w:rPr>
                <w:lang w:eastAsia="bg-BG"/>
              </w:rPr>
              <w:t xml:space="preserve"> </w:t>
            </w:r>
            <w:r w:rsidRPr="008340BB">
              <w:rPr>
                <w:lang w:eastAsia="bg-BG"/>
              </w:rPr>
              <w:t xml:space="preserve"> </w:t>
            </w:r>
          </w:p>
          <w:p w14:paraId="5050142B" w14:textId="77777777" w:rsidR="00791A36" w:rsidRDefault="00F1341F" w:rsidP="00DF189E">
            <w:pPr>
              <w:autoSpaceDE w:val="0"/>
              <w:autoSpaceDN w:val="0"/>
              <w:adjustRightInd w:val="0"/>
              <w:spacing w:after="0"/>
              <w:rPr>
                <w:lang w:eastAsia="bg-BG"/>
              </w:rPr>
            </w:pPr>
            <w:r w:rsidRPr="008340BB">
              <w:rPr>
                <w:lang w:eastAsia="bg-BG"/>
              </w:rPr>
              <w:t xml:space="preserve">With regard to the proposed inclusion of secondary roads in the text of the program a conclusion was drawn that the framework of the programme is clear and it is focused on the TEN-T (the regional programme should include projects for second-class roads) </w:t>
            </w:r>
            <w:r w:rsidR="00791A36">
              <w:rPr>
                <w:lang w:eastAsia="bg-BG"/>
              </w:rPr>
              <w:lastRenderedPageBreak/>
              <w:t>P</w:t>
            </w:r>
            <w:r w:rsidRPr="008340BB">
              <w:rPr>
                <w:lang w:eastAsia="bg-BG"/>
              </w:rPr>
              <w:t xml:space="preserve">roposals </w:t>
            </w:r>
            <w:r w:rsidR="00791A36">
              <w:rPr>
                <w:lang w:eastAsia="bg-BG"/>
              </w:rPr>
              <w:t>to</w:t>
            </w:r>
            <w:r w:rsidRPr="008340BB">
              <w:rPr>
                <w:lang w:eastAsia="bg-BG"/>
              </w:rPr>
              <w:t xml:space="preserve"> inclu</w:t>
            </w:r>
            <w:r w:rsidR="00791A36">
              <w:rPr>
                <w:lang w:eastAsia="bg-BG"/>
              </w:rPr>
              <w:t>de</w:t>
            </w:r>
            <w:r w:rsidRPr="008340BB">
              <w:rPr>
                <w:lang w:eastAsia="bg-BG"/>
              </w:rPr>
              <w:t xml:space="preserve"> additional measures such as development of ports </w:t>
            </w:r>
            <w:r w:rsidR="00791A36">
              <w:rPr>
                <w:lang w:eastAsia="bg-BG"/>
              </w:rPr>
              <w:t>were also considered</w:t>
            </w:r>
            <w:r w:rsidRPr="008340BB">
              <w:rPr>
                <w:lang w:eastAsia="bg-BG"/>
              </w:rPr>
              <w:t xml:space="preserve">. It was clarified that the development of port infrastructure is intended to be implemented through public-private partnership. </w:t>
            </w:r>
          </w:p>
          <w:p w14:paraId="2B228499" w14:textId="77777777" w:rsidR="0058170A" w:rsidRDefault="00F1341F" w:rsidP="00DF189E">
            <w:pPr>
              <w:autoSpaceDE w:val="0"/>
              <w:autoSpaceDN w:val="0"/>
              <w:adjustRightInd w:val="0"/>
              <w:spacing w:after="0"/>
              <w:rPr>
                <w:lang w:eastAsia="bg-BG"/>
              </w:rPr>
            </w:pPr>
            <w:r w:rsidRPr="008340BB">
              <w:rPr>
                <w:lang w:eastAsia="bg-BG"/>
              </w:rPr>
              <w:t xml:space="preserve">The resources from EU funds are allocated according to the principle of complementarity, i.e. the operational programme itself cannot solve all the problems of the national transport system. It was concluded that it is necessary to look for other options and sources of funding. </w:t>
            </w:r>
          </w:p>
          <w:p w14:paraId="6645A64A" w14:textId="77777777" w:rsidR="0058170A" w:rsidRDefault="00F1341F" w:rsidP="00DF189E">
            <w:pPr>
              <w:autoSpaceDE w:val="0"/>
              <w:autoSpaceDN w:val="0"/>
              <w:adjustRightInd w:val="0"/>
              <w:spacing w:after="0"/>
              <w:rPr>
                <w:lang w:eastAsia="bg-BG"/>
              </w:rPr>
            </w:pPr>
            <w:r w:rsidRPr="008340BB">
              <w:rPr>
                <w:lang w:eastAsia="bg-BG"/>
              </w:rPr>
              <w:t xml:space="preserve">At a meeting of the WG </w:t>
            </w:r>
            <w:r w:rsidRPr="00CD1188">
              <w:rPr>
                <w:lang w:eastAsia="bg-BG"/>
              </w:rPr>
              <w:t xml:space="preserve">it was discussed </w:t>
            </w:r>
            <w:r w:rsidR="00791A36" w:rsidRPr="00CD1188">
              <w:rPr>
                <w:lang w:eastAsia="bg-BG"/>
              </w:rPr>
              <w:t>to</w:t>
            </w:r>
            <w:r w:rsidRPr="00CD1188">
              <w:rPr>
                <w:lang w:eastAsia="bg-BG"/>
              </w:rPr>
              <w:t xml:space="preserve"> consolidat</w:t>
            </w:r>
            <w:r w:rsidR="00791A36" w:rsidRPr="00CD1188">
              <w:rPr>
                <w:lang w:eastAsia="bg-BG"/>
              </w:rPr>
              <w:t>e</w:t>
            </w:r>
            <w:r w:rsidRPr="00CD1188">
              <w:rPr>
                <w:lang w:eastAsia="bg-BG"/>
              </w:rPr>
              <w:t xml:space="preserve"> investments in road and rail infrastructure </w:t>
            </w:r>
            <w:r w:rsidR="00791A36" w:rsidRPr="00CD1188">
              <w:rPr>
                <w:lang w:eastAsia="bg-BG"/>
              </w:rPr>
              <w:t>into a single</w:t>
            </w:r>
            <w:r w:rsidRPr="00CD1188">
              <w:rPr>
                <w:lang w:eastAsia="bg-BG"/>
              </w:rPr>
              <w:t xml:space="preserve"> </w:t>
            </w:r>
            <w:r w:rsidR="00DA6313" w:rsidRPr="00CD1188">
              <w:rPr>
                <w:lang w:eastAsia="bg-BG"/>
              </w:rPr>
              <w:t>p</w:t>
            </w:r>
            <w:r w:rsidRPr="00CD1188">
              <w:rPr>
                <w:lang w:eastAsia="bg-BG"/>
              </w:rPr>
              <w:t>riority axis 1</w:t>
            </w:r>
            <w:r w:rsidRPr="008340BB">
              <w:rPr>
                <w:lang w:eastAsia="bg-BG"/>
              </w:rPr>
              <w:t xml:space="preserve">. It was finally decided that the investments would be divided into priority axes by modes of transport. </w:t>
            </w:r>
          </w:p>
          <w:p w14:paraId="19095461" w14:textId="77777777" w:rsidR="0058170A" w:rsidRDefault="00F1341F" w:rsidP="00DF189E">
            <w:pPr>
              <w:autoSpaceDE w:val="0"/>
              <w:autoSpaceDN w:val="0"/>
              <w:adjustRightInd w:val="0"/>
              <w:spacing w:after="0"/>
              <w:rPr>
                <w:lang w:eastAsia="bg-BG"/>
              </w:rPr>
            </w:pPr>
            <w:r w:rsidRPr="008340BB">
              <w:rPr>
                <w:lang w:eastAsia="bg-BG"/>
              </w:rPr>
              <w:t xml:space="preserve">It was discussed the contribution of the programme in terms of environmental and climate change policies. It was found that a major part of the investments provided by the </w:t>
            </w:r>
            <w:r w:rsidR="0058170A">
              <w:rPr>
                <w:lang w:eastAsia="bg-BG"/>
              </w:rPr>
              <w:t>OPTTI</w:t>
            </w:r>
            <w:r w:rsidRPr="008340BB">
              <w:rPr>
                <w:lang w:eastAsia="bg-BG"/>
              </w:rPr>
              <w:t xml:space="preserve"> 2014-2020, contribute to the implementation of these policies as horizontal measures. These are investments in rail infrastructure, water and intermodal transport. Specific measures for environment, climate change and energy efficiency were included under the relevant thematic objectives within the scope of other programmes for 2014-2020 period. </w:t>
            </w:r>
          </w:p>
          <w:p w14:paraId="15F6CB82" w14:textId="77777777" w:rsidR="00F1341F" w:rsidRPr="008340BB" w:rsidRDefault="00F1341F" w:rsidP="00DF189E">
            <w:pPr>
              <w:autoSpaceDE w:val="0"/>
              <w:autoSpaceDN w:val="0"/>
              <w:adjustRightInd w:val="0"/>
              <w:spacing w:after="0"/>
              <w:rPr>
                <w:lang w:eastAsia="bg-BG"/>
              </w:rPr>
            </w:pPr>
            <w:r w:rsidRPr="008340BB">
              <w:rPr>
                <w:lang w:eastAsia="bg-BG"/>
              </w:rPr>
              <w:t xml:space="preserve">With regard to innovations, the WG concluded that the examples of activities that are embedded in the respective priority axis of the programme are completely appropriate and in line with the current situation in the transport sector and the funding of the programme. </w:t>
            </w:r>
          </w:p>
          <w:p w14:paraId="37E9EB88" w14:textId="77777777" w:rsidR="00F1341F" w:rsidRPr="008340BB" w:rsidRDefault="00F1341F" w:rsidP="00DF189E">
            <w:pPr>
              <w:spacing w:after="0"/>
              <w:rPr>
                <w:szCs w:val="24"/>
              </w:rPr>
            </w:pPr>
            <w:r w:rsidRPr="008340BB">
              <w:rPr>
                <w:szCs w:val="24"/>
              </w:rPr>
              <w:t xml:space="preserve">In addition, the progress in the preparation of the programming period 2014-2020 is reported also at the meetings of the Monitoring Committee of the Operational Programme "Transport" 2007-2013, which includes representatives of the European Commission. </w:t>
            </w:r>
          </w:p>
          <w:p w14:paraId="23FD87D1" w14:textId="77777777" w:rsidR="00F1341F" w:rsidRPr="008340BB" w:rsidRDefault="00F1341F" w:rsidP="00DF189E">
            <w:pPr>
              <w:spacing w:after="0"/>
              <w:rPr>
                <w:szCs w:val="24"/>
              </w:rPr>
            </w:pPr>
            <w:r w:rsidRPr="008340BB">
              <w:rPr>
                <w:szCs w:val="24"/>
              </w:rPr>
              <w:t>Continuous coordination is carried out by the Central Coordination Unit with the Council of Ministers. Coordination in the development process of operational programmes for the programming period 2014-2020, including Operational Programme "Transport and Transport Infrastructure" 2014-2020, is carried out within the framework of the Council for coordination and management of EU funds.</w:t>
            </w:r>
          </w:p>
          <w:p w14:paraId="5050145F" w14:textId="77777777" w:rsidR="00F1341F" w:rsidRPr="008340BB" w:rsidRDefault="00F1341F" w:rsidP="00DF189E">
            <w:pPr>
              <w:pStyle w:val="Text1"/>
              <w:spacing w:after="0"/>
              <w:ind w:left="0"/>
              <w:rPr>
                <w:sz w:val="24"/>
                <w:lang w:val="en-GB" w:eastAsia="en-GB"/>
              </w:rPr>
            </w:pPr>
            <w:r w:rsidRPr="008340BB">
              <w:rPr>
                <w:sz w:val="24"/>
                <w:lang w:val="en-GB" w:eastAsia="en-GB"/>
              </w:rPr>
              <w:t>The partnership principle will be applied in the implementation, monitoring and evaluation of OP</w:t>
            </w:r>
            <w:r w:rsidR="00EA20F8">
              <w:rPr>
                <w:sz w:val="24"/>
                <w:lang w:val="en-GB" w:eastAsia="en-GB"/>
              </w:rPr>
              <w:t>TTI</w:t>
            </w:r>
            <w:r w:rsidRPr="008340BB">
              <w:rPr>
                <w:sz w:val="24"/>
                <w:lang w:val="en-GB" w:eastAsia="en-GB"/>
              </w:rPr>
              <w:t xml:space="preserve"> 2014-2020. The participation of identified in the preparation of the programme administrative, social and economic partners will be ensured trough the participation of its representatives in the Monitoring Committee of OPTTI 2014-2020. The Monitoring Committee will monitor the progress in the achievement of objectives and strategy of the programme guarantying its efficient and quality implementation.</w:t>
            </w:r>
          </w:p>
          <w:p w14:paraId="2B2A6A3D" w14:textId="77777777" w:rsidR="00F1341F" w:rsidRPr="008340BB" w:rsidRDefault="00F1341F">
            <w:pPr>
              <w:pStyle w:val="Text1"/>
              <w:spacing w:after="0"/>
              <w:ind w:left="0"/>
              <w:rPr>
                <w:i/>
                <w:lang w:val="en-GB" w:eastAsia="ar-SA"/>
              </w:rPr>
            </w:pPr>
            <w:r w:rsidRPr="008340BB">
              <w:rPr>
                <w:sz w:val="24"/>
                <w:lang w:val="en-GB" w:eastAsia="en-GB"/>
              </w:rPr>
              <w:t>Beneficiaries under priority axes of OP</w:t>
            </w:r>
            <w:r w:rsidR="00EA20F8">
              <w:rPr>
                <w:sz w:val="24"/>
                <w:lang w:val="en-GB" w:eastAsia="en-GB"/>
              </w:rPr>
              <w:t>TTI</w:t>
            </w:r>
            <w:r w:rsidRPr="008340BB">
              <w:rPr>
                <w:sz w:val="24"/>
                <w:lang w:val="en-GB" w:eastAsia="en-GB"/>
              </w:rPr>
              <w:t xml:space="preserve"> 2014-2020 will be active and reliable partners of the Managing Authority in the process of implementation of the programme. In this regard measures are undertaken to ensure readiness of projects for programming period 2014-2020 and to build the necessary administrative capacity for absorption of </w:t>
            </w:r>
            <w:r w:rsidR="00DF189E" w:rsidRPr="008340BB">
              <w:rPr>
                <w:sz w:val="24"/>
                <w:lang w:val="en-GB" w:eastAsia="en-GB"/>
              </w:rPr>
              <w:t>EU funds under OPTTI 2014-2020.</w:t>
            </w:r>
          </w:p>
        </w:tc>
      </w:tr>
    </w:tbl>
    <w:p w14:paraId="7C3FA05B" w14:textId="77777777" w:rsidR="00F1341F" w:rsidRPr="008340BB" w:rsidRDefault="00F1341F" w:rsidP="00BF3391">
      <w:pPr>
        <w:suppressAutoHyphens/>
        <w:ind w:left="851" w:hanging="851"/>
        <w:rPr>
          <w:b/>
          <w:i/>
        </w:rPr>
      </w:pPr>
      <w:r w:rsidRPr="008340BB">
        <w:rPr>
          <w:b/>
          <w:i/>
        </w:rPr>
        <w:lastRenderedPageBreak/>
        <w:t xml:space="preserve">7.2.2 </w:t>
      </w:r>
      <w:r w:rsidRPr="008340BB">
        <w:rPr>
          <w:b/>
          <w:i/>
        </w:rPr>
        <w:tab/>
        <w:t xml:space="preserve">Global grants </w:t>
      </w:r>
      <w:r w:rsidRPr="008340BB">
        <w:t>(for the ESF, where appropriate)</w:t>
      </w:r>
    </w:p>
    <w:p w14:paraId="2FF7BA59" w14:textId="77777777" w:rsidR="00F1341F" w:rsidRPr="008340BB" w:rsidRDefault="00F1341F" w:rsidP="00BF3391">
      <w:pPr>
        <w:suppressAutoHyphens/>
        <w:ind w:left="851" w:hanging="851"/>
      </w:pPr>
      <w:r w:rsidRPr="008340BB">
        <w:rPr>
          <w:b/>
          <w:i/>
        </w:rPr>
        <w:t xml:space="preserve"> </w:t>
      </w:r>
      <w:r w:rsidRPr="008340BB">
        <w:t>(Reference: Article 6(1) Regulation (EU</w:t>
      </w:r>
      <w:r w:rsidRPr="008340BB">
        <w:rPr>
          <w:szCs w:val="24"/>
        </w:rPr>
        <w:t>) No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34"/>
      </w:tblGrid>
      <w:tr w:rsidR="00F1341F" w:rsidRPr="008340BB" w14:paraId="25C71A7E" w14:textId="77777777" w:rsidTr="00F03C1E">
        <w:tc>
          <w:tcPr>
            <w:tcW w:w="8834" w:type="dxa"/>
          </w:tcPr>
          <w:p w14:paraId="4DB4A267" w14:textId="77777777" w:rsidR="00F1341F" w:rsidRPr="008340BB" w:rsidRDefault="00F1341F" w:rsidP="00F03C1E">
            <w:pPr>
              <w:pStyle w:val="ListDash2"/>
              <w:numPr>
                <w:ilvl w:val="0"/>
                <w:numId w:val="0"/>
              </w:numPr>
              <w:rPr>
                <w:szCs w:val="24"/>
              </w:rPr>
            </w:pPr>
            <w:r w:rsidRPr="008340BB">
              <w:rPr>
                <w:i/>
                <w:szCs w:val="24"/>
              </w:rPr>
              <w:t>Not applicable.</w:t>
            </w:r>
          </w:p>
        </w:tc>
      </w:tr>
    </w:tbl>
    <w:p w14:paraId="62501BC7" w14:textId="77777777" w:rsidR="00F1341F" w:rsidRPr="008340BB" w:rsidRDefault="00F1341F" w:rsidP="00F03C1E">
      <w:pPr>
        <w:suppressAutoHyphens/>
      </w:pPr>
    </w:p>
    <w:p w14:paraId="3646907D" w14:textId="77777777" w:rsidR="00F1341F" w:rsidRPr="008340BB" w:rsidRDefault="00F1341F" w:rsidP="00BF3391">
      <w:pPr>
        <w:suppressAutoHyphens/>
      </w:pPr>
      <w:r w:rsidRPr="008340BB">
        <w:rPr>
          <w:b/>
          <w:i/>
        </w:rPr>
        <w:t xml:space="preserve">7.2.3 Earmarking for capacity building </w:t>
      </w:r>
      <w:r w:rsidRPr="008340BB">
        <w:t>(for the ESF, where appropriate)</w:t>
      </w:r>
    </w:p>
    <w:p w14:paraId="4C21D42A" w14:textId="77777777" w:rsidR="00F1341F" w:rsidRPr="008340BB" w:rsidRDefault="00F1341F" w:rsidP="00BF3391">
      <w:pPr>
        <w:suppressAutoHyphens/>
        <w:ind w:left="851" w:hanging="851"/>
      </w:pPr>
      <w:r w:rsidRPr="008340BB">
        <w:lastRenderedPageBreak/>
        <w:t xml:space="preserve">(Reference: Article 6(2) and (3) of Regulation (EU) No </w:t>
      </w:r>
      <w:r w:rsidRPr="008340BB">
        <w:rPr>
          <w:szCs w:val="24"/>
        </w:rPr>
        <w:t>1304/2013</w:t>
      </w:r>
      <w:r w:rsidRPr="008340BB">
        <w:t>)</w:t>
      </w:r>
    </w:p>
    <w:p w14:paraId="48D53768" w14:textId="77777777" w:rsidR="00F1341F" w:rsidRPr="008340BB" w:rsidRDefault="00F1341F"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34"/>
      </w:tblGrid>
      <w:tr w:rsidR="00F1341F" w:rsidRPr="008340BB" w14:paraId="51B9479E" w14:textId="77777777" w:rsidTr="00F03C1E">
        <w:tc>
          <w:tcPr>
            <w:tcW w:w="8834" w:type="dxa"/>
          </w:tcPr>
          <w:p w14:paraId="36BB7D0E" w14:textId="77777777" w:rsidR="00F1341F" w:rsidRPr="008340BB" w:rsidRDefault="00F1341F" w:rsidP="00F03C1E">
            <w:pPr>
              <w:pStyle w:val="ListDash2"/>
              <w:numPr>
                <w:ilvl w:val="0"/>
                <w:numId w:val="0"/>
              </w:numPr>
            </w:pPr>
            <w:r w:rsidRPr="008340BB">
              <w:rPr>
                <w:i/>
                <w:szCs w:val="24"/>
              </w:rPr>
              <w:t>Not applicable.</w:t>
            </w:r>
          </w:p>
        </w:tc>
      </w:tr>
    </w:tbl>
    <w:p w14:paraId="4BFD67D1" w14:textId="77777777" w:rsidR="00F1341F" w:rsidRPr="008340BB" w:rsidRDefault="00F1341F" w:rsidP="00F914D7">
      <w:pPr>
        <w:pStyle w:val="ManualHeading1"/>
        <w:tabs>
          <w:tab w:val="clear" w:pos="850"/>
          <w:tab w:val="left" w:pos="1418"/>
        </w:tabs>
        <w:ind w:left="1418" w:hanging="1418"/>
      </w:pPr>
      <w:r w:rsidRPr="008340BB">
        <w:t>SECTION 8</w:t>
      </w:r>
      <w:r w:rsidRPr="008340BB">
        <w:tab/>
        <w:t xml:space="preserve">Coordination between the Funds, the EAFRD, the EMFF and other Union and national funding instruments, and with the EIB </w:t>
      </w:r>
    </w:p>
    <w:p w14:paraId="53849A96" w14:textId="77777777" w:rsidR="00F1341F" w:rsidRPr="008340BB" w:rsidRDefault="00F1341F" w:rsidP="00BF3391">
      <w:r w:rsidRPr="008340BB">
        <w:t>(Reference: point (a) of Article 96(6) of Regulation (EU) No 1303/2013)</w:t>
      </w:r>
      <w:r w:rsidRPr="008340BB" w:rsidDel="00991AA9">
        <w:t xml:space="preserve"> </w:t>
      </w:r>
    </w:p>
    <w:p w14:paraId="212B4848" w14:textId="77777777" w:rsidR="00F1341F" w:rsidRPr="008340BB" w:rsidRDefault="00F1341F" w:rsidP="00F03C1E">
      <w:r w:rsidRPr="008340BB">
        <w:t>The mechanisms to ensure coordination between the Funds, the European Agricultural Fund for Rural Development (EAFRD), the European Maritime and Fisheries Fund (EMFF) and other Union and national funding instruments, and with the European Investment Bank (</w:t>
      </w:r>
      <w:r w:rsidRPr="008340BB">
        <w:rPr>
          <w:szCs w:val="24"/>
        </w:rPr>
        <w:t>EIB), taking into account the relevant provisions laid down in the Common Strategic Framework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5"/>
      </w:tblGrid>
      <w:tr w:rsidR="00F1341F" w:rsidRPr="008340BB" w14:paraId="50D5D560" w14:textId="77777777" w:rsidTr="00BF3391">
        <w:trPr>
          <w:trHeight w:val="750"/>
        </w:trPr>
        <w:tc>
          <w:tcPr>
            <w:tcW w:w="8725" w:type="dxa"/>
          </w:tcPr>
          <w:p w14:paraId="1480B931" w14:textId="77777777" w:rsidR="00F1341F" w:rsidRPr="008340BB" w:rsidRDefault="00F1341F" w:rsidP="00DF189E">
            <w:pPr>
              <w:pStyle w:val="ListDash2"/>
              <w:numPr>
                <w:ilvl w:val="0"/>
                <w:numId w:val="0"/>
              </w:numPr>
              <w:spacing w:before="120" w:after="0"/>
              <w:rPr>
                <w:lang w:eastAsia="bg-BG"/>
              </w:rPr>
            </w:pPr>
            <w:r w:rsidRPr="008340BB">
              <w:rPr>
                <w:lang w:eastAsia="bg-BG"/>
              </w:rPr>
              <w:t xml:space="preserve">At national level coordination of funds is ensured preparing the Partnership agreement. </w:t>
            </w:r>
          </w:p>
          <w:p w14:paraId="294D47C5" w14:textId="77777777" w:rsidR="00F1341F" w:rsidRPr="008340BB" w:rsidRDefault="00F1341F" w:rsidP="00DF189E">
            <w:pPr>
              <w:keepNext/>
              <w:tabs>
                <w:tab w:val="num" w:pos="0"/>
                <w:tab w:val="left" w:pos="1418"/>
              </w:tabs>
              <w:spacing w:after="0"/>
              <w:outlineLvl w:val="0"/>
              <w:rPr>
                <w:bCs/>
                <w:lang w:eastAsia="bg-BG"/>
              </w:rPr>
            </w:pPr>
            <w:r w:rsidRPr="008340BB">
              <w:rPr>
                <w:bCs/>
                <w:lang w:eastAsia="bg-BG"/>
              </w:rPr>
              <w:t xml:space="preserve">Operational Programme “Transport and Transport Infrastructure” 2014-2020 is financing under the Cohesion Fund and the European Regional Development Fund. </w:t>
            </w:r>
          </w:p>
          <w:p w14:paraId="14C72889" w14:textId="77777777" w:rsidR="00F1341F" w:rsidRPr="008340BB" w:rsidRDefault="00F1341F" w:rsidP="00DF189E">
            <w:pPr>
              <w:keepNext/>
              <w:tabs>
                <w:tab w:val="num" w:pos="0"/>
                <w:tab w:val="left" w:pos="1418"/>
              </w:tabs>
              <w:spacing w:after="0"/>
              <w:outlineLvl w:val="0"/>
              <w:rPr>
                <w:bCs/>
                <w:lang w:eastAsia="bg-BG"/>
              </w:rPr>
            </w:pPr>
            <w:r w:rsidRPr="008340BB">
              <w:rPr>
                <w:bCs/>
                <w:lang w:eastAsia="bg-BG"/>
              </w:rPr>
              <w:t xml:space="preserve">The operations in the scope of the programme are related mainly to development of road and railway infrastructure of the country along the Trans-European transport network and promotion of intermodal transport. </w:t>
            </w:r>
          </w:p>
          <w:p w14:paraId="376ACCB0" w14:textId="77777777" w:rsidR="00F1341F" w:rsidRPr="008340BB" w:rsidRDefault="00F1341F" w:rsidP="00DF189E">
            <w:pPr>
              <w:pStyle w:val="ListDash1"/>
              <w:numPr>
                <w:ilvl w:val="0"/>
                <w:numId w:val="0"/>
              </w:numPr>
              <w:spacing w:before="120" w:after="0"/>
              <w:rPr>
                <w:b/>
                <w:sz w:val="24"/>
                <w:szCs w:val="24"/>
                <w:u w:val="single"/>
                <w:lang w:val="en-GB" w:eastAsia="en-GB"/>
              </w:rPr>
            </w:pPr>
            <w:r w:rsidRPr="008340BB">
              <w:rPr>
                <w:b/>
                <w:sz w:val="24"/>
                <w:szCs w:val="24"/>
                <w:u w:val="single"/>
                <w:lang w:val="en-GB" w:eastAsia="en-GB"/>
              </w:rPr>
              <w:t xml:space="preserve">Relationship and differentiation with other programmes under the </w:t>
            </w:r>
            <w:r w:rsidRPr="008340BB">
              <w:rPr>
                <w:rStyle w:val="st"/>
                <w:b/>
                <w:sz w:val="24"/>
                <w:szCs w:val="24"/>
                <w:u w:val="single"/>
                <w:lang w:val="en-GB" w:eastAsia="en-GB"/>
              </w:rPr>
              <w:t>Common Strategic Framework (CSF):</w:t>
            </w:r>
            <w:r w:rsidRPr="008340BB">
              <w:rPr>
                <w:b/>
                <w:sz w:val="24"/>
                <w:szCs w:val="24"/>
                <w:u w:val="single"/>
                <w:lang w:val="en-GB" w:eastAsia="en-GB"/>
              </w:rPr>
              <w:t xml:space="preserve"> </w:t>
            </w:r>
          </w:p>
          <w:p w14:paraId="173B4944" w14:textId="77777777" w:rsidR="00F1341F" w:rsidRPr="008340BB" w:rsidRDefault="00F1341F" w:rsidP="00DF189E">
            <w:pPr>
              <w:keepNext/>
              <w:tabs>
                <w:tab w:val="num" w:pos="0"/>
                <w:tab w:val="left" w:pos="1418"/>
              </w:tabs>
              <w:spacing w:after="0"/>
              <w:outlineLvl w:val="0"/>
              <w:rPr>
                <w:b/>
                <w:bCs/>
                <w:lang w:eastAsia="bg-BG"/>
              </w:rPr>
            </w:pPr>
            <w:r w:rsidRPr="008340BB">
              <w:rPr>
                <w:b/>
                <w:bCs/>
                <w:lang w:eastAsia="bg-BG"/>
              </w:rPr>
              <w:t>Operational Programme “Regions in Growth” 2014-2020 (</w:t>
            </w:r>
            <w:r w:rsidRPr="008340BB">
              <w:rPr>
                <w:b/>
              </w:rPr>
              <w:t>OPRG</w:t>
            </w:r>
            <w:r w:rsidRPr="008340BB">
              <w:rPr>
                <w:b/>
                <w:bCs/>
                <w:lang w:eastAsia="bg-BG"/>
              </w:rPr>
              <w:t xml:space="preserve">): </w:t>
            </w:r>
          </w:p>
          <w:p w14:paraId="58767A90" w14:textId="77777777" w:rsidR="00F1341F" w:rsidRPr="008340BB" w:rsidRDefault="00F1341F" w:rsidP="00DF189E">
            <w:pPr>
              <w:spacing w:after="0"/>
              <w:rPr>
                <w:szCs w:val="24"/>
                <w:u w:val="single"/>
                <w:lang w:eastAsia="bg-BG"/>
              </w:rPr>
            </w:pPr>
            <w:r w:rsidRPr="008340BB">
              <w:rPr>
                <w:szCs w:val="24"/>
                <w:u w:val="single"/>
                <w:lang w:eastAsia="bg-BG"/>
              </w:rPr>
              <w:t xml:space="preserve">Relationships of the OPTTI with the OPRD </w:t>
            </w:r>
          </w:p>
          <w:p w14:paraId="5448BD61" w14:textId="77777777" w:rsidR="00F1341F" w:rsidRPr="008340BB" w:rsidRDefault="00F1341F" w:rsidP="00DF189E">
            <w:pPr>
              <w:keepNext/>
              <w:tabs>
                <w:tab w:val="num" w:pos="0"/>
                <w:tab w:val="left" w:pos="1418"/>
              </w:tabs>
              <w:spacing w:after="0"/>
              <w:outlineLvl w:val="0"/>
            </w:pPr>
            <w:r w:rsidRPr="008340BB">
              <w:rPr>
                <w:szCs w:val="24"/>
                <w:lang w:eastAsia="bg-BG"/>
              </w:rPr>
              <w:t>The activities under the Priority Axis 1 of the OPRD "</w:t>
            </w:r>
            <w:r w:rsidRPr="008340BB">
              <w:rPr>
                <w:i/>
                <w:szCs w:val="24"/>
                <w:lang w:eastAsia="bg-BG"/>
              </w:rPr>
              <w:t>Sustainable and Integrated Urban Development</w:t>
            </w:r>
            <w:r w:rsidRPr="008340BB">
              <w:rPr>
                <w:szCs w:val="24"/>
                <w:lang w:eastAsia="bg-BG"/>
              </w:rPr>
              <w:t xml:space="preserve">" regarding the promotion of measures to shift towards a low-carbon economy are related closely to investments to achieve the development of a sustainable transport system. In addition to the investments in integrated urban transport under OPRD, OPTTI 2014-2020 will finance the further development of the Sofia metro. </w:t>
            </w:r>
            <w:r w:rsidRPr="008340BB">
              <w:rPr>
                <w:rStyle w:val="hps"/>
              </w:rPr>
              <w:t>Complementarity between</w:t>
            </w:r>
            <w:r w:rsidRPr="008340BB">
              <w:t xml:space="preserve"> </w:t>
            </w:r>
            <w:r w:rsidRPr="008340BB">
              <w:rPr>
                <w:rStyle w:val="hps"/>
              </w:rPr>
              <w:t>both programmes</w:t>
            </w:r>
            <w:r w:rsidRPr="008340BB">
              <w:t xml:space="preserve"> </w:t>
            </w:r>
            <w:r w:rsidRPr="008340BB">
              <w:rPr>
                <w:rStyle w:val="hps"/>
              </w:rPr>
              <w:t>reflects</w:t>
            </w:r>
            <w:r w:rsidRPr="008340BB">
              <w:t xml:space="preserve"> </w:t>
            </w:r>
            <w:r w:rsidRPr="008340BB">
              <w:rPr>
                <w:rStyle w:val="hps"/>
              </w:rPr>
              <w:t>and is related to</w:t>
            </w:r>
            <w:r w:rsidRPr="008340BB">
              <w:t xml:space="preserve"> </w:t>
            </w:r>
            <w:r w:rsidRPr="008340BB">
              <w:rPr>
                <w:rStyle w:val="hps"/>
              </w:rPr>
              <w:t>Priority 3</w:t>
            </w:r>
            <w:r w:rsidRPr="008340BB">
              <w:t xml:space="preserve">) </w:t>
            </w:r>
            <w:r w:rsidRPr="008340BB">
              <w:rPr>
                <w:rStyle w:val="hps"/>
              </w:rPr>
              <w:t>"Connectivity</w:t>
            </w:r>
            <w:r w:rsidRPr="008340BB">
              <w:t xml:space="preserve"> </w:t>
            </w:r>
            <w:r w:rsidRPr="008340BB">
              <w:rPr>
                <w:rStyle w:val="hps"/>
              </w:rPr>
              <w:t>and green economy</w:t>
            </w:r>
            <w:r w:rsidRPr="008340BB">
              <w:t xml:space="preserve"> </w:t>
            </w:r>
            <w:r w:rsidRPr="008340BB">
              <w:rPr>
                <w:rStyle w:val="hps"/>
              </w:rPr>
              <w:t>for sustainable growth”</w:t>
            </w:r>
            <w:r w:rsidRPr="008340BB">
              <w:t xml:space="preserve"> </w:t>
            </w:r>
            <w:r w:rsidRPr="008340BB">
              <w:rPr>
                <w:rStyle w:val="hps"/>
              </w:rPr>
              <w:t>of the strategic priority</w:t>
            </w:r>
            <w:r w:rsidRPr="008340BB">
              <w:t xml:space="preserve"> </w:t>
            </w:r>
            <w:r w:rsidRPr="008340BB">
              <w:rPr>
                <w:rStyle w:val="hps"/>
              </w:rPr>
              <w:t>with</w:t>
            </w:r>
            <w:r w:rsidRPr="008340BB">
              <w:t xml:space="preserve"> </w:t>
            </w:r>
            <w:r w:rsidRPr="008340BB">
              <w:rPr>
                <w:rStyle w:val="hps"/>
              </w:rPr>
              <w:t>a complementary</w:t>
            </w:r>
            <w:r w:rsidRPr="008340BB">
              <w:t xml:space="preserve"> </w:t>
            </w:r>
            <w:r w:rsidRPr="008340BB">
              <w:rPr>
                <w:rStyle w:val="hps"/>
              </w:rPr>
              <w:t>area</w:t>
            </w:r>
            <w:r w:rsidRPr="008340BB">
              <w:t xml:space="preserve"> </w:t>
            </w:r>
            <w:r w:rsidRPr="008340BB">
              <w:rPr>
                <w:rStyle w:val="hps"/>
              </w:rPr>
              <w:t>"Development of</w:t>
            </w:r>
            <w:r w:rsidRPr="008340BB">
              <w:t xml:space="preserve"> </w:t>
            </w:r>
            <w:r w:rsidRPr="008340BB">
              <w:rPr>
                <w:rStyle w:val="hps"/>
              </w:rPr>
              <w:t>sustainable transport</w:t>
            </w:r>
            <w:r w:rsidRPr="008340BB">
              <w:t xml:space="preserve"> </w:t>
            </w:r>
            <w:r w:rsidRPr="008340BB">
              <w:rPr>
                <w:rStyle w:val="hps"/>
              </w:rPr>
              <w:t>and transport systems</w:t>
            </w:r>
            <w:r w:rsidRPr="008340BB">
              <w:t xml:space="preserve">" </w:t>
            </w:r>
            <w:r w:rsidRPr="008340BB">
              <w:rPr>
                <w:rStyle w:val="hps"/>
              </w:rPr>
              <w:t>Synergy</w:t>
            </w:r>
            <w:r w:rsidRPr="008340BB">
              <w:t xml:space="preserve"> </w:t>
            </w:r>
            <w:r w:rsidRPr="008340BB">
              <w:rPr>
                <w:rStyle w:val="hps"/>
              </w:rPr>
              <w:t>between both programmes will</w:t>
            </w:r>
            <w:r w:rsidRPr="008340BB">
              <w:t xml:space="preserve"> </w:t>
            </w:r>
            <w:r w:rsidRPr="008340BB">
              <w:rPr>
                <w:rStyle w:val="hps"/>
              </w:rPr>
              <w:t>occur</w:t>
            </w:r>
            <w:r w:rsidRPr="008340BB">
              <w:t xml:space="preserve"> </w:t>
            </w:r>
            <w:r w:rsidRPr="008340BB">
              <w:rPr>
                <w:rStyle w:val="hps"/>
              </w:rPr>
              <w:t>by promoting measures</w:t>
            </w:r>
            <w:r w:rsidRPr="008340BB">
              <w:t xml:space="preserve"> </w:t>
            </w:r>
            <w:r w:rsidRPr="008340BB">
              <w:rPr>
                <w:rStyle w:val="hps"/>
              </w:rPr>
              <w:t>to build the</w:t>
            </w:r>
            <w:r w:rsidRPr="008340BB">
              <w:t xml:space="preserve"> </w:t>
            </w:r>
            <w:r w:rsidRPr="008340BB">
              <w:rPr>
                <w:rStyle w:val="hps"/>
              </w:rPr>
              <w:t>multimodal</w:t>
            </w:r>
            <w:r w:rsidRPr="008340BB">
              <w:t xml:space="preserve"> </w:t>
            </w:r>
            <w:r w:rsidRPr="008340BB">
              <w:rPr>
                <w:rStyle w:val="hps"/>
              </w:rPr>
              <w:t>Single European Transport Area</w:t>
            </w:r>
            <w:r w:rsidRPr="008340BB">
              <w:t xml:space="preserve">, </w:t>
            </w:r>
            <w:r w:rsidRPr="008340BB">
              <w:rPr>
                <w:rStyle w:val="hps"/>
              </w:rPr>
              <w:t>through investment in</w:t>
            </w:r>
            <w:r w:rsidRPr="008340BB">
              <w:t xml:space="preserve"> </w:t>
            </w:r>
            <w:r w:rsidRPr="008340BB">
              <w:rPr>
                <w:rStyle w:val="hps"/>
              </w:rPr>
              <w:t>Trans-European Transport Network</w:t>
            </w:r>
            <w:r w:rsidRPr="008340BB">
              <w:t xml:space="preserve"> for </w:t>
            </w:r>
            <w:r w:rsidRPr="008340BB">
              <w:rPr>
                <w:rStyle w:val="hps"/>
              </w:rPr>
              <w:t>development</w:t>
            </w:r>
            <w:r w:rsidRPr="008340BB">
              <w:t xml:space="preserve"> </w:t>
            </w:r>
            <w:r w:rsidRPr="008340BB">
              <w:rPr>
                <w:rStyle w:val="hps"/>
              </w:rPr>
              <w:t>of environmentally friendly and</w:t>
            </w:r>
            <w:r w:rsidRPr="008340BB">
              <w:t xml:space="preserve"> </w:t>
            </w:r>
            <w:r w:rsidRPr="008340BB">
              <w:rPr>
                <w:rStyle w:val="hps"/>
              </w:rPr>
              <w:t>low</w:t>
            </w:r>
            <w:r w:rsidRPr="008340BB">
              <w:rPr>
                <w:rStyle w:val="atn"/>
              </w:rPr>
              <w:t>-</w:t>
            </w:r>
            <w:r w:rsidRPr="008340BB">
              <w:t xml:space="preserve">carbon </w:t>
            </w:r>
            <w:r w:rsidRPr="008340BB">
              <w:rPr>
                <w:rStyle w:val="hps"/>
              </w:rPr>
              <w:t>transport systems and</w:t>
            </w:r>
            <w:r w:rsidRPr="008340BB">
              <w:t xml:space="preserve"> </w:t>
            </w:r>
            <w:r w:rsidRPr="008340BB">
              <w:rPr>
                <w:rStyle w:val="hps"/>
              </w:rPr>
              <w:t>support for</w:t>
            </w:r>
            <w:r w:rsidRPr="008340BB">
              <w:t xml:space="preserve"> </w:t>
            </w:r>
            <w:r w:rsidRPr="008340BB">
              <w:rPr>
                <w:rStyle w:val="hps"/>
              </w:rPr>
              <w:t>sustainable urban mobility, and</w:t>
            </w:r>
            <w:r w:rsidRPr="008340BB">
              <w:t xml:space="preserve"> </w:t>
            </w:r>
            <w:r w:rsidRPr="008340BB">
              <w:rPr>
                <w:rStyle w:val="hps"/>
              </w:rPr>
              <w:t>in particular</w:t>
            </w:r>
            <w:r w:rsidRPr="008340BB">
              <w:t xml:space="preserve"> </w:t>
            </w:r>
            <w:r w:rsidRPr="008340BB">
              <w:rPr>
                <w:rStyle w:val="hps"/>
              </w:rPr>
              <w:t>by financing the</w:t>
            </w:r>
            <w:r w:rsidRPr="008340BB">
              <w:t xml:space="preserve"> </w:t>
            </w:r>
            <w:r w:rsidRPr="008340BB">
              <w:rPr>
                <w:rStyle w:val="hps"/>
              </w:rPr>
              <w:t>project</w:t>
            </w:r>
            <w:r w:rsidRPr="008340BB">
              <w:t xml:space="preserve">  for </w:t>
            </w:r>
            <w:r w:rsidRPr="008340BB">
              <w:rPr>
                <w:rStyle w:val="hps"/>
              </w:rPr>
              <w:t>extension</w:t>
            </w:r>
            <w:r w:rsidRPr="008340BB">
              <w:t xml:space="preserve"> </w:t>
            </w:r>
            <w:r w:rsidRPr="008340BB">
              <w:rPr>
                <w:rStyle w:val="hps"/>
              </w:rPr>
              <w:t>of the metro system</w:t>
            </w:r>
            <w:r w:rsidRPr="008340BB">
              <w:t xml:space="preserve"> </w:t>
            </w:r>
            <w:r w:rsidRPr="008340BB">
              <w:rPr>
                <w:rStyle w:val="hps"/>
              </w:rPr>
              <w:t xml:space="preserve">in the city </w:t>
            </w:r>
            <w:r w:rsidRPr="008340BB">
              <w:rPr>
                <w:rStyle w:val="alt-edited"/>
              </w:rPr>
              <w:t>of</w:t>
            </w:r>
            <w:r w:rsidRPr="008340BB">
              <w:t xml:space="preserve"> </w:t>
            </w:r>
            <w:r w:rsidRPr="008340BB">
              <w:rPr>
                <w:rStyle w:val="hps"/>
              </w:rPr>
              <w:t>Sofia</w:t>
            </w:r>
            <w:r w:rsidRPr="008340BB">
              <w:t xml:space="preserve"> funded by </w:t>
            </w:r>
            <w:r w:rsidRPr="008340BB">
              <w:rPr>
                <w:rStyle w:val="hps"/>
              </w:rPr>
              <w:t>resources</w:t>
            </w:r>
            <w:r w:rsidRPr="008340BB">
              <w:t xml:space="preserve"> under the </w:t>
            </w:r>
            <w:r w:rsidRPr="008340BB">
              <w:rPr>
                <w:rStyle w:val="hps"/>
              </w:rPr>
              <w:t>OPTTI</w:t>
            </w:r>
            <w:r w:rsidRPr="008340BB">
              <w:rPr>
                <w:szCs w:val="24"/>
                <w:lang w:eastAsia="bg-BG"/>
              </w:rPr>
              <w:t>.</w:t>
            </w:r>
          </w:p>
          <w:p w14:paraId="05960EA1" w14:textId="77777777" w:rsidR="00F1341F" w:rsidRPr="008340BB" w:rsidRDefault="00F1341F" w:rsidP="00DF189E">
            <w:pPr>
              <w:spacing w:after="0"/>
              <w:rPr>
                <w:szCs w:val="24"/>
                <w:lang w:eastAsia="bg-BG"/>
              </w:rPr>
            </w:pPr>
            <w:r w:rsidRPr="008340BB">
              <w:rPr>
                <w:szCs w:val="24"/>
                <w:lang w:eastAsia="bg-BG"/>
              </w:rPr>
              <w:t>There is also a relationship of the OPTTI with the Priority Axis 6 of the OPRD "</w:t>
            </w:r>
            <w:r w:rsidRPr="008340BB">
              <w:rPr>
                <w:i/>
                <w:szCs w:val="24"/>
                <w:lang w:eastAsia="bg-BG"/>
              </w:rPr>
              <w:t>Regional Road Infrastructure</w:t>
            </w:r>
            <w:r w:rsidRPr="008340BB">
              <w:rPr>
                <w:szCs w:val="24"/>
                <w:lang w:eastAsia="bg-BG"/>
              </w:rPr>
              <w:t xml:space="preserve">" to improve the mobility at regional level by connecting secondary and tertiary nodes to the infrastructure of the Trans-European Transport Network, provided that, by the modernisation and construction of missing rail and road sections along the directions of the TEN-T network will be removed the "bottlenecks" to ensure connectivity between the regions, as well as with the neighbouring countries, which will improve the accessibility of services and opportunities for the development of trade and tourism. </w:t>
            </w:r>
          </w:p>
          <w:p w14:paraId="68BBE88A" w14:textId="77777777" w:rsidR="00F1341F" w:rsidRPr="008340BB" w:rsidRDefault="00F1341F" w:rsidP="00DF189E">
            <w:pPr>
              <w:spacing w:after="0"/>
              <w:rPr>
                <w:szCs w:val="24"/>
                <w:u w:val="single"/>
                <w:lang w:eastAsia="bg-BG"/>
              </w:rPr>
            </w:pPr>
            <w:r w:rsidRPr="008340BB">
              <w:rPr>
                <w:szCs w:val="24"/>
                <w:u w:val="single"/>
                <w:lang w:eastAsia="bg-BG"/>
              </w:rPr>
              <w:lastRenderedPageBreak/>
              <w:t xml:space="preserve">Differentiation </w:t>
            </w:r>
          </w:p>
          <w:p w14:paraId="0BD4DCDD" w14:textId="77777777" w:rsidR="00F1341F" w:rsidRPr="008340BB" w:rsidRDefault="00F1341F" w:rsidP="00DF189E">
            <w:pPr>
              <w:spacing w:after="0"/>
              <w:rPr>
                <w:szCs w:val="24"/>
                <w:lang w:eastAsia="bg-BG"/>
              </w:rPr>
            </w:pPr>
            <w:r w:rsidRPr="008340BB">
              <w:rPr>
                <w:szCs w:val="24"/>
                <w:lang w:eastAsia="bg-BG"/>
              </w:rPr>
              <w:t xml:space="preserve">OPRD is aimed primarily at improving connectivity and accessibility of the network of cities and sites of cultural and natural heritage with the TEN-T network. It will be financed the first, second and third class roads outside the TEN-T network, previously identified on the basis of a methodology for its prioritizing. OPTTI includes projects on the development of road infrastructure along the TEN-T network. </w:t>
            </w:r>
          </w:p>
          <w:p w14:paraId="0029BEE4" w14:textId="77777777" w:rsidR="00F1341F" w:rsidRPr="008340BB" w:rsidRDefault="00F1341F" w:rsidP="00DF189E">
            <w:pPr>
              <w:pStyle w:val="ListDash1"/>
              <w:numPr>
                <w:ilvl w:val="0"/>
                <w:numId w:val="0"/>
              </w:numPr>
              <w:spacing w:before="120" w:after="0"/>
              <w:rPr>
                <w:b/>
                <w:sz w:val="24"/>
                <w:lang w:val="en-GB" w:eastAsia="en-GB"/>
              </w:rPr>
            </w:pPr>
            <w:r w:rsidRPr="008340BB">
              <w:rPr>
                <w:b/>
                <w:sz w:val="24"/>
                <w:lang w:val="en-GB" w:eastAsia="en-GB"/>
              </w:rPr>
              <w:t>Operational Programme “Good Governance”</w:t>
            </w:r>
            <w:r w:rsidRPr="008340BB">
              <w:rPr>
                <w:b/>
                <w:bCs/>
                <w:sz w:val="24"/>
                <w:lang w:val="en-GB" w:eastAsia="bg-BG"/>
              </w:rPr>
              <w:t xml:space="preserve"> 2014-2020 </w:t>
            </w:r>
            <w:r w:rsidRPr="008340BB">
              <w:rPr>
                <w:b/>
                <w:sz w:val="24"/>
                <w:lang w:val="en-GB" w:eastAsia="en-GB"/>
              </w:rPr>
              <w:t xml:space="preserve">(OPGG): </w:t>
            </w:r>
          </w:p>
          <w:p w14:paraId="5C8CD192" w14:textId="77777777" w:rsidR="00F1341F" w:rsidRPr="008340BB" w:rsidRDefault="00F1341F" w:rsidP="00DF189E">
            <w:pPr>
              <w:spacing w:after="0"/>
              <w:rPr>
                <w:szCs w:val="24"/>
                <w:lang w:eastAsia="bg-BG"/>
              </w:rPr>
            </w:pPr>
            <w:r w:rsidRPr="008340BB">
              <w:rPr>
                <w:szCs w:val="24"/>
                <w:u w:val="single"/>
                <w:lang w:eastAsia="bg-BG"/>
              </w:rPr>
              <w:t xml:space="preserve">Relationship of the OPTTI with the OPGG </w:t>
            </w:r>
          </w:p>
          <w:p w14:paraId="2150B658" w14:textId="77777777" w:rsidR="00F1341F" w:rsidRPr="008340BB" w:rsidRDefault="00F1341F" w:rsidP="00DF189E">
            <w:pPr>
              <w:spacing w:after="0"/>
              <w:rPr>
                <w:szCs w:val="24"/>
                <w:lang w:eastAsia="bg-BG"/>
              </w:rPr>
            </w:pPr>
            <w:r w:rsidRPr="008340BB">
              <w:rPr>
                <w:szCs w:val="24"/>
                <w:lang w:eastAsia="bg-BG"/>
              </w:rPr>
              <w:t xml:space="preserve">No relationship has been found between these two programmes. The activities for strengthening the administrative capacity, which are scheduled to be funded under the OPTTI are specifically intended to its beneficiaries. </w:t>
            </w:r>
          </w:p>
          <w:p w14:paraId="307009D6" w14:textId="77777777" w:rsidR="00F1341F" w:rsidRPr="008340BB" w:rsidRDefault="00F1341F" w:rsidP="00DF189E">
            <w:pPr>
              <w:spacing w:after="0"/>
              <w:rPr>
                <w:szCs w:val="24"/>
                <w:u w:val="single"/>
                <w:lang w:eastAsia="bg-BG"/>
              </w:rPr>
            </w:pPr>
            <w:r w:rsidRPr="008340BB">
              <w:rPr>
                <w:szCs w:val="24"/>
                <w:u w:val="single"/>
                <w:lang w:eastAsia="bg-BG"/>
              </w:rPr>
              <w:t xml:space="preserve">Differentiation </w:t>
            </w:r>
          </w:p>
          <w:p w14:paraId="5536359A" w14:textId="77777777" w:rsidR="00F1341F" w:rsidRPr="008340BB" w:rsidRDefault="00F1341F" w:rsidP="00DF189E">
            <w:pPr>
              <w:spacing w:after="0"/>
              <w:rPr>
                <w:szCs w:val="24"/>
                <w:lang w:eastAsia="bg-BG"/>
              </w:rPr>
            </w:pPr>
            <w:r w:rsidRPr="008340BB">
              <w:rPr>
                <w:szCs w:val="24"/>
                <w:lang w:eastAsia="bg-BG"/>
              </w:rPr>
              <w:t>OPGG supports overall institutional capacity enhancement, effective public administration and public services of specifically differentiated eligible beneficiaries, other than participants in the OPTTI.</w:t>
            </w:r>
            <w:r w:rsidRPr="008340BB">
              <w:t xml:space="preserve">   </w:t>
            </w:r>
          </w:p>
          <w:p w14:paraId="1BB32D23" w14:textId="77777777" w:rsidR="00F1341F" w:rsidRPr="008340BB" w:rsidRDefault="00F1341F" w:rsidP="00DF189E">
            <w:pPr>
              <w:pStyle w:val="ListParagraph"/>
              <w:keepNext/>
              <w:widowControl w:val="0"/>
              <w:spacing w:before="120" w:after="0"/>
              <w:ind w:left="0"/>
              <w:rPr>
                <w:szCs w:val="24"/>
                <w:lang w:eastAsia="bg-BG"/>
              </w:rPr>
            </w:pPr>
            <w:r w:rsidRPr="008340BB">
              <w:rPr>
                <w:b/>
                <w:szCs w:val="24"/>
                <w:lang w:eastAsia="bg-BG"/>
              </w:rPr>
              <w:t>Operational Programme "Environment" (OPE)</w:t>
            </w:r>
            <w:r w:rsidRPr="008340BB">
              <w:rPr>
                <w:szCs w:val="24"/>
                <w:lang w:eastAsia="bg-BG"/>
              </w:rPr>
              <w:t xml:space="preserve"> </w:t>
            </w:r>
          </w:p>
          <w:p w14:paraId="43D76989" w14:textId="77777777" w:rsidR="00F1341F" w:rsidRPr="008340BB" w:rsidRDefault="00F1341F" w:rsidP="00DF189E">
            <w:pPr>
              <w:pStyle w:val="ListParagraph"/>
              <w:keepNext/>
              <w:widowControl w:val="0"/>
              <w:spacing w:before="120" w:after="0"/>
              <w:ind w:left="0"/>
              <w:rPr>
                <w:bCs/>
                <w:color w:val="000000"/>
                <w:szCs w:val="24"/>
              </w:rPr>
            </w:pPr>
            <w:r w:rsidRPr="008340BB">
              <w:rPr>
                <w:szCs w:val="24"/>
                <w:u w:val="single"/>
                <w:lang w:eastAsia="bg-BG"/>
              </w:rPr>
              <w:t xml:space="preserve">Relationship of the OPTTI with the OPOPE </w:t>
            </w:r>
          </w:p>
          <w:p w14:paraId="39F89419" w14:textId="77777777" w:rsidR="00F1341F" w:rsidRPr="008340BB" w:rsidRDefault="00F1341F" w:rsidP="00DF189E">
            <w:pPr>
              <w:pStyle w:val="ListDash1"/>
              <w:numPr>
                <w:ilvl w:val="0"/>
                <w:numId w:val="0"/>
              </w:numPr>
              <w:spacing w:before="120" w:after="0"/>
              <w:rPr>
                <w:sz w:val="24"/>
                <w:szCs w:val="24"/>
                <w:lang w:val="en-GB" w:eastAsia="bg-BG"/>
              </w:rPr>
            </w:pPr>
            <w:r w:rsidRPr="008340BB">
              <w:rPr>
                <w:sz w:val="24"/>
                <w:szCs w:val="24"/>
                <w:lang w:val="en-GB" w:eastAsia="bg-BG"/>
              </w:rPr>
              <w:t xml:space="preserve">The investments made under the OPE will be made in the sectors of water, waste, biodiversity and Natura 2000. In addition to the investments under the OPE, in the sector "Transport" is planned financing of measures included in the Maritime Strategic Plan for the Black Sea (regarding the pollution from ships, port facilities and other marine waste).In addition, through the implementation of the extension of the Sofia metro under the OPTTI it will be contributed to the implementation of measures aimed at protecting and restoring the urban environment and directly, which is directly related to the national policy for green infrastructure. </w:t>
            </w:r>
          </w:p>
          <w:p w14:paraId="10564911" w14:textId="77777777" w:rsidR="00F1341F" w:rsidRPr="008340BB" w:rsidRDefault="00F1341F" w:rsidP="00DF189E">
            <w:pPr>
              <w:pStyle w:val="ListDash1"/>
              <w:numPr>
                <w:ilvl w:val="0"/>
                <w:numId w:val="0"/>
              </w:numPr>
              <w:spacing w:before="120" w:after="0"/>
              <w:rPr>
                <w:sz w:val="24"/>
                <w:lang w:val="en-GB" w:eastAsia="en-GB"/>
              </w:rPr>
            </w:pPr>
            <w:r w:rsidRPr="008340BB">
              <w:rPr>
                <w:rStyle w:val="hps"/>
                <w:sz w:val="24"/>
                <w:lang w:val="en-GB" w:eastAsia="en-GB"/>
              </w:rPr>
              <w:t>There</w:t>
            </w:r>
            <w:r w:rsidRPr="008340BB">
              <w:rPr>
                <w:sz w:val="24"/>
                <w:lang w:val="en-GB" w:eastAsia="en-GB"/>
              </w:rPr>
              <w:t xml:space="preserve"> </w:t>
            </w:r>
            <w:r w:rsidRPr="008340BB">
              <w:rPr>
                <w:rStyle w:val="hps"/>
                <w:sz w:val="24"/>
                <w:lang w:val="en-GB" w:eastAsia="en-GB"/>
              </w:rPr>
              <w:t>is also a relationship</w:t>
            </w:r>
            <w:r w:rsidRPr="008340BB">
              <w:rPr>
                <w:sz w:val="24"/>
                <w:lang w:val="en-GB" w:eastAsia="en-GB"/>
              </w:rPr>
              <w:t xml:space="preserve"> </w:t>
            </w:r>
            <w:r w:rsidRPr="008340BB">
              <w:rPr>
                <w:rStyle w:val="hps"/>
                <w:sz w:val="24"/>
                <w:lang w:val="en-GB" w:eastAsia="en-GB"/>
              </w:rPr>
              <w:t>and complementarity between the</w:t>
            </w:r>
            <w:r w:rsidRPr="008340BB">
              <w:rPr>
                <w:sz w:val="24"/>
                <w:lang w:val="en-GB" w:eastAsia="en-GB"/>
              </w:rPr>
              <w:t xml:space="preserve"> </w:t>
            </w:r>
            <w:r w:rsidRPr="008340BB">
              <w:rPr>
                <w:rStyle w:val="hps"/>
                <w:sz w:val="24"/>
                <w:lang w:val="en-GB" w:eastAsia="en-GB"/>
              </w:rPr>
              <w:t>OPE</w:t>
            </w:r>
            <w:r w:rsidRPr="008340BB">
              <w:rPr>
                <w:sz w:val="24"/>
                <w:lang w:val="en-GB" w:eastAsia="en-GB"/>
              </w:rPr>
              <w:t xml:space="preserve"> </w:t>
            </w:r>
            <w:r w:rsidRPr="008340BB">
              <w:rPr>
                <w:rStyle w:val="hps"/>
                <w:sz w:val="24"/>
                <w:lang w:val="en-GB" w:eastAsia="en-GB"/>
              </w:rPr>
              <w:t>and</w:t>
            </w:r>
            <w:r w:rsidRPr="008340BB">
              <w:rPr>
                <w:sz w:val="24"/>
                <w:lang w:val="en-GB" w:eastAsia="en-GB"/>
              </w:rPr>
              <w:t xml:space="preserve"> </w:t>
            </w:r>
            <w:r w:rsidRPr="008340BB">
              <w:rPr>
                <w:rStyle w:val="hps"/>
                <w:sz w:val="24"/>
                <w:lang w:val="en-GB" w:eastAsia="en-GB"/>
              </w:rPr>
              <w:t>OPTTI</w:t>
            </w:r>
            <w:r w:rsidRPr="008340BB">
              <w:rPr>
                <w:sz w:val="24"/>
                <w:lang w:val="en-GB" w:eastAsia="en-GB"/>
              </w:rPr>
              <w:t xml:space="preserve"> </w:t>
            </w:r>
            <w:r w:rsidRPr="008340BB">
              <w:rPr>
                <w:rStyle w:val="hps"/>
                <w:sz w:val="24"/>
                <w:lang w:val="en-GB" w:eastAsia="en-GB"/>
              </w:rPr>
              <w:t>in the field</w:t>
            </w:r>
            <w:r w:rsidRPr="008340BB">
              <w:rPr>
                <w:sz w:val="24"/>
                <w:lang w:val="en-GB" w:eastAsia="en-GB"/>
              </w:rPr>
              <w:t xml:space="preserve"> </w:t>
            </w:r>
            <w:r w:rsidRPr="008340BB">
              <w:rPr>
                <w:rStyle w:val="hps"/>
                <w:sz w:val="24"/>
                <w:lang w:val="en-GB" w:eastAsia="en-GB"/>
              </w:rPr>
              <w:t>of air quality</w:t>
            </w:r>
            <w:r w:rsidRPr="008340BB">
              <w:rPr>
                <w:rStyle w:val="alt-edited"/>
                <w:sz w:val="24"/>
                <w:lang w:val="en-GB" w:eastAsia="en-GB"/>
              </w:rPr>
              <w:t xml:space="preserve">. </w:t>
            </w:r>
            <w:r w:rsidRPr="008340BB">
              <w:rPr>
                <w:rStyle w:val="hps"/>
                <w:sz w:val="24"/>
                <w:lang w:val="en-GB" w:eastAsia="en-GB"/>
              </w:rPr>
              <w:t>It is expressed</w:t>
            </w:r>
            <w:r w:rsidRPr="008340BB">
              <w:rPr>
                <w:sz w:val="24"/>
                <w:lang w:val="en-GB" w:eastAsia="en-GB"/>
              </w:rPr>
              <w:t xml:space="preserve"> </w:t>
            </w:r>
            <w:r w:rsidRPr="008340BB">
              <w:rPr>
                <w:rStyle w:val="hps"/>
                <w:sz w:val="24"/>
                <w:lang w:val="en-GB" w:eastAsia="en-GB"/>
              </w:rPr>
              <w:t>through the</w:t>
            </w:r>
            <w:r w:rsidRPr="008340BB">
              <w:rPr>
                <w:sz w:val="24"/>
                <w:lang w:val="en-GB" w:eastAsia="en-GB"/>
              </w:rPr>
              <w:t xml:space="preserve"> </w:t>
            </w:r>
            <w:r w:rsidRPr="008340BB">
              <w:rPr>
                <w:rStyle w:val="hps"/>
                <w:sz w:val="24"/>
                <w:lang w:val="en-GB" w:eastAsia="en-GB"/>
              </w:rPr>
              <w:t>Priority 3</w:t>
            </w:r>
            <w:r w:rsidRPr="008340BB">
              <w:rPr>
                <w:sz w:val="24"/>
                <w:lang w:val="en-GB" w:eastAsia="en-GB"/>
              </w:rPr>
              <w:t xml:space="preserve">) </w:t>
            </w:r>
            <w:r w:rsidRPr="008340BB">
              <w:rPr>
                <w:rStyle w:val="hps"/>
                <w:sz w:val="24"/>
                <w:lang w:val="en-GB" w:eastAsia="en-GB"/>
              </w:rPr>
              <w:t>of the Strategic priority</w:t>
            </w:r>
            <w:r w:rsidRPr="008340BB">
              <w:rPr>
                <w:sz w:val="24"/>
                <w:lang w:val="en-GB" w:eastAsia="en-GB"/>
              </w:rPr>
              <w:t xml:space="preserve">, namely: </w:t>
            </w:r>
            <w:r w:rsidRPr="008340BB">
              <w:rPr>
                <w:rStyle w:val="hps"/>
                <w:sz w:val="24"/>
                <w:lang w:val="en-GB" w:eastAsia="en-GB"/>
              </w:rPr>
              <w:t>"Connectivity</w:t>
            </w:r>
            <w:r w:rsidRPr="008340BB">
              <w:rPr>
                <w:sz w:val="24"/>
                <w:lang w:val="en-GB" w:eastAsia="en-GB"/>
              </w:rPr>
              <w:t xml:space="preserve"> </w:t>
            </w:r>
            <w:r w:rsidRPr="008340BB">
              <w:rPr>
                <w:rStyle w:val="hps"/>
                <w:sz w:val="24"/>
                <w:lang w:val="en-GB" w:eastAsia="en-GB"/>
              </w:rPr>
              <w:t>and green economy</w:t>
            </w:r>
            <w:r w:rsidRPr="008340BB">
              <w:rPr>
                <w:sz w:val="24"/>
                <w:lang w:val="en-GB" w:eastAsia="en-GB"/>
              </w:rPr>
              <w:t xml:space="preserve"> </w:t>
            </w:r>
            <w:r w:rsidRPr="008340BB">
              <w:rPr>
                <w:rStyle w:val="hps"/>
                <w:sz w:val="24"/>
                <w:lang w:val="en-GB" w:eastAsia="en-GB"/>
              </w:rPr>
              <w:t>for sustainable growth</w:t>
            </w:r>
            <w:r w:rsidRPr="008340BB">
              <w:rPr>
                <w:sz w:val="24"/>
                <w:lang w:val="en-GB" w:eastAsia="en-GB"/>
              </w:rPr>
              <w:t xml:space="preserve">." </w:t>
            </w:r>
            <w:r w:rsidRPr="008340BB">
              <w:rPr>
                <w:rStyle w:val="hps"/>
                <w:sz w:val="24"/>
                <w:lang w:val="en-GB" w:eastAsia="en-GB"/>
              </w:rPr>
              <w:t>The</w:t>
            </w:r>
            <w:r w:rsidRPr="008340BB">
              <w:rPr>
                <w:sz w:val="24"/>
                <w:lang w:val="en-GB" w:eastAsia="en-GB"/>
              </w:rPr>
              <w:t xml:space="preserve"> </w:t>
            </w:r>
            <w:r w:rsidRPr="008340BB">
              <w:rPr>
                <w:rStyle w:val="hps"/>
                <w:sz w:val="24"/>
                <w:lang w:val="en-GB" w:eastAsia="en-GB"/>
              </w:rPr>
              <w:t>complementarity area between the</w:t>
            </w:r>
            <w:r w:rsidRPr="008340BB">
              <w:rPr>
                <w:sz w:val="24"/>
                <w:lang w:val="en-GB" w:eastAsia="en-GB"/>
              </w:rPr>
              <w:t xml:space="preserve"> </w:t>
            </w:r>
            <w:r w:rsidRPr="008340BB">
              <w:rPr>
                <w:rStyle w:val="hps"/>
                <w:sz w:val="24"/>
                <w:lang w:val="en-GB" w:eastAsia="en-GB"/>
              </w:rPr>
              <w:t>programmes</w:t>
            </w:r>
            <w:r w:rsidRPr="008340BB">
              <w:rPr>
                <w:sz w:val="24"/>
                <w:lang w:val="en-GB" w:eastAsia="en-GB"/>
              </w:rPr>
              <w:t xml:space="preserve"> </w:t>
            </w:r>
            <w:r w:rsidRPr="008340BB">
              <w:rPr>
                <w:rStyle w:val="hps"/>
                <w:sz w:val="24"/>
                <w:lang w:val="en-GB" w:eastAsia="en-GB"/>
              </w:rPr>
              <w:t>will include</w:t>
            </w:r>
            <w:r w:rsidRPr="008340BB">
              <w:rPr>
                <w:sz w:val="24"/>
                <w:lang w:val="en-GB" w:eastAsia="en-GB"/>
              </w:rPr>
              <w:t xml:space="preserve"> </w:t>
            </w:r>
            <w:r w:rsidRPr="008340BB">
              <w:rPr>
                <w:rStyle w:val="hps"/>
                <w:sz w:val="24"/>
                <w:lang w:val="en-GB" w:eastAsia="en-GB"/>
              </w:rPr>
              <w:t>reducing air pollution</w:t>
            </w:r>
            <w:r w:rsidRPr="008340BB">
              <w:rPr>
                <w:sz w:val="24"/>
                <w:lang w:val="en-GB" w:eastAsia="en-GB"/>
              </w:rPr>
              <w:t xml:space="preserve">, which falls </w:t>
            </w:r>
            <w:r w:rsidRPr="008340BB">
              <w:rPr>
                <w:rStyle w:val="hps"/>
                <w:sz w:val="24"/>
                <w:lang w:val="en-GB" w:eastAsia="en-GB"/>
              </w:rPr>
              <w:t>within</w:t>
            </w:r>
            <w:r w:rsidRPr="008340BB">
              <w:rPr>
                <w:sz w:val="24"/>
                <w:lang w:val="en-GB" w:eastAsia="en-GB"/>
              </w:rPr>
              <w:t xml:space="preserve"> </w:t>
            </w:r>
            <w:r w:rsidRPr="008340BB">
              <w:rPr>
                <w:rStyle w:val="hps"/>
                <w:sz w:val="24"/>
                <w:lang w:val="en-GB" w:eastAsia="en-GB"/>
              </w:rPr>
              <w:t>the framework</w:t>
            </w:r>
            <w:r w:rsidRPr="008340BB">
              <w:rPr>
                <w:sz w:val="24"/>
                <w:lang w:val="en-GB" w:eastAsia="en-GB"/>
              </w:rPr>
              <w:t xml:space="preserve"> </w:t>
            </w:r>
            <w:r w:rsidRPr="008340BB">
              <w:rPr>
                <w:rStyle w:val="hps"/>
                <w:sz w:val="24"/>
                <w:lang w:val="en-GB" w:eastAsia="en-GB"/>
              </w:rPr>
              <w:t>of</w:t>
            </w:r>
            <w:r w:rsidRPr="008340BB">
              <w:rPr>
                <w:sz w:val="24"/>
                <w:lang w:val="en-GB" w:eastAsia="en-GB"/>
              </w:rPr>
              <w:t xml:space="preserve"> </w:t>
            </w:r>
            <w:r w:rsidRPr="008340BB">
              <w:rPr>
                <w:rStyle w:val="hps"/>
                <w:sz w:val="24"/>
                <w:lang w:val="en-GB" w:eastAsia="en-GB"/>
              </w:rPr>
              <w:t>OPTTI</w:t>
            </w:r>
            <w:r w:rsidRPr="008340BB">
              <w:rPr>
                <w:sz w:val="24"/>
                <w:lang w:val="en-GB" w:eastAsia="en-GB"/>
              </w:rPr>
              <w:t xml:space="preserve"> and </w:t>
            </w:r>
            <w:r w:rsidRPr="008340BB">
              <w:rPr>
                <w:rStyle w:val="hps"/>
                <w:sz w:val="24"/>
                <w:lang w:val="en-GB" w:eastAsia="en-GB"/>
              </w:rPr>
              <w:t>will be achieved</w:t>
            </w:r>
            <w:r w:rsidRPr="008340BB">
              <w:rPr>
                <w:sz w:val="24"/>
                <w:lang w:val="en-GB" w:eastAsia="en-GB"/>
              </w:rPr>
              <w:t xml:space="preserve"> </w:t>
            </w:r>
            <w:r w:rsidRPr="008340BB">
              <w:rPr>
                <w:rStyle w:val="hps"/>
                <w:sz w:val="24"/>
                <w:lang w:val="en-GB" w:eastAsia="en-GB"/>
              </w:rPr>
              <w:t>through the development of</w:t>
            </w:r>
            <w:r w:rsidRPr="008340BB">
              <w:rPr>
                <w:sz w:val="24"/>
                <w:lang w:val="en-GB" w:eastAsia="en-GB"/>
              </w:rPr>
              <w:t xml:space="preserve"> </w:t>
            </w:r>
            <w:r w:rsidRPr="008340BB">
              <w:rPr>
                <w:rStyle w:val="hps"/>
                <w:sz w:val="24"/>
                <w:lang w:val="en-GB" w:eastAsia="en-GB"/>
              </w:rPr>
              <w:t>greener transport</w:t>
            </w:r>
            <w:r w:rsidRPr="008340BB">
              <w:rPr>
                <w:sz w:val="24"/>
                <w:lang w:val="en-GB" w:eastAsia="en-GB"/>
              </w:rPr>
              <w:t xml:space="preserve">, environmentally friendly </w:t>
            </w:r>
            <w:r w:rsidRPr="008340BB">
              <w:rPr>
                <w:rStyle w:val="hps"/>
                <w:sz w:val="24"/>
                <w:lang w:val="en-GB" w:eastAsia="en-GB"/>
              </w:rPr>
              <w:t>and low-</w:t>
            </w:r>
            <w:r w:rsidRPr="008340BB">
              <w:rPr>
                <w:sz w:val="24"/>
                <w:lang w:val="en-GB" w:eastAsia="en-GB"/>
              </w:rPr>
              <w:t xml:space="preserve">carbon </w:t>
            </w:r>
            <w:r w:rsidRPr="008340BB">
              <w:rPr>
                <w:rStyle w:val="hps"/>
                <w:sz w:val="24"/>
                <w:lang w:val="en-GB" w:eastAsia="en-GB"/>
              </w:rPr>
              <w:t>transport</w:t>
            </w:r>
            <w:r w:rsidRPr="008340BB">
              <w:rPr>
                <w:sz w:val="24"/>
                <w:lang w:val="en-GB" w:eastAsia="en-GB"/>
              </w:rPr>
              <w:t xml:space="preserve"> </w:t>
            </w:r>
            <w:r w:rsidRPr="008340BB">
              <w:rPr>
                <w:rStyle w:val="hps"/>
                <w:sz w:val="24"/>
                <w:lang w:val="en-GB" w:eastAsia="en-GB"/>
              </w:rPr>
              <w:t>systems and promoting</w:t>
            </w:r>
            <w:r w:rsidRPr="008340BB">
              <w:rPr>
                <w:sz w:val="24"/>
                <w:lang w:val="en-GB" w:eastAsia="en-GB"/>
              </w:rPr>
              <w:t xml:space="preserve"> the </w:t>
            </w:r>
            <w:r w:rsidRPr="008340BB">
              <w:rPr>
                <w:rStyle w:val="hps"/>
                <w:sz w:val="24"/>
                <w:lang w:val="en-GB" w:eastAsia="en-GB"/>
              </w:rPr>
              <w:t>sustainable urban</w:t>
            </w:r>
            <w:r w:rsidRPr="008340BB">
              <w:rPr>
                <w:sz w:val="24"/>
                <w:lang w:val="en-GB" w:eastAsia="en-GB"/>
              </w:rPr>
              <w:t xml:space="preserve"> </w:t>
            </w:r>
            <w:r w:rsidRPr="008340BB">
              <w:rPr>
                <w:rStyle w:val="hps"/>
                <w:sz w:val="24"/>
                <w:lang w:val="en-GB" w:eastAsia="en-GB"/>
              </w:rPr>
              <w:t>mobility and</w:t>
            </w:r>
            <w:r w:rsidRPr="008340BB">
              <w:rPr>
                <w:sz w:val="24"/>
                <w:lang w:val="en-GB" w:eastAsia="en-GB"/>
              </w:rPr>
              <w:t xml:space="preserve"> </w:t>
            </w:r>
            <w:r w:rsidRPr="008340BB">
              <w:rPr>
                <w:rStyle w:val="hps"/>
                <w:sz w:val="24"/>
                <w:lang w:val="en-GB" w:eastAsia="en-GB"/>
              </w:rPr>
              <w:t>improving the infrastructure</w:t>
            </w:r>
            <w:r w:rsidRPr="008340BB">
              <w:rPr>
                <w:sz w:val="24"/>
                <w:lang w:val="en-GB" w:eastAsia="en-GB"/>
              </w:rPr>
              <w:t xml:space="preserve"> </w:t>
            </w:r>
            <w:r w:rsidRPr="008340BB">
              <w:rPr>
                <w:rStyle w:val="hps"/>
                <w:sz w:val="24"/>
                <w:lang w:val="en-GB" w:eastAsia="en-GB"/>
              </w:rPr>
              <w:t>within the</w:t>
            </w:r>
            <w:r w:rsidRPr="008340BB">
              <w:rPr>
                <w:sz w:val="24"/>
                <w:lang w:val="en-GB" w:eastAsia="en-GB"/>
              </w:rPr>
              <w:t xml:space="preserve"> </w:t>
            </w:r>
            <w:r w:rsidR="004D5228">
              <w:rPr>
                <w:rStyle w:val="hps"/>
                <w:sz w:val="24"/>
                <w:lang w:val="en-GB" w:eastAsia="en-GB"/>
              </w:rPr>
              <w:t>TO</w:t>
            </w:r>
            <w:r w:rsidRPr="008340BB">
              <w:rPr>
                <w:sz w:val="24"/>
                <w:lang w:val="en-GB" w:eastAsia="en-GB"/>
              </w:rPr>
              <w:t xml:space="preserve"> </w:t>
            </w:r>
            <w:r w:rsidRPr="008340BB">
              <w:rPr>
                <w:rStyle w:val="hps"/>
                <w:sz w:val="24"/>
                <w:lang w:val="en-GB" w:eastAsia="en-GB"/>
              </w:rPr>
              <w:t>7.</w:t>
            </w:r>
          </w:p>
          <w:p w14:paraId="593DDDAD" w14:textId="77777777" w:rsidR="00F1341F" w:rsidRPr="008340BB" w:rsidRDefault="00F1341F" w:rsidP="00DF189E">
            <w:pPr>
              <w:pStyle w:val="ListDash1"/>
              <w:numPr>
                <w:ilvl w:val="0"/>
                <w:numId w:val="0"/>
              </w:numPr>
              <w:spacing w:before="120" w:after="0"/>
              <w:rPr>
                <w:sz w:val="24"/>
                <w:lang w:val="en-GB" w:eastAsia="en-GB"/>
              </w:rPr>
            </w:pPr>
            <w:r w:rsidRPr="008340BB">
              <w:rPr>
                <w:sz w:val="24"/>
                <w:szCs w:val="24"/>
                <w:u w:val="single"/>
                <w:lang w:val="en-GB" w:eastAsia="bg-BG"/>
              </w:rPr>
              <w:t>Differentiation</w:t>
            </w:r>
            <w:r w:rsidRPr="008340BB" w:rsidDel="00E947DC">
              <w:rPr>
                <w:sz w:val="24"/>
                <w:lang w:val="en-GB" w:eastAsia="en-GB"/>
              </w:rPr>
              <w:t xml:space="preserve"> </w:t>
            </w:r>
          </w:p>
          <w:p w14:paraId="356E2125" w14:textId="77777777" w:rsidR="00F1341F" w:rsidRPr="008340BB" w:rsidRDefault="00F1341F" w:rsidP="00DF189E">
            <w:pPr>
              <w:pStyle w:val="ListDash1"/>
              <w:numPr>
                <w:ilvl w:val="0"/>
                <w:numId w:val="0"/>
              </w:numPr>
              <w:spacing w:before="120" w:after="0"/>
              <w:rPr>
                <w:sz w:val="24"/>
                <w:lang w:val="en-GB" w:eastAsia="en-GB"/>
              </w:rPr>
            </w:pPr>
            <w:r w:rsidRPr="008340BB">
              <w:rPr>
                <w:sz w:val="24"/>
                <w:szCs w:val="24"/>
                <w:lang w:val="en-GB" w:eastAsia="bg-BG"/>
              </w:rPr>
              <w:t xml:space="preserve">In another context, the two programmes have no overlapping with regard to any investments and measures. </w:t>
            </w:r>
          </w:p>
          <w:p w14:paraId="5CFA667A" w14:textId="77777777" w:rsidR="00F1341F" w:rsidRPr="008340BB" w:rsidRDefault="00F1341F" w:rsidP="00DF189E">
            <w:pPr>
              <w:autoSpaceDE w:val="0"/>
              <w:adjustRightInd w:val="0"/>
              <w:spacing w:after="0"/>
              <w:ind w:hanging="11"/>
              <w:rPr>
                <w:rFonts w:cs="Arial"/>
                <w:szCs w:val="24"/>
              </w:rPr>
            </w:pPr>
            <w:r w:rsidRPr="008340BB">
              <w:rPr>
                <w:b/>
                <w:szCs w:val="24"/>
                <w:lang w:eastAsia="bg-BG"/>
              </w:rPr>
              <w:t>Operational Programme "Human Resources Development" (HRD)</w:t>
            </w:r>
            <w:r w:rsidRPr="008340BB">
              <w:rPr>
                <w:szCs w:val="24"/>
                <w:lang w:eastAsia="bg-BG"/>
              </w:rPr>
              <w:t xml:space="preserve"> </w:t>
            </w:r>
          </w:p>
          <w:p w14:paraId="0D3A2E97" w14:textId="77777777" w:rsidR="00F1341F" w:rsidRPr="008340BB" w:rsidRDefault="00F1341F" w:rsidP="00DF189E">
            <w:pPr>
              <w:autoSpaceDE w:val="0"/>
              <w:adjustRightInd w:val="0"/>
              <w:spacing w:after="0"/>
              <w:ind w:hanging="11"/>
              <w:rPr>
                <w:szCs w:val="24"/>
                <w:u w:val="single"/>
                <w:lang w:eastAsia="bg-BG"/>
              </w:rPr>
            </w:pPr>
            <w:r w:rsidRPr="008340BB">
              <w:rPr>
                <w:szCs w:val="24"/>
                <w:u w:val="single"/>
                <w:lang w:eastAsia="bg-BG"/>
              </w:rPr>
              <w:t xml:space="preserve">Relationship of the OPTTI with the OPHRD </w:t>
            </w:r>
          </w:p>
          <w:p w14:paraId="0C1A0949" w14:textId="77777777" w:rsidR="00F1341F" w:rsidRPr="008340BB" w:rsidRDefault="00F1341F" w:rsidP="00DF189E">
            <w:pPr>
              <w:autoSpaceDE w:val="0"/>
              <w:adjustRightInd w:val="0"/>
              <w:spacing w:after="0"/>
              <w:ind w:hanging="11"/>
              <w:rPr>
                <w:rFonts w:cs="Arial"/>
                <w:szCs w:val="24"/>
              </w:rPr>
            </w:pPr>
            <w:r w:rsidRPr="008340BB">
              <w:rPr>
                <w:szCs w:val="24"/>
                <w:lang w:eastAsia="bg-BG"/>
              </w:rPr>
              <w:t xml:space="preserve">OPTTI has no direct relationship with the OPHRD but indirectly, by improving the transport infrastructure, it will contribute to the development of the economy and will raise the standard of living of the population in accordance with the objectives of the Europe 2020 Strategy. The benefits from the interventions made under the OPTTI will have also a significant effect on inclusive growth by improving connectivity of the regions and creating new jobs, especially in the regions of the country that are lagging behind </w:t>
            </w:r>
            <w:r w:rsidRPr="008340BB">
              <w:rPr>
                <w:szCs w:val="24"/>
                <w:lang w:eastAsia="bg-BG"/>
              </w:rPr>
              <w:lastRenderedPageBreak/>
              <w:t xml:space="preserve">others. Thus, the OPTTI will contribute to the increase of the positive effect of the application of the OPHRD. </w:t>
            </w:r>
          </w:p>
          <w:p w14:paraId="5DE2F25C" w14:textId="77777777" w:rsidR="00F1341F" w:rsidRPr="008340BB" w:rsidRDefault="00F1341F" w:rsidP="00DF189E">
            <w:pPr>
              <w:pStyle w:val="ListDash1"/>
              <w:numPr>
                <w:ilvl w:val="0"/>
                <w:numId w:val="0"/>
              </w:numPr>
              <w:spacing w:before="120" w:after="0"/>
              <w:rPr>
                <w:sz w:val="24"/>
                <w:lang w:val="en-GB" w:eastAsia="en-GB"/>
              </w:rPr>
            </w:pPr>
            <w:r w:rsidRPr="008340BB">
              <w:rPr>
                <w:sz w:val="24"/>
                <w:szCs w:val="24"/>
                <w:u w:val="single"/>
                <w:lang w:val="en-GB" w:eastAsia="bg-BG"/>
              </w:rPr>
              <w:t>Differentiation</w:t>
            </w:r>
            <w:r w:rsidRPr="008340BB" w:rsidDel="00E947DC">
              <w:rPr>
                <w:sz w:val="24"/>
                <w:lang w:val="en-GB" w:eastAsia="en-GB"/>
              </w:rPr>
              <w:t xml:space="preserve"> </w:t>
            </w:r>
            <w:r w:rsidRPr="008340BB">
              <w:rPr>
                <w:sz w:val="24"/>
                <w:szCs w:val="24"/>
                <w:lang w:val="en-GB" w:eastAsia="bg-BG"/>
              </w:rPr>
              <w:t xml:space="preserve">In another context, the two programmes have no overlapping with regard to any investments and measures. </w:t>
            </w:r>
          </w:p>
          <w:p w14:paraId="6678A024" w14:textId="77777777" w:rsidR="00F1341F" w:rsidRPr="008340BB" w:rsidRDefault="00F1341F" w:rsidP="00DF189E">
            <w:pPr>
              <w:autoSpaceDE w:val="0"/>
              <w:adjustRightInd w:val="0"/>
              <w:spacing w:after="0"/>
              <w:ind w:hanging="11"/>
              <w:rPr>
                <w:rFonts w:cs="Arial"/>
                <w:b/>
                <w:szCs w:val="24"/>
              </w:rPr>
            </w:pPr>
            <w:r w:rsidRPr="008340BB">
              <w:rPr>
                <w:b/>
                <w:szCs w:val="24"/>
                <w:lang w:eastAsia="bg-BG"/>
              </w:rPr>
              <w:t>Operational Programme "Innovation and Competitiveness" (OPIC)</w:t>
            </w:r>
            <w:r w:rsidRPr="008340BB" w:rsidDel="0026692F">
              <w:rPr>
                <w:rFonts w:cs="Arial"/>
                <w:b/>
                <w:szCs w:val="24"/>
              </w:rPr>
              <w:t xml:space="preserve"> </w:t>
            </w:r>
          </w:p>
          <w:p w14:paraId="3CA4746C" w14:textId="77777777" w:rsidR="00F1341F" w:rsidRPr="008340BB" w:rsidRDefault="00F1341F" w:rsidP="00DF189E">
            <w:pPr>
              <w:autoSpaceDE w:val="0"/>
              <w:adjustRightInd w:val="0"/>
              <w:spacing w:after="0"/>
              <w:ind w:hanging="11"/>
              <w:rPr>
                <w:szCs w:val="24"/>
                <w:u w:val="single"/>
                <w:lang w:eastAsia="bg-BG"/>
              </w:rPr>
            </w:pPr>
            <w:r w:rsidRPr="008340BB">
              <w:rPr>
                <w:szCs w:val="24"/>
                <w:u w:val="single"/>
                <w:lang w:eastAsia="bg-BG"/>
              </w:rPr>
              <w:t xml:space="preserve">Relationship of the OPTTI with the OPIC </w:t>
            </w:r>
          </w:p>
          <w:p w14:paraId="0C1329EE" w14:textId="77777777" w:rsidR="00F1341F" w:rsidRPr="008340BB" w:rsidRDefault="00F1341F" w:rsidP="00DF189E">
            <w:pPr>
              <w:autoSpaceDE w:val="0"/>
              <w:adjustRightInd w:val="0"/>
              <w:spacing w:after="0"/>
              <w:ind w:hanging="11"/>
              <w:rPr>
                <w:rFonts w:cs="Arial"/>
                <w:szCs w:val="24"/>
                <w:lang w:eastAsia="fr-BE"/>
              </w:rPr>
            </w:pPr>
            <w:r w:rsidRPr="008340BB">
              <w:rPr>
                <w:szCs w:val="24"/>
                <w:lang w:eastAsia="bg-BG"/>
              </w:rPr>
              <w:t xml:space="preserve">Complementary activities to achieve the objectives of the OPIC under the Priority Axes 2 and 3 will be carried out also under Priority Axis 4 of the OPTTI: Innovations in management and services - implementation of modernised infrastructure for traffic management, improving the safety and security of transport. </w:t>
            </w:r>
          </w:p>
          <w:p w14:paraId="563C4901" w14:textId="77777777" w:rsidR="00F1341F" w:rsidRPr="008340BB" w:rsidRDefault="00F1341F" w:rsidP="00DF189E">
            <w:pPr>
              <w:autoSpaceDE w:val="0"/>
              <w:adjustRightInd w:val="0"/>
              <w:spacing w:after="0"/>
              <w:ind w:hanging="11"/>
              <w:rPr>
                <w:rFonts w:cs="Arial"/>
                <w:szCs w:val="24"/>
                <w:lang w:eastAsia="fr-BE"/>
              </w:rPr>
            </w:pPr>
            <w:r w:rsidRPr="008340BB">
              <w:rPr>
                <w:szCs w:val="24"/>
                <w:u w:val="single"/>
                <w:lang w:eastAsia="bg-BG"/>
              </w:rPr>
              <w:t>Differentiation</w:t>
            </w:r>
            <w:r w:rsidRPr="008340BB" w:rsidDel="00E947DC">
              <w:rPr>
                <w:rFonts w:cs="Arial"/>
                <w:szCs w:val="24"/>
                <w:lang w:eastAsia="fr-BE"/>
              </w:rPr>
              <w:t xml:space="preserve"> </w:t>
            </w:r>
          </w:p>
          <w:p w14:paraId="61C99862" w14:textId="77777777" w:rsidR="00F1341F" w:rsidRPr="008340BB" w:rsidRDefault="00F1341F" w:rsidP="00DF189E">
            <w:pPr>
              <w:autoSpaceDE w:val="0"/>
              <w:adjustRightInd w:val="0"/>
              <w:spacing w:after="0"/>
              <w:ind w:hanging="11"/>
              <w:rPr>
                <w:rFonts w:cs="Arial"/>
                <w:szCs w:val="24"/>
              </w:rPr>
            </w:pPr>
            <w:r w:rsidRPr="008340BB">
              <w:rPr>
                <w:szCs w:val="24"/>
                <w:lang w:eastAsia="bg-BG"/>
              </w:rPr>
              <w:t xml:space="preserve">In another context, the two programmes have no overlapping with regard to any investments and measures. </w:t>
            </w:r>
          </w:p>
          <w:p w14:paraId="0DE7CC75" w14:textId="77777777" w:rsidR="00F1341F" w:rsidRPr="008340BB" w:rsidRDefault="00F1341F" w:rsidP="00DF189E">
            <w:pPr>
              <w:pStyle w:val="ListDash1"/>
              <w:numPr>
                <w:ilvl w:val="0"/>
                <w:numId w:val="0"/>
              </w:numPr>
              <w:spacing w:before="120" w:after="0"/>
              <w:rPr>
                <w:b/>
                <w:sz w:val="24"/>
                <w:szCs w:val="24"/>
                <w:u w:val="single"/>
                <w:lang w:val="en-GB" w:eastAsia="bg-BG"/>
              </w:rPr>
            </w:pPr>
            <w:r w:rsidRPr="008340BB">
              <w:rPr>
                <w:b/>
                <w:sz w:val="24"/>
                <w:szCs w:val="24"/>
                <w:u w:val="single"/>
                <w:lang w:val="en-GB" w:eastAsia="bg-BG"/>
              </w:rPr>
              <w:t>Operational Programme "Science and Education for Smart Growth”</w:t>
            </w:r>
          </w:p>
          <w:p w14:paraId="109B6AB7" w14:textId="77777777" w:rsidR="00F1341F" w:rsidRPr="008340BB" w:rsidRDefault="00F1341F" w:rsidP="00DF189E">
            <w:pPr>
              <w:pStyle w:val="ListDash1"/>
              <w:numPr>
                <w:ilvl w:val="0"/>
                <w:numId w:val="0"/>
              </w:numPr>
              <w:spacing w:before="120" w:after="0"/>
              <w:rPr>
                <w:b/>
                <w:sz w:val="24"/>
                <w:lang w:val="en-GB" w:eastAsia="en-GB"/>
              </w:rPr>
            </w:pPr>
            <w:r w:rsidRPr="008340BB">
              <w:rPr>
                <w:sz w:val="24"/>
                <w:szCs w:val="24"/>
                <w:lang w:val="en-GB" w:eastAsia="bg-BG"/>
              </w:rPr>
              <w:t xml:space="preserve">The two programmes have no overlapping with regard to any investments and measures. </w:t>
            </w:r>
          </w:p>
          <w:p w14:paraId="3559A986" w14:textId="77777777" w:rsidR="00F1341F" w:rsidRPr="008340BB" w:rsidRDefault="00F1341F" w:rsidP="00DF189E">
            <w:pPr>
              <w:pStyle w:val="ListDash1"/>
              <w:numPr>
                <w:ilvl w:val="0"/>
                <w:numId w:val="0"/>
              </w:numPr>
              <w:spacing w:before="120" w:after="0"/>
              <w:rPr>
                <w:b/>
                <w:sz w:val="24"/>
                <w:lang w:val="en-GB" w:eastAsia="en-GB"/>
              </w:rPr>
            </w:pPr>
            <w:r w:rsidRPr="008340BB">
              <w:rPr>
                <w:b/>
                <w:sz w:val="24"/>
                <w:lang w:val="en-GB" w:eastAsia="en-GB"/>
              </w:rPr>
              <w:t xml:space="preserve">Programme „Maritime and Fisheries” </w:t>
            </w:r>
            <w:r w:rsidRPr="008340BB">
              <w:rPr>
                <w:b/>
                <w:bCs/>
                <w:sz w:val="24"/>
                <w:lang w:val="en-GB" w:eastAsia="bg-BG"/>
              </w:rPr>
              <w:t xml:space="preserve">2014-2020 </w:t>
            </w:r>
            <w:r w:rsidRPr="008340BB">
              <w:rPr>
                <w:b/>
                <w:sz w:val="24"/>
                <w:lang w:val="en-GB" w:eastAsia="en-GB"/>
              </w:rPr>
              <w:t>(PMF):</w:t>
            </w:r>
          </w:p>
          <w:p w14:paraId="4BC9589D" w14:textId="77777777" w:rsidR="00F1341F" w:rsidRPr="008340BB" w:rsidRDefault="00F1341F" w:rsidP="00DF189E">
            <w:pPr>
              <w:autoSpaceDE w:val="0"/>
              <w:adjustRightInd w:val="0"/>
              <w:spacing w:after="0"/>
              <w:ind w:hanging="11"/>
              <w:rPr>
                <w:rFonts w:cs="Arial"/>
                <w:szCs w:val="24"/>
              </w:rPr>
            </w:pPr>
            <w:r w:rsidRPr="008340BB">
              <w:rPr>
                <w:szCs w:val="24"/>
                <w:u w:val="single"/>
                <w:lang w:eastAsia="bg-BG"/>
              </w:rPr>
              <w:t xml:space="preserve">Relationship of the OPTTI with the PMF </w:t>
            </w:r>
          </w:p>
          <w:p w14:paraId="06595E33" w14:textId="77777777" w:rsidR="00F1341F" w:rsidRPr="008340BB" w:rsidRDefault="00F1341F" w:rsidP="00DF189E">
            <w:pPr>
              <w:autoSpaceDE w:val="0"/>
              <w:adjustRightInd w:val="0"/>
              <w:spacing w:after="0"/>
              <w:ind w:hanging="11"/>
              <w:rPr>
                <w:rFonts w:cs="Arial"/>
                <w:szCs w:val="24"/>
              </w:rPr>
            </w:pPr>
            <w:r w:rsidRPr="008340BB">
              <w:rPr>
                <w:szCs w:val="24"/>
                <w:lang w:eastAsia="bg-BG"/>
              </w:rPr>
              <w:t xml:space="preserve">In addition to the measures under the PMF, the implementation of the OPTTI will contribute to the improvement of maritime connectivity and of marine and coastal economy in general. In the OPTTI is provided for financing of a specific project that is related to the Maritime Strategic Plan for the Black Sea regarding the marine waste treatment in the sea ports of national importance. </w:t>
            </w:r>
          </w:p>
          <w:p w14:paraId="2D7F71DE" w14:textId="77777777" w:rsidR="00F1341F" w:rsidRPr="008340BB" w:rsidRDefault="00F1341F" w:rsidP="00DF189E">
            <w:pPr>
              <w:pStyle w:val="ListDash1"/>
              <w:numPr>
                <w:ilvl w:val="0"/>
                <w:numId w:val="0"/>
              </w:numPr>
              <w:spacing w:before="120" w:after="0"/>
              <w:rPr>
                <w:rFonts w:cs="Arial"/>
                <w:sz w:val="24"/>
                <w:szCs w:val="24"/>
                <w:lang w:val="en-GB" w:eastAsia="fr-BE"/>
              </w:rPr>
            </w:pPr>
            <w:r w:rsidRPr="008340BB">
              <w:rPr>
                <w:sz w:val="24"/>
                <w:szCs w:val="24"/>
                <w:u w:val="single"/>
                <w:lang w:val="en-GB" w:eastAsia="bg-BG"/>
              </w:rPr>
              <w:t>Differentiation</w:t>
            </w:r>
            <w:r w:rsidRPr="008340BB" w:rsidDel="00E947DC">
              <w:rPr>
                <w:rFonts w:cs="Arial"/>
                <w:sz w:val="24"/>
                <w:szCs w:val="24"/>
                <w:lang w:val="en-GB" w:eastAsia="fr-BE"/>
              </w:rPr>
              <w:t xml:space="preserve"> </w:t>
            </w:r>
          </w:p>
          <w:p w14:paraId="0D4012FD" w14:textId="77777777" w:rsidR="00F1341F" w:rsidRPr="008340BB" w:rsidRDefault="00F1341F" w:rsidP="00DF189E">
            <w:pPr>
              <w:pStyle w:val="ListDash1"/>
              <w:numPr>
                <w:ilvl w:val="0"/>
                <w:numId w:val="0"/>
              </w:numPr>
              <w:spacing w:before="120" w:after="0"/>
              <w:rPr>
                <w:sz w:val="24"/>
                <w:lang w:val="en-GB" w:eastAsia="en-GB"/>
              </w:rPr>
            </w:pPr>
            <w:r w:rsidRPr="008340BB">
              <w:rPr>
                <w:sz w:val="24"/>
                <w:szCs w:val="24"/>
                <w:lang w:val="en-GB" w:eastAsia="bg-BG"/>
              </w:rPr>
              <w:t xml:space="preserve">In another context, the two programmes have no overlapping with regard to any investments and measures. </w:t>
            </w:r>
            <w:r w:rsidRPr="008340BB">
              <w:rPr>
                <w:sz w:val="24"/>
                <w:lang w:val="en-GB" w:eastAsia="en-GB"/>
              </w:rPr>
              <w:t xml:space="preserve">  </w:t>
            </w:r>
          </w:p>
          <w:p w14:paraId="6E25365E" w14:textId="77777777" w:rsidR="00F1341F" w:rsidRPr="008340BB" w:rsidRDefault="00F1341F" w:rsidP="00DF189E">
            <w:pPr>
              <w:pStyle w:val="ListDash1"/>
              <w:numPr>
                <w:ilvl w:val="0"/>
                <w:numId w:val="0"/>
              </w:numPr>
              <w:spacing w:before="120" w:after="0"/>
              <w:ind w:left="283" w:hanging="283"/>
              <w:rPr>
                <w:b/>
                <w:sz w:val="24"/>
                <w:lang w:val="en-GB" w:eastAsia="en-GB"/>
              </w:rPr>
            </w:pPr>
            <w:r w:rsidRPr="008340BB">
              <w:rPr>
                <w:b/>
                <w:sz w:val="24"/>
                <w:lang w:val="en-GB" w:eastAsia="en-GB"/>
              </w:rPr>
              <w:t xml:space="preserve">Programme for Rural Development </w:t>
            </w:r>
            <w:r w:rsidRPr="008340BB">
              <w:rPr>
                <w:b/>
                <w:bCs/>
                <w:sz w:val="24"/>
                <w:lang w:val="en-GB" w:eastAsia="bg-BG"/>
              </w:rPr>
              <w:t xml:space="preserve">2014-2020 </w:t>
            </w:r>
            <w:r w:rsidRPr="008340BB">
              <w:rPr>
                <w:b/>
                <w:sz w:val="24"/>
                <w:lang w:val="en-GB" w:eastAsia="en-GB"/>
              </w:rPr>
              <w:t>(PRD):</w:t>
            </w:r>
          </w:p>
          <w:p w14:paraId="24A3B8C6" w14:textId="77777777" w:rsidR="00F1341F" w:rsidRPr="008340BB" w:rsidRDefault="00F1341F" w:rsidP="00DF189E">
            <w:pPr>
              <w:autoSpaceDE w:val="0"/>
              <w:adjustRightInd w:val="0"/>
              <w:spacing w:after="0"/>
              <w:ind w:hanging="11"/>
              <w:rPr>
                <w:szCs w:val="24"/>
                <w:u w:val="single"/>
                <w:lang w:eastAsia="bg-BG"/>
              </w:rPr>
            </w:pPr>
            <w:r w:rsidRPr="008340BB">
              <w:rPr>
                <w:szCs w:val="24"/>
                <w:u w:val="single"/>
                <w:lang w:eastAsia="bg-BG"/>
              </w:rPr>
              <w:t xml:space="preserve">Relationship of the OPTTI with the PRD </w:t>
            </w:r>
          </w:p>
          <w:p w14:paraId="37F44AE3" w14:textId="77777777" w:rsidR="00F1341F" w:rsidRPr="008340BB" w:rsidRDefault="00F1341F" w:rsidP="00DF189E">
            <w:pPr>
              <w:autoSpaceDE w:val="0"/>
              <w:adjustRightInd w:val="0"/>
              <w:spacing w:after="0"/>
              <w:ind w:hanging="11"/>
              <w:rPr>
                <w:rFonts w:cs="Arial"/>
                <w:szCs w:val="24"/>
                <w:lang w:eastAsia="fr-BE"/>
              </w:rPr>
            </w:pPr>
            <w:r w:rsidRPr="008340BB">
              <w:rPr>
                <w:szCs w:val="24"/>
                <w:lang w:eastAsia="bg-BG"/>
              </w:rPr>
              <w:t xml:space="preserve">OPTTI has no direct relationship with the PRD, but indirectly, by improving the transport infrastructure in the country, it will contribute to economic development and poverty reduction of the rural population. The benefits from the interventions made under the OPTTI will have a significant effect on inclusive growth by improving connectivity of the regions and creating new jobs, also in the regions of the country that are lagging behind others. </w:t>
            </w:r>
          </w:p>
          <w:p w14:paraId="31E9C0D4" w14:textId="77777777" w:rsidR="00F1341F" w:rsidRPr="008340BB" w:rsidRDefault="00F1341F" w:rsidP="00DF189E">
            <w:pPr>
              <w:pStyle w:val="ListDash1"/>
              <w:numPr>
                <w:ilvl w:val="0"/>
                <w:numId w:val="0"/>
              </w:numPr>
              <w:spacing w:before="120" w:after="0"/>
              <w:rPr>
                <w:rFonts w:cs="Arial"/>
                <w:sz w:val="24"/>
                <w:szCs w:val="24"/>
                <w:lang w:val="en-GB" w:eastAsia="fr-BE"/>
              </w:rPr>
            </w:pPr>
            <w:r w:rsidRPr="008340BB">
              <w:rPr>
                <w:sz w:val="24"/>
                <w:szCs w:val="24"/>
                <w:u w:val="single"/>
                <w:lang w:val="en-GB" w:eastAsia="bg-BG"/>
              </w:rPr>
              <w:t>Differentiation</w:t>
            </w:r>
            <w:r w:rsidRPr="008340BB" w:rsidDel="00E947DC">
              <w:rPr>
                <w:rFonts w:cs="Arial"/>
                <w:sz w:val="24"/>
                <w:szCs w:val="24"/>
                <w:lang w:val="en-GB" w:eastAsia="fr-BE"/>
              </w:rPr>
              <w:t xml:space="preserve"> </w:t>
            </w:r>
          </w:p>
          <w:p w14:paraId="6F97611A" w14:textId="77777777" w:rsidR="00F1341F" w:rsidRPr="008340BB" w:rsidRDefault="00F1341F" w:rsidP="00DF189E">
            <w:pPr>
              <w:pStyle w:val="ListDash1"/>
              <w:numPr>
                <w:ilvl w:val="0"/>
                <w:numId w:val="0"/>
              </w:numPr>
              <w:spacing w:before="120" w:after="0"/>
              <w:rPr>
                <w:sz w:val="24"/>
                <w:lang w:val="en-GB" w:eastAsia="en-GB"/>
              </w:rPr>
            </w:pPr>
            <w:r w:rsidRPr="008340BB">
              <w:rPr>
                <w:sz w:val="24"/>
                <w:szCs w:val="24"/>
                <w:lang w:val="en-GB" w:eastAsia="bg-BG"/>
              </w:rPr>
              <w:t xml:space="preserve">In another context, the two programmes have no overlapping with regard to any investments and measures. </w:t>
            </w:r>
            <w:r w:rsidRPr="008340BB">
              <w:rPr>
                <w:sz w:val="24"/>
                <w:lang w:val="en-GB" w:eastAsia="en-GB"/>
              </w:rPr>
              <w:t xml:space="preserve"> </w:t>
            </w:r>
          </w:p>
          <w:p w14:paraId="1D75055A" w14:textId="77777777" w:rsidR="00F1341F" w:rsidRPr="008340BB" w:rsidRDefault="00F1341F" w:rsidP="00DF189E">
            <w:pPr>
              <w:pStyle w:val="ListDash1"/>
              <w:numPr>
                <w:ilvl w:val="0"/>
                <w:numId w:val="0"/>
              </w:numPr>
              <w:spacing w:before="120" w:after="0"/>
              <w:rPr>
                <w:b/>
                <w:sz w:val="24"/>
                <w:lang w:val="en-GB" w:eastAsia="en-GB"/>
              </w:rPr>
            </w:pPr>
            <w:r w:rsidRPr="008340BB">
              <w:rPr>
                <w:b/>
                <w:sz w:val="24"/>
                <w:szCs w:val="24"/>
                <w:u w:val="single"/>
                <w:lang w:val="en-GB" w:eastAsia="bg-BG"/>
              </w:rPr>
              <w:t>Territorial cooperation programmes (TCP)</w:t>
            </w:r>
          </w:p>
          <w:p w14:paraId="2D5B1E8B" w14:textId="77777777" w:rsidR="00F1341F" w:rsidRPr="008340BB" w:rsidRDefault="00F1341F" w:rsidP="00DF189E">
            <w:pPr>
              <w:pStyle w:val="ListDash2"/>
              <w:numPr>
                <w:ilvl w:val="0"/>
                <w:numId w:val="0"/>
              </w:numPr>
              <w:spacing w:before="120" w:after="0"/>
              <w:rPr>
                <w:szCs w:val="24"/>
                <w:lang w:eastAsia="bg-BG"/>
              </w:rPr>
            </w:pPr>
            <w:r w:rsidRPr="008340BB">
              <w:rPr>
                <w:b/>
                <w:szCs w:val="24"/>
                <w:lang w:eastAsia="bg-BG"/>
              </w:rPr>
              <w:t>Cross-border cooperation (CBC)</w:t>
            </w:r>
            <w:r w:rsidRPr="008340BB">
              <w:rPr>
                <w:szCs w:val="24"/>
                <w:lang w:eastAsia="bg-BG"/>
              </w:rPr>
              <w:t xml:space="preserve"> </w:t>
            </w:r>
          </w:p>
          <w:p w14:paraId="1BAF93F7" w14:textId="77777777" w:rsidR="00F1341F" w:rsidRPr="008340BB" w:rsidRDefault="00F1341F" w:rsidP="00DF189E">
            <w:pPr>
              <w:pStyle w:val="ListDash2"/>
              <w:numPr>
                <w:ilvl w:val="0"/>
                <w:numId w:val="0"/>
              </w:numPr>
              <w:spacing w:before="120" w:after="0"/>
              <w:rPr>
                <w:b/>
              </w:rPr>
            </w:pPr>
            <w:r w:rsidRPr="008340BB">
              <w:rPr>
                <w:szCs w:val="24"/>
                <w:lang w:eastAsia="bg-BG"/>
              </w:rPr>
              <w:t>The CBC programmes with participation of our country will support predominantly specific soft measures, and by exception some small-scale projects that should be prepared by representatives of both neighbouring countries and to be with a clear cross-</w:t>
            </w:r>
            <w:r w:rsidRPr="008340BB">
              <w:rPr>
                <w:szCs w:val="24"/>
                <w:lang w:eastAsia="bg-BG"/>
              </w:rPr>
              <w:lastRenderedPageBreak/>
              <w:t xml:space="preserve">border impact. Between the implementation of the projects that will be funded under the OPTTI and the projects and programmes under the CBC there is no direct or indirect relationship. </w:t>
            </w:r>
          </w:p>
          <w:p w14:paraId="39CC1990" w14:textId="77777777" w:rsidR="00F1341F" w:rsidRPr="008340BB" w:rsidRDefault="00F1341F" w:rsidP="00DF189E">
            <w:pPr>
              <w:pStyle w:val="ListDash2"/>
              <w:numPr>
                <w:ilvl w:val="0"/>
                <w:numId w:val="0"/>
              </w:numPr>
              <w:spacing w:before="120" w:after="0"/>
              <w:rPr>
                <w:b/>
              </w:rPr>
            </w:pPr>
            <w:r w:rsidRPr="008340BB">
              <w:rPr>
                <w:b/>
                <w:szCs w:val="24"/>
                <w:lang w:eastAsia="bg-BG"/>
              </w:rPr>
              <w:t>Transnational cooperation</w:t>
            </w:r>
            <w:r w:rsidRPr="008340BB" w:rsidDel="001742CF">
              <w:rPr>
                <w:b/>
              </w:rPr>
              <w:t xml:space="preserve"> </w:t>
            </w:r>
          </w:p>
          <w:p w14:paraId="65FD70F1" w14:textId="77777777" w:rsidR="00F1341F" w:rsidRPr="008340BB" w:rsidRDefault="00F1341F" w:rsidP="00DF189E">
            <w:pPr>
              <w:pStyle w:val="ListDash2"/>
              <w:numPr>
                <w:ilvl w:val="0"/>
                <w:numId w:val="0"/>
              </w:numPr>
              <w:spacing w:before="120" w:after="0"/>
            </w:pPr>
            <w:r w:rsidRPr="008340BB">
              <w:rPr>
                <w:szCs w:val="24"/>
                <w:lang w:eastAsia="bg-BG"/>
              </w:rPr>
              <w:t xml:space="preserve">Our country participates in the South East Europe Transnational Cooperation Programme of the EU. The programme finances the implementation of joint actions aimed at improving the territorial, economic and social integration process in South East Europe and aims to contribute to the implementation of cohesion policies. There will be funded non-investment activities and projects based on partnerships between the countries participating in the programme. In this regard the OPTTI and transnational cooperation programme, in which our country is participating, have no overlapping of investments and measures. </w:t>
            </w:r>
          </w:p>
          <w:p w14:paraId="46E2C044" w14:textId="77777777" w:rsidR="00F1341F" w:rsidRPr="008340BB" w:rsidRDefault="00F1341F" w:rsidP="00DF189E">
            <w:pPr>
              <w:spacing w:after="0"/>
              <w:rPr>
                <w:szCs w:val="24"/>
                <w:lang w:eastAsia="bg-BG"/>
              </w:rPr>
            </w:pPr>
            <w:r w:rsidRPr="008340BB">
              <w:rPr>
                <w:b/>
                <w:szCs w:val="24"/>
                <w:lang w:eastAsia="bg-BG"/>
              </w:rPr>
              <w:t>Interregional cooperation</w:t>
            </w:r>
            <w:r w:rsidRPr="008340BB">
              <w:rPr>
                <w:szCs w:val="24"/>
                <w:lang w:eastAsia="bg-BG"/>
              </w:rPr>
              <w:t xml:space="preserve"> </w:t>
            </w:r>
          </w:p>
          <w:p w14:paraId="03F6CE11" w14:textId="77777777" w:rsidR="00F1341F" w:rsidRPr="008340BB" w:rsidRDefault="00F1341F" w:rsidP="00DF189E">
            <w:pPr>
              <w:widowControl w:val="0"/>
              <w:autoSpaceDE w:val="0"/>
              <w:autoSpaceDN w:val="0"/>
              <w:adjustRightInd w:val="0"/>
              <w:spacing w:after="0"/>
              <w:ind w:right="-82"/>
            </w:pPr>
            <w:r w:rsidRPr="008340BB">
              <w:rPr>
                <w:szCs w:val="24"/>
                <w:lang w:eastAsia="bg-BG"/>
              </w:rPr>
              <w:t xml:space="preserve">Our country participates in the EU Interregional Cooperation Programme "Interreg IVC". It involves all European countries. It funds joint activities related to innovations and knowledge-based economy, environmental protection and risk prevention. Typical tools for gaining experience are thematic workshops, seminars, conferences, surveys, and study visits for exchange of good practices. In this regard, there is no overlapping between the measures intended for funding under the OPTTI and those of interregional cooperation programme, in which our country is participating. </w:t>
            </w:r>
          </w:p>
          <w:p w14:paraId="2E4C2217" w14:textId="77777777" w:rsidR="00F1341F" w:rsidRPr="008340BB" w:rsidRDefault="00F1341F" w:rsidP="00DF189E">
            <w:pPr>
              <w:widowControl w:val="0"/>
              <w:autoSpaceDE w:val="0"/>
              <w:autoSpaceDN w:val="0"/>
              <w:adjustRightInd w:val="0"/>
              <w:spacing w:after="0"/>
              <w:ind w:right="-82"/>
              <w:rPr>
                <w:b/>
              </w:rPr>
            </w:pPr>
            <w:r w:rsidRPr="008340BB">
              <w:rPr>
                <w:b/>
              </w:rPr>
              <w:t>Connecting Europe Facility</w:t>
            </w:r>
            <w:r w:rsidRPr="008340BB" w:rsidDel="001118A4">
              <w:rPr>
                <w:b/>
              </w:rPr>
              <w:t xml:space="preserve"> </w:t>
            </w:r>
          </w:p>
          <w:p w14:paraId="39C4A3DF" w14:textId="36352C78" w:rsidR="00F1341F" w:rsidRPr="008340BB" w:rsidRDefault="00F1341F" w:rsidP="00DF189E">
            <w:pPr>
              <w:widowControl w:val="0"/>
              <w:autoSpaceDE w:val="0"/>
              <w:autoSpaceDN w:val="0"/>
              <w:adjustRightInd w:val="0"/>
              <w:spacing w:after="0"/>
              <w:ind w:right="-82"/>
            </w:pPr>
            <w:r w:rsidRPr="008340BB">
              <w:rPr>
                <w:szCs w:val="24"/>
                <w:lang w:eastAsia="bg-BG"/>
              </w:rPr>
              <w:t xml:space="preserve">Financial resources under „Connecting Europe Facility” are envisaged for funding the modernisation of railway </w:t>
            </w:r>
            <w:r w:rsidR="00CD2813">
              <w:rPr>
                <w:szCs w:val="24"/>
                <w:lang w:eastAsia="bg-BG"/>
              </w:rPr>
              <w:t>sections Voluyak-Sofia, Sofia-Elin Pelin, Kostenetz-Septemvri and Plovdiv railway junction.</w:t>
            </w:r>
            <w:r w:rsidRPr="008340BB">
              <w:rPr>
                <w:szCs w:val="24"/>
                <w:lang w:eastAsia="bg-BG"/>
              </w:rPr>
              <w:t xml:space="preserve"> For these projects is available </w:t>
            </w:r>
            <w:r w:rsidRPr="008340BB">
              <w:t xml:space="preserve">respective </w:t>
            </w:r>
            <w:r w:rsidRPr="008340BB">
              <w:rPr>
                <w:rStyle w:val="hps"/>
              </w:rPr>
              <w:t>preparation degree for achieving a</w:t>
            </w:r>
            <w:r w:rsidRPr="008340BB">
              <w:t xml:space="preserve"> </w:t>
            </w:r>
            <w:r w:rsidRPr="008340BB">
              <w:rPr>
                <w:rStyle w:val="hps"/>
              </w:rPr>
              <w:t>"</w:t>
            </w:r>
            <w:r w:rsidRPr="008340BB">
              <w:t xml:space="preserve">mature" </w:t>
            </w:r>
            <w:r w:rsidRPr="008340BB">
              <w:rPr>
                <w:rStyle w:val="hps"/>
              </w:rPr>
              <w:t>project</w:t>
            </w:r>
            <w:r w:rsidRPr="008340BB">
              <w:t xml:space="preserve"> </w:t>
            </w:r>
            <w:r w:rsidRPr="008340BB">
              <w:rPr>
                <w:rStyle w:val="hps"/>
              </w:rPr>
              <w:t>stage, which is described in Section 2 of this Programme.</w:t>
            </w:r>
            <w:r w:rsidRPr="008340BB">
              <w:rPr>
                <w:szCs w:val="24"/>
                <w:lang w:eastAsia="bg-BG"/>
              </w:rPr>
              <w:t xml:space="preserve"> Financial resources under „Connecting Europe Facility” are envisaged for funding the measures for ensuring of normal navigability in the Bulgarian-Romanian common section of the Danube River. Under the ISPA programme by the Romanian part has been carried out preparation for future interventions. </w:t>
            </w:r>
          </w:p>
          <w:p w14:paraId="47CF81D8" w14:textId="77777777" w:rsidR="00F1341F" w:rsidRPr="008340BB" w:rsidRDefault="00F1341F" w:rsidP="00DF189E">
            <w:pPr>
              <w:pStyle w:val="ListDash1"/>
              <w:numPr>
                <w:ilvl w:val="0"/>
                <w:numId w:val="0"/>
              </w:numPr>
              <w:spacing w:before="120" w:after="0"/>
              <w:rPr>
                <w:sz w:val="24"/>
                <w:szCs w:val="24"/>
                <w:lang w:val="en-GB" w:eastAsia="bg-BG"/>
              </w:rPr>
            </w:pPr>
            <w:r w:rsidRPr="008340BB">
              <w:rPr>
                <w:b/>
                <w:sz w:val="24"/>
                <w:szCs w:val="24"/>
                <w:lang w:val="en-GB" w:eastAsia="bg-BG"/>
              </w:rPr>
              <w:t>National funds and the EIB</w:t>
            </w:r>
            <w:r w:rsidRPr="008340BB">
              <w:rPr>
                <w:sz w:val="24"/>
                <w:szCs w:val="24"/>
                <w:lang w:val="en-GB" w:eastAsia="bg-BG"/>
              </w:rPr>
              <w:t xml:space="preserve"> </w:t>
            </w:r>
          </w:p>
          <w:p w14:paraId="7EB52185" w14:textId="77777777" w:rsidR="00F1341F" w:rsidRPr="008340BB" w:rsidRDefault="00F1341F" w:rsidP="00DF189E">
            <w:pPr>
              <w:pStyle w:val="ListDash1"/>
              <w:numPr>
                <w:ilvl w:val="0"/>
                <w:numId w:val="0"/>
              </w:numPr>
              <w:spacing w:before="120" w:after="0"/>
              <w:rPr>
                <w:sz w:val="24"/>
                <w:szCs w:val="24"/>
                <w:lang w:val="en-GB" w:eastAsia="bg-BG"/>
              </w:rPr>
            </w:pPr>
            <w:r w:rsidRPr="008340BB">
              <w:rPr>
                <w:sz w:val="24"/>
                <w:szCs w:val="24"/>
                <w:lang w:val="en-GB" w:eastAsia="bg-BG"/>
              </w:rPr>
              <w:t>The financial resources of Cohesion Fund and European Regional Development Fund under the Operational Programme “Transport and Transport Infrastructure” 2014-2020 will be complemented by national co-financing (state budget)</w:t>
            </w:r>
            <w:r w:rsidRPr="008340BB">
              <w:rPr>
                <w:sz w:val="24"/>
                <w:lang w:val="en-GB" w:eastAsia="en-GB"/>
              </w:rPr>
              <w:t xml:space="preserve"> </w:t>
            </w:r>
            <w:r w:rsidRPr="008340BB">
              <w:rPr>
                <w:sz w:val="24"/>
                <w:szCs w:val="24"/>
                <w:lang w:val="en-GB" w:eastAsia="bg-BG"/>
              </w:rPr>
              <w:t xml:space="preserve">and/or EIB loans. </w:t>
            </w:r>
          </w:p>
          <w:p w14:paraId="05D3D44B" w14:textId="77777777" w:rsidR="00F1341F" w:rsidRPr="008340BB" w:rsidRDefault="00F1341F" w:rsidP="00DF189E">
            <w:pPr>
              <w:pStyle w:val="ListDash1"/>
              <w:numPr>
                <w:ilvl w:val="0"/>
                <w:numId w:val="0"/>
              </w:numPr>
              <w:spacing w:before="120" w:after="0"/>
              <w:rPr>
                <w:sz w:val="24"/>
                <w:lang w:val="en-GB" w:eastAsia="en-GB"/>
              </w:rPr>
            </w:pPr>
            <w:r w:rsidRPr="008340BB">
              <w:rPr>
                <w:sz w:val="24"/>
                <w:lang w:val="en-GB" w:eastAsia="en-GB"/>
              </w:rPr>
              <w:t xml:space="preserve"> </w:t>
            </w:r>
            <w:r w:rsidRPr="008340BB">
              <w:rPr>
                <w:rStyle w:val="hps"/>
                <w:sz w:val="24"/>
                <w:lang w:val="en-GB" w:eastAsia="en-GB"/>
              </w:rPr>
              <w:t>Republic of Bulgaria has</w:t>
            </w:r>
            <w:r w:rsidRPr="008340BB">
              <w:rPr>
                <w:sz w:val="24"/>
                <w:lang w:val="en-GB" w:eastAsia="en-GB"/>
              </w:rPr>
              <w:t xml:space="preserve"> </w:t>
            </w:r>
            <w:r w:rsidRPr="008340BB">
              <w:rPr>
                <w:rStyle w:val="hps"/>
                <w:sz w:val="24"/>
                <w:lang w:val="en-GB" w:eastAsia="en-GB"/>
              </w:rPr>
              <w:t>good experience in</w:t>
            </w:r>
            <w:r w:rsidRPr="008340BB">
              <w:rPr>
                <w:sz w:val="24"/>
                <w:lang w:val="en-GB" w:eastAsia="en-GB"/>
              </w:rPr>
              <w:t xml:space="preserve"> </w:t>
            </w:r>
            <w:r w:rsidRPr="008340BB">
              <w:rPr>
                <w:rStyle w:val="hps"/>
                <w:sz w:val="24"/>
                <w:lang w:val="en-GB" w:eastAsia="en-GB"/>
              </w:rPr>
              <w:t>cooperation with the EIB</w:t>
            </w:r>
            <w:r w:rsidRPr="008340BB">
              <w:rPr>
                <w:sz w:val="24"/>
                <w:lang w:val="en-GB" w:eastAsia="en-GB"/>
              </w:rPr>
              <w:t xml:space="preserve"> </w:t>
            </w:r>
            <w:r w:rsidRPr="008340BB">
              <w:rPr>
                <w:rStyle w:val="hps"/>
                <w:sz w:val="24"/>
                <w:lang w:val="en-GB" w:eastAsia="en-GB"/>
              </w:rPr>
              <w:t>in</w:t>
            </w:r>
            <w:r w:rsidRPr="008340BB">
              <w:rPr>
                <w:sz w:val="24"/>
                <w:lang w:val="en-GB" w:eastAsia="en-GB"/>
              </w:rPr>
              <w:t xml:space="preserve"> </w:t>
            </w:r>
            <w:r w:rsidRPr="008340BB">
              <w:rPr>
                <w:rStyle w:val="hps"/>
                <w:sz w:val="24"/>
                <w:lang w:val="en-GB" w:eastAsia="en-GB"/>
              </w:rPr>
              <w:t xml:space="preserve">the programming period 2007-2013. With  </w:t>
            </w:r>
            <w:r w:rsidRPr="008340BB">
              <w:rPr>
                <w:rStyle w:val="alt-edited"/>
                <w:sz w:val="24"/>
                <w:lang w:val="en-GB" w:eastAsia="en-GB"/>
              </w:rPr>
              <w:t xml:space="preserve">the </w:t>
            </w:r>
            <w:r w:rsidRPr="008340BB">
              <w:rPr>
                <w:sz w:val="24"/>
                <w:lang w:val="en-GB" w:eastAsia="en-GB"/>
              </w:rPr>
              <w:t xml:space="preserve"> </w:t>
            </w:r>
            <w:r w:rsidRPr="008340BB">
              <w:rPr>
                <w:rStyle w:val="hps"/>
                <w:sz w:val="24"/>
                <w:lang w:val="en-GB" w:eastAsia="en-GB"/>
              </w:rPr>
              <w:t>Credit</w:t>
            </w:r>
            <w:r w:rsidRPr="008340BB">
              <w:rPr>
                <w:sz w:val="24"/>
                <w:lang w:val="en-GB" w:eastAsia="en-GB"/>
              </w:rPr>
              <w:t xml:space="preserve"> </w:t>
            </w:r>
            <w:r w:rsidRPr="008340BB">
              <w:rPr>
                <w:rStyle w:val="hps"/>
                <w:sz w:val="24"/>
                <w:lang w:val="en-GB" w:eastAsia="en-GB"/>
              </w:rPr>
              <w:t>Agreement for structural</w:t>
            </w:r>
            <w:r w:rsidRPr="008340BB">
              <w:rPr>
                <w:sz w:val="24"/>
                <w:lang w:val="en-GB" w:eastAsia="en-GB"/>
              </w:rPr>
              <w:t xml:space="preserve"> programme </w:t>
            </w:r>
            <w:r w:rsidRPr="008340BB">
              <w:rPr>
                <w:rStyle w:val="hps"/>
                <w:sz w:val="24"/>
                <w:lang w:val="en-GB" w:eastAsia="en-GB"/>
              </w:rPr>
              <w:t>loan Bulgaria</w:t>
            </w:r>
            <w:r w:rsidRPr="008340BB">
              <w:rPr>
                <w:sz w:val="24"/>
                <w:lang w:val="en-GB" w:eastAsia="en-GB"/>
              </w:rPr>
              <w:t xml:space="preserve"> </w:t>
            </w:r>
            <w:r w:rsidRPr="008340BB">
              <w:rPr>
                <w:rStyle w:val="hps"/>
                <w:sz w:val="24"/>
                <w:lang w:val="en-GB" w:eastAsia="en-GB"/>
              </w:rPr>
              <w:t>-</w:t>
            </w:r>
            <w:r w:rsidRPr="008340BB">
              <w:rPr>
                <w:sz w:val="24"/>
                <w:lang w:val="en-GB" w:eastAsia="en-GB"/>
              </w:rPr>
              <w:t xml:space="preserve"> </w:t>
            </w:r>
            <w:r w:rsidRPr="008340BB">
              <w:rPr>
                <w:rStyle w:val="hps"/>
                <w:sz w:val="24"/>
                <w:lang w:val="en-GB" w:eastAsia="en-GB"/>
              </w:rPr>
              <w:t>co-financing of</w:t>
            </w:r>
            <w:r w:rsidRPr="008340BB">
              <w:rPr>
                <w:sz w:val="24"/>
                <w:lang w:val="en-GB" w:eastAsia="en-GB"/>
              </w:rPr>
              <w:t xml:space="preserve"> </w:t>
            </w:r>
            <w:r w:rsidRPr="008340BB">
              <w:rPr>
                <w:rStyle w:val="hps"/>
                <w:sz w:val="24"/>
                <w:lang w:val="en-GB" w:eastAsia="en-GB"/>
              </w:rPr>
              <w:t>EU funds</w:t>
            </w:r>
            <w:r w:rsidRPr="008340BB">
              <w:rPr>
                <w:sz w:val="24"/>
                <w:lang w:val="en-GB" w:eastAsia="en-GB"/>
              </w:rPr>
              <w:t xml:space="preserve"> </w:t>
            </w:r>
            <w:r w:rsidRPr="008340BB">
              <w:rPr>
                <w:rStyle w:val="hps"/>
                <w:sz w:val="24"/>
                <w:lang w:val="en-GB" w:eastAsia="en-GB"/>
              </w:rPr>
              <w:t>2007-2013,</w:t>
            </w:r>
            <w:r w:rsidRPr="008340BB">
              <w:rPr>
                <w:sz w:val="24"/>
                <w:lang w:val="en-GB" w:eastAsia="en-GB"/>
              </w:rPr>
              <w:t xml:space="preserve"> </w:t>
            </w:r>
            <w:r w:rsidRPr="008340BB">
              <w:rPr>
                <w:rStyle w:val="hps"/>
                <w:sz w:val="24"/>
                <w:lang w:val="en-GB" w:eastAsia="en-GB"/>
              </w:rPr>
              <w:t>between</w:t>
            </w:r>
            <w:r w:rsidRPr="008340BB">
              <w:rPr>
                <w:sz w:val="24"/>
                <w:lang w:val="en-GB" w:eastAsia="en-GB"/>
              </w:rPr>
              <w:t xml:space="preserve"> the </w:t>
            </w:r>
            <w:r w:rsidRPr="008340BB">
              <w:rPr>
                <w:rStyle w:val="hps"/>
                <w:sz w:val="24"/>
                <w:lang w:val="en-GB" w:eastAsia="en-GB"/>
              </w:rPr>
              <w:t>Republic of Bulgaria and the European</w:t>
            </w:r>
            <w:r w:rsidRPr="008340BB">
              <w:rPr>
                <w:sz w:val="24"/>
                <w:lang w:val="en-GB" w:eastAsia="en-GB"/>
              </w:rPr>
              <w:t xml:space="preserve"> </w:t>
            </w:r>
            <w:r w:rsidRPr="008340BB">
              <w:rPr>
                <w:rStyle w:val="hps"/>
                <w:sz w:val="24"/>
                <w:lang w:val="en-GB" w:eastAsia="en-GB"/>
              </w:rPr>
              <w:t>Investment Bank (</w:t>
            </w:r>
            <w:r w:rsidRPr="008340BB">
              <w:rPr>
                <w:sz w:val="24"/>
                <w:lang w:val="en-GB" w:eastAsia="en-GB"/>
              </w:rPr>
              <w:t xml:space="preserve">EIB), </w:t>
            </w:r>
            <w:r w:rsidRPr="008340BB">
              <w:rPr>
                <w:rStyle w:val="hps"/>
                <w:sz w:val="24"/>
                <w:lang w:val="en-GB" w:eastAsia="en-GB"/>
              </w:rPr>
              <w:t>ratified by</w:t>
            </w:r>
            <w:r w:rsidRPr="008340BB">
              <w:rPr>
                <w:sz w:val="24"/>
                <w:lang w:val="en-GB" w:eastAsia="en-GB"/>
              </w:rPr>
              <w:t xml:space="preserve"> the </w:t>
            </w:r>
            <w:r w:rsidRPr="008340BB">
              <w:rPr>
                <w:rStyle w:val="hps"/>
                <w:sz w:val="24"/>
                <w:lang w:val="en-GB" w:eastAsia="en-GB"/>
              </w:rPr>
              <w:t>Law</w:t>
            </w:r>
            <w:r w:rsidRPr="008340BB">
              <w:rPr>
                <w:sz w:val="24"/>
                <w:lang w:val="en-GB" w:eastAsia="en-GB"/>
              </w:rPr>
              <w:t xml:space="preserve"> </w:t>
            </w:r>
            <w:r w:rsidRPr="008340BB">
              <w:rPr>
                <w:rStyle w:val="hps"/>
                <w:sz w:val="24"/>
                <w:lang w:val="en-GB" w:eastAsia="en-GB"/>
              </w:rPr>
              <w:t>of</w:t>
            </w:r>
            <w:r w:rsidRPr="008340BB">
              <w:rPr>
                <w:sz w:val="24"/>
                <w:lang w:val="en-GB" w:eastAsia="en-GB"/>
              </w:rPr>
              <w:t xml:space="preserve"> </w:t>
            </w:r>
            <w:r w:rsidRPr="008340BB">
              <w:rPr>
                <w:rStyle w:val="hps"/>
                <w:sz w:val="24"/>
                <w:lang w:val="en-GB" w:eastAsia="en-GB"/>
              </w:rPr>
              <w:t>11.07.2008</w:t>
            </w:r>
            <w:r w:rsidRPr="008340BB">
              <w:rPr>
                <w:sz w:val="24"/>
                <w:lang w:val="en-GB" w:eastAsia="en-GB"/>
              </w:rPr>
              <w:t xml:space="preserve"> it </w:t>
            </w:r>
            <w:r w:rsidRPr="008340BB">
              <w:rPr>
                <w:rStyle w:val="hps"/>
                <w:sz w:val="24"/>
                <w:lang w:val="en-GB" w:eastAsia="en-GB"/>
              </w:rPr>
              <w:t>was provided</w:t>
            </w:r>
            <w:r w:rsidRPr="008340BB">
              <w:rPr>
                <w:sz w:val="24"/>
                <w:lang w:val="en-GB" w:eastAsia="en-GB"/>
              </w:rPr>
              <w:t xml:space="preserve"> a </w:t>
            </w:r>
            <w:r w:rsidRPr="008340BB">
              <w:rPr>
                <w:rStyle w:val="hps"/>
                <w:sz w:val="24"/>
                <w:lang w:val="en-GB" w:eastAsia="en-GB"/>
              </w:rPr>
              <w:t>structural programme</w:t>
            </w:r>
            <w:r w:rsidRPr="008340BB">
              <w:rPr>
                <w:sz w:val="24"/>
                <w:lang w:val="en-GB" w:eastAsia="en-GB"/>
              </w:rPr>
              <w:t xml:space="preserve"> </w:t>
            </w:r>
            <w:r w:rsidRPr="008340BB">
              <w:rPr>
                <w:rStyle w:val="hps"/>
                <w:sz w:val="24"/>
                <w:lang w:val="en-GB" w:eastAsia="en-GB"/>
              </w:rPr>
              <w:t>loan to</w:t>
            </w:r>
            <w:r w:rsidRPr="008340BB">
              <w:rPr>
                <w:sz w:val="24"/>
                <w:lang w:val="en-GB" w:eastAsia="en-GB"/>
              </w:rPr>
              <w:t xml:space="preserve"> </w:t>
            </w:r>
            <w:r w:rsidRPr="008340BB">
              <w:rPr>
                <w:rStyle w:val="hps"/>
                <w:sz w:val="24"/>
                <w:lang w:val="en-GB" w:eastAsia="en-GB"/>
              </w:rPr>
              <w:t>the Republic of Bulgaria</w:t>
            </w:r>
            <w:r w:rsidRPr="008340BB">
              <w:rPr>
                <w:sz w:val="24"/>
                <w:lang w:val="en-GB" w:eastAsia="en-GB"/>
              </w:rPr>
              <w:t xml:space="preserve"> </w:t>
            </w:r>
            <w:r w:rsidRPr="008340BB">
              <w:rPr>
                <w:rStyle w:val="hps"/>
                <w:sz w:val="24"/>
                <w:lang w:val="en-GB" w:eastAsia="en-GB"/>
              </w:rPr>
              <w:t>cover the</w:t>
            </w:r>
            <w:r w:rsidRPr="008340BB">
              <w:rPr>
                <w:sz w:val="24"/>
                <w:lang w:val="en-GB" w:eastAsia="en-GB"/>
              </w:rPr>
              <w:t xml:space="preserve"> </w:t>
            </w:r>
            <w:r w:rsidRPr="008340BB">
              <w:rPr>
                <w:rStyle w:val="hps"/>
                <w:sz w:val="24"/>
                <w:lang w:val="en-GB" w:eastAsia="en-GB"/>
              </w:rPr>
              <w:t>national co-financing</w:t>
            </w:r>
            <w:r w:rsidRPr="008340BB">
              <w:rPr>
                <w:sz w:val="24"/>
                <w:lang w:val="en-GB" w:eastAsia="en-GB"/>
              </w:rPr>
              <w:t xml:space="preserve"> </w:t>
            </w:r>
            <w:r w:rsidRPr="008340BB">
              <w:rPr>
                <w:rStyle w:val="hps"/>
                <w:sz w:val="24"/>
                <w:lang w:val="en-GB" w:eastAsia="en-GB"/>
              </w:rPr>
              <w:t>of projects under</w:t>
            </w:r>
            <w:r w:rsidRPr="008340BB">
              <w:rPr>
                <w:sz w:val="24"/>
                <w:lang w:val="en-GB" w:eastAsia="en-GB"/>
              </w:rPr>
              <w:t xml:space="preserve"> </w:t>
            </w:r>
            <w:r w:rsidRPr="008340BB">
              <w:rPr>
                <w:rStyle w:val="hps"/>
                <w:sz w:val="24"/>
                <w:lang w:val="en-GB" w:eastAsia="en-GB"/>
              </w:rPr>
              <w:t>several programmes</w:t>
            </w:r>
            <w:r w:rsidRPr="008340BB">
              <w:rPr>
                <w:sz w:val="24"/>
                <w:lang w:val="en-GB" w:eastAsia="en-GB"/>
              </w:rPr>
              <w:t xml:space="preserve"> </w:t>
            </w:r>
            <w:r w:rsidRPr="008340BB">
              <w:rPr>
                <w:rStyle w:val="hps"/>
                <w:sz w:val="24"/>
                <w:lang w:val="en-GB" w:eastAsia="en-GB"/>
              </w:rPr>
              <w:t>financed by the</w:t>
            </w:r>
            <w:r w:rsidRPr="008340BB">
              <w:rPr>
                <w:sz w:val="24"/>
                <w:lang w:val="en-GB" w:eastAsia="en-GB"/>
              </w:rPr>
              <w:t xml:space="preserve"> </w:t>
            </w:r>
            <w:r w:rsidRPr="008340BB">
              <w:rPr>
                <w:rStyle w:val="hps"/>
                <w:sz w:val="24"/>
                <w:lang w:val="en-GB" w:eastAsia="en-GB"/>
              </w:rPr>
              <w:t>Structural and Cohesion</w:t>
            </w:r>
            <w:r w:rsidRPr="008340BB">
              <w:rPr>
                <w:sz w:val="24"/>
                <w:lang w:val="en-GB" w:eastAsia="en-GB"/>
              </w:rPr>
              <w:t xml:space="preserve"> </w:t>
            </w:r>
            <w:r w:rsidRPr="008340BB">
              <w:rPr>
                <w:rStyle w:val="hps"/>
                <w:sz w:val="24"/>
                <w:lang w:val="en-GB" w:eastAsia="en-GB"/>
              </w:rPr>
              <w:t>Funds</w:t>
            </w:r>
            <w:r w:rsidRPr="008340BB">
              <w:rPr>
                <w:sz w:val="24"/>
                <w:lang w:val="en-GB" w:eastAsia="en-GB"/>
              </w:rPr>
              <w:t xml:space="preserve">, including </w:t>
            </w:r>
            <w:r w:rsidRPr="008340BB">
              <w:rPr>
                <w:rStyle w:val="hps"/>
                <w:sz w:val="24"/>
                <w:lang w:val="en-GB" w:eastAsia="en-GB"/>
              </w:rPr>
              <w:t>OP "Transport"</w:t>
            </w:r>
            <w:r w:rsidRPr="008340BB">
              <w:rPr>
                <w:sz w:val="24"/>
                <w:lang w:val="en-GB" w:eastAsia="en-GB"/>
              </w:rPr>
              <w:t xml:space="preserve"> </w:t>
            </w:r>
            <w:r w:rsidRPr="008340BB">
              <w:rPr>
                <w:rStyle w:val="hps"/>
                <w:sz w:val="24"/>
                <w:lang w:val="en-GB" w:eastAsia="en-GB"/>
              </w:rPr>
              <w:t>2007- 2013</w:t>
            </w:r>
            <w:r w:rsidRPr="008340BB">
              <w:rPr>
                <w:sz w:val="24"/>
                <w:lang w:val="en-GB" w:eastAsia="en-GB"/>
              </w:rPr>
              <w:t xml:space="preserve"> </w:t>
            </w:r>
            <w:r w:rsidRPr="008340BB">
              <w:rPr>
                <w:rStyle w:val="hps"/>
                <w:sz w:val="24"/>
                <w:lang w:val="en-GB" w:eastAsia="en-GB"/>
              </w:rPr>
              <w:t>at</w:t>
            </w:r>
            <w:r w:rsidRPr="008340BB">
              <w:rPr>
                <w:sz w:val="24"/>
                <w:lang w:val="en-GB" w:eastAsia="en-GB"/>
              </w:rPr>
              <w:t xml:space="preserve"> </w:t>
            </w:r>
            <w:r w:rsidRPr="008340BB">
              <w:rPr>
                <w:rStyle w:val="hps"/>
                <w:sz w:val="24"/>
                <w:lang w:val="en-GB" w:eastAsia="en-GB"/>
              </w:rPr>
              <w:t>a total amount</w:t>
            </w:r>
            <w:r w:rsidRPr="008340BB">
              <w:rPr>
                <w:sz w:val="24"/>
                <w:lang w:val="en-GB" w:eastAsia="en-GB"/>
              </w:rPr>
              <w:t xml:space="preserve"> </w:t>
            </w:r>
            <w:r w:rsidRPr="008340BB">
              <w:rPr>
                <w:rStyle w:val="hps"/>
                <w:sz w:val="24"/>
                <w:lang w:val="en-GB" w:eastAsia="en-GB"/>
              </w:rPr>
              <w:t>of</w:t>
            </w:r>
            <w:r w:rsidRPr="008340BB">
              <w:rPr>
                <w:sz w:val="24"/>
                <w:lang w:val="en-GB" w:eastAsia="en-GB"/>
              </w:rPr>
              <w:t xml:space="preserve"> </w:t>
            </w:r>
            <w:r w:rsidRPr="008340BB">
              <w:rPr>
                <w:rStyle w:val="hps"/>
                <w:sz w:val="24"/>
                <w:lang w:val="en-GB" w:eastAsia="en-GB"/>
              </w:rPr>
              <w:t>€ 700 million</w:t>
            </w:r>
            <w:r w:rsidRPr="008340BB">
              <w:rPr>
                <w:rStyle w:val="alt-edited"/>
                <w:sz w:val="24"/>
                <w:lang w:val="en-GB" w:eastAsia="en-GB"/>
              </w:rPr>
              <w:t>.</w:t>
            </w:r>
            <w:r w:rsidRPr="008340BB">
              <w:rPr>
                <w:sz w:val="24"/>
                <w:lang w:val="en-GB" w:eastAsia="en-GB"/>
              </w:rPr>
              <w:t xml:space="preserve"> </w:t>
            </w:r>
          </w:p>
          <w:p w14:paraId="2A840728" w14:textId="77777777" w:rsidR="00F1341F" w:rsidRPr="008340BB" w:rsidRDefault="00F1341F" w:rsidP="00DF189E">
            <w:pPr>
              <w:pStyle w:val="ListDash1"/>
              <w:numPr>
                <w:ilvl w:val="0"/>
                <w:numId w:val="0"/>
              </w:numPr>
              <w:spacing w:before="120" w:after="0"/>
              <w:rPr>
                <w:sz w:val="24"/>
                <w:lang w:val="en-GB" w:eastAsia="en-GB"/>
              </w:rPr>
            </w:pPr>
            <w:r w:rsidRPr="008340BB">
              <w:rPr>
                <w:rStyle w:val="hps"/>
                <w:sz w:val="24"/>
                <w:lang w:val="en-GB" w:eastAsia="en-GB"/>
              </w:rPr>
              <w:t>As at</w:t>
            </w:r>
            <w:r w:rsidRPr="008340BB">
              <w:rPr>
                <w:sz w:val="24"/>
                <w:lang w:val="en-GB" w:eastAsia="en-GB"/>
              </w:rPr>
              <w:t xml:space="preserve"> </w:t>
            </w:r>
            <w:r w:rsidRPr="008340BB">
              <w:rPr>
                <w:rStyle w:val="hps"/>
                <w:sz w:val="24"/>
                <w:lang w:val="en-GB" w:eastAsia="en-GB"/>
              </w:rPr>
              <w:t>May 2014</w:t>
            </w:r>
            <w:r w:rsidRPr="008340BB">
              <w:rPr>
                <w:sz w:val="24"/>
                <w:lang w:val="en-GB" w:eastAsia="en-GB"/>
              </w:rPr>
              <w:t xml:space="preserve"> by </w:t>
            </w:r>
            <w:r w:rsidRPr="008340BB">
              <w:rPr>
                <w:rStyle w:val="hps"/>
                <w:sz w:val="24"/>
                <w:lang w:val="en-GB" w:eastAsia="en-GB"/>
              </w:rPr>
              <w:t>the EIB</w:t>
            </w:r>
            <w:r w:rsidRPr="008340BB">
              <w:rPr>
                <w:sz w:val="24"/>
                <w:lang w:val="en-GB" w:eastAsia="en-GB"/>
              </w:rPr>
              <w:t xml:space="preserve"> were </w:t>
            </w:r>
            <w:r w:rsidRPr="008340BB">
              <w:rPr>
                <w:rStyle w:val="hps"/>
                <w:sz w:val="24"/>
                <w:lang w:val="en-GB" w:eastAsia="en-GB"/>
              </w:rPr>
              <w:t>approved</w:t>
            </w:r>
            <w:r w:rsidRPr="008340BB">
              <w:rPr>
                <w:sz w:val="24"/>
                <w:lang w:val="en-GB" w:eastAsia="en-GB"/>
              </w:rPr>
              <w:t xml:space="preserve"> </w:t>
            </w:r>
            <w:r w:rsidRPr="008340BB">
              <w:rPr>
                <w:rStyle w:val="hps"/>
                <w:sz w:val="24"/>
                <w:lang w:val="en-GB" w:eastAsia="en-GB"/>
              </w:rPr>
              <w:t>the following projects</w:t>
            </w:r>
            <w:r w:rsidRPr="008340BB">
              <w:rPr>
                <w:sz w:val="24"/>
                <w:lang w:val="en-GB" w:eastAsia="en-GB"/>
              </w:rPr>
              <w:t xml:space="preserve"> </w:t>
            </w:r>
            <w:r w:rsidRPr="008340BB">
              <w:rPr>
                <w:rStyle w:val="hps"/>
                <w:sz w:val="24"/>
                <w:lang w:val="en-GB" w:eastAsia="en-GB"/>
              </w:rPr>
              <w:t xml:space="preserve">funded under the </w:t>
            </w:r>
            <w:r w:rsidRPr="008340BB">
              <w:rPr>
                <w:sz w:val="24"/>
                <w:lang w:val="en-GB" w:eastAsia="en-GB"/>
              </w:rPr>
              <w:t xml:space="preserve"> </w:t>
            </w:r>
            <w:r w:rsidRPr="008340BB">
              <w:rPr>
                <w:rStyle w:val="hps"/>
                <w:sz w:val="24"/>
                <w:lang w:val="en-GB" w:eastAsia="en-GB"/>
              </w:rPr>
              <w:t>OPT</w:t>
            </w:r>
            <w:r w:rsidRPr="008340BB">
              <w:rPr>
                <w:sz w:val="24"/>
                <w:lang w:val="en-GB" w:eastAsia="en-GB"/>
              </w:rPr>
              <w:t xml:space="preserve">: </w:t>
            </w:r>
          </w:p>
          <w:p w14:paraId="26134F11" w14:textId="77777777" w:rsidR="00F1341F" w:rsidRPr="008340BB" w:rsidRDefault="00F1341F" w:rsidP="00DF189E">
            <w:pPr>
              <w:pStyle w:val="ListDash1"/>
              <w:numPr>
                <w:ilvl w:val="0"/>
                <w:numId w:val="70"/>
              </w:numPr>
              <w:spacing w:before="120" w:after="0"/>
              <w:rPr>
                <w:sz w:val="24"/>
                <w:lang w:val="en-GB" w:eastAsia="en-GB"/>
              </w:rPr>
            </w:pPr>
            <w:r w:rsidRPr="008340BB">
              <w:rPr>
                <w:rStyle w:val="hps"/>
                <w:sz w:val="24"/>
                <w:lang w:val="en-GB" w:eastAsia="en-GB"/>
              </w:rPr>
              <w:t>Extension of</w:t>
            </w:r>
            <w:r w:rsidRPr="008340BB">
              <w:rPr>
                <w:sz w:val="24"/>
                <w:lang w:val="en-GB" w:eastAsia="en-GB"/>
              </w:rPr>
              <w:t xml:space="preserve"> </w:t>
            </w:r>
            <w:r w:rsidRPr="008340BB">
              <w:rPr>
                <w:rStyle w:val="hps"/>
                <w:sz w:val="24"/>
                <w:lang w:val="en-GB" w:eastAsia="en-GB"/>
              </w:rPr>
              <w:t>Sofia metro</w:t>
            </w:r>
            <w:r w:rsidRPr="008340BB">
              <w:rPr>
                <w:sz w:val="24"/>
                <w:lang w:val="en-GB" w:eastAsia="en-GB"/>
              </w:rPr>
              <w:t xml:space="preserve"> </w:t>
            </w:r>
            <w:r w:rsidRPr="008340BB">
              <w:rPr>
                <w:rStyle w:val="hps"/>
                <w:sz w:val="24"/>
                <w:lang w:val="en-GB" w:eastAsia="en-GB"/>
              </w:rPr>
              <w:t>along the</w:t>
            </w:r>
            <w:r w:rsidRPr="008340BB">
              <w:rPr>
                <w:sz w:val="24"/>
                <w:lang w:val="en-GB" w:eastAsia="en-GB"/>
              </w:rPr>
              <w:t xml:space="preserve"> </w:t>
            </w:r>
            <w:r w:rsidRPr="008340BB">
              <w:rPr>
                <w:rStyle w:val="hps"/>
                <w:sz w:val="24"/>
                <w:lang w:val="en-GB" w:eastAsia="en-GB"/>
              </w:rPr>
              <w:t>sections</w:t>
            </w:r>
            <w:r w:rsidRPr="008340BB">
              <w:rPr>
                <w:sz w:val="24"/>
                <w:lang w:val="en-GB" w:eastAsia="en-GB"/>
              </w:rPr>
              <w:t xml:space="preserve">: </w:t>
            </w:r>
            <w:r w:rsidRPr="008340BB">
              <w:rPr>
                <w:rStyle w:val="hps"/>
                <w:sz w:val="24"/>
                <w:lang w:val="en-GB" w:eastAsia="en-GB"/>
              </w:rPr>
              <w:t xml:space="preserve">Nadezhda road junction </w:t>
            </w:r>
            <w:r w:rsidRPr="008340BB">
              <w:rPr>
                <w:rStyle w:val="atn"/>
                <w:sz w:val="24"/>
                <w:lang w:val="en-GB" w:eastAsia="en-GB"/>
              </w:rPr>
              <w:t xml:space="preserve">- </w:t>
            </w:r>
            <w:r w:rsidRPr="008340BB">
              <w:rPr>
                <w:sz w:val="24"/>
                <w:lang w:val="en-GB" w:eastAsia="en-GB"/>
              </w:rPr>
              <w:t xml:space="preserve">CENTRAL Railway </w:t>
            </w:r>
            <w:r w:rsidRPr="008340BB">
              <w:rPr>
                <w:rStyle w:val="hps"/>
                <w:sz w:val="24"/>
                <w:lang w:val="en-GB" w:eastAsia="en-GB"/>
              </w:rPr>
              <w:t>Station – Sveta Nedelya</w:t>
            </w:r>
            <w:r w:rsidRPr="008340BB">
              <w:rPr>
                <w:sz w:val="24"/>
                <w:lang w:val="en-GB" w:eastAsia="en-GB"/>
              </w:rPr>
              <w:t xml:space="preserve"> </w:t>
            </w:r>
            <w:r w:rsidRPr="008340BB">
              <w:rPr>
                <w:rStyle w:val="hps"/>
                <w:sz w:val="24"/>
                <w:lang w:val="en-GB" w:eastAsia="en-GB"/>
              </w:rPr>
              <w:t>Square</w:t>
            </w:r>
            <w:r w:rsidRPr="008340BB">
              <w:rPr>
                <w:sz w:val="24"/>
                <w:lang w:val="en-GB" w:eastAsia="en-GB"/>
              </w:rPr>
              <w:t xml:space="preserve"> – Cherni Vrah </w:t>
            </w:r>
            <w:r w:rsidRPr="008340BB">
              <w:rPr>
                <w:rStyle w:val="hps"/>
                <w:sz w:val="24"/>
                <w:lang w:val="en-GB" w:eastAsia="en-GB"/>
              </w:rPr>
              <w:t>Blvd.;</w:t>
            </w:r>
            <w:r w:rsidRPr="008340BB">
              <w:rPr>
                <w:sz w:val="24"/>
                <w:lang w:val="en-GB" w:eastAsia="en-GB"/>
              </w:rPr>
              <w:t xml:space="preserve"> </w:t>
            </w:r>
          </w:p>
          <w:p w14:paraId="4DCD083B" w14:textId="77777777" w:rsidR="00F1341F" w:rsidRPr="008340BB" w:rsidRDefault="00F1341F" w:rsidP="00DF189E">
            <w:pPr>
              <w:pStyle w:val="ListDash1"/>
              <w:numPr>
                <w:ilvl w:val="0"/>
                <w:numId w:val="70"/>
              </w:numPr>
              <w:spacing w:before="120" w:after="0"/>
              <w:rPr>
                <w:sz w:val="24"/>
                <w:lang w:val="en-GB" w:eastAsia="en-GB"/>
              </w:rPr>
            </w:pPr>
            <w:r w:rsidRPr="008340BB">
              <w:rPr>
                <w:rStyle w:val="hps"/>
                <w:sz w:val="24"/>
                <w:lang w:val="en-GB" w:eastAsia="en-GB"/>
              </w:rPr>
              <w:t>Sofia Metro Extension</w:t>
            </w:r>
            <w:r w:rsidRPr="008340BB">
              <w:rPr>
                <w:sz w:val="24"/>
                <w:lang w:val="en-GB" w:eastAsia="en-GB"/>
              </w:rPr>
              <w:t xml:space="preserve">: </w:t>
            </w:r>
            <w:r w:rsidRPr="008340BB">
              <w:rPr>
                <w:rStyle w:val="hps"/>
                <w:sz w:val="24"/>
                <w:lang w:val="en-GB" w:eastAsia="en-GB"/>
              </w:rPr>
              <w:t>Stage 2 -</w:t>
            </w:r>
            <w:r w:rsidRPr="008340BB">
              <w:rPr>
                <w:sz w:val="24"/>
                <w:lang w:val="en-GB" w:eastAsia="en-GB"/>
              </w:rPr>
              <w:t xml:space="preserve"> </w:t>
            </w:r>
            <w:r w:rsidRPr="008340BB">
              <w:rPr>
                <w:rStyle w:val="hps"/>
                <w:sz w:val="24"/>
                <w:lang w:val="en-GB" w:eastAsia="en-GB"/>
              </w:rPr>
              <w:t>Lot 1</w:t>
            </w:r>
            <w:r w:rsidRPr="008340BB">
              <w:rPr>
                <w:sz w:val="24"/>
                <w:lang w:val="en-GB" w:eastAsia="en-GB"/>
              </w:rPr>
              <w:t xml:space="preserve"> </w:t>
            </w:r>
            <w:r w:rsidRPr="008340BB">
              <w:rPr>
                <w:rStyle w:val="hps"/>
                <w:sz w:val="24"/>
                <w:lang w:val="en-GB" w:eastAsia="en-GB"/>
              </w:rPr>
              <w:t>"Obelya</w:t>
            </w:r>
            <w:r w:rsidRPr="008340BB">
              <w:rPr>
                <w:sz w:val="24"/>
                <w:lang w:val="en-GB" w:eastAsia="en-GB"/>
              </w:rPr>
              <w:t xml:space="preserve"> </w:t>
            </w:r>
            <w:r w:rsidRPr="008340BB">
              <w:rPr>
                <w:rStyle w:val="hps"/>
                <w:sz w:val="24"/>
                <w:lang w:val="en-GB" w:eastAsia="en-GB"/>
              </w:rPr>
              <w:t>-</w:t>
            </w:r>
            <w:r w:rsidRPr="008340BB">
              <w:rPr>
                <w:sz w:val="24"/>
                <w:lang w:val="en-GB" w:eastAsia="en-GB"/>
              </w:rPr>
              <w:t xml:space="preserve"> </w:t>
            </w:r>
            <w:r w:rsidRPr="008340BB">
              <w:rPr>
                <w:rStyle w:val="hps"/>
                <w:sz w:val="24"/>
                <w:lang w:val="en-GB" w:eastAsia="en-GB"/>
              </w:rPr>
              <w:t>Nadezhda"</w:t>
            </w:r>
            <w:r w:rsidRPr="008340BB">
              <w:rPr>
                <w:sz w:val="24"/>
                <w:lang w:val="en-GB" w:eastAsia="en-GB"/>
              </w:rPr>
              <w:t xml:space="preserve"> </w:t>
            </w:r>
            <w:r w:rsidRPr="008340BB">
              <w:rPr>
                <w:rStyle w:val="hps"/>
                <w:sz w:val="24"/>
                <w:lang w:val="en-GB" w:eastAsia="en-GB"/>
              </w:rPr>
              <w:t>Lot</w:t>
            </w:r>
            <w:r w:rsidRPr="008340BB">
              <w:rPr>
                <w:sz w:val="24"/>
                <w:lang w:val="en-GB" w:eastAsia="en-GB"/>
              </w:rPr>
              <w:t xml:space="preserve"> </w:t>
            </w:r>
            <w:r w:rsidRPr="008340BB">
              <w:rPr>
                <w:rStyle w:val="hps"/>
                <w:sz w:val="24"/>
                <w:lang w:val="en-GB" w:eastAsia="en-GB"/>
              </w:rPr>
              <w:t>2</w:t>
            </w:r>
            <w:r w:rsidRPr="008340BB">
              <w:rPr>
                <w:sz w:val="24"/>
                <w:lang w:val="en-GB" w:eastAsia="en-GB"/>
              </w:rPr>
              <w:t xml:space="preserve"> </w:t>
            </w:r>
            <w:r w:rsidRPr="008340BB">
              <w:rPr>
                <w:rStyle w:val="hps"/>
                <w:sz w:val="24"/>
                <w:lang w:val="en-GB" w:eastAsia="en-GB"/>
              </w:rPr>
              <w:t>"Mladost</w:t>
            </w:r>
            <w:r w:rsidRPr="008340BB">
              <w:rPr>
                <w:sz w:val="24"/>
                <w:lang w:val="en-GB" w:eastAsia="en-GB"/>
              </w:rPr>
              <w:t xml:space="preserve"> </w:t>
            </w:r>
            <w:r w:rsidRPr="008340BB">
              <w:rPr>
                <w:rStyle w:val="hps"/>
                <w:sz w:val="24"/>
                <w:lang w:val="en-GB" w:eastAsia="en-GB"/>
              </w:rPr>
              <w:t>1 -</w:t>
            </w:r>
            <w:r w:rsidRPr="008340BB">
              <w:rPr>
                <w:sz w:val="24"/>
                <w:lang w:val="en-GB" w:eastAsia="en-GB"/>
              </w:rPr>
              <w:t xml:space="preserve"> </w:t>
            </w:r>
            <w:r w:rsidRPr="008340BB">
              <w:rPr>
                <w:rStyle w:val="hps"/>
                <w:sz w:val="24"/>
                <w:lang w:val="en-GB" w:eastAsia="en-GB"/>
              </w:rPr>
              <w:t>Tsarigradsko</w:t>
            </w:r>
            <w:r w:rsidRPr="008340BB">
              <w:rPr>
                <w:sz w:val="24"/>
                <w:lang w:val="en-GB" w:eastAsia="en-GB"/>
              </w:rPr>
              <w:t xml:space="preserve"> </w:t>
            </w:r>
            <w:r w:rsidRPr="008340BB">
              <w:rPr>
                <w:rStyle w:val="hps"/>
                <w:sz w:val="24"/>
                <w:lang w:val="en-GB" w:eastAsia="en-GB"/>
              </w:rPr>
              <w:t>Shose</w:t>
            </w:r>
            <w:r w:rsidRPr="008340BB">
              <w:rPr>
                <w:sz w:val="24"/>
                <w:lang w:val="en-GB" w:eastAsia="en-GB"/>
              </w:rPr>
              <w:t xml:space="preserve">; </w:t>
            </w:r>
          </w:p>
          <w:p w14:paraId="4DC19D18" w14:textId="77777777" w:rsidR="00F1341F" w:rsidRPr="008340BB" w:rsidRDefault="00F1341F" w:rsidP="00DF189E">
            <w:pPr>
              <w:pStyle w:val="ListDash1"/>
              <w:numPr>
                <w:ilvl w:val="0"/>
                <w:numId w:val="70"/>
              </w:numPr>
              <w:spacing w:before="120" w:after="0"/>
              <w:rPr>
                <w:sz w:val="24"/>
                <w:lang w:val="en-GB" w:eastAsia="en-GB"/>
              </w:rPr>
            </w:pPr>
            <w:r w:rsidRPr="008340BB">
              <w:rPr>
                <w:rStyle w:val="hps"/>
                <w:sz w:val="24"/>
                <w:lang w:val="en-GB" w:eastAsia="en-GB"/>
              </w:rPr>
              <w:lastRenderedPageBreak/>
              <w:t>Project</w:t>
            </w:r>
            <w:r w:rsidRPr="008340BB">
              <w:rPr>
                <w:sz w:val="24"/>
                <w:lang w:val="en-GB" w:eastAsia="en-GB"/>
              </w:rPr>
              <w:t xml:space="preserve"> for </w:t>
            </w:r>
            <w:r w:rsidRPr="008340BB">
              <w:rPr>
                <w:rStyle w:val="hps"/>
                <w:sz w:val="24"/>
                <w:lang w:val="en-GB" w:eastAsia="en-GB"/>
              </w:rPr>
              <w:t>extension of Sofia Metro</w:t>
            </w:r>
            <w:r w:rsidRPr="008340BB">
              <w:rPr>
                <w:sz w:val="24"/>
                <w:lang w:val="en-GB" w:eastAsia="en-GB"/>
              </w:rPr>
              <w:t xml:space="preserve"> </w:t>
            </w:r>
            <w:r w:rsidRPr="008340BB">
              <w:rPr>
                <w:rStyle w:val="hps"/>
                <w:sz w:val="24"/>
                <w:lang w:val="en-GB" w:eastAsia="en-GB"/>
              </w:rPr>
              <w:t>Stage 3 -</w:t>
            </w:r>
            <w:r w:rsidRPr="008340BB">
              <w:rPr>
                <w:sz w:val="24"/>
                <w:lang w:val="en-GB" w:eastAsia="en-GB"/>
              </w:rPr>
              <w:t xml:space="preserve"> </w:t>
            </w:r>
            <w:r w:rsidRPr="008340BB">
              <w:rPr>
                <w:rStyle w:val="hps"/>
                <w:sz w:val="24"/>
                <w:lang w:val="en-GB" w:eastAsia="en-GB"/>
              </w:rPr>
              <w:t>Lot 1</w:t>
            </w:r>
            <w:r w:rsidRPr="008340BB">
              <w:rPr>
                <w:sz w:val="24"/>
                <w:lang w:val="en-GB" w:eastAsia="en-GB"/>
              </w:rPr>
              <w:t xml:space="preserve"> </w:t>
            </w:r>
            <w:r w:rsidRPr="008340BB">
              <w:rPr>
                <w:rStyle w:val="hps"/>
                <w:sz w:val="24"/>
                <w:lang w:val="en-GB" w:eastAsia="en-GB"/>
              </w:rPr>
              <w:t>Tsarigradsko</w:t>
            </w:r>
            <w:r w:rsidRPr="008340BB">
              <w:rPr>
                <w:sz w:val="24"/>
                <w:lang w:val="en-GB" w:eastAsia="en-GB"/>
              </w:rPr>
              <w:t xml:space="preserve"> </w:t>
            </w:r>
            <w:r w:rsidRPr="008340BB">
              <w:rPr>
                <w:rStyle w:val="hps"/>
                <w:sz w:val="24"/>
                <w:lang w:val="en-GB" w:eastAsia="en-GB"/>
              </w:rPr>
              <w:t>Shose -</w:t>
            </w:r>
            <w:r w:rsidRPr="008340BB">
              <w:rPr>
                <w:sz w:val="24"/>
                <w:lang w:val="en-GB" w:eastAsia="en-GB"/>
              </w:rPr>
              <w:t xml:space="preserve"> </w:t>
            </w:r>
            <w:r w:rsidRPr="008340BB">
              <w:rPr>
                <w:rStyle w:val="hps"/>
                <w:sz w:val="24"/>
                <w:lang w:val="en-GB" w:eastAsia="en-GB"/>
              </w:rPr>
              <w:t>Sofia Airport</w:t>
            </w:r>
            <w:r w:rsidRPr="008340BB">
              <w:rPr>
                <w:sz w:val="24"/>
                <w:lang w:val="en-GB" w:eastAsia="en-GB"/>
              </w:rPr>
              <w:t xml:space="preserve"> </w:t>
            </w:r>
            <w:r w:rsidRPr="008340BB">
              <w:rPr>
                <w:rStyle w:val="hps"/>
                <w:sz w:val="24"/>
                <w:lang w:val="en-GB" w:eastAsia="en-GB"/>
              </w:rPr>
              <w:t>Lot</w:t>
            </w:r>
            <w:r w:rsidRPr="008340BB">
              <w:rPr>
                <w:sz w:val="24"/>
                <w:lang w:val="en-GB" w:eastAsia="en-GB"/>
              </w:rPr>
              <w:t xml:space="preserve"> </w:t>
            </w:r>
            <w:r w:rsidRPr="008340BB">
              <w:rPr>
                <w:rStyle w:val="hps"/>
                <w:sz w:val="24"/>
                <w:lang w:val="en-GB" w:eastAsia="en-GB"/>
              </w:rPr>
              <w:t>2</w:t>
            </w:r>
            <w:r w:rsidRPr="008340BB">
              <w:rPr>
                <w:sz w:val="24"/>
                <w:lang w:val="en-GB" w:eastAsia="en-GB"/>
              </w:rPr>
              <w:t xml:space="preserve"> </w:t>
            </w:r>
            <w:r w:rsidRPr="008340BB">
              <w:rPr>
                <w:rStyle w:val="hps"/>
                <w:sz w:val="24"/>
                <w:lang w:val="en-GB" w:eastAsia="en-GB"/>
              </w:rPr>
              <w:t>Mladost 1</w:t>
            </w:r>
            <w:r w:rsidRPr="008340BB">
              <w:rPr>
                <w:sz w:val="24"/>
                <w:lang w:val="en-GB" w:eastAsia="en-GB"/>
              </w:rPr>
              <w:t xml:space="preserve"> </w:t>
            </w:r>
            <w:r w:rsidRPr="008340BB">
              <w:rPr>
                <w:rStyle w:val="hps"/>
                <w:sz w:val="24"/>
                <w:lang w:val="en-GB" w:eastAsia="en-GB"/>
              </w:rPr>
              <w:t>- Business</w:t>
            </w:r>
            <w:r w:rsidRPr="008340BB">
              <w:rPr>
                <w:sz w:val="24"/>
                <w:lang w:val="en-GB" w:eastAsia="en-GB"/>
              </w:rPr>
              <w:t xml:space="preserve"> </w:t>
            </w:r>
            <w:r w:rsidRPr="008340BB">
              <w:rPr>
                <w:rStyle w:val="hps"/>
                <w:sz w:val="24"/>
                <w:lang w:val="en-GB" w:eastAsia="en-GB"/>
              </w:rPr>
              <w:t>Park</w:t>
            </w:r>
            <w:r w:rsidRPr="008340BB">
              <w:rPr>
                <w:sz w:val="24"/>
                <w:lang w:val="en-GB" w:eastAsia="en-GB"/>
              </w:rPr>
              <w:t xml:space="preserve"> </w:t>
            </w:r>
            <w:r w:rsidRPr="008340BB">
              <w:rPr>
                <w:rStyle w:val="hps"/>
                <w:sz w:val="24"/>
                <w:lang w:val="en-GB" w:eastAsia="en-GB"/>
              </w:rPr>
              <w:t>Mladost 4</w:t>
            </w:r>
            <w:r w:rsidRPr="008340BB">
              <w:rPr>
                <w:sz w:val="24"/>
                <w:lang w:val="en-GB" w:eastAsia="en-GB"/>
              </w:rPr>
              <w:t xml:space="preserve">; </w:t>
            </w:r>
          </w:p>
          <w:p w14:paraId="17B47D82" w14:textId="77777777" w:rsidR="00F1341F" w:rsidRPr="008340BB" w:rsidRDefault="00F1341F" w:rsidP="00DF189E">
            <w:pPr>
              <w:pStyle w:val="ListDash1"/>
              <w:numPr>
                <w:ilvl w:val="0"/>
                <w:numId w:val="70"/>
              </w:numPr>
              <w:spacing w:before="120" w:after="0"/>
              <w:rPr>
                <w:sz w:val="24"/>
                <w:lang w:val="en-GB" w:eastAsia="en-GB"/>
              </w:rPr>
            </w:pPr>
            <w:r w:rsidRPr="008340BB">
              <w:rPr>
                <w:rStyle w:val="hps"/>
                <w:sz w:val="24"/>
                <w:lang w:val="en-GB" w:eastAsia="en-GB"/>
              </w:rPr>
              <w:t>Electrification and reconstruction of</w:t>
            </w:r>
            <w:r w:rsidRPr="008340BB">
              <w:rPr>
                <w:sz w:val="24"/>
                <w:lang w:val="en-GB" w:eastAsia="en-GB"/>
              </w:rPr>
              <w:t xml:space="preserve"> </w:t>
            </w:r>
            <w:r w:rsidRPr="008340BB">
              <w:rPr>
                <w:rStyle w:val="hps"/>
                <w:sz w:val="24"/>
                <w:lang w:val="en-GB" w:eastAsia="en-GB"/>
              </w:rPr>
              <w:t>railway</w:t>
            </w:r>
            <w:r w:rsidRPr="008340BB">
              <w:rPr>
                <w:sz w:val="24"/>
                <w:lang w:val="en-GB" w:eastAsia="en-GB"/>
              </w:rPr>
              <w:t xml:space="preserve"> </w:t>
            </w:r>
            <w:r w:rsidRPr="008340BB">
              <w:rPr>
                <w:rStyle w:val="hps"/>
                <w:sz w:val="24"/>
                <w:lang w:val="en-GB" w:eastAsia="en-GB"/>
              </w:rPr>
              <w:t>line</w:t>
            </w:r>
            <w:r w:rsidRPr="008340BB">
              <w:rPr>
                <w:sz w:val="24"/>
                <w:lang w:val="en-GB" w:eastAsia="en-GB"/>
              </w:rPr>
              <w:t xml:space="preserve"> </w:t>
            </w:r>
            <w:r w:rsidRPr="008340BB">
              <w:rPr>
                <w:rStyle w:val="hps"/>
                <w:sz w:val="24"/>
                <w:lang w:val="en-GB" w:eastAsia="en-GB"/>
              </w:rPr>
              <w:t>Svilengrad</w:t>
            </w:r>
            <w:r w:rsidRPr="008340BB">
              <w:rPr>
                <w:sz w:val="24"/>
                <w:lang w:val="en-GB" w:eastAsia="en-GB"/>
              </w:rPr>
              <w:t>-</w:t>
            </w:r>
            <w:r w:rsidRPr="008340BB">
              <w:rPr>
                <w:rStyle w:val="hps"/>
                <w:sz w:val="24"/>
                <w:lang w:val="en-GB" w:eastAsia="en-GB"/>
              </w:rPr>
              <w:t>Turkish border</w:t>
            </w:r>
            <w:r w:rsidRPr="008340BB">
              <w:rPr>
                <w:sz w:val="24"/>
                <w:lang w:val="en-GB" w:eastAsia="en-GB"/>
              </w:rPr>
              <w:t xml:space="preserve">; </w:t>
            </w:r>
          </w:p>
          <w:p w14:paraId="023FAB43" w14:textId="77777777" w:rsidR="00F1341F" w:rsidRPr="008340BB" w:rsidRDefault="00F1341F" w:rsidP="00DF189E">
            <w:pPr>
              <w:pStyle w:val="ListDash1"/>
              <w:numPr>
                <w:ilvl w:val="0"/>
                <w:numId w:val="70"/>
              </w:numPr>
              <w:spacing w:before="120" w:after="0"/>
              <w:rPr>
                <w:sz w:val="24"/>
                <w:lang w:val="en-GB" w:eastAsia="en-GB"/>
              </w:rPr>
            </w:pPr>
            <w:r w:rsidRPr="008340BB">
              <w:rPr>
                <w:rStyle w:val="hps"/>
                <w:sz w:val="24"/>
                <w:lang w:val="en-GB" w:eastAsia="en-GB"/>
              </w:rPr>
              <w:t>Renovation of</w:t>
            </w:r>
            <w:r w:rsidRPr="008340BB">
              <w:rPr>
                <w:sz w:val="24"/>
                <w:lang w:val="en-GB" w:eastAsia="en-GB"/>
              </w:rPr>
              <w:t xml:space="preserve"> </w:t>
            </w:r>
            <w:r w:rsidRPr="008340BB">
              <w:rPr>
                <w:rStyle w:val="hps"/>
                <w:sz w:val="24"/>
                <w:lang w:val="en-GB" w:eastAsia="en-GB"/>
              </w:rPr>
              <w:t>railway sections</w:t>
            </w:r>
            <w:r w:rsidRPr="008340BB">
              <w:rPr>
                <w:sz w:val="24"/>
                <w:lang w:val="en-GB" w:eastAsia="en-GB"/>
              </w:rPr>
              <w:t xml:space="preserve"> </w:t>
            </w:r>
            <w:r w:rsidRPr="008340BB">
              <w:rPr>
                <w:rStyle w:val="hps"/>
                <w:sz w:val="24"/>
                <w:lang w:val="en-GB" w:eastAsia="en-GB"/>
              </w:rPr>
              <w:t>along the railway</w:t>
            </w:r>
            <w:r w:rsidRPr="008340BB">
              <w:rPr>
                <w:sz w:val="24"/>
                <w:lang w:val="en-GB" w:eastAsia="en-GB"/>
              </w:rPr>
              <w:t xml:space="preserve"> </w:t>
            </w:r>
            <w:r w:rsidRPr="008340BB">
              <w:rPr>
                <w:rStyle w:val="hps"/>
                <w:sz w:val="24"/>
                <w:lang w:val="en-GB" w:eastAsia="en-GB"/>
              </w:rPr>
              <w:t>line Plovdiv</w:t>
            </w:r>
            <w:r w:rsidRPr="008340BB">
              <w:rPr>
                <w:sz w:val="24"/>
                <w:lang w:val="en-GB" w:eastAsia="en-GB"/>
              </w:rPr>
              <w:t xml:space="preserve"> </w:t>
            </w:r>
            <w:r w:rsidRPr="008340BB">
              <w:rPr>
                <w:rStyle w:val="hps"/>
                <w:sz w:val="24"/>
                <w:lang w:val="en-GB" w:eastAsia="en-GB"/>
              </w:rPr>
              <w:t>- Burgas</w:t>
            </w:r>
            <w:r w:rsidRPr="008340BB">
              <w:rPr>
                <w:sz w:val="24"/>
                <w:lang w:val="en-GB" w:eastAsia="en-GB"/>
              </w:rPr>
              <w:t xml:space="preserve"> </w:t>
            </w:r>
            <w:r w:rsidRPr="008340BB">
              <w:rPr>
                <w:rStyle w:val="hps"/>
                <w:sz w:val="24"/>
                <w:lang w:val="en-GB" w:eastAsia="en-GB"/>
              </w:rPr>
              <w:t>(</w:t>
            </w:r>
            <w:r w:rsidRPr="008340BB">
              <w:rPr>
                <w:sz w:val="24"/>
                <w:lang w:val="en-GB" w:eastAsia="en-GB"/>
              </w:rPr>
              <w:t xml:space="preserve">along the </w:t>
            </w:r>
            <w:r w:rsidRPr="008340BB">
              <w:rPr>
                <w:rStyle w:val="hps"/>
                <w:sz w:val="24"/>
                <w:lang w:val="en-GB" w:eastAsia="en-GB"/>
              </w:rPr>
              <w:t>Trans-</w:t>
            </w:r>
            <w:r w:rsidRPr="008340BB">
              <w:rPr>
                <w:sz w:val="24"/>
                <w:lang w:val="en-GB" w:eastAsia="en-GB"/>
              </w:rPr>
              <w:t xml:space="preserve">European transport network); </w:t>
            </w:r>
          </w:p>
          <w:p w14:paraId="5F99E44F" w14:textId="77777777" w:rsidR="00F1341F" w:rsidRPr="008340BB" w:rsidRDefault="00F1341F" w:rsidP="00DF189E">
            <w:pPr>
              <w:pStyle w:val="ListDash1"/>
              <w:numPr>
                <w:ilvl w:val="0"/>
                <w:numId w:val="70"/>
              </w:numPr>
              <w:spacing w:before="120" w:after="0"/>
              <w:rPr>
                <w:sz w:val="24"/>
                <w:lang w:val="en-GB" w:eastAsia="en-GB"/>
              </w:rPr>
            </w:pPr>
            <w:r w:rsidRPr="008340BB">
              <w:rPr>
                <w:rStyle w:val="hps"/>
                <w:sz w:val="24"/>
                <w:lang w:val="en-GB" w:eastAsia="en-GB"/>
              </w:rPr>
              <w:t>Modernisation of</w:t>
            </w:r>
            <w:r w:rsidRPr="008340BB">
              <w:rPr>
                <w:sz w:val="24"/>
                <w:lang w:val="en-GB" w:eastAsia="en-GB"/>
              </w:rPr>
              <w:t xml:space="preserve"> </w:t>
            </w:r>
            <w:r w:rsidRPr="008340BB">
              <w:rPr>
                <w:rStyle w:val="hps"/>
                <w:sz w:val="24"/>
                <w:lang w:val="en-GB" w:eastAsia="en-GB"/>
              </w:rPr>
              <w:t>September - Plovdiv section</w:t>
            </w:r>
            <w:r w:rsidRPr="008340BB">
              <w:rPr>
                <w:sz w:val="24"/>
                <w:lang w:val="en-GB" w:eastAsia="en-GB"/>
              </w:rPr>
              <w:t xml:space="preserve"> </w:t>
            </w:r>
            <w:r w:rsidRPr="008340BB">
              <w:rPr>
                <w:rStyle w:val="hps"/>
                <w:sz w:val="24"/>
                <w:lang w:val="en-GB" w:eastAsia="en-GB"/>
              </w:rPr>
              <w:t>of the railway</w:t>
            </w:r>
            <w:r w:rsidRPr="008340BB">
              <w:rPr>
                <w:sz w:val="24"/>
                <w:lang w:val="en-GB" w:eastAsia="en-GB"/>
              </w:rPr>
              <w:t xml:space="preserve"> </w:t>
            </w:r>
            <w:r w:rsidRPr="008340BB">
              <w:rPr>
                <w:rStyle w:val="hps"/>
                <w:sz w:val="24"/>
                <w:lang w:val="en-GB" w:eastAsia="en-GB"/>
              </w:rPr>
              <w:t>line Sofia</w:t>
            </w:r>
            <w:r w:rsidRPr="008340BB">
              <w:rPr>
                <w:rStyle w:val="atn"/>
                <w:sz w:val="24"/>
                <w:lang w:val="en-GB" w:eastAsia="en-GB"/>
              </w:rPr>
              <w:t>-Plovdiv (</w:t>
            </w:r>
            <w:r w:rsidRPr="008340BB">
              <w:rPr>
                <w:sz w:val="24"/>
                <w:lang w:val="en-GB" w:eastAsia="en-GB"/>
              </w:rPr>
              <w:t xml:space="preserve">along the </w:t>
            </w:r>
            <w:r w:rsidRPr="008340BB">
              <w:rPr>
                <w:rStyle w:val="hps"/>
                <w:sz w:val="24"/>
                <w:lang w:val="en-GB" w:eastAsia="en-GB"/>
              </w:rPr>
              <w:t>Trans-</w:t>
            </w:r>
            <w:r w:rsidRPr="008340BB">
              <w:rPr>
                <w:sz w:val="24"/>
                <w:lang w:val="en-GB" w:eastAsia="en-GB"/>
              </w:rPr>
              <w:t xml:space="preserve">European transport network); </w:t>
            </w:r>
          </w:p>
          <w:p w14:paraId="2DD882AB" w14:textId="77777777" w:rsidR="00F1341F" w:rsidRPr="008340BB" w:rsidRDefault="00F1341F" w:rsidP="00DF189E">
            <w:pPr>
              <w:pStyle w:val="ListDash1"/>
              <w:numPr>
                <w:ilvl w:val="0"/>
                <w:numId w:val="70"/>
              </w:numPr>
              <w:spacing w:before="120" w:after="0"/>
              <w:rPr>
                <w:sz w:val="24"/>
                <w:lang w:val="en-GB" w:eastAsia="en-GB"/>
              </w:rPr>
            </w:pPr>
            <w:r w:rsidRPr="008340BB">
              <w:rPr>
                <w:rStyle w:val="hps"/>
                <w:sz w:val="24"/>
                <w:lang w:val="en-GB" w:eastAsia="en-GB"/>
              </w:rPr>
              <w:t>Completion of</w:t>
            </w:r>
            <w:r w:rsidRPr="008340BB">
              <w:rPr>
                <w:sz w:val="24"/>
                <w:lang w:val="en-GB" w:eastAsia="en-GB"/>
              </w:rPr>
              <w:t xml:space="preserve"> </w:t>
            </w:r>
            <w:r w:rsidRPr="008340BB">
              <w:rPr>
                <w:rStyle w:val="hps"/>
                <w:sz w:val="24"/>
                <w:lang w:val="en-GB" w:eastAsia="en-GB"/>
              </w:rPr>
              <w:t>Trakia</w:t>
            </w:r>
            <w:r w:rsidRPr="008340BB">
              <w:rPr>
                <w:sz w:val="24"/>
                <w:lang w:val="en-GB" w:eastAsia="en-GB"/>
              </w:rPr>
              <w:t xml:space="preserve"> Motorway</w:t>
            </w:r>
            <w:r w:rsidRPr="008340BB">
              <w:rPr>
                <w:rStyle w:val="hps"/>
                <w:sz w:val="24"/>
                <w:lang w:val="en-GB" w:eastAsia="en-GB"/>
              </w:rPr>
              <w:t>-</w:t>
            </w:r>
            <w:r w:rsidRPr="008340BB">
              <w:rPr>
                <w:sz w:val="24"/>
                <w:lang w:val="en-GB" w:eastAsia="en-GB"/>
              </w:rPr>
              <w:t xml:space="preserve"> </w:t>
            </w:r>
            <w:r w:rsidRPr="008340BB">
              <w:rPr>
                <w:rStyle w:val="hps"/>
                <w:sz w:val="24"/>
                <w:lang w:val="en-GB" w:eastAsia="en-GB"/>
              </w:rPr>
              <w:t>Lots 2</w:t>
            </w:r>
            <w:r w:rsidRPr="008340BB">
              <w:rPr>
                <w:sz w:val="24"/>
                <w:lang w:val="en-GB" w:eastAsia="en-GB"/>
              </w:rPr>
              <w:t xml:space="preserve">, 3 </w:t>
            </w:r>
            <w:r w:rsidRPr="008340BB">
              <w:rPr>
                <w:rStyle w:val="hps"/>
                <w:sz w:val="24"/>
                <w:lang w:val="en-GB" w:eastAsia="en-GB"/>
              </w:rPr>
              <w:t>and 4;</w:t>
            </w:r>
            <w:r w:rsidRPr="008340BB">
              <w:rPr>
                <w:sz w:val="24"/>
                <w:lang w:val="en-GB" w:eastAsia="en-GB"/>
              </w:rPr>
              <w:t xml:space="preserve"> </w:t>
            </w:r>
          </w:p>
          <w:p w14:paraId="6619AE0A" w14:textId="77777777" w:rsidR="00F1341F" w:rsidRPr="008340BB" w:rsidRDefault="00F1341F" w:rsidP="00DF189E">
            <w:pPr>
              <w:pStyle w:val="ListDash1"/>
              <w:numPr>
                <w:ilvl w:val="0"/>
                <w:numId w:val="70"/>
              </w:numPr>
              <w:spacing w:before="120" w:after="0"/>
              <w:rPr>
                <w:sz w:val="24"/>
                <w:lang w:val="en-GB" w:eastAsia="en-GB"/>
              </w:rPr>
            </w:pPr>
            <w:r w:rsidRPr="008340BB">
              <w:rPr>
                <w:rStyle w:val="hps"/>
                <w:sz w:val="24"/>
                <w:lang w:val="en-GB" w:eastAsia="en-GB"/>
              </w:rPr>
              <w:t>Construction of</w:t>
            </w:r>
            <w:r w:rsidRPr="008340BB">
              <w:rPr>
                <w:sz w:val="24"/>
                <w:lang w:val="en-GB" w:eastAsia="en-GB"/>
              </w:rPr>
              <w:t xml:space="preserve"> </w:t>
            </w:r>
            <w:r w:rsidRPr="008340BB">
              <w:rPr>
                <w:rStyle w:val="hps"/>
                <w:sz w:val="24"/>
                <w:lang w:val="en-GB" w:eastAsia="en-GB"/>
              </w:rPr>
              <w:t>Maritsa Motorway</w:t>
            </w:r>
            <w:r w:rsidRPr="008340BB">
              <w:rPr>
                <w:sz w:val="24"/>
                <w:lang w:val="en-GB" w:eastAsia="en-GB"/>
              </w:rPr>
              <w:t xml:space="preserve">, Lots </w:t>
            </w:r>
            <w:r w:rsidRPr="008340BB">
              <w:rPr>
                <w:rStyle w:val="hps"/>
                <w:sz w:val="24"/>
                <w:lang w:val="en-GB" w:eastAsia="en-GB"/>
              </w:rPr>
              <w:t>1 and 2</w:t>
            </w:r>
            <w:r w:rsidRPr="008340BB">
              <w:rPr>
                <w:sz w:val="24"/>
                <w:lang w:val="en-GB" w:eastAsia="en-GB"/>
              </w:rPr>
              <w:t xml:space="preserve">; </w:t>
            </w:r>
          </w:p>
          <w:p w14:paraId="0236A043" w14:textId="77777777" w:rsidR="00F1341F" w:rsidRPr="008340BB" w:rsidRDefault="00F1341F" w:rsidP="00DF189E">
            <w:pPr>
              <w:pStyle w:val="ListDash1"/>
              <w:numPr>
                <w:ilvl w:val="0"/>
                <w:numId w:val="70"/>
              </w:numPr>
              <w:spacing w:before="120" w:after="0"/>
              <w:rPr>
                <w:sz w:val="24"/>
                <w:lang w:val="en-GB" w:eastAsia="en-GB"/>
              </w:rPr>
            </w:pPr>
            <w:r w:rsidRPr="008340BB">
              <w:rPr>
                <w:rStyle w:val="hps"/>
                <w:sz w:val="24"/>
                <w:lang w:val="en-GB" w:eastAsia="en-GB"/>
              </w:rPr>
              <w:t>Struma Motorway</w:t>
            </w:r>
            <w:r w:rsidRPr="008340BB">
              <w:rPr>
                <w:sz w:val="24"/>
                <w:lang w:val="en-GB" w:eastAsia="en-GB"/>
              </w:rPr>
              <w:t xml:space="preserve">, </w:t>
            </w:r>
            <w:r w:rsidRPr="008340BB">
              <w:rPr>
                <w:rStyle w:val="hps"/>
                <w:sz w:val="24"/>
                <w:lang w:val="en-GB" w:eastAsia="en-GB"/>
              </w:rPr>
              <w:t>Lots</w:t>
            </w:r>
            <w:r w:rsidRPr="008340BB">
              <w:rPr>
                <w:sz w:val="24"/>
                <w:lang w:val="en-GB" w:eastAsia="en-GB"/>
              </w:rPr>
              <w:t xml:space="preserve"> </w:t>
            </w:r>
            <w:r w:rsidRPr="008340BB">
              <w:rPr>
                <w:rStyle w:val="hps"/>
                <w:sz w:val="24"/>
                <w:lang w:val="en-GB" w:eastAsia="en-GB"/>
              </w:rPr>
              <w:t>1, 2</w:t>
            </w:r>
            <w:r w:rsidRPr="008340BB">
              <w:rPr>
                <w:sz w:val="24"/>
                <w:lang w:val="en-GB" w:eastAsia="en-GB"/>
              </w:rPr>
              <w:t xml:space="preserve"> </w:t>
            </w:r>
            <w:r w:rsidRPr="008340BB">
              <w:rPr>
                <w:rStyle w:val="hps"/>
                <w:sz w:val="24"/>
                <w:lang w:val="en-GB" w:eastAsia="en-GB"/>
              </w:rPr>
              <w:t>and 4;</w:t>
            </w:r>
            <w:r w:rsidRPr="008340BB">
              <w:rPr>
                <w:sz w:val="24"/>
                <w:lang w:val="en-GB" w:eastAsia="en-GB"/>
              </w:rPr>
              <w:t xml:space="preserve"> </w:t>
            </w:r>
          </w:p>
          <w:p w14:paraId="04AEC9AA" w14:textId="77777777" w:rsidR="00F1341F" w:rsidRPr="008340BB" w:rsidRDefault="00F1341F" w:rsidP="00DF189E">
            <w:pPr>
              <w:pStyle w:val="ListDash1"/>
              <w:numPr>
                <w:ilvl w:val="0"/>
                <w:numId w:val="70"/>
              </w:numPr>
              <w:spacing w:before="120" w:after="0"/>
              <w:rPr>
                <w:sz w:val="24"/>
                <w:lang w:val="en-GB" w:eastAsia="en-GB"/>
              </w:rPr>
            </w:pPr>
            <w:r w:rsidRPr="008340BB">
              <w:rPr>
                <w:rStyle w:val="hps"/>
                <w:sz w:val="24"/>
                <w:lang w:val="en-GB" w:eastAsia="en-GB"/>
              </w:rPr>
              <w:t>Bypass road</w:t>
            </w:r>
            <w:r w:rsidRPr="008340BB">
              <w:rPr>
                <w:sz w:val="24"/>
                <w:lang w:val="en-GB" w:eastAsia="en-GB"/>
              </w:rPr>
              <w:t xml:space="preserve"> </w:t>
            </w:r>
            <w:r w:rsidRPr="008340BB">
              <w:rPr>
                <w:rStyle w:val="hps"/>
                <w:sz w:val="24"/>
                <w:lang w:val="en-GB" w:eastAsia="en-GB"/>
              </w:rPr>
              <w:t xml:space="preserve">of the town </w:t>
            </w:r>
            <w:r w:rsidRPr="008340BB">
              <w:rPr>
                <w:rStyle w:val="alt-edited"/>
                <w:sz w:val="24"/>
                <w:lang w:val="en-GB" w:eastAsia="en-GB"/>
              </w:rPr>
              <w:t>of</w:t>
            </w:r>
            <w:r w:rsidRPr="008340BB">
              <w:rPr>
                <w:sz w:val="24"/>
                <w:lang w:val="en-GB" w:eastAsia="en-GB"/>
              </w:rPr>
              <w:t xml:space="preserve"> </w:t>
            </w:r>
            <w:r w:rsidRPr="008340BB">
              <w:rPr>
                <w:rStyle w:val="hps"/>
                <w:sz w:val="24"/>
                <w:lang w:val="en-GB" w:eastAsia="en-GB"/>
              </w:rPr>
              <w:t>Montana</w:t>
            </w:r>
            <w:r w:rsidRPr="008340BB">
              <w:rPr>
                <w:sz w:val="24"/>
                <w:lang w:val="en-GB" w:eastAsia="en-GB"/>
              </w:rPr>
              <w:t xml:space="preserve"> </w:t>
            </w:r>
            <w:r w:rsidRPr="008340BB">
              <w:rPr>
                <w:rStyle w:val="hps"/>
                <w:sz w:val="24"/>
                <w:lang w:val="en-GB" w:eastAsia="en-GB"/>
              </w:rPr>
              <w:t>– Road I-</w:t>
            </w:r>
            <w:r w:rsidRPr="008340BB">
              <w:rPr>
                <w:rStyle w:val="alt-edited"/>
                <w:sz w:val="24"/>
                <w:lang w:val="en-GB" w:eastAsia="en-GB"/>
              </w:rPr>
              <w:t>1</w:t>
            </w:r>
            <w:r w:rsidRPr="008340BB">
              <w:rPr>
                <w:sz w:val="24"/>
                <w:lang w:val="en-GB" w:eastAsia="en-GB"/>
              </w:rPr>
              <w:t xml:space="preserve"> </w:t>
            </w:r>
            <w:r w:rsidRPr="008340BB">
              <w:rPr>
                <w:rStyle w:val="hps"/>
                <w:sz w:val="24"/>
                <w:lang w:val="en-GB" w:eastAsia="en-GB"/>
              </w:rPr>
              <w:t>(E-</w:t>
            </w:r>
            <w:r w:rsidRPr="008340BB">
              <w:rPr>
                <w:sz w:val="24"/>
                <w:lang w:val="en-GB" w:eastAsia="en-GB"/>
              </w:rPr>
              <w:t xml:space="preserve">79). </w:t>
            </w:r>
          </w:p>
          <w:p w14:paraId="407B2F64" w14:textId="77777777" w:rsidR="00F1341F" w:rsidRPr="008340BB" w:rsidRDefault="00F1341F" w:rsidP="007D3E17">
            <w:pPr>
              <w:pStyle w:val="ListDash1"/>
              <w:numPr>
                <w:ilvl w:val="0"/>
                <w:numId w:val="0"/>
              </w:numPr>
              <w:spacing w:before="120" w:after="0"/>
              <w:rPr>
                <w:sz w:val="24"/>
                <w:lang w:val="en-GB" w:eastAsia="en-GB"/>
              </w:rPr>
            </w:pPr>
            <w:r w:rsidRPr="008340BB">
              <w:rPr>
                <w:rStyle w:val="hps"/>
                <w:sz w:val="24"/>
                <w:lang w:val="en-GB" w:eastAsia="en-GB"/>
              </w:rPr>
              <w:t xml:space="preserve">It is envisaged that the </w:t>
            </w:r>
            <w:r w:rsidRPr="008340BB">
              <w:rPr>
                <w:sz w:val="24"/>
                <w:lang w:val="en-GB" w:eastAsia="en-GB"/>
              </w:rPr>
              <w:t xml:space="preserve"> </w:t>
            </w:r>
            <w:r w:rsidRPr="008340BB">
              <w:rPr>
                <w:rStyle w:val="hps"/>
                <w:sz w:val="24"/>
                <w:lang w:val="en-GB" w:eastAsia="en-GB"/>
              </w:rPr>
              <w:t>cooperation between the</w:t>
            </w:r>
            <w:r w:rsidRPr="008340BB">
              <w:rPr>
                <w:sz w:val="24"/>
                <w:lang w:val="en-GB" w:eastAsia="en-GB"/>
              </w:rPr>
              <w:t xml:space="preserve"> </w:t>
            </w:r>
            <w:r w:rsidRPr="008340BB">
              <w:rPr>
                <w:rStyle w:val="hps"/>
                <w:sz w:val="24"/>
                <w:lang w:val="en-GB" w:eastAsia="en-GB"/>
              </w:rPr>
              <w:t>Republic of</w:t>
            </w:r>
            <w:r w:rsidRPr="008340BB">
              <w:rPr>
                <w:sz w:val="24"/>
                <w:lang w:val="en-GB" w:eastAsia="en-GB"/>
              </w:rPr>
              <w:t xml:space="preserve"> </w:t>
            </w:r>
            <w:r w:rsidRPr="008340BB">
              <w:rPr>
                <w:rStyle w:val="hps"/>
                <w:sz w:val="24"/>
                <w:lang w:val="en-GB" w:eastAsia="en-GB"/>
              </w:rPr>
              <w:t>Bulgaria</w:t>
            </w:r>
            <w:r w:rsidRPr="008340BB">
              <w:rPr>
                <w:sz w:val="24"/>
                <w:lang w:val="en-GB" w:eastAsia="en-GB"/>
              </w:rPr>
              <w:t xml:space="preserve"> </w:t>
            </w:r>
            <w:r w:rsidRPr="008340BB">
              <w:rPr>
                <w:rStyle w:val="hps"/>
                <w:sz w:val="24"/>
                <w:lang w:val="en-GB" w:eastAsia="en-GB"/>
              </w:rPr>
              <w:t>and the EIB</w:t>
            </w:r>
            <w:r w:rsidRPr="008340BB">
              <w:rPr>
                <w:sz w:val="24"/>
                <w:lang w:val="en-GB" w:eastAsia="en-GB"/>
              </w:rPr>
              <w:t xml:space="preserve"> </w:t>
            </w:r>
            <w:r w:rsidRPr="008340BB">
              <w:rPr>
                <w:rStyle w:val="hps"/>
                <w:sz w:val="24"/>
                <w:lang w:val="en-GB" w:eastAsia="en-GB"/>
              </w:rPr>
              <w:t>in the field of providing</w:t>
            </w:r>
            <w:r w:rsidRPr="008340BB">
              <w:rPr>
                <w:sz w:val="24"/>
                <w:lang w:val="en-GB" w:eastAsia="en-GB"/>
              </w:rPr>
              <w:t xml:space="preserve"> </w:t>
            </w:r>
            <w:r w:rsidRPr="008340BB">
              <w:rPr>
                <w:rStyle w:val="hps"/>
                <w:sz w:val="24"/>
                <w:lang w:val="en-GB" w:eastAsia="en-GB"/>
              </w:rPr>
              <w:t>structural</w:t>
            </w:r>
            <w:r w:rsidRPr="008340BB">
              <w:rPr>
                <w:sz w:val="24"/>
                <w:lang w:val="en-GB" w:eastAsia="en-GB"/>
              </w:rPr>
              <w:t xml:space="preserve"> </w:t>
            </w:r>
            <w:r w:rsidRPr="008340BB">
              <w:rPr>
                <w:rStyle w:val="hps"/>
                <w:sz w:val="24"/>
                <w:lang w:val="en-GB" w:eastAsia="en-GB"/>
              </w:rPr>
              <w:t>loans</w:t>
            </w:r>
            <w:r w:rsidRPr="008340BB">
              <w:rPr>
                <w:sz w:val="24"/>
                <w:lang w:val="en-GB" w:eastAsia="en-GB"/>
              </w:rPr>
              <w:t xml:space="preserve"> will </w:t>
            </w:r>
            <w:r w:rsidRPr="008340BB">
              <w:rPr>
                <w:rStyle w:val="hps"/>
                <w:sz w:val="24"/>
                <w:lang w:val="en-GB" w:eastAsia="en-GB"/>
              </w:rPr>
              <w:t>continue</w:t>
            </w:r>
            <w:r w:rsidRPr="008340BB">
              <w:rPr>
                <w:sz w:val="24"/>
                <w:lang w:val="en-GB" w:eastAsia="en-GB"/>
              </w:rPr>
              <w:t xml:space="preserve"> </w:t>
            </w:r>
            <w:r w:rsidRPr="008340BB">
              <w:rPr>
                <w:rStyle w:val="hps"/>
                <w:sz w:val="24"/>
                <w:lang w:val="en-GB" w:eastAsia="en-GB"/>
              </w:rPr>
              <w:t>also during the</w:t>
            </w:r>
            <w:r w:rsidRPr="008340BB">
              <w:rPr>
                <w:sz w:val="24"/>
                <w:lang w:val="en-GB" w:eastAsia="en-GB"/>
              </w:rPr>
              <w:t xml:space="preserve"> 2014-2020</w:t>
            </w:r>
            <w:r w:rsidRPr="008340BB">
              <w:rPr>
                <w:rStyle w:val="alt-edited"/>
                <w:sz w:val="24"/>
                <w:lang w:val="en-GB" w:eastAsia="en-GB"/>
              </w:rPr>
              <w:t xml:space="preserve"> programming period.</w:t>
            </w:r>
            <w:r w:rsidRPr="008340BB">
              <w:rPr>
                <w:sz w:val="24"/>
                <w:lang w:val="en-GB" w:eastAsia="en-GB"/>
              </w:rPr>
              <w:t xml:space="preserve"> </w:t>
            </w:r>
            <w:r w:rsidRPr="008340BB">
              <w:rPr>
                <w:rStyle w:val="hps"/>
                <w:sz w:val="24"/>
                <w:lang w:val="en-GB" w:eastAsia="en-GB"/>
              </w:rPr>
              <w:t>At this stage</w:t>
            </w:r>
            <w:r w:rsidRPr="008340BB">
              <w:rPr>
                <w:sz w:val="24"/>
                <w:lang w:val="en-GB" w:eastAsia="en-GB"/>
              </w:rPr>
              <w:t xml:space="preserve"> </w:t>
            </w:r>
            <w:r w:rsidRPr="008340BB">
              <w:rPr>
                <w:rStyle w:val="hps"/>
                <w:sz w:val="24"/>
                <w:lang w:val="en-GB" w:eastAsia="en-GB"/>
              </w:rPr>
              <w:t>there are no specific</w:t>
            </w:r>
            <w:r w:rsidRPr="008340BB">
              <w:rPr>
                <w:sz w:val="24"/>
                <w:lang w:val="en-GB" w:eastAsia="en-GB"/>
              </w:rPr>
              <w:t xml:space="preserve"> </w:t>
            </w:r>
            <w:r w:rsidRPr="008340BB">
              <w:rPr>
                <w:rStyle w:val="hps"/>
                <w:sz w:val="24"/>
                <w:lang w:val="en-GB" w:eastAsia="en-GB"/>
              </w:rPr>
              <w:t>data on</w:t>
            </w:r>
            <w:r w:rsidRPr="008340BB">
              <w:rPr>
                <w:sz w:val="24"/>
                <w:lang w:val="en-GB" w:eastAsia="en-GB"/>
              </w:rPr>
              <w:t xml:space="preserve"> </w:t>
            </w:r>
            <w:r w:rsidRPr="008340BB">
              <w:rPr>
                <w:rStyle w:val="hps"/>
                <w:sz w:val="24"/>
                <w:lang w:val="en-GB" w:eastAsia="en-GB"/>
              </w:rPr>
              <w:t>the financial framework</w:t>
            </w:r>
            <w:r w:rsidRPr="008340BB">
              <w:rPr>
                <w:sz w:val="24"/>
                <w:lang w:val="en-GB" w:eastAsia="en-GB"/>
              </w:rPr>
              <w:t xml:space="preserve"> </w:t>
            </w:r>
            <w:r w:rsidRPr="008340BB">
              <w:rPr>
                <w:rStyle w:val="hps"/>
                <w:sz w:val="24"/>
                <w:lang w:val="en-GB" w:eastAsia="en-GB"/>
              </w:rPr>
              <w:t>of</w:t>
            </w:r>
            <w:r w:rsidRPr="008340BB">
              <w:rPr>
                <w:sz w:val="24"/>
                <w:lang w:val="en-GB" w:eastAsia="en-GB"/>
              </w:rPr>
              <w:t xml:space="preserve"> </w:t>
            </w:r>
            <w:r w:rsidRPr="008340BB">
              <w:rPr>
                <w:rStyle w:val="hps"/>
                <w:sz w:val="24"/>
                <w:lang w:val="en-GB" w:eastAsia="en-GB"/>
              </w:rPr>
              <w:t>such cooperation</w:t>
            </w:r>
            <w:r w:rsidRPr="008340BB">
              <w:rPr>
                <w:sz w:val="24"/>
                <w:lang w:val="en-GB" w:eastAsia="en-GB"/>
              </w:rPr>
              <w:t xml:space="preserve">, but it is </w:t>
            </w:r>
            <w:r w:rsidRPr="008340BB">
              <w:rPr>
                <w:rStyle w:val="hps"/>
                <w:sz w:val="24"/>
                <w:lang w:val="en-GB" w:eastAsia="en-GB"/>
              </w:rPr>
              <w:t>planned to hold</w:t>
            </w:r>
            <w:r w:rsidRPr="008340BB">
              <w:rPr>
                <w:sz w:val="24"/>
                <w:lang w:val="en-GB" w:eastAsia="en-GB"/>
              </w:rPr>
              <w:t xml:space="preserve"> </w:t>
            </w:r>
            <w:r w:rsidRPr="008340BB">
              <w:rPr>
                <w:rStyle w:val="hps"/>
                <w:sz w:val="24"/>
                <w:lang w:val="en-GB" w:eastAsia="en-GB"/>
              </w:rPr>
              <w:t>negotiations with the</w:t>
            </w:r>
            <w:r w:rsidRPr="008340BB">
              <w:rPr>
                <w:sz w:val="24"/>
                <w:lang w:val="en-GB" w:eastAsia="en-GB"/>
              </w:rPr>
              <w:t xml:space="preserve"> </w:t>
            </w:r>
            <w:r w:rsidRPr="008340BB">
              <w:rPr>
                <w:rStyle w:val="hps"/>
                <w:sz w:val="24"/>
                <w:lang w:val="en-GB" w:eastAsia="en-GB"/>
              </w:rPr>
              <w:t>EIB to</w:t>
            </w:r>
            <w:r w:rsidRPr="008340BB">
              <w:rPr>
                <w:sz w:val="24"/>
                <w:lang w:val="en-GB" w:eastAsia="en-GB"/>
              </w:rPr>
              <w:t xml:space="preserve"> </w:t>
            </w:r>
            <w:r w:rsidRPr="008340BB">
              <w:rPr>
                <w:rStyle w:val="hps"/>
                <w:sz w:val="24"/>
                <w:lang w:val="en-GB" w:eastAsia="en-GB"/>
              </w:rPr>
              <w:t>ensure</w:t>
            </w:r>
            <w:r w:rsidRPr="008340BB">
              <w:rPr>
                <w:sz w:val="24"/>
                <w:lang w:val="en-GB" w:eastAsia="en-GB"/>
              </w:rPr>
              <w:t xml:space="preserve"> </w:t>
            </w:r>
            <w:r w:rsidRPr="008340BB">
              <w:rPr>
                <w:rStyle w:val="hps"/>
                <w:sz w:val="24"/>
                <w:lang w:val="en-GB" w:eastAsia="en-GB"/>
              </w:rPr>
              <w:t>the necessary</w:t>
            </w:r>
            <w:r w:rsidRPr="008340BB">
              <w:rPr>
                <w:sz w:val="24"/>
                <w:lang w:val="en-GB" w:eastAsia="en-GB"/>
              </w:rPr>
              <w:t xml:space="preserve"> </w:t>
            </w:r>
            <w:r w:rsidRPr="008340BB">
              <w:rPr>
                <w:rStyle w:val="hps"/>
                <w:sz w:val="24"/>
                <w:lang w:val="en-GB" w:eastAsia="en-GB"/>
              </w:rPr>
              <w:t>funds to complete the</w:t>
            </w:r>
            <w:r w:rsidRPr="008340BB">
              <w:rPr>
                <w:sz w:val="24"/>
                <w:lang w:val="en-GB" w:eastAsia="en-GB"/>
              </w:rPr>
              <w:t xml:space="preserve"> </w:t>
            </w:r>
            <w:r w:rsidRPr="008340BB">
              <w:rPr>
                <w:rStyle w:val="hps"/>
                <w:sz w:val="24"/>
                <w:lang w:val="en-GB" w:eastAsia="en-GB"/>
              </w:rPr>
              <w:t>main directions</w:t>
            </w:r>
            <w:r w:rsidRPr="008340BB">
              <w:rPr>
                <w:sz w:val="24"/>
                <w:lang w:val="en-GB" w:eastAsia="en-GB"/>
              </w:rPr>
              <w:t xml:space="preserve"> </w:t>
            </w:r>
            <w:r w:rsidRPr="008340BB">
              <w:rPr>
                <w:rStyle w:val="hps"/>
                <w:sz w:val="24"/>
                <w:lang w:val="en-GB" w:eastAsia="en-GB"/>
              </w:rPr>
              <w:t xml:space="preserve">along the </w:t>
            </w:r>
            <w:r w:rsidRPr="008340BB">
              <w:rPr>
                <w:sz w:val="24"/>
                <w:lang w:val="en-GB" w:eastAsia="en-GB"/>
              </w:rPr>
              <w:t xml:space="preserve"> </w:t>
            </w:r>
            <w:r w:rsidRPr="008340BB">
              <w:rPr>
                <w:rStyle w:val="hps"/>
                <w:sz w:val="24"/>
                <w:lang w:val="en-GB" w:eastAsia="en-GB"/>
              </w:rPr>
              <w:t>Trans-European Transport Network passing</w:t>
            </w:r>
            <w:r w:rsidRPr="008340BB">
              <w:rPr>
                <w:sz w:val="24"/>
                <w:lang w:val="en-GB" w:eastAsia="en-GB"/>
              </w:rPr>
              <w:t xml:space="preserve"> </w:t>
            </w:r>
            <w:r w:rsidRPr="008340BB">
              <w:rPr>
                <w:rStyle w:val="hps"/>
                <w:sz w:val="24"/>
                <w:lang w:val="en-GB" w:eastAsia="en-GB"/>
              </w:rPr>
              <w:t>through the country</w:t>
            </w:r>
            <w:r w:rsidRPr="008340BB">
              <w:rPr>
                <w:rStyle w:val="alt-edited"/>
                <w:sz w:val="24"/>
                <w:lang w:val="en-GB" w:eastAsia="en-GB"/>
              </w:rPr>
              <w:t>.</w:t>
            </w:r>
          </w:p>
        </w:tc>
      </w:tr>
    </w:tbl>
    <w:p w14:paraId="3667AE6D" w14:textId="77777777" w:rsidR="00F1341F" w:rsidRPr="00A828C5" w:rsidRDefault="00F1341F" w:rsidP="00F03C1E">
      <w:pPr>
        <w:ind w:left="482"/>
      </w:pPr>
    </w:p>
    <w:p w14:paraId="429B4A50" w14:textId="77777777" w:rsidR="00F1341F" w:rsidRPr="008340BB" w:rsidRDefault="00F1341F" w:rsidP="00BF3391">
      <w:pPr>
        <w:pStyle w:val="ManualHeading1"/>
      </w:pPr>
      <w:r w:rsidRPr="008340BB">
        <w:br w:type="page"/>
      </w:r>
      <w:r w:rsidRPr="008340BB">
        <w:lastRenderedPageBreak/>
        <w:t>SECTION 9</w:t>
      </w:r>
      <w:r w:rsidRPr="008340BB">
        <w:tab/>
        <w:t xml:space="preserve">Ex-ante conditionalities </w:t>
      </w:r>
    </w:p>
    <w:p w14:paraId="5A7EBA2D" w14:textId="77777777" w:rsidR="00F1341F" w:rsidRPr="008340BB" w:rsidRDefault="00F1341F" w:rsidP="00F03C1E">
      <w:r w:rsidRPr="008340BB">
        <w:t>(Reference: point (b) of Article 96(6) of Regulation (EU) No 1303/2013)</w:t>
      </w:r>
    </w:p>
    <w:p w14:paraId="4AB92564" w14:textId="77777777" w:rsidR="00F1341F" w:rsidRPr="008340BB" w:rsidRDefault="00F1341F" w:rsidP="00F03C1E">
      <w:pPr>
        <w:rPr>
          <w:b/>
        </w:rPr>
      </w:pPr>
    </w:p>
    <w:p w14:paraId="3BDC4D63" w14:textId="77777777" w:rsidR="00F1341F" w:rsidRPr="008340BB" w:rsidRDefault="00F1341F" w:rsidP="00E652C6">
      <w:pPr>
        <w:rPr>
          <w:i/>
        </w:rPr>
      </w:pPr>
      <w:r w:rsidRPr="008340BB">
        <w:rPr>
          <w:b/>
        </w:rPr>
        <w:t xml:space="preserve">9.1 </w:t>
      </w:r>
      <w:r w:rsidRPr="008340BB">
        <w:rPr>
          <w:b/>
        </w:rPr>
        <w:tab/>
        <w:t>Ex-ante conditionalities</w:t>
      </w:r>
      <w:r w:rsidRPr="008340BB">
        <w:rPr>
          <w:i/>
        </w:rPr>
        <w:t xml:space="preserve"> </w:t>
      </w:r>
    </w:p>
    <w:p w14:paraId="0D91A390" w14:textId="77777777" w:rsidR="00F1341F" w:rsidRPr="008340BB" w:rsidRDefault="00F1341F" w:rsidP="00E652C6">
      <w:r w:rsidRPr="008340BB">
        <w:t>Information on the assessment of the applicability and the fulfilment of ex-ante conditionalities (optional)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5"/>
      </w:tblGrid>
      <w:tr w:rsidR="00F1341F" w:rsidRPr="008340BB" w14:paraId="57433845" w14:textId="77777777" w:rsidTr="00B93B16">
        <w:trPr>
          <w:trHeight w:val="565"/>
        </w:trPr>
        <w:tc>
          <w:tcPr>
            <w:tcW w:w="8725" w:type="dxa"/>
          </w:tcPr>
          <w:p w14:paraId="273C8190" w14:textId="77777777" w:rsidR="00F1341F" w:rsidRPr="008340BB" w:rsidRDefault="00F1341F" w:rsidP="00447A75">
            <w:pPr>
              <w:pStyle w:val="ListDash2"/>
              <w:numPr>
                <w:ilvl w:val="0"/>
                <w:numId w:val="0"/>
              </w:numPr>
            </w:pPr>
          </w:p>
        </w:tc>
      </w:tr>
    </w:tbl>
    <w:p w14:paraId="48D2896E" w14:textId="77777777" w:rsidR="00F1341F" w:rsidRPr="008340BB" w:rsidRDefault="00F1341F" w:rsidP="00E652C6">
      <w:pPr>
        <w:rPr>
          <w:b/>
        </w:rPr>
      </w:pPr>
    </w:p>
    <w:p w14:paraId="4FEF1D0C" w14:textId="77777777" w:rsidR="00F1341F" w:rsidRPr="008340BB" w:rsidRDefault="00F1341F" w:rsidP="00F03C1E">
      <w:pPr>
        <w:rPr>
          <w:b/>
        </w:rPr>
      </w:pPr>
      <w:r w:rsidRPr="008340BB">
        <w:rPr>
          <w:b/>
        </w:rPr>
        <w:t xml:space="preserve">Table 24: </w:t>
      </w:r>
      <w:r w:rsidRPr="008340BB">
        <w:rPr>
          <w:b/>
        </w:rPr>
        <w:tab/>
        <w:t>Applicable ex-ante conditionalities and assessment of their fulfilment</w:t>
      </w:r>
    </w:p>
    <w:p w14:paraId="233A3844" w14:textId="77777777" w:rsidR="00F1341F" w:rsidRPr="008340BB" w:rsidRDefault="00F1341F" w:rsidP="00F03C1E">
      <w:pPr>
        <w:rPr>
          <w:b/>
        </w:rPr>
      </w:pPr>
    </w:p>
    <w:tbl>
      <w:tblPr>
        <w:tblW w:w="53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7"/>
        <w:gridCol w:w="1517"/>
        <w:gridCol w:w="1394"/>
        <w:gridCol w:w="1426"/>
        <w:gridCol w:w="993"/>
        <w:gridCol w:w="1426"/>
        <w:gridCol w:w="1488"/>
      </w:tblGrid>
      <w:tr w:rsidR="00F1341F" w:rsidRPr="008340BB" w14:paraId="5342EE1F" w14:textId="77777777" w:rsidTr="00E23FEF">
        <w:trPr>
          <w:jc w:val="center"/>
        </w:trPr>
        <w:tc>
          <w:tcPr>
            <w:tcW w:w="758" w:type="pct"/>
          </w:tcPr>
          <w:p w14:paraId="0B8D598E" w14:textId="77777777" w:rsidR="00F1341F" w:rsidRPr="00435AC3" w:rsidRDefault="00F1341F" w:rsidP="00BF3391">
            <w:pPr>
              <w:spacing w:after="0"/>
              <w:rPr>
                <w:b/>
                <w:sz w:val="20"/>
                <w:lang w:val="fr-BE"/>
              </w:rPr>
            </w:pPr>
            <w:r w:rsidRPr="00435AC3">
              <w:rPr>
                <w:b/>
                <w:sz w:val="20"/>
                <w:lang w:val="fr-BE"/>
              </w:rPr>
              <w:t>Ex-ante conditionalities</w:t>
            </w:r>
          </w:p>
          <w:p w14:paraId="48B14FB0" w14:textId="77777777" w:rsidR="00F1341F" w:rsidRPr="00435AC3" w:rsidRDefault="00F1341F" w:rsidP="00BF3391">
            <w:pPr>
              <w:spacing w:after="0"/>
              <w:rPr>
                <w:b/>
                <w:sz w:val="20"/>
                <w:lang w:val="fr-BE"/>
              </w:rPr>
            </w:pPr>
          </w:p>
          <w:p w14:paraId="554AE821" w14:textId="77777777" w:rsidR="00F1341F" w:rsidRPr="00435AC3" w:rsidRDefault="00F1341F" w:rsidP="00BF3391">
            <w:pPr>
              <w:spacing w:after="0"/>
              <w:rPr>
                <w:b/>
                <w:sz w:val="20"/>
                <w:lang w:val="fr-BE"/>
              </w:rPr>
            </w:pPr>
          </w:p>
          <w:p w14:paraId="35B827FC" w14:textId="77777777" w:rsidR="00F1341F" w:rsidRPr="00435AC3" w:rsidRDefault="00F1341F" w:rsidP="00BF3391">
            <w:pPr>
              <w:spacing w:after="0"/>
              <w:rPr>
                <w:b/>
                <w:sz w:val="20"/>
                <w:lang w:val="fr-BE"/>
              </w:rPr>
            </w:pPr>
          </w:p>
          <w:p w14:paraId="74E2BAE5" w14:textId="77777777" w:rsidR="00F1341F" w:rsidRPr="00435AC3" w:rsidRDefault="00F1341F" w:rsidP="00243777">
            <w:pPr>
              <w:spacing w:after="0"/>
              <w:jc w:val="left"/>
              <w:rPr>
                <w:b/>
                <w:sz w:val="20"/>
                <w:lang w:val="fr-BE"/>
              </w:rPr>
            </w:pPr>
            <w:r w:rsidRPr="00435AC3">
              <w:rPr>
                <w:b/>
                <w:sz w:val="20"/>
                <w:lang w:val="fr-BE"/>
              </w:rPr>
              <w:t>Thematic ex-ante conditionalities</w:t>
            </w:r>
          </w:p>
        </w:tc>
        <w:tc>
          <w:tcPr>
            <w:tcW w:w="758" w:type="pct"/>
          </w:tcPr>
          <w:p w14:paraId="3928E6EB" w14:textId="77777777" w:rsidR="00F1341F" w:rsidRPr="008340BB" w:rsidRDefault="00F1341F" w:rsidP="00F17136">
            <w:pPr>
              <w:spacing w:after="0"/>
              <w:rPr>
                <w:b/>
                <w:sz w:val="20"/>
              </w:rPr>
            </w:pPr>
            <w:r w:rsidRPr="008340BB">
              <w:rPr>
                <w:b/>
                <w:sz w:val="20"/>
              </w:rPr>
              <w:t>Priority Axes to which conditionalities apply</w:t>
            </w:r>
          </w:p>
        </w:tc>
        <w:tc>
          <w:tcPr>
            <w:tcW w:w="697" w:type="pct"/>
          </w:tcPr>
          <w:p w14:paraId="712F856F" w14:textId="77777777" w:rsidR="00F1341F" w:rsidRPr="008340BB" w:rsidRDefault="00F1341F" w:rsidP="00BF3391">
            <w:pPr>
              <w:spacing w:after="0"/>
              <w:rPr>
                <w:b/>
                <w:sz w:val="20"/>
              </w:rPr>
            </w:pPr>
            <w:r w:rsidRPr="008340BB">
              <w:rPr>
                <w:b/>
                <w:sz w:val="20"/>
              </w:rPr>
              <w:t>Ex-ante conditionality fulfilled (yes /No/partially)</w:t>
            </w:r>
          </w:p>
        </w:tc>
        <w:tc>
          <w:tcPr>
            <w:tcW w:w="760" w:type="pct"/>
          </w:tcPr>
          <w:p w14:paraId="471ED8C7" w14:textId="77777777" w:rsidR="00F1341F" w:rsidRPr="008340BB" w:rsidRDefault="00F1341F" w:rsidP="00BF3391">
            <w:pPr>
              <w:spacing w:after="0"/>
              <w:rPr>
                <w:b/>
                <w:sz w:val="20"/>
              </w:rPr>
            </w:pPr>
            <w:r w:rsidRPr="008340BB">
              <w:rPr>
                <w:b/>
                <w:sz w:val="20"/>
              </w:rPr>
              <w:t xml:space="preserve">Criteria </w:t>
            </w:r>
          </w:p>
        </w:tc>
        <w:tc>
          <w:tcPr>
            <w:tcW w:w="542" w:type="pct"/>
          </w:tcPr>
          <w:p w14:paraId="056F220A" w14:textId="77777777" w:rsidR="00F1341F" w:rsidRPr="008340BB" w:rsidRDefault="00F1341F" w:rsidP="00BF3391">
            <w:pPr>
              <w:spacing w:after="0"/>
              <w:rPr>
                <w:b/>
                <w:sz w:val="20"/>
              </w:rPr>
            </w:pPr>
            <w:r w:rsidRPr="008340BB">
              <w:rPr>
                <w:b/>
                <w:sz w:val="20"/>
              </w:rPr>
              <w:t>Criteria  fulfilled (Yes/No)</w:t>
            </w:r>
          </w:p>
        </w:tc>
        <w:tc>
          <w:tcPr>
            <w:tcW w:w="760" w:type="pct"/>
          </w:tcPr>
          <w:p w14:paraId="137981A6" w14:textId="77777777" w:rsidR="00F1341F" w:rsidRPr="008340BB" w:rsidRDefault="00F1341F" w:rsidP="00BF3391">
            <w:pPr>
              <w:spacing w:after="0"/>
              <w:rPr>
                <w:b/>
              </w:rPr>
            </w:pPr>
            <w:r w:rsidRPr="008340BB">
              <w:rPr>
                <w:b/>
                <w:sz w:val="22"/>
              </w:rPr>
              <w:t>Reference</w:t>
            </w:r>
          </w:p>
          <w:p w14:paraId="376F70A2" w14:textId="77777777" w:rsidR="00F1341F" w:rsidRPr="008340BB" w:rsidRDefault="00F1341F" w:rsidP="00BF3391">
            <w:pPr>
              <w:spacing w:after="0"/>
              <w:rPr>
                <w:sz w:val="18"/>
                <w:szCs w:val="18"/>
              </w:rPr>
            </w:pPr>
            <w:r w:rsidRPr="008340BB">
              <w:rPr>
                <w:sz w:val="18"/>
                <w:szCs w:val="18"/>
              </w:rPr>
              <w:t>(reference to strategies, legal act or other relevant documents, incl. relevant sections, articles or paragraphs, accompanied by web-links or access to full text)</w:t>
            </w:r>
          </w:p>
        </w:tc>
        <w:tc>
          <w:tcPr>
            <w:tcW w:w="725" w:type="pct"/>
          </w:tcPr>
          <w:p w14:paraId="4940BA96" w14:textId="77777777" w:rsidR="00F1341F" w:rsidRPr="008340BB" w:rsidRDefault="00F1341F" w:rsidP="00BF3391">
            <w:pPr>
              <w:spacing w:after="0"/>
              <w:rPr>
                <w:b/>
              </w:rPr>
            </w:pPr>
            <w:r w:rsidRPr="008340BB">
              <w:rPr>
                <w:b/>
                <w:sz w:val="22"/>
              </w:rPr>
              <w:t xml:space="preserve">Explanations </w:t>
            </w:r>
          </w:p>
        </w:tc>
      </w:tr>
      <w:tr w:rsidR="00F1341F" w:rsidRPr="008340BB" w14:paraId="4A886CC8" w14:textId="77777777" w:rsidTr="00E23FEF">
        <w:trPr>
          <w:trHeight w:val="836"/>
          <w:jc w:val="center"/>
        </w:trPr>
        <w:tc>
          <w:tcPr>
            <w:tcW w:w="758" w:type="pct"/>
          </w:tcPr>
          <w:p w14:paraId="49B60F1A" w14:textId="77777777" w:rsidR="00F1341F" w:rsidRPr="008340BB" w:rsidRDefault="00F1341F" w:rsidP="005074C8">
            <w:pPr>
              <w:jc w:val="left"/>
              <w:rPr>
                <w:sz w:val="18"/>
                <w:szCs w:val="18"/>
                <w:lang w:eastAsia="en-US"/>
              </w:rPr>
            </w:pPr>
            <w:r w:rsidRPr="008340BB">
              <w:rPr>
                <w:sz w:val="18"/>
                <w:szCs w:val="18"/>
                <w:lang w:eastAsia="en-US"/>
              </w:rPr>
              <w:t>7.1. Road transport: The existence of a comprehensive plan(s) or framework(s) for transport investment in accordance with the Member States’ institutional set-up (including public transport at regional and local level) which supports infrastructure development and improves connectivity to the TEN-T comprehensive and core networks.</w:t>
            </w:r>
          </w:p>
          <w:p w14:paraId="686E2B3D" w14:textId="77777777" w:rsidR="00F1341F" w:rsidRPr="008340BB" w:rsidRDefault="00F1341F" w:rsidP="00F03C1E">
            <w:pPr>
              <w:rPr>
                <w:sz w:val="20"/>
              </w:rPr>
            </w:pPr>
          </w:p>
        </w:tc>
        <w:tc>
          <w:tcPr>
            <w:tcW w:w="758" w:type="pct"/>
          </w:tcPr>
          <w:p w14:paraId="657DB859" w14:textId="77777777" w:rsidR="00F1341F" w:rsidRPr="008340BB" w:rsidRDefault="00F1341F" w:rsidP="00F03C1E">
            <w:pPr>
              <w:rPr>
                <w:sz w:val="20"/>
              </w:rPr>
            </w:pPr>
            <w:r w:rsidRPr="008340BB">
              <w:rPr>
                <w:bCs/>
                <w:sz w:val="18"/>
                <w:szCs w:val="18"/>
                <w:lang w:eastAsia="bg-BG"/>
              </w:rPr>
              <w:t>"Development of road infrastructure along the “core”</w:t>
            </w:r>
            <w:r w:rsidR="008D0E27">
              <w:rPr>
                <w:bCs/>
                <w:sz w:val="18"/>
                <w:szCs w:val="18"/>
                <w:lang w:val="en-US" w:eastAsia="bg-BG"/>
              </w:rPr>
              <w:t xml:space="preserve"> and “comprehensive”</w:t>
            </w:r>
            <w:r w:rsidRPr="008340BB">
              <w:rPr>
                <w:bCs/>
                <w:sz w:val="18"/>
                <w:szCs w:val="18"/>
                <w:lang w:eastAsia="bg-BG"/>
              </w:rPr>
              <w:t xml:space="preserve"> Trans-European transport network"</w:t>
            </w:r>
          </w:p>
        </w:tc>
        <w:tc>
          <w:tcPr>
            <w:tcW w:w="697" w:type="pct"/>
          </w:tcPr>
          <w:p w14:paraId="23160B78" w14:textId="77777777" w:rsidR="00F1341F" w:rsidRPr="008340BB" w:rsidRDefault="00F1341F" w:rsidP="00F03C1E">
            <w:pPr>
              <w:rPr>
                <w:sz w:val="20"/>
              </w:rPr>
            </w:pPr>
            <w:r w:rsidRPr="008340BB">
              <w:rPr>
                <w:bCs/>
                <w:sz w:val="18"/>
                <w:szCs w:val="18"/>
                <w:lang w:eastAsia="bg-BG"/>
              </w:rPr>
              <w:t>Partially</w:t>
            </w:r>
          </w:p>
        </w:tc>
        <w:tc>
          <w:tcPr>
            <w:tcW w:w="760" w:type="pct"/>
          </w:tcPr>
          <w:p w14:paraId="1FC2CBF8" w14:textId="77777777" w:rsidR="00F1341F" w:rsidRPr="008340BB" w:rsidRDefault="00F1341F" w:rsidP="00896998">
            <w:pPr>
              <w:widowControl w:val="0"/>
              <w:jc w:val="left"/>
              <w:rPr>
                <w:sz w:val="18"/>
                <w:szCs w:val="18"/>
              </w:rPr>
            </w:pPr>
            <w:r w:rsidRPr="008340BB">
              <w:rPr>
                <w:sz w:val="18"/>
                <w:szCs w:val="18"/>
              </w:rPr>
              <w:t>The existence of a comprehensive transport plan(s) or framework(s) for transport investment which fulfils legal requirements for strategic environmental assessment and sets out:</w:t>
            </w:r>
          </w:p>
          <w:p w14:paraId="0F17A69D" w14:textId="77777777" w:rsidR="00F1341F" w:rsidRPr="008340BB" w:rsidRDefault="00F1341F" w:rsidP="006D02F1">
            <w:pPr>
              <w:widowControl w:val="0"/>
              <w:tabs>
                <w:tab w:val="left" w:pos="28"/>
              </w:tabs>
              <w:spacing w:before="0" w:after="0"/>
              <w:ind w:left="34"/>
              <w:jc w:val="left"/>
              <w:rPr>
                <w:sz w:val="18"/>
                <w:szCs w:val="18"/>
              </w:rPr>
            </w:pPr>
            <w:r w:rsidRPr="008340BB">
              <w:rPr>
                <w:sz w:val="18"/>
                <w:szCs w:val="18"/>
              </w:rPr>
              <w:t xml:space="preserve">- the contribution to the single European Transport Area consistent with Article 10 of Regulation </w:t>
            </w:r>
            <w:r w:rsidR="00866F3E">
              <w:rPr>
                <w:sz w:val="18"/>
                <w:szCs w:val="18"/>
                <w:lang w:val="en-US"/>
              </w:rPr>
              <w:t xml:space="preserve">(EU) </w:t>
            </w:r>
            <w:r w:rsidRPr="008340BB">
              <w:rPr>
                <w:sz w:val="18"/>
                <w:szCs w:val="18"/>
              </w:rPr>
              <w:t>No</w:t>
            </w:r>
            <w:r w:rsidR="00866F3E">
              <w:rPr>
                <w:sz w:val="18"/>
                <w:szCs w:val="18"/>
              </w:rPr>
              <w:t xml:space="preserve"> 1315/2013 of the European Parliament and of the Council</w:t>
            </w:r>
            <w:r w:rsidRPr="008340BB">
              <w:rPr>
                <w:sz w:val="18"/>
                <w:szCs w:val="18"/>
              </w:rPr>
              <w:t xml:space="preserve"> , including priorities for investments in: </w:t>
            </w:r>
          </w:p>
          <w:p w14:paraId="195F8D62" w14:textId="77777777" w:rsidR="00F1341F" w:rsidRPr="008340BB" w:rsidRDefault="00F1341F" w:rsidP="006D02F1">
            <w:pPr>
              <w:widowControl w:val="0"/>
              <w:tabs>
                <w:tab w:val="left" w:pos="317"/>
              </w:tabs>
              <w:spacing w:before="0" w:after="0"/>
              <w:ind w:left="34"/>
              <w:jc w:val="left"/>
              <w:rPr>
                <w:sz w:val="18"/>
                <w:szCs w:val="18"/>
              </w:rPr>
            </w:pPr>
            <w:r w:rsidRPr="008340BB">
              <w:rPr>
                <w:sz w:val="18"/>
                <w:szCs w:val="18"/>
              </w:rPr>
              <w:t xml:space="preserve">- the core TEN-T network and </w:t>
            </w:r>
            <w:r w:rsidRPr="008340BB">
              <w:rPr>
                <w:sz w:val="18"/>
                <w:szCs w:val="18"/>
              </w:rPr>
              <w:lastRenderedPageBreak/>
              <w:t>the comprehensive network where investment from the ERDF and CF is envisaged; and</w:t>
            </w:r>
          </w:p>
          <w:p w14:paraId="01BFB2DC" w14:textId="77777777" w:rsidR="00F1341F" w:rsidRPr="008340BB" w:rsidRDefault="00F1341F" w:rsidP="006D02F1">
            <w:pPr>
              <w:widowControl w:val="0"/>
              <w:tabs>
                <w:tab w:val="left" w:pos="317"/>
              </w:tabs>
              <w:spacing w:before="0" w:after="0"/>
              <w:ind w:left="34"/>
              <w:jc w:val="left"/>
              <w:rPr>
                <w:sz w:val="18"/>
                <w:szCs w:val="18"/>
              </w:rPr>
            </w:pPr>
            <w:r w:rsidRPr="008340BB">
              <w:rPr>
                <w:sz w:val="18"/>
                <w:szCs w:val="18"/>
              </w:rPr>
              <w:t>- secondary connectivity</w:t>
            </w:r>
            <w:r w:rsidR="008D0D3A">
              <w:rPr>
                <w:sz w:val="18"/>
                <w:szCs w:val="18"/>
              </w:rPr>
              <w:t>;</w:t>
            </w:r>
          </w:p>
          <w:p w14:paraId="323D55A0" w14:textId="77777777" w:rsidR="00F1341F" w:rsidRDefault="008D0D3A" w:rsidP="00896998">
            <w:pPr>
              <w:widowControl w:val="0"/>
              <w:tabs>
                <w:tab w:val="left" w:pos="359"/>
              </w:tabs>
              <w:autoSpaceDE w:val="0"/>
              <w:autoSpaceDN w:val="0"/>
              <w:adjustRightInd w:val="0"/>
              <w:spacing w:before="60" w:after="60"/>
              <w:jc w:val="left"/>
              <w:rPr>
                <w:sz w:val="18"/>
                <w:szCs w:val="18"/>
                <w:lang w:val="bg-BG"/>
              </w:rPr>
            </w:pPr>
            <w:r>
              <w:rPr>
                <w:sz w:val="18"/>
                <w:szCs w:val="18"/>
              </w:rPr>
              <w:t xml:space="preserve">- </w:t>
            </w:r>
            <w:r w:rsidR="00F1341F" w:rsidRPr="008340BB">
              <w:rPr>
                <w:sz w:val="18"/>
                <w:szCs w:val="18"/>
              </w:rPr>
              <w:t>a realistic and mature pipeline for projects envisaged for support from the ERDF and CF.</w:t>
            </w:r>
          </w:p>
          <w:p w14:paraId="760A9B57" w14:textId="77777777" w:rsidR="00F50513" w:rsidRDefault="00F50513" w:rsidP="00896998">
            <w:pPr>
              <w:widowControl w:val="0"/>
              <w:tabs>
                <w:tab w:val="left" w:pos="359"/>
              </w:tabs>
              <w:autoSpaceDE w:val="0"/>
              <w:autoSpaceDN w:val="0"/>
              <w:adjustRightInd w:val="0"/>
              <w:spacing w:before="60" w:after="60"/>
              <w:jc w:val="left"/>
              <w:rPr>
                <w:sz w:val="18"/>
                <w:szCs w:val="18"/>
                <w:highlight w:val="yellow"/>
              </w:rPr>
            </w:pPr>
          </w:p>
          <w:p w14:paraId="0FF63CA3" w14:textId="77777777" w:rsidR="00F50513" w:rsidRDefault="00F50513" w:rsidP="00896998">
            <w:pPr>
              <w:widowControl w:val="0"/>
              <w:tabs>
                <w:tab w:val="left" w:pos="359"/>
              </w:tabs>
              <w:autoSpaceDE w:val="0"/>
              <w:autoSpaceDN w:val="0"/>
              <w:adjustRightInd w:val="0"/>
              <w:spacing w:before="60" w:after="60"/>
              <w:jc w:val="left"/>
              <w:rPr>
                <w:sz w:val="18"/>
                <w:szCs w:val="18"/>
                <w:highlight w:val="yellow"/>
              </w:rPr>
            </w:pPr>
          </w:p>
          <w:p w14:paraId="7480FF92" w14:textId="77777777" w:rsidR="0033295B" w:rsidRPr="00ED2575" w:rsidRDefault="008D0D3A" w:rsidP="00896998">
            <w:pPr>
              <w:widowControl w:val="0"/>
              <w:tabs>
                <w:tab w:val="left" w:pos="359"/>
              </w:tabs>
              <w:autoSpaceDE w:val="0"/>
              <w:autoSpaceDN w:val="0"/>
              <w:adjustRightInd w:val="0"/>
              <w:spacing w:before="60" w:after="60"/>
              <w:jc w:val="left"/>
              <w:rPr>
                <w:sz w:val="18"/>
                <w:szCs w:val="18"/>
                <w:lang w:val="bg-BG"/>
              </w:rPr>
            </w:pPr>
            <w:r w:rsidRPr="00EA04DF">
              <w:rPr>
                <w:sz w:val="18"/>
                <w:szCs w:val="18"/>
              </w:rPr>
              <w:t xml:space="preserve">- </w:t>
            </w:r>
            <w:r w:rsidR="0033295B" w:rsidRPr="00EA04DF">
              <w:rPr>
                <w:sz w:val="18"/>
                <w:szCs w:val="18"/>
              </w:rPr>
              <w:t>Measures to ensure the capacity of intermediary bodies and beneficiaries to deliver the project pipeline.</w:t>
            </w:r>
          </w:p>
          <w:p w14:paraId="13D97363" w14:textId="77777777" w:rsidR="00F1341F" w:rsidRPr="008340BB" w:rsidRDefault="00F1341F" w:rsidP="00C87710">
            <w:pPr>
              <w:ind w:left="-152"/>
              <w:rPr>
                <w:sz w:val="20"/>
              </w:rPr>
            </w:pPr>
          </w:p>
        </w:tc>
        <w:tc>
          <w:tcPr>
            <w:tcW w:w="542" w:type="pct"/>
          </w:tcPr>
          <w:p w14:paraId="182C4D72" w14:textId="77777777" w:rsidR="00F1341F" w:rsidRDefault="00F1341F" w:rsidP="00F03C1E">
            <w:pPr>
              <w:rPr>
                <w:sz w:val="18"/>
                <w:szCs w:val="18"/>
              </w:rPr>
            </w:pPr>
            <w:r w:rsidRPr="008340BB">
              <w:rPr>
                <w:sz w:val="18"/>
                <w:szCs w:val="18"/>
              </w:rPr>
              <w:lastRenderedPageBreak/>
              <w:t>No</w:t>
            </w:r>
          </w:p>
          <w:p w14:paraId="76A3D5E5" w14:textId="77777777" w:rsidR="00F50513" w:rsidRDefault="00F50513" w:rsidP="00F03C1E">
            <w:pPr>
              <w:rPr>
                <w:sz w:val="18"/>
                <w:szCs w:val="18"/>
              </w:rPr>
            </w:pPr>
          </w:p>
          <w:p w14:paraId="065196F9" w14:textId="77777777" w:rsidR="00F50513" w:rsidRDefault="00F50513" w:rsidP="00F03C1E">
            <w:pPr>
              <w:rPr>
                <w:sz w:val="18"/>
                <w:szCs w:val="18"/>
              </w:rPr>
            </w:pPr>
          </w:p>
          <w:p w14:paraId="03198DC7" w14:textId="77777777" w:rsidR="00F50513" w:rsidRDefault="00F50513" w:rsidP="00F03C1E">
            <w:pPr>
              <w:rPr>
                <w:sz w:val="18"/>
                <w:szCs w:val="18"/>
              </w:rPr>
            </w:pPr>
          </w:p>
          <w:p w14:paraId="0660AB11" w14:textId="77777777" w:rsidR="00F50513" w:rsidRDefault="00F50513" w:rsidP="00F03C1E">
            <w:pPr>
              <w:rPr>
                <w:sz w:val="18"/>
                <w:szCs w:val="18"/>
              </w:rPr>
            </w:pPr>
          </w:p>
          <w:p w14:paraId="458F5F41" w14:textId="77777777" w:rsidR="00F50513" w:rsidRDefault="00F50513" w:rsidP="00F03C1E">
            <w:pPr>
              <w:rPr>
                <w:sz w:val="18"/>
                <w:szCs w:val="18"/>
              </w:rPr>
            </w:pPr>
          </w:p>
          <w:p w14:paraId="2846144D" w14:textId="77777777" w:rsidR="00F50513" w:rsidRDefault="00F50513" w:rsidP="00F03C1E">
            <w:pPr>
              <w:rPr>
                <w:sz w:val="18"/>
                <w:szCs w:val="18"/>
              </w:rPr>
            </w:pPr>
          </w:p>
          <w:p w14:paraId="23859468" w14:textId="77777777" w:rsidR="00F50513" w:rsidRDefault="00F50513" w:rsidP="00F03C1E">
            <w:pPr>
              <w:rPr>
                <w:sz w:val="18"/>
                <w:szCs w:val="18"/>
              </w:rPr>
            </w:pPr>
          </w:p>
          <w:p w14:paraId="569B29BB" w14:textId="77777777" w:rsidR="00F50513" w:rsidRDefault="00F50513" w:rsidP="00F03C1E">
            <w:pPr>
              <w:rPr>
                <w:sz w:val="18"/>
                <w:szCs w:val="18"/>
              </w:rPr>
            </w:pPr>
          </w:p>
          <w:p w14:paraId="199CBD82" w14:textId="77777777" w:rsidR="00F50513" w:rsidRDefault="00F50513" w:rsidP="00F03C1E">
            <w:pPr>
              <w:rPr>
                <w:sz w:val="18"/>
                <w:szCs w:val="18"/>
              </w:rPr>
            </w:pPr>
          </w:p>
          <w:p w14:paraId="2D1EDE26" w14:textId="77777777" w:rsidR="00F50513" w:rsidRDefault="00F50513" w:rsidP="00F03C1E">
            <w:pPr>
              <w:rPr>
                <w:sz w:val="18"/>
                <w:szCs w:val="18"/>
              </w:rPr>
            </w:pPr>
          </w:p>
          <w:p w14:paraId="143D1AF2" w14:textId="77777777" w:rsidR="00F50513" w:rsidRDefault="00F50513" w:rsidP="00F03C1E">
            <w:pPr>
              <w:rPr>
                <w:sz w:val="18"/>
                <w:szCs w:val="18"/>
              </w:rPr>
            </w:pPr>
          </w:p>
          <w:p w14:paraId="073F5FCE" w14:textId="77777777" w:rsidR="00F50513" w:rsidRDefault="00F50513" w:rsidP="00F03C1E">
            <w:pPr>
              <w:rPr>
                <w:sz w:val="18"/>
                <w:szCs w:val="18"/>
              </w:rPr>
            </w:pPr>
          </w:p>
          <w:p w14:paraId="254B038E" w14:textId="77777777" w:rsidR="00F50513" w:rsidRDefault="00F50513" w:rsidP="00F03C1E">
            <w:pPr>
              <w:rPr>
                <w:sz w:val="18"/>
                <w:szCs w:val="18"/>
              </w:rPr>
            </w:pPr>
          </w:p>
          <w:p w14:paraId="49D42E62" w14:textId="77777777" w:rsidR="00F50513" w:rsidRDefault="00F50513" w:rsidP="00F03C1E">
            <w:pPr>
              <w:rPr>
                <w:sz w:val="18"/>
                <w:szCs w:val="18"/>
              </w:rPr>
            </w:pPr>
          </w:p>
          <w:p w14:paraId="6C045099" w14:textId="77777777" w:rsidR="00F50513" w:rsidRDefault="00F50513" w:rsidP="00F03C1E">
            <w:pPr>
              <w:rPr>
                <w:sz w:val="18"/>
                <w:szCs w:val="18"/>
              </w:rPr>
            </w:pPr>
          </w:p>
          <w:p w14:paraId="7C94E61B" w14:textId="77777777" w:rsidR="00F50513" w:rsidRDefault="00F50513" w:rsidP="00F03C1E">
            <w:pPr>
              <w:rPr>
                <w:sz w:val="18"/>
                <w:szCs w:val="18"/>
              </w:rPr>
            </w:pPr>
          </w:p>
          <w:p w14:paraId="774C82A1" w14:textId="77777777" w:rsidR="00F50513" w:rsidRDefault="00F50513" w:rsidP="00F03C1E">
            <w:pPr>
              <w:rPr>
                <w:sz w:val="18"/>
                <w:szCs w:val="18"/>
              </w:rPr>
            </w:pPr>
          </w:p>
          <w:p w14:paraId="4D3C5F30" w14:textId="77777777" w:rsidR="00F50513" w:rsidRDefault="00F50513" w:rsidP="00F03C1E">
            <w:pPr>
              <w:rPr>
                <w:sz w:val="18"/>
                <w:szCs w:val="18"/>
              </w:rPr>
            </w:pPr>
          </w:p>
          <w:p w14:paraId="201C824A" w14:textId="77777777" w:rsidR="00F50513" w:rsidRDefault="00F50513" w:rsidP="00F03C1E">
            <w:pPr>
              <w:rPr>
                <w:sz w:val="18"/>
                <w:szCs w:val="18"/>
              </w:rPr>
            </w:pPr>
          </w:p>
          <w:p w14:paraId="00BF2029" w14:textId="77777777" w:rsidR="00F50513" w:rsidRDefault="00F50513" w:rsidP="00F03C1E">
            <w:pPr>
              <w:rPr>
                <w:sz w:val="18"/>
                <w:szCs w:val="18"/>
              </w:rPr>
            </w:pPr>
          </w:p>
          <w:p w14:paraId="3F417F1D" w14:textId="77777777" w:rsidR="00F50513" w:rsidRDefault="00F50513" w:rsidP="00F03C1E">
            <w:pPr>
              <w:rPr>
                <w:sz w:val="18"/>
                <w:szCs w:val="18"/>
              </w:rPr>
            </w:pPr>
          </w:p>
          <w:p w14:paraId="4EB65A8B" w14:textId="77777777" w:rsidR="00F50513" w:rsidRDefault="00F50513" w:rsidP="00F03C1E">
            <w:pPr>
              <w:rPr>
                <w:sz w:val="18"/>
                <w:szCs w:val="18"/>
              </w:rPr>
            </w:pPr>
          </w:p>
          <w:p w14:paraId="44BC7816" w14:textId="77777777" w:rsidR="00F50513" w:rsidRDefault="00F50513" w:rsidP="00F03C1E">
            <w:pPr>
              <w:rPr>
                <w:sz w:val="18"/>
                <w:szCs w:val="18"/>
              </w:rPr>
            </w:pPr>
          </w:p>
          <w:p w14:paraId="0D57CBEC" w14:textId="77777777" w:rsidR="00F50513" w:rsidRDefault="00F50513" w:rsidP="00F03C1E">
            <w:pPr>
              <w:rPr>
                <w:sz w:val="18"/>
                <w:szCs w:val="18"/>
              </w:rPr>
            </w:pPr>
          </w:p>
          <w:p w14:paraId="7C36CDBC" w14:textId="77777777" w:rsidR="00F50513" w:rsidRDefault="00F50513" w:rsidP="00F03C1E">
            <w:pPr>
              <w:rPr>
                <w:sz w:val="18"/>
                <w:szCs w:val="18"/>
              </w:rPr>
            </w:pPr>
          </w:p>
          <w:p w14:paraId="5D7F9D8E" w14:textId="77777777" w:rsidR="00F50513" w:rsidRDefault="00F50513" w:rsidP="00F03C1E">
            <w:pPr>
              <w:rPr>
                <w:sz w:val="18"/>
                <w:szCs w:val="18"/>
              </w:rPr>
            </w:pPr>
          </w:p>
          <w:p w14:paraId="03CC3EF6" w14:textId="77777777" w:rsidR="008D0D3A" w:rsidRDefault="008D0D3A" w:rsidP="00F03C1E">
            <w:pPr>
              <w:rPr>
                <w:sz w:val="18"/>
                <w:szCs w:val="18"/>
                <w:highlight w:val="yellow"/>
              </w:rPr>
            </w:pPr>
          </w:p>
          <w:p w14:paraId="4D9805D5" w14:textId="77777777" w:rsidR="008D0D3A" w:rsidRDefault="008D0D3A" w:rsidP="00F03C1E">
            <w:pPr>
              <w:rPr>
                <w:sz w:val="18"/>
                <w:szCs w:val="18"/>
                <w:highlight w:val="yellow"/>
              </w:rPr>
            </w:pPr>
          </w:p>
          <w:p w14:paraId="5C24AB7F" w14:textId="77777777" w:rsidR="008D0D3A" w:rsidRDefault="008D0D3A" w:rsidP="00F03C1E">
            <w:pPr>
              <w:rPr>
                <w:sz w:val="18"/>
                <w:szCs w:val="18"/>
                <w:highlight w:val="yellow"/>
              </w:rPr>
            </w:pPr>
          </w:p>
          <w:p w14:paraId="05D40F4A" w14:textId="77777777" w:rsidR="00AB0D4E" w:rsidRDefault="00AB0D4E" w:rsidP="00F03C1E">
            <w:pPr>
              <w:rPr>
                <w:sz w:val="18"/>
                <w:szCs w:val="18"/>
              </w:rPr>
            </w:pPr>
          </w:p>
          <w:p w14:paraId="335B4FCB" w14:textId="77777777" w:rsidR="00AB0D4E" w:rsidRDefault="00AB0D4E" w:rsidP="00F03C1E">
            <w:pPr>
              <w:rPr>
                <w:sz w:val="18"/>
                <w:szCs w:val="18"/>
              </w:rPr>
            </w:pPr>
          </w:p>
          <w:p w14:paraId="5110E447" w14:textId="77777777" w:rsidR="00AB0D4E" w:rsidRDefault="00AB0D4E" w:rsidP="00F03C1E">
            <w:pPr>
              <w:rPr>
                <w:sz w:val="18"/>
                <w:szCs w:val="18"/>
              </w:rPr>
            </w:pPr>
          </w:p>
          <w:p w14:paraId="10126737" w14:textId="77777777" w:rsidR="00F50513" w:rsidRPr="008340BB" w:rsidRDefault="00F50513" w:rsidP="00F03C1E">
            <w:pPr>
              <w:rPr>
                <w:sz w:val="18"/>
                <w:szCs w:val="18"/>
              </w:rPr>
            </w:pPr>
            <w:r w:rsidRPr="00EA04DF">
              <w:rPr>
                <w:sz w:val="18"/>
                <w:szCs w:val="18"/>
              </w:rPr>
              <w:t>Yes</w:t>
            </w:r>
          </w:p>
        </w:tc>
        <w:tc>
          <w:tcPr>
            <w:tcW w:w="760" w:type="pct"/>
          </w:tcPr>
          <w:p w14:paraId="2D0E6047" w14:textId="77777777" w:rsidR="00F1341F" w:rsidRPr="008340BB" w:rsidRDefault="00F1341F" w:rsidP="00896998">
            <w:pPr>
              <w:widowControl w:val="0"/>
              <w:autoSpaceDE w:val="0"/>
              <w:autoSpaceDN w:val="0"/>
              <w:adjustRightInd w:val="0"/>
              <w:jc w:val="left"/>
              <w:rPr>
                <w:color w:val="000000"/>
                <w:sz w:val="18"/>
                <w:szCs w:val="18"/>
              </w:rPr>
            </w:pPr>
            <w:r w:rsidRPr="008340BB">
              <w:rPr>
                <w:color w:val="000000"/>
                <w:sz w:val="18"/>
                <w:szCs w:val="18"/>
              </w:rPr>
              <w:lastRenderedPageBreak/>
              <w:t xml:space="preserve">Strategy for development of transport sector of Republic of Bulgaria until 2020; </w:t>
            </w:r>
          </w:p>
          <w:p w14:paraId="1B905F95" w14:textId="77777777" w:rsidR="00F1341F" w:rsidRPr="008340BB" w:rsidRDefault="00F1341F" w:rsidP="00896998">
            <w:pPr>
              <w:widowControl w:val="0"/>
              <w:autoSpaceDE w:val="0"/>
              <w:autoSpaceDN w:val="0"/>
              <w:adjustRightInd w:val="0"/>
              <w:jc w:val="left"/>
              <w:rPr>
                <w:color w:val="000000"/>
                <w:sz w:val="18"/>
                <w:szCs w:val="18"/>
              </w:rPr>
            </w:pPr>
            <w:r w:rsidRPr="008340BB">
              <w:rPr>
                <w:color w:val="000000"/>
                <w:sz w:val="18"/>
                <w:szCs w:val="18"/>
              </w:rPr>
              <w:t>General transport master plan; Strategic environmental assessment (on the General transport master plan).</w:t>
            </w:r>
          </w:p>
          <w:p w14:paraId="0CAF9E2A" w14:textId="77777777" w:rsidR="00F1341F" w:rsidRPr="008340BB" w:rsidRDefault="00F1341F" w:rsidP="00896998">
            <w:pPr>
              <w:widowControl w:val="0"/>
              <w:autoSpaceDE w:val="0"/>
              <w:autoSpaceDN w:val="0"/>
              <w:adjustRightInd w:val="0"/>
              <w:jc w:val="left"/>
              <w:rPr>
                <w:rStyle w:val="hps"/>
                <w:sz w:val="18"/>
                <w:szCs w:val="18"/>
              </w:rPr>
            </w:pPr>
            <w:r w:rsidRPr="008340BB">
              <w:rPr>
                <w:rStyle w:val="hps"/>
                <w:sz w:val="18"/>
                <w:szCs w:val="18"/>
              </w:rPr>
              <w:t>Update of transport model (prepared as a part of General transport master plan) in order to be identified the</w:t>
            </w:r>
            <w:r w:rsidRPr="008340BB">
              <w:rPr>
                <w:rStyle w:val="hps"/>
              </w:rPr>
              <w:t xml:space="preserve"> </w:t>
            </w:r>
            <w:r w:rsidRPr="008340BB">
              <w:rPr>
                <w:rStyle w:val="hps"/>
                <w:sz w:val="18"/>
                <w:szCs w:val="18"/>
              </w:rPr>
              <w:t>priority investments along the</w:t>
            </w:r>
            <w:r w:rsidRPr="008340BB">
              <w:rPr>
                <w:sz w:val="18"/>
                <w:szCs w:val="18"/>
              </w:rPr>
              <w:t xml:space="preserve"> main directions of </w:t>
            </w:r>
            <w:r w:rsidRPr="008340BB">
              <w:rPr>
                <w:rStyle w:val="hps"/>
                <w:sz w:val="18"/>
                <w:szCs w:val="18"/>
              </w:rPr>
              <w:t>TEN</w:t>
            </w:r>
            <w:r w:rsidRPr="008340BB">
              <w:rPr>
                <w:sz w:val="18"/>
                <w:szCs w:val="18"/>
              </w:rPr>
              <w:t xml:space="preserve">-T until </w:t>
            </w:r>
            <w:r w:rsidRPr="008340BB">
              <w:rPr>
                <w:rStyle w:val="hps"/>
                <w:sz w:val="18"/>
                <w:szCs w:val="18"/>
              </w:rPr>
              <w:t xml:space="preserve">2020 and 2030 (road and railway transport). </w:t>
            </w:r>
          </w:p>
          <w:p w14:paraId="48536C3A" w14:textId="77777777" w:rsidR="00F1341F" w:rsidRPr="008340BB" w:rsidRDefault="00F1341F" w:rsidP="00896998">
            <w:pPr>
              <w:jc w:val="left"/>
              <w:rPr>
                <w:color w:val="000000"/>
                <w:sz w:val="18"/>
                <w:szCs w:val="18"/>
              </w:rPr>
            </w:pPr>
            <w:r w:rsidRPr="008340BB">
              <w:rPr>
                <w:color w:val="000000"/>
                <w:sz w:val="18"/>
                <w:szCs w:val="18"/>
              </w:rPr>
              <w:lastRenderedPageBreak/>
              <w:t>Strategy for development of road infrastructure until 2020.</w:t>
            </w:r>
          </w:p>
          <w:p w14:paraId="436BC509" w14:textId="77777777" w:rsidR="00F1341F" w:rsidRDefault="00F1341F" w:rsidP="00896998">
            <w:pPr>
              <w:jc w:val="left"/>
              <w:rPr>
                <w:color w:val="000000"/>
                <w:sz w:val="18"/>
                <w:szCs w:val="18"/>
                <w:lang w:val="bg-BG"/>
              </w:rPr>
            </w:pPr>
            <w:r w:rsidRPr="008340BB">
              <w:rPr>
                <w:color w:val="000000"/>
                <w:sz w:val="18"/>
                <w:szCs w:val="18"/>
              </w:rPr>
              <w:t>Methodology for prioritization of road sections of OPRG 2014-2020</w:t>
            </w:r>
          </w:p>
          <w:p w14:paraId="1872CD8D" w14:textId="77777777" w:rsidR="008D0D3A" w:rsidRDefault="008D0D3A" w:rsidP="00896998">
            <w:pPr>
              <w:jc w:val="left"/>
              <w:rPr>
                <w:color w:val="000000"/>
                <w:sz w:val="18"/>
                <w:szCs w:val="18"/>
                <w:highlight w:val="yellow"/>
                <w:lang w:val="en-US"/>
              </w:rPr>
            </w:pPr>
          </w:p>
          <w:p w14:paraId="0744678D" w14:textId="77777777" w:rsidR="008D0D3A" w:rsidRDefault="008D0D3A" w:rsidP="00896998">
            <w:pPr>
              <w:jc w:val="left"/>
              <w:rPr>
                <w:color w:val="000000"/>
                <w:sz w:val="18"/>
                <w:szCs w:val="18"/>
                <w:highlight w:val="yellow"/>
                <w:lang w:val="en-US"/>
              </w:rPr>
            </w:pPr>
          </w:p>
          <w:p w14:paraId="66455114" w14:textId="77777777" w:rsidR="0039541F" w:rsidRDefault="0039541F" w:rsidP="00896998">
            <w:pPr>
              <w:jc w:val="left"/>
              <w:rPr>
                <w:color w:val="000000"/>
                <w:sz w:val="18"/>
                <w:szCs w:val="18"/>
                <w:highlight w:val="yellow"/>
                <w:lang w:val="en-US"/>
              </w:rPr>
            </w:pPr>
          </w:p>
          <w:p w14:paraId="0C4469B3" w14:textId="77777777" w:rsidR="00AB0D4E" w:rsidRDefault="00AB0D4E" w:rsidP="00896998">
            <w:pPr>
              <w:jc w:val="left"/>
              <w:rPr>
                <w:color w:val="000000"/>
                <w:sz w:val="18"/>
                <w:szCs w:val="18"/>
                <w:lang w:val="en-US"/>
              </w:rPr>
            </w:pPr>
          </w:p>
          <w:p w14:paraId="3797AE0D" w14:textId="77777777" w:rsidR="00AB0D4E" w:rsidRDefault="00AB0D4E" w:rsidP="00896998">
            <w:pPr>
              <w:jc w:val="left"/>
              <w:rPr>
                <w:color w:val="000000"/>
                <w:sz w:val="18"/>
                <w:szCs w:val="18"/>
                <w:lang w:val="en-US"/>
              </w:rPr>
            </w:pPr>
          </w:p>
          <w:p w14:paraId="50FD0123" w14:textId="77777777" w:rsidR="00AB0D4E" w:rsidRDefault="00AB0D4E" w:rsidP="00896998">
            <w:pPr>
              <w:jc w:val="left"/>
              <w:rPr>
                <w:color w:val="000000"/>
                <w:sz w:val="18"/>
                <w:szCs w:val="18"/>
                <w:lang w:val="en-US"/>
              </w:rPr>
            </w:pPr>
          </w:p>
          <w:p w14:paraId="15218272" w14:textId="77777777" w:rsidR="00AB0D4E" w:rsidRDefault="00AB0D4E" w:rsidP="00896998">
            <w:pPr>
              <w:jc w:val="left"/>
              <w:rPr>
                <w:color w:val="000000"/>
                <w:sz w:val="18"/>
                <w:szCs w:val="18"/>
                <w:lang w:val="en-US"/>
              </w:rPr>
            </w:pPr>
          </w:p>
          <w:p w14:paraId="41960404" w14:textId="77777777" w:rsidR="00AB0D4E" w:rsidRDefault="00AB0D4E" w:rsidP="00896998">
            <w:pPr>
              <w:jc w:val="left"/>
              <w:rPr>
                <w:color w:val="000000"/>
                <w:sz w:val="18"/>
                <w:szCs w:val="18"/>
                <w:lang w:val="en-US"/>
              </w:rPr>
            </w:pPr>
          </w:p>
          <w:p w14:paraId="3324D490" w14:textId="77777777" w:rsidR="00AB0D4E" w:rsidRDefault="00AB0D4E" w:rsidP="00896998">
            <w:pPr>
              <w:jc w:val="left"/>
              <w:rPr>
                <w:color w:val="000000"/>
                <w:sz w:val="18"/>
                <w:szCs w:val="18"/>
                <w:lang w:val="en-US"/>
              </w:rPr>
            </w:pPr>
          </w:p>
          <w:p w14:paraId="26FB5A40" w14:textId="77777777" w:rsidR="00AB0D4E" w:rsidRDefault="00AB0D4E" w:rsidP="00896998">
            <w:pPr>
              <w:jc w:val="left"/>
              <w:rPr>
                <w:color w:val="000000"/>
                <w:sz w:val="18"/>
                <w:szCs w:val="18"/>
                <w:lang w:val="en-US"/>
              </w:rPr>
            </w:pPr>
          </w:p>
          <w:p w14:paraId="13C21D19" w14:textId="77777777" w:rsidR="00AB0D4E" w:rsidRDefault="00AB0D4E" w:rsidP="00896998">
            <w:pPr>
              <w:jc w:val="left"/>
              <w:rPr>
                <w:color w:val="000000"/>
                <w:sz w:val="18"/>
                <w:szCs w:val="18"/>
                <w:lang w:val="en-US"/>
              </w:rPr>
            </w:pPr>
          </w:p>
          <w:p w14:paraId="18E30560" w14:textId="77777777" w:rsidR="00AB0D4E" w:rsidRDefault="00AB0D4E" w:rsidP="00896998">
            <w:pPr>
              <w:jc w:val="left"/>
              <w:rPr>
                <w:color w:val="000000"/>
                <w:sz w:val="18"/>
                <w:szCs w:val="18"/>
                <w:lang w:val="en-US"/>
              </w:rPr>
            </w:pPr>
          </w:p>
          <w:p w14:paraId="5851FDAE" w14:textId="77777777" w:rsidR="00ED2575" w:rsidRPr="00355BA5" w:rsidRDefault="00362417" w:rsidP="00896998">
            <w:pPr>
              <w:jc w:val="left"/>
              <w:rPr>
                <w:lang w:val="bg-BG"/>
              </w:rPr>
            </w:pPr>
            <w:r w:rsidRPr="00EA04DF">
              <w:rPr>
                <w:color w:val="000000"/>
                <w:sz w:val="18"/>
                <w:szCs w:val="18"/>
                <w:lang w:val="en-US"/>
              </w:rPr>
              <w:t>T</w:t>
            </w:r>
            <w:r w:rsidR="00ED2575" w:rsidRPr="00EA04DF">
              <w:rPr>
                <w:color w:val="000000"/>
                <w:sz w:val="18"/>
                <w:szCs w:val="18"/>
              </w:rPr>
              <w:t>echnical assistance projects to ensure the capacity of beneficiaries to deliver the project pipeline</w:t>
            </w:r>
          </w:p>
        </w:tc>
        <w:tc>
          <w:tcPr>
            <w:tcW w:w="725" w:type="pct"/>
          </w:tcPr>
          <w:p w14:paraId="5C7DD2D4" w14:textId="77777777" w:rsidR="00F1341F" w:rsidRPr="008340BB" w:rsidRDefault="00F1341F" w:rsidP="0021590E">
            <w:pPr>
              <w:widowControl w:val="0"/>
              <w:jc w:val="left"/>
              <w:rPr>
                <w:sz w:val="18"/>
                <w:szCs w:val="18"/>
              </w:rPr>
            </w:pPr>
            <w:r w:rsidRPr="008340BB">
              <w:rPr>
                <w:sz w:val="18"/>
                <w:szCs w:val="18"/>
              </w:rPr>
              <w:lastRenderedPageBreak/>
              <w:t xml:space="preserve">In the General Transport Master Plan, Section 6 "Option Identification", are included long lists of options for development of the road infrastructure..  </w:t>
            </w:r>
          </w:p>
          <w:p w14:paraId="620DE7F4" w14:textId="77777777" w:rsidR="00F1341F" w:rsidRPr="008340BB" w:rsidRDefault="00F1341F" w:rsidP="00243777">
            <w:pPr>
              <w:spacing w:after="0"/>
              <w:jc w:val="left"/>
            </w:pPr>
            <w:r w:rsidRPr="008340BB">
              <w:rPr>
                <w:sz w:val="18"/>
                <w:szCs w:val="18"/>
              </w:rPr>
              <w:t xml:space="preserve">Long lists are reduced to a list of priority projects, recommended for development and implementation. At the update (2013) of the transport model, developed as a part of the General Transport Master Plan, are defined the directions in the road and railway network with the greatest expected traffic increase with </w:t>
            </w:r>
            <w:r w:rsidRPr="008340BB">
              <w:rPr>
                <w:sz w:val="18"/>
                <w:szCs w:val="18"/>
              </w:rPr>
              <w:lastRenderedPageBreak/>
              <w:t xml:space="preserve">horizon 2020 and 2030, where the forecast demand is close to or exceeds the existing capacity. </w:t>
            </w:r>
            <w:r w:rsidRPr="008340BB">
              <w:rPr>
                <w:sz w:val="18"/>
              </w:rPr>
              <w:t>In the preparation process of the OPTTI 2014-2020 it was made a prioritization of projects within the scope of the programme, based on multicriteria analysis</w:t>
            </w:r>
            <w:r w:rsidRPr="008340BB">
              <w:t xml:space="preserve">. </w:t>
            </w:r>
            <w:r w:rsidRPr="008340BB">
              <w:rPr>
                <w:sz w:val="18"/>
              </w:rPr>
              <w:t>At the preparation of the National Multimodal Transport Strategy / Integrated Transport Strategy and environmental assessment will be carried out.</w:t>
            </w:r>
          </w:p>
        </w:tc>
      </w:tr>
      <w:tr w:rsidR="00F1341F" w:rsidRPr="008340BB" w14:paraId="4A6E5E02" w14:textId="77777777" w:rsidTr="00E23FEF">
        <w:trPr>
          <w:trHeight w:val="836"/>
          <w:jc w:val="center"/>
        </w:trPr>
        <w:tc>
          <w:tcPr>
            <w:tcW w:w="758" w:type="pct"/>
          </w:tcPr>
          <w:p w14:paraId="6EC21922" w14:textId="77777777" w:rsidR="00F1341F" w:rsidRPr="008340BB" w:rsidRDefault="00F1341F" w:rsidP="005074C8">
            <w:pPr>
              <w:jc w:val="left"/>
              <w:rPr>
                <w:sz w:val="18"/>
                <w:szCs w:val="18"/>
              </w:rPr>
            </w:pPr>
            <w:r w:rsidRPr="008340BB">
              <w:rPr>
                <w:sz w:val="18"/>
                <w:szCs w:val="18"/>
                <w:lang w:eastAsia="en-US"/>
              </w:rPr>
              <w:lastRenderedPageBreak/>
              <w:t xml:space="preserve">7.2. Railway transport: The existence within the comprehensive transport plan(s) or framework(s)of an explicit section on railway development in accordance with the Member States’ institutional set-up (including public transport at regional and local level) which supports infrastructure development and improves connectivity to the TEN-T comprehensive and core </w:t>
            </w:r>
            <w:r w:rsidRPr="008340BB">
              <w:rPr>
                <w:sz w:val="18"/>
                <w:szCs w:val="18"/>
                <w:lang w:eastAsia="en-US"/>
              </w:rPr>
              <w:lastRenderedPageBreak/>
              <w:t xml:space="preserve">networks. The investments cover mobile assets, interoperability and capacity building. </w:t>
            </w:r>
          </w:p>
          <w:p w14:paraId="274B1D72" w14:textId="77777777" w:rsidR="00F1341F" w:rsidRPr="008340BB" w:rsidRDefault="00F1341F" w:rsidP="009D34EB">
            <w:pPr>
              <w:widowControl w:val="0"/>
              <w:autoSpaceDE w:val="0"/>
              <w:autoSpaceDN w:val="0"/>
              <w:adjustRightInd w:val="0"/>
              <w:rPr>
                <w:sz w:val="18"/>
                <w:szCs w:val="18"/>
                <w:lang w:eastAsia="en-US"/>
              </w:rPr>
            </w:pPr>
          </w:p>
        </w:tc>
        <w:tc>
          <w:tcPr>
            <w:tcW w:w="758" w:type="pct"/>
          </w:tcPr>
          <w:p w14:paraId="07B56E11" w14:textId="08F69692" w:rsidR="00F1341F" w:rsidRPr="008340BB" w:rsidRDefault="00F1341F" w:rsidP="008D0E27">
            <w:pPr>
              <w:rPr>
                <w:sz w:val="20"/>
              </w:rPr>
            </w:pPr>
            <w:r w:rsidRPr="008340BB">
              <w:rPr>
                <w:bCs/>
                <w:sz w:val="18"/>
                <w:szCs w:val="18"/>
                <w:lang w:eastAsia="bg-BG"/>
              </w:rPr>
              <w:lastRenderedPageBreak/>
              <w:t xml:space="preserve">"Development of railway infrastructure along the “core” </w:t>
            </w:r>
            <w:r w:rsidR="002A28C5">
              <w:rPr>
                <w:bCs/>
                <w:sz w:val="18"/>
                <w:szCs w:val="18"/>
                <w:lang w:eastAsia="bg-BG"/>
              </w:rPr>
              <w:t xml:space="preserve">and </w:t>
            </w:r>
            <w:r w:rsidR="00B43653">
              <w:rPr>
                <w:bCs/>
                <w:sz w:val="18"/>
                <w:szCs w:val="18"/>
                <w:lang w:eastAsia="bg-BG"/>
              </w:rPr>
              <w:t xml:space="preserve">“comprehensive” </w:t>
            </w:r>
            <w:r w:rsidRPr="008340BB">
              <w:rPr>
                <w:bCs/>
                <w:sz w:val="18"/>
                <w:szCs w:val="18"/>
                <w:lang w:eastAsia="bg-BG"/>
              </w:rPr>
              <w:t>Trans-European transport network"</w:t>
            </w:r>
          </w:p>
        </w:tc>
        <w:tc>
          <w:tcPr>
            <w:tcW w:w="697" w:type="pct"/>
          </w:tcPr>
          <w:p w14:paraId="564C38DF" w14:textId="77777777" w:rsidR="00F1341F" w:rsidRPr="008340BB" w:rsidRDefault="00F1341F" w:rsidP="00F03C1E">
            <w:pPr>
              <w:rPr>
                <w:sz w:val="20"/>
              </w:rPr>
            </w:pPr>
            <w:r w:rsidRPr="008340BB">
              <w:rPr>
                <w:bCs/>
                <w:sz w:val="18"/>
                <w:szCs w:val="18"/>
                <w:lang w:eastAsia="bg-BG"/>
              </w:rPr>
              <w:t>Partially</w:t>
            </w:r>
          </w:p>
        </w:tc>
        <w:tc>
          <w:tcPr>
            <w:tcW w:w="760" w:type="pct"/>
          </w:tcPr>
          <w:p w14:paraId="452EB3C7" w14:textId="77777777" w:rsidR="00F1341F" w:rsidRDefault="00F1341F" w:rsidP="003130B7">
            <w:pPr>
              <w:jc w:val="left"/>
              <w:rPr>
                <w:sz w:val="18"/>
                <w:szCs w:val="18"/>
                <w:lang w:eastAsia="bg-BG"/>
              </w:rPr>
            </w:pPr>
            <w:r w:rsidRPr="008340BB">
              <w:rPr>
                <w:sz w:val="18"/>
                <w:szCs w:val="18"/>
                <w:lang w:eastAsia="bg-BG"/>
              </w:rPr>
              <w:t>The existence of a section on railway development within the transport plan(s) or framework(s) as set out above which fulfils legal requirements for strategic environmental assessment and sets out a realistic and mature project pipeline (including a timetable</w:t>
            </w:r>
            <w:r w:rsidR="00C940B6">
              <w:rPr>
                <w:sz w:val="18"/>
                <w:szCs w:val="18"/>
                <w:lang w:eastAsia="bg-BG"/>
              </w:rPr>
              <w:t xml:space="preserve"> and</w:t>
            </w:r>
            <w:r w:rsidRPr="008340BB">
              <w:rPr>
                <w:sz w:val="18"/>
                <w:szCs w:val="18"/>
                <w:lang w:eastAsia="bg-BG"/>
              </w:rPr>
              <w:t xml:space="preserve"> budgetary framework)</w:t>
            </w:r>
          </w:p>
          <w:p w14:paraId="2BB3C14C" w14:textId="77777777" w:rsidR="00D651E7" w:rsidRDefault="00D651E7" w:rsidP="003130B7">
            <w:pPr>
              <w:jc w:val="left"/>
              <w:rPr>
                <w:sz w:val="18"/>
                <w:szCs w:val="18"/>
                <w:lang w:eastAsia="bg-BG"/>
              </w:rPr>
            </w:pPr>
          </w:p>
          <w:p w14:paraId="2A0B3895" w14:textId="77777777" w:rsidR="00D651E7" w:rsidRDefault="00D651E7" w:rsidP="003130B7">
            <w:pPr>
              <w:jc w:val="left"/>
              <w:rPr>
                <w:sz w:val="18"/>
                <w:szCs w:val="18"/>
                <w:lang w:eastAsia="bg-BG"/>
              </w:rPr>
            </w:pPr>
          </w:p>
          <w:p w14:paraId="0B8679E8" w14:textId="77777777" w:rsidR="00D651E7" w:rsidRDefault="00D651E7" w:rsidP="003130B7">
            <w:pPr>
              <w:jc w:val="left"/>
              <w:rPr>
                <w:sz w:val="18"/>
                <w:szCs w:val="18"/>
                <w:lang w:eastAsia="bg-BG"/>
              </w:rPr>
            </w:pPr>
          </w:p>
          <w:p w14:paraId="40FF8196" w14:textId="77777777" w:rsidR="00D651E7" w:rsidRDefault="00D651E7" w:rsidP="003130B7">
            <w:pPr>
              <w:jc w:val="left"/>
              <w:rPr>
                <w:sz w:val="18"/>
                <w:szCs w:val="18"/>
                <w:lang w:eastAsia="bg-BG"/>
              </w:rPr>
            </w:pPr>
          </w:p>
          <w:p w14:paraId="251B3C33" w14:textId="77777777" w:rsidR="00D651E7" w:rsidRDefault="00D651E7" w:rsidP="00363FCD">
            <w:pPr>
              <w:widowControl w:val="0"/>
              <w:tabs>
                <w:tab w:val="left" w:pos="359"/>
              </w:tabs>
              <w:autoSpaceDE w:val="0"/>
              <w:autoSpaceDN w:val="0"/>
              <w:adjustRightInd w:val="0"/>
              <w:spacing w:before="60" w:after="60"/>
              <w:jc w:val="left"/>
              <w:rPr>
                <w:sz w:val="18"/>
                <w:szCs w:val="18"/>
                <w:highlight w:val="yellow"/>
              </w:rPr>
            </w:pPr>
          </w:p>
          <w:p w14:paraId="20E128CD" w14:textId="77777777" w:rsidR="00363FCD" w:rsidRPr="00BD742D" w:rsidRDefault="00363FCD" w:rsidP="00363FCD">
            <w:pPr>
              <w:widowControl w:val="0"/>
              <w:tabs>
                <w:tab w:val="left" w:pos="359"/>
              </w:tabs>
              <w:autoSpaceDE w:val="0"/>
              <w:autoSpaceDN w:val="0"/>
              <w:adjustRightInd w:val="0"/>
              <w:spacing w:before="60" w:after="60"/>
              <w:jc w:val="left"/>
              <w:rPr>
                <w:sz w:val="18"/>
                <w:szCs w:val="18"/>
                <w:lang w:val="bg-BG"/>
              </w:rPr>
            </w:pPr>
            <w:r w:rsidRPr="00EA04DF">
              <w:rPr>
                <w:sz w:val="18"/>
                <w:szCs w:val="18"/>
              </w:rPr>
              <w:t>Measures to ensure the capacity of intermediary bodies and beneficiaries to deliver the project pipeline.</w:t>
            </w:r>
          </w:p>
          <w:p w14:paraId="78E703C1" w14:textId="77777777" w:rsidR="00363FCD" w:rsidRPr="00355BA5" w:rsidRDefault="00363FCD" w:rsidP="003130B7">
            <w:pPr>
              <w:jc w:val="left"/>
              <w:rPr>
                <w:sz w:val="18"/>
                <w:szCs w:val="18"/>
                <w:lang w:val="bg-BG" w:eastAsia="bg-BG"/>
              </w:rPr>
            </w:pPr>
          </w:p>
          <w:p w14:paraId="518807A9" w14:textId="77777777" w:rsidR="00F1341F" w:rsidRPr="008340BB" w:rsidRDefault="00F1341F" w:rsidP="003130B7">
            <w:pPr>
              <w:rPr>
                <w:sz w:val="18"/>
                <w:szCs w:val="18"/>
              </w:rPr>
            </w:pPr>
          </w:p>
          <w:p w14:paraId="6A9AC4AB" w14:textId="77777777" w:rsidR="00F1341F" w:rsidRPr="008340BB" w:rsidRDefault="00F1341F" w:rsidP="00F03C1E">
            <w:pPr>
              <w:rPr>
                <w:sz w:val="20"/>
              </w:rPr>
            </w:pPr>
          </w:p>
        </w:tc>
        <w:tc>
          <w:tcPr>
            <w:tcW w:w="542" w:type="pct"/>
          </w:tcPr>
          <w:p w14:paraId="4E77D200" w14:textId="77777777" w:rsidR="00F1341F" w:rsidRDefault="00F1341F" w:rsidP="00F03C1E">
            <w:pPr>
              <w:rPr>
                <w:sz w:val="18"/>
                <w:szCs w:val="18"/>
              </w:rPr>
            </w:pPr>
            <w:r w:rsidRPr="008340BB">
              <w:rPr>
                <w:sz w:val="18"/>
                <w:szCs w:val="18"/>
              </w:rPr>
              <w:lastRenderedPageBreak/>
              <w:t>No</w:t>
            </w:r>
          </w:p>
          <w:p w14:paraId="65C029D5" w14:textId="77777777" w:rsidR="006B20AC" w:rsidRDefault="006B20AC" w:rsidP="00F03C1E">
            <w:pPr>
              <w:rPr>
                <w:sz w:val="18"/>
                <w:szCs w:val="18"/>
              </w:rPr>
            </w:pPr>
          </w:p>
          <w:p w14:paraId="1811B66F" w14:textId="77777777" w:rsidR="006B20AC" w:rsidRDefault="006B20AC" w:rsidP="00F03C1E">
            <w:pPr>
              <w:rPr>
                <w:sz w:val="18"/>
                <w:szCs w:val="18"/>
              </w:rPr>
            </w:pPr>
          </w:p>
          <w:p w14:paraId="7A9082EF" w14:textId="77777777" w:rsidR="006B20AC" w:rsidRDefault="006B20AC" w:rsidP="00F03C1E">
            <w:pPr>
              <w:rPr>
                <w:sz w:val="18"/>
                <w:szCs w:val="18"/>
              </w:rPr>
            </w:pPr>
          </w:p>
          <w:p w14:paraId="14FBF706" w14:textId="77777777" w:rsidR="006B20AC" w:rsidRDefault="006B20AC" w:rsidP="00F03C1E">
            <w:pPr>
              <w:rPr>
                <w:sz w:val="18"/>
                <w:szCs w:val="18"/>
              </w:rPr>
            </w:pPr>
          </w:p>
          <w:p w14:paraId="21405FBF" w14:textId="77777777" w:rsidR="006B20AC" w:rsidRDefault="006B20AC" w:rsidP="00F03C1E">
            <w:pPr>
              <w:rPr>
                <w:sz w:val="18"/>
                <w:szCs w:val="18"/>
              </w:rPr>
            </w:pPr>
          </w:p>
          <w:p w14:paraId="3DA5EF90" w14:textId="77777777" w:rsidR="006B20AC" w:rsidRDefault="006B20AC" w:rsidP="00F03C1E">
            <w:pPr>
              <w:rPr>
                <w:sz w:val="18"/>
                <w:szCs w:val="18"/>
              </w:rPr>
            </w:pPr>
          </w:p>
          <w:p w14:paraId="21E4449A" w14:textId="77777777" w:rsidR="006B20AC" w:rsidRDefault="006B20AC" w:rsidP="00F03C1E">
            <w:pPr>
              <w:rPr>
                <w:sz w:val="18"/>
                <w:szCs w:val="18"/>
              </w:rPr>
            </w:pPr>
          </w:p>
          <w:p w14:paraId="4D2880E4" w14:textId="77777777" w:rsidR="006B20AC" w:rsidRDefault="006B20AC" w:rsidP="00F03C1E">
            <w:pPr>
              <w:rPr>
                <w:sz w:val="18"/>
                <w:szCs w:val="18"/>
              </w:rPr>
            </w:pPr>
          </w:p>
          <w:p w14:paraId="25E58678" w14:textId="77777777" w:rsidR="006B20AC" w:rsidRDefault="006B20AC" w:rsidP="00F03C1E">
            <w:pPr>
              <w:rPr>
                <w:sz w:val="18"/>
                <w:szCs w:val="18"/>
              </w:rPr>
            </w:pPr>
          </w:p>
          <w:p w14:paraId="716462B0" w14:textId="77777777" w:rsidR="006B20AC" w:rsidRDefault="006B20AC" w:rsidP="00F03C1E">
            <w:pPr>
              <w:rPr>
                <w:sz w:val="18"/>
                <w:szCs w:val="18"/>
              </w:rPr>
            </w:pPr>
          </w:p>
          <w:p w14:paraId="332AE383" w14:textId="77777777" w:rsidR="006B20AC" w:rsidRDefault="006B20AC" w:rsidP="00F03C1E">
            <w:pPr>
              <w:rPr>
                <w:sz w:val="18"/>
                <w:szCs w:val="18"/>
              </w:rPr>
            </w:pPr>
          </w:p>
          <w:p w14:paraId="0F66EFE2" w14:textId="77777777" w:rsidR="006B20AC" w:rsidRDefault="006B20AC" w:rsidP="00F03C1E">
            <w:pPr>
              <w:rPr>
                <w:sz w:val="18"/>
                <w:szCs w:val="18"/>
              </w:rPr>
            </w:pPr>
          </w:p>
          <w:p w14:paraId="7B0D7C07" w14:textId="77777777" w:rsidR="006B20AC" w:rsidRDefault="006B20AC" w:rsidP="00F03C1E">
            <w:pPr>
              <w:rPr>
                <w:sz w:val="18"/>
                <w:szCs w:val="18"/>
              </w:rPr>
            </w:pPr>
          </w:p>
          <w:p w14:paraId="4F5C0AF5" w14:textId="77777777" w:rsidR="006B20AC" w:rsidRDefault="006B20AC" w:rsidP="00F03C1E">
            <w:pPr>
              <w:rPr>
                <w:sz w:val="18"/>
                <w:szCs w:val="18"/>
              </w:rPr>
            </w:pPr>
          </w:p>
          <w:p w14:paraId="191D40EF" w14:textId="77777777" w:rsidR="006B20AC" w:rsidRDefault="006B20AC" w:rsidP="00F03C1E">
            <w:pPr>
              <w:rPr>
                <w:sz w:val="18"/>
                <w:szCs w:val="18"/>
              </w:rPr>
            </w:pPr>
          </w:p>
          <w:p w14:paraId="1250C1D5" w14:textId="77777777" w:rsidR="006B20AC" w:rsidRDefault="006B20AC" w:rsidP="00F03C1E">
            <w:pPr>
              <w:rPr>
                <w:sz w:val="18"/>
                <w:szCs w:val="18"/>
              </w:rPr>
            </w:pPr>
          </w:p>
          <w:p w14:paraId="3F28B3EA" w14:textId="77777777" w:rsidR="006B20AC" w:rsidRDefault="006B20AC" w:rsidP="00F03C1E">
            <w:pPr>
              <w:rPr>
                <w:sz w:val="18"/>
                <w:szCs w:val="18"/>
              </w:rPr>
            </w:pPr>
          </w:p>
          <w:p w14:paraId="178ADFF1" w14:textId="77777777" w:rsidR="006B20AC" w:rsidRDefault="006B20AC" w:rsidP="00F03C1E">
            <w:pPr>
              <w:rPr>
                <w:sz w:val="18"/>
                <w:szCs w:val="18"/>
              </w:rPr>
            </w:pPr>
          </w:p>
          <w:p w14:paraId="45BDE26A" w14:textId="77777777" w:rsidR="006B20AC" w:rsidRPr="008340BB" w:rsidRDefault="006B20AC" w:rsidP="00F03C1E">
            <w:pPr>
              <w:rPr>
                <w:sz w:val="18"/>
                <w:szCs w:val="18"/>
              </w:rPr>
            </w:pPr>
            <w:r w:rsidRPr="00EA04DF">
              <w:rPr>
                <w:sz w:val="18"/>
                <w:szCs w:val="18"/>
              </w:rPr>
              <w:t>Yes</w:t>
            </w:r>
          </w:p>
        </w:tc>
        <w:tc>
          <w:tcPr>
            <w:tcW w:w="760" w:type="pct"/>
          </w:tcPr>
          <w:p w14:paraId="20A3C963" w14:textId="77777777" w:rsidR="00F1341F" w:rsidRPr="008340BB" w:rsidRDefault="00F1341F" w:rsidP="000B5C04">
            <w:pPr>
              <w:widowControl w:val="0"/>
              <w:autoSpaceDE w:val="0"/>
              <w:autoSpaceDN w:val="0"/>
              <w:adjustRightInd w:val="0"/>
              <w:jc w:val="left"/>
              <w:rPr>
                <w:color w:val="000000"/>
                <w:sz w:val="18"/>
                <w:szCs w:val="18"/>
              </w:rPr>
            </w:pPr>
            <w:r w:rsidRPr="008340BB">
              <w:rPr>
                <w:color w:val="000000"/>
                <w:sz w:val="18"/>
                <w:szCs w:val="18"/>
              </w:rPr>
              <w:lastRenderedPageBreak/>
              <w:t xml:space="preserve">Strategy for development of transport sector of Republic of Bulgaria until 2020; </w:t>
            </w:r>
          </w:p>
          <w:p w14:paraId="46719C61" w14:textId="77777777" w:rsidR="00F1341F" w:rsidRPr="008340BB" w:rsidRDefault="00F1341F" w:rsidP="000B5C04">
            <w:pPr>
              <w:widowControl w:val="0"/>
              <w:autoSpaceDE w:val="0"/>
              <w:autoSpaceDN w:val="0"/>
              <w:adjustRightInd w:val="0"/>
              <w:jc w:val="left"/>
              <w:rPr>
                <w:color w:val="000000"/>
                <w:sz w:val="18"/>
                <w:szCs w:val="18"/>
              </w:rPr>
            </w:pPr>
            <w:r w:rsidRPr="008340BB">
              <w:rPr>
                <w:color w:val="000000"/>
                <w:sz w:val="18"/>
                <w:szCs w:val="18"/>
              </w:rPr>
              <w:t>General transport master plan; Strategic environmental assessment (on the General transport master plan).</w:t>
            </w:r>
          </w:p>
          <w:p w14:paraId="0F88FEAC" w14:textId="77777777" w:rsidR="00F1341F" w:rsidRPr="008340BB" w:rsidRDefault="00F1341F" w:rsidP="000B5C04">
            <w:pPr>
              <w:widowControl w:val="0"/>
              <w:autoSpaceDE w:val="0"/>
              <w:autoSpaceDN w:val="0"/>
              <w:adjustRightInd w:val="0"/>
              <w:jc w:val="left"/>
              <w:rPr>
                <w:rStyle w:val="hps"/>
                <w:sz w:val="18"/>
                <w:szCs w:val="18"/>
              </w:rPr>
            </w:pPr>
            <w:r w:rsidRPr="008340BB">
              <w:rPr>
                <w:rStyle w:val="hps"/>
                <w:sz w:val="18"/>
                <w:szCs w:val="18"/>
              </w:rPr>
              <w:t>Update of transport model (prepared as a part of General transport master plan) in order to be identified the</w:t>
            </w:r>
            <w:r w:rsidRPr="008340BB">
              <w:rPr>
                <w:rStyle w:val="hps"/>
              </w:rPr>
              <w:t xml:space="preserve"> </w:t>
            </w:r>
            <w:r w:rsidRPr="008340BB">
              <w:rPr>
                <w:rStyle w:val="hps"/>
                <w:sz w:val="18"/>
                <w:szCs w:val="18"/>
              </w:rPr>
              <w:t>priority investments along the</w:t>
            </w:r>
            <w:r w:rsidRPr="008340BB">
              <w:rPr>
                <w:sz w:val="18"/>
                <w:szCs w:val="18"/>
              </w:rPr>
              <w:t xml:space="preserve"> main directions of </w:t>
            </w:r>
            <w:r w:rsidRPr="008340BB">
              <w:rPr>
                <w:rStyle w:val="hps"/>
                <w:sz w:val="18"/>
                <w:szCs w:val="18"/>
              </w:rPr>
              <w:t>TEN</w:t>
            </w:r>
            <w:r w:rsidRPr="008340BB">
              <w:rPr>
                <w:sz w:val="18"/>
                <w:szCs w:val="18"/>
              </w:rPr>
              <w:t xml:space="preserve">-T until </w:t>
            </w:r>
            <w:r w:rsidRPr="008340BB">
              <w:rPr>
                <w:rStyle w:val="hps"/>
                <w:sz w:val="18"/>
                <w:szCs w:val="18"/>
              </w:rPr>
              <w:t xml:space="preserve">2020 and 2030 </w:t>
            </w:r>
            <w:r w:rsidRPr="008340BB">
              <w:rPr>
                <w:rStyle w:val="hps"/>
                <w:sz w:val="18"/>
                <w:szCs w:val="18"/>
              </w:rPr>
              <w:lastRenderedPageBreak/>
              <w:t xml:space="preserve">(road and railway transport). </w:t>
            </w:r>
          </w:p>
          <w:p w14:paraId="159EC043" w14:textId="77777777" w:rsidR="00F1341F" w:rsidRPr="008340BB" w:rsidRDefault="00F1341F" w:rsidP="000B5C04">
            <w:pPr>
              <w:jc w:val="left"/>
              <w:rPr>
                <w:color w:val="000000"/>
                <w:sz w:val="18"/>
                <w:szCs w:val="18"/>
              </w:rPr>
            </w:pPr>
            <w:r w:rsidRPr="008340BB">
              <w:rPr>
                <w:color w:val="000000"/>
                <w:sz w:val="18"/>
                <w:szCs w:val="18"/>
              </w:rPr>
              <w:t>Strategy for development of road infrastructure until 2020.</w:t>
            </w:r>
          </w:p>
          <w:p w14:paraId="06429187" w14:textId="77777777" w:rsidR="0084449F" w:rsidRDefault="0084449F" w:rsidP="000B5C04">
            <w:pPr>
              <w:jc w:val="left"/>
              <w:rPr>
                <w:color w:val="000000"/>
                <w:sz w:val="18"/>
                <w:szCs w:val="18"/>
                <w:highlight w:val="yellow"/>
              </w:rPr>
            </w:pPr>
          </w:p>
          <w:p w14:paraId="42D58A96" w14:textId="77777777" w:rsidR="00F1341F" w:rsidRPr="008340BB" w:rsidRDefault="00F1341F" w:rsidP="00D651E7">
            <w:pPr>
              <w:jc w:val="left"/>
            </w:pPr>
            <w:r w:rsidRPr="00EA04DF">
              <w:rPr>
                <w:color w:val="000000"/>
                <w:sz w:val="18"/>
                <w:szCs w:val="18"/>
              </w:rPr>
              <w:t xml:space="preserve"> </w:t>
            </w:r>
            <w:r w:rsidR="00D651E7" w:rsidRPr="00EA04DF">
              <w:rPr>
                <w:color w:val="000000"/>
                <w:sz w:val="18"/>
                <w:szCs w:val="18"/>
              </w:rPr>
              <w:t>T</w:t>
            </w:r>
            <w:r w:rsidRPr="00EA04DF">
              <w:rPr>
                <w:color w:val="000000"/>
                <w:sz w:val="18"/>
                <w:szCs w:val="18"/>
              </w:rPr>
              <w:t>echnical assistance projects to ensure the capacity of beneficiaries to deliver the project pipeline</w:t>
            </w:r>
            <w:r w:rsidRPr="008340BB">
              <w:rPr>
                <w:color w:val="000000"/>
                <w:sz w:val="18"/>
                <w:szCs w:val="18"/>
              </w:rPr>
              <w:t>.</w:t>
            </w:r>
          </w:p>
        </w:tc>
        <w:tc>
          <w:tcPr>
            <w:tcW w:w="725" w:type="pct"/>
          </w:tcPr>
          <w:p w14:paraId="15326C38" w14:textId="77777777" w:rsidR="00F1341F" w:rsidRPr="008340BB" w:rsidRDefault="00F1341F" w:rsidP="00243777">
            <w:pPr>
              <w:jc w:val="left"/>
            </w:pPr>
            <w:r w:rsidRPr="008340BB">
              <w:rPr>
                <w:sz w:val="18"/>
                <w:szCs w:val="18"/>
              </w:rPr>
              <w:lastRenderedPageBreak/>
              <w:t xml:space="preserve">In the General Transport Master Plan, Section 6 "Option Identification", are included long lists of options for development of the road infrastructure. Long lists are reduced to a list of priority projects, recommended for development and implementation. At the update (2013) of the transport model, developed as a part of the General Transport Master Plan, are defined the directions in the road and </w:t>
            </w:r>
            <w:r w:rsidRPr="008340BB">
              <w:rPr>
                <w:sz w:val="18"/>
                <w:szCs w:val="18"/>
              </w:rPr>
              <w:lastRenderedPageBreak/>
              <w:t xml:space="preserve">railway network with the greatest expected traffic increase with horizon 2020 and 2030, where the forecast demand is close to or exceeds the existing capacity. In the preparation process of the OPTTI 2014-2020 it was made a prioritization of projects within the scope of the programme, based on multicriteria analysis. </w:t>
            </w:r>
          </w:p>
        </w:tc>
      </w:tr>
      <w:tr w:rsidR="00F1341F" w:rsidRPr="008340BB" w14:paraId="07D0EE4F" w14:textId="77777777" w:rsidTr="00E23FEF">
        <w:trPr>
          <w:trHeight w:val="836"/>
          <w:jc w:val="center"/>
        </w:trPr>
        <w:tc>
          <w:tcPr>
            <w:tcW w:w="758" w:type="pct"/>
          </w:tcPr>
          <w:p w14:paraId="07195F60" w14:textId="77777777" w:rsidR="00F1341F" w:rsidRPr="008340BB" w:rsidRDefault="00F1341F" w:rsidP="00896998">
            <w:pPr>
              <w:pStyle w:val="Sous-titreobjet"/>
              <w:spacing w:before="120"/>
              <w:jc w:val="left"/>
              <w:rPr>
                <w:b w:val="0"/>
                <w:sz w:val="18"/>
                <w:szCs w:val="18"/>
              </w:rPr>
            </w:pPr>
            <w:r w:rsidRPr="008340BB">
              <w:rPr>
                <w:sz w:val="18"/>
                <w:szCs w:val="18"/>
              </w:rPr>
              <w:lastRenderedPageBreak/>
              <w:t>7</w:t>
            </w:r>
            <w:r w:rsidRPr="008340BB">
              <w:rPr>
                <w:b w:val="0"/>
                <w:sz w:val="18"/>
                <w:szCs w:val="18"/>
              </w:rPr>
              <w:t>.3.</w:t>
            </w:r>
            <w:r w:rsidRPr="008340BB">
              <w:rPr>
                <w:sz w:val="18"/>
                <w:szCs w:val="18"/>
              </w:rPr>
              <w:t xml:space="preserve"> </w:t>
            </w:r>
            <w:r w:rsidRPr="008340BB">
              <w:rPr>
                <w:b w:val="0"/>
                <w:sz w:val="18"/>
                <w:szCs w:val="18"/>
              </w:rPr>
              <w:t>Other modes of transport, including inland-waterways and maritime transport, ports, multimodal links and airport infrastructure: The existence within the comprehensive transport plan(s) or framework(s) of an explicit section on inland-waterways and maritime transport, ports, multimodal links and airport infrastructure, which contribute to improve connectivity to the TEN-T comprehensive and core networks and to promote sustainable regional and local mobility</w:t>
            </w:r>
          </w:p>
          <w:p w14:paraId="736CA7E2" w14:textId="77777777" w:rsidR="00F1341F" w:rsidRPr="008340BB" w:rsidRDefault="00F1341F" w:rsidP="005074C8">
            <w:pPr>
              <w:rPr>
                <w:sz w:val="18"/>
                <w:szCs w:val="18"/>
                <w:lang w:eastAsia="en-US"/>
              </w:rPr>
            </w:pPr>
          </w:p>
        </w:tc>
        <w:tc>
          <w:tcPr>
            <w:tcW w:w="758" w:type="pct"/>
          </w:tcPr>
          <w:p w14:paraId="2A718A48" w14:textId="77777777" w:rsidR="00F1341F" w:rsidRPr="008340BB" w:rsidRDefault="00F1341F" w:rsidP="00896998">
            <w:pPr>
              <w:pStyle w:val="BodyTextIndent"/>
              <w:spacing w:before="120" w:after="0"/>
              <w:ind w:left="0"/>
              <w:jc w:val="left"/>
              <w:rPr>
                <w:sz w:val="18"/>
                <w:szCs w:val="18"/>
                <w:lang w:val="en-GB" w:eastAsia="en-GB"/>
              </w:rPr>
            </w:pPr>
            <w:r w:rsidRPr="008340BB">
              <w:rPr>
                <w:sz w:val="18"/>
                <w:szCs w:val="18"/>
                <w:lang w:val="en-GB" w:eastAsia="en-GB"/>
              </w:rPr>
              <w:t>“Improvement of intermodal transport services for passengers and freights and development of sustainable urban transport”;</w:t>
            </w:r>
          </w:p>
          <w:p w14:paraId="60D2A553" w14:textId="77777777" w:rsidR="00F1341F" w:rsidRPr="008340BB" w:rsidRDefault="00F1341F" w:rsidP="00D42443">
            <w:pPr>
              <w:pStyle w:val="BodyTextIndent"/>
              <w:spacing w:after="0"/>
              <w:ind w:left="0"/>
              <w:rPr>
                <w:sz w:val="18"/>
                <w:szCs w:val="18"/>
                <w:lang w:val="en-GB" w:eastAsia="en-GB"/>
              </w:rPr>
            </w:pPr>
          </w:p>
          <w:p w14:paraId="0C1D51B3" w14:textId="77777777" w:rsidR="00F1341F" w:rsidRPr="008340BB" w:rsidRDefault="00F1341F" w:rsidP="00D42443">
            <w:pPr>
              <w:pStyle w:val="BodyTextIndent"/>
              <w:spacing w:after="0"/>
              <w:ind w:left="0"/>
              <w:jc w:val="left"/>
              <w:rPr>
                <w:sz w:val="18"/>
                <w:szCs w:val="18"/>
                <w:lang w:val="en-GB" w:eastAsia="en-GB"/>
              </w:rPr>
            </w:pPr>
            <w:r w:rsidRPr="008340BB">
              <w:rPr>
                <w:sz w:val="18"/>
                <w:szCs w:val="18"/>
                <w:lang w:val="en-GB" w:eastAsia="en-GB"/>
              </w:rPr>
              <w:t>“Innovations in management and services - establishment of modern infrastructure for traffic management and transport safety improvement”;</w:t>
            </w:r>
          </w:p>
          <w:p w14:paraId="5BD3ECC2" w14:textId="77777777" w:rsidR="00F1341F" w:rsidRPr="008340BB" w:rsidRDefault="00F1341F" w:rsidP="00F03C1E">
            <w:pPr>
              <w:rPr>
                <w:sz w:val="20"/>
              </w:rPr>
            </w:pPr>
          </w:p>
        </w:tc>
        <w:tc>
          <w:tcPr>
            <w:tcW w:w="697" w:type="pct"/>
          </w:tcPr>
          <w:p w14:paraId="6C2EB92C" w14:textId="77777777" w:rsidR="00F1341F" w:rsidRPr="008340BB" w:rsidRDefault="00F1341F" w:rsidP="00F03C1E">
            <w:pPr>
              <w:rPr>
                <w:sz w:val="20"/>
              </w:rPr>
            </w:pPr>
            <w:r w:rsidRPr="008340BB">
              <w:rPr>
                <w:bCs/>
                <w:sz w:val="18"/>
                <w:szCs w:val="18"/>
                <w:lang w:eastAsia="bg-BG"/>
              </w:rPr>
              <w:t>Partially</w:t>
            </w:r>
          </w:p>
        </w:tc>
        <w:tc>
          <w:tcPr>
            <w:tcW w:w="760" w:type="pct"/>
          </w:tcPr>
          <w:p w14:paraId="5782C000" w14:textId="77777777" w:rsidR="00F1341F" w:rsidRPr="008340BB" w:rsidRDefault="00F1341F" w:rsidP="00896998">
            <w:pPr>
              <w:pStyle w:val="Sous-titreobjet"/>
              <w:spacing w:before="120"/>
              <w:jc w:val="left"/>
              <w:rPr>
                <w:b w:val="0"/>
                <w:sz w:val="18"/>
                <w:szCs w:val="18"/>
              </w:rPr>
            </w:pPr>
            <w:r w:rsidRPr="008340BB">
              <w:rPr>
                <w:b w:val="0"/>
                <w:sz w:val="18"/>
                <w:szCs w:val="18"/>
              </w:rPr>
              <w:t xml:space="preserve">The existence of a section on inland-waterways and maritime transport, ports, multimodal links and </w:t>
            </w:r>
            <w:r w:rsidRPr="008340BB">
              <w:rPr>
                <w:b w:val="0"/>
                <w:bCs/>
                <w:sz w:val="18"/>
                <w:szCs w:val="18"/>
                <w:lang w:eastAsia="fr-BE"/>
              </w:rPr>
              <w:t xml:space="preserve">airport infrastructure </w:t>
            </w:r>
            <w:r w:rsidRPr="008340BB">
              <w:rPr>
                <w:b w:val="0"/>
                <w:sz w:val="18"/>
                <w:szCs w:val="18"/>
              </w:rPr>
              <w:t>within the transport plan(s) or framework(s) which:</w:t>
            </w:r>
          </w:p>
          <w:p w14:paraId="4E0C92F2" w14:textId="77777777" w:rsidR="00F1341F" w:rsidRPr="008340BB" w:rsidRDefault="00F1341F" w:rsidP="00BC58E2">
            <w:pPr>
              <w:pStyle w:val="Sous-titreobjet"/>
              <w:ind w:left="28"/>
              <w:jc w:val="left"/>
              <w:rPr>
                <w:b w:val="0"/>
                <w:sz w:val="18"/>
                <w:szCs w:val="18"/>
              </w:rPr>
            </w:pPr>
            <w:r w:rsidRPr="008340BB">
              <w:rPr>
                <w:b w:val="0"/>
                <w:sz w:val="18"/>
                <w:szCs w:val="18"/>
              </w:rPr>
              <w:t xml:space="preserve">- fulfils legal requirements for strategic environmental assessment </w:t>
            </w:r>
          </w:p>
          <w:p w14:paraId="536E2AAD" w14:textId="77777777" w:rsidR="00F1341F" w:rsidRPr="008340BB" w:rsidRDefault="00F1341F" w:rsidP="00BC58E2">
            <w:pPr>
              <w:pStyle w:val="Sous-titreobjet"/>
              <w:ind w:left="28"/>
              <w:jc w:val="left"/>
              <w:rPr>
                <w:b w:val="0"/>
                <w:sz w:val="18"/>
                <w:szCs w:val="18"/>
              </w:rPr>
            </w:pPr>
            <w:r w:rsidRPr="008340BB">
              <w:rPr>
                <w:b w:val="0"/>
                <w:sz w:val="18"/>
                <w:szCs w:val="18"/>
              </w:rPr>
              <w:t>- sets out a realistic and mature project pipeline (including a timetable, budgetary framework);</w:t>
            </w:r>
          </w:p>
          <w:p w14:paraId="446803BE" w14:textId="77777777" w:rsidR="00F1341F" w:rsidRPr="007D3E17" w:rsidRDefault="00AD6695" w:rsidP="00BC58E2">
            <w:pPr>
              <w:jc w:val="left"/>
              <w:rPr>
                <w:sz w:val="20"/>
              </w:rPr>
            </w:pPr>
            <w:r w:rsidRPr="00EA04DF">
              <w:rPr>
                <w:sz w:val="18"/>
                <w:szCs w:val="18"/>
              </w:rPr>
              <w:t>-</w:t>
            </w:r>
            <w:r w:rsidR="009B1DD8" w:rsidRPr="00EA04DF">
              <w:rPr>
                <w:sz w:val="18"/>
                <w:szCs w:val="18"/>
              </w:rPr>
              <w:t>Measures to ensure the capacity of intermediary bodies and beneficiaries to deliver the project pipeline.</w:t>
            </w:r>
          </w:p>
        </w:tc>
        <w:tc>
          <w:tcPr>
            <w:tcW w:w="542" w:type="pct"/>
          </w:tcPr>
          <w:p w14:paraId="65646225" w14:textId="77777777" w:rsidR="00F1341F" w:rsidRDefault="00F1341F" w:rsidP="00F03C1E">
            <w:pPr>
              <w:rPr>
                <w:sz w:val="18"/>
                <w:szCs w:val="18"/>
                <w:lang w:val="bg-BG"/>
              </w:rPr>
            </w:pPr>
            <w:r w:rsidRPr="00A828C5">
              <w:rPr>
                <w:sz w:val="18"/>
                <w:szCs w:val="18"/>
              </w:rPr>
              <w:t>No</w:t>
            </w:r>
          </w:p>
          <w:p w14:paraId="57160247" w14:textId="77777777" w:rsidR="001C4D13" w:rsidRDefault="001C4D13" w:rsidP="00F03C1E">
            <w:pPr>
              <w:rPr>
                <w:sz w:val="18"/>
                <w:szCs w:val="18"/>
                <w:lang w:val="bg-BG"/>
              </w:rPr>
            </w:pPr>
          </w:p>
          <w:p w14:paraId="026239A9" w14:textId="77777777" w:rsidR="001C4D13" w:rsidRDefault="001C4D13" w:rsidP="00F03C1E">
            <w:pPr>
              <w:rPr>
                <w:sz w:val="18"/>
                <w:szCs w:val="18"/>
                <w:lang w:val="bg-BG"/>
              </w:rPr>
            </w:pPr>
          </w:p>
          <w:p w14:paraId="0D4AB009" w14:textId="77777777" w:rsidR="001C4D13" w:rsidRDefault="001C4D13" w:rsidP="00F03C1E">
            <w:pPr>
              <w:rPr>
                <w:sz w:val="18"/>
                <w:szCs w:val="18"/>
                <w:lang w:val="bg-BG"/>
              </w:rPr>
            </w:pPr>
          </w:p>
          <w:p w14:paraId="05500020" w14:textId="77777777" w:rsidR="001C4D13" w:rsidRDefault="001C4D13" w:rsidP="00F03C1E">
            <w:pPr>
              <w:rPr>
                <w:sz w:val="18"/>
                <w:szCs w:val="18"/>
                <w:lang w:val="bg-BG"/>
              </w:rPr>
            </w:pPr>
          </w:p>
          <w:p w14:paraId="69216E3B" w14:textId="77777777" w:rsidR="001C4D13" w:rsidRDefault="001C4D13" w:rsidP="00F03C1E">
            <w:pPr>
              <w:rPr>
                <w:sz w:val="18"/>
                <w:szCs w:val="18"/>
                <w:lang w:val="bg-BG"/>
              </w:rPr>
            </w:pPr>
          </w:p>
          <w:p w14:paraId="428EBB3B" w14:textId="77777777" w:rsidR="001C4D13" w:rsidRDefault="001C4D13" w:rsidP="00F03C1E">
            <w:pPr>
              <w:rPr>
                <w:sz w:val="18"/>
                <w:szCs w:val="18"/>
                <w:lang w:val="bg-BG"/>
              </w:rPr>
            </w:pPr>
          </w:p>
          <w:p w14:paraId="78B1ABA9" w14:textId="77777777" w:rsidR="001C4D13" w:rsidRDefault="001C4D13" w:rsidP="00F03C1E">
            <w:pPr>
              <w:rPr>
                <w:sz w:val="18"/>
                <w:szCs w:val="18"/>
                <w:lang w:val="bg-BG"/>
              </w:rPr>
            </w:pPr>
          </w:p>
          <w:p w14:paraId="53135B71" w14:textId="77777777" w:rsidR="001C4D13" w:rsidRDefault="001C4D13" w:rsidP="00F03C1E">
            <w:pPr>
              <w:rPr>
                <w:sz w:val="18"/>
                <w:szCs w:val="18"/>
                <w:lang w:val="bg-BG"/>
              </w:rPr>
            </w:pPr>
          </w:p>
          <w:p w14:paraId="28A7F15E" w14:textId="77777777" w:rsidR="001C4D13" w:rsidRDefault="001C4D13" w:rsidP="00F03C1E">
            <w:pPr>
              <w:rPr>
                <w:sz w:val="18"/>
                <w:szCs w:val="18"/>
                <w:lang w:val="bg-BG"/>
              </w:rPr>
            </w:pPr>
          </w:p>
          <w:p w14:paraId="4DE36B87" w14:textId="77777777" w:rsidR="001C4D13" w:rsidRDefault="001C4D13" w:rsidP="00F03C1E">
            <w:pPr>
              <w:rPr>
                <w:sz w:val="18"/>
                <w:szCs w:val="18"/>
                <w:lang w:val="bg-BG"/>
              </w:rPr>
            </w:pPr>
          </w:p>
          <w:p w14:paraId="28A105B7" w14:textId="77777777" w:rsidR="001C4D13" w:rsidRDefault="001C4D13" w:rsidP="00F03C1E">
            <w:pPr>
              <w:rPr>
                <w:sz w:val="18"/>
                <w:szCs w:val="18"/>
                <w:lang w:val="bg-BG"/>
              </w:rPr>
            </w:pPr>
          </w:p>
          <w:p w14:paraId="446517FE" w14:textId="77777777" w:rsidR="001C4D13" w:rsidRDefault="001C4D13" w:rsidP="00F03C1E">
            <w:pPr>
              <w:rPr>
                <w:sz w:val="18"/>
                <w:szCs w:val="18"/>
                <w:lang w:val="bg-BG"/>
              </w:rPr>
            </w:pPr>
          </w:p>
          <w:p w14:paraId="7556554B" w14:textId="77777777" w:rsidR="001C4D13" w:rsidRDefault="001C4D13" w:rsidP="00F03C1E">
            <w:pPr>
              <w:rPr>
                <w:sz w:val="18"/>
                <w:szCs w:val="18"/>
                <w:lang w:val="bg-BG"/>
              </w:rPr>
            </w:pPr>
          </w:p>
          <w:p w14:paraId="0C131F47" w14:textId="77777777" w:rsidR="001C4D13" w:rsidRDefault="001C4D13" w:rsidP="00F03C1E">
            <w:pPr>
              <w:rPr>
                <w:sz w:val="18"/>
                <w:szCs w:val="18"/>
                <w:lang w:val="bg-BG"/>
              </w:rPr>
            </w:pPr>
          </w:p>
          <w:p w14:paraId="54A3922D" w14:textId="77777777" w:rsidR="001C4D13" w:rsidRDefault="001C4D13" w:rsidP="00F03C1E">
            <w:pPr>
              <w:rPr>
                <w:sz w:val="18"/>
                <w:szCs w:val="18"/>
                <w:lang w:val="bg-BG"/>
              </w:rPr>
            </w:pPr>
          </w:p>
          <w:p w14:paraId="222BA8B5" w14:textId="77777777" w:rsidR="0013075A" w:rsidRDefault="0013075A" w:rsidP="00F03C1E">
            <w:pPr>
              <w:rPr>
                <w:sz w:val="18"/>
                <w:szCs w:val="18"/>
                <w:lang w:val="en-US"/>
              </w:rPr>
            </w:pPr>
          </w:p>
          <w:p w14:paraId="7FF3F1DB" w14:textId="77777777" w:rsidR="001C4D13" w:rsidRPr="006B20AC" w:rsidRDefault="001C4D13" w:rsidP="00F03C1E">
            <w:pPr>
              <w:rPr>
                <w:sz w:val="18"/>
                <w:szCs w:val="18"/>
                <w:lang w:val="en-US"/>
              </w:rPr>
            </w:pPr>
            <w:r w:rsidRPr="00EA04DF">
              <w:rPr>
                <w:sz w:val="18"/>
                <w:szCs w:val="18"/>
                <w:lang w:val="en-US"/>
              </w:rPr>
              <w:t>Yes</w:t>
            </w:r>
          </w:p>
        </w:tc>
        <w:tc>
          <w:tcPr>
            <w:tcW w:w="760" w:type="pct"/>
          </w:tcPr>
          <w:p w14:paraId="4C92510C" w14:textId="77777777" w:rsidR="00F1341F" w:rsidRPr="008340BB" w:rsidRDefault="00F1341F" w:rsidP="00896998">
            <w:pPr>
              <w:widowControl w:val="0"/>
              <w:autoSpaceDE w:val="0"/>
              <w:autoSpaceDN w:val="0"/>
              <w:adjustRightInd w:val="0"/>
              <w:jc w:val="left"/>
              <w:rPr>
                <w:color w:val="000000"/>
                <w:sz w:val="18"/>
                <w:szCs w:val="18"/>
              </w:rPr>
            </w:pPr>
            <w:r w:rsidRPr="008340BB">
              <w:rPr>
                <w:color w:val="000000"/>
                <w:sz w:val="18"/>
                <w:szCs w:val="18"/>
              </w:rPr>
              <w:t xml:space="preserve">Strategy for development of transport sector of Republic of Bulgaria until 2020; </w:t>
            </w:r>
          </w:p>
          <w:p w14:paraId="243C282E" w14:textId="77777777" w:rsidR="00F1341F" w:rsidRPr="008340BB" w:rsidRDefault="00F1341F" w:rsidP="00243777">
            <w:pPr>
              <w:widowControl w:val="0"/>
              <w:autoSpaceDE w:val="0"/>
              <w:autoSpaceDN w:val="0"/>
              <w:adjustRightInd w:val="0"/>
              <w:jc w:val="left"/>
              <w:rPr>
                <w:color w:val="000000"/>
                <w:sz w:val="18"/>
                <w:szCs w:val="18"/>
              </w:rPr>
            </w:pPr>
            <w:r w:rsidRPr="008340BB">
              <w:rPr>
                <w:color w:val="000000"/>
                <w:sz w:val="18"/>
                <w:szCs w:val="18"/>
              </w:rPr>
              <w:t>General transport master plan; Strategic environmental assessment (on the General transport master plan).</w:t>
            </w:r>
          </w:p>
          <w:p w14:paraId="32DE38FD" w14:textId="77777777" w:rsidR="00F1341F" w:rsidRPr="008340BB" w:rsidRDefault="00F1341F" w:rsidP="00896998">
            <w:pPr>
              <w:widowControl w:val="0"/>
              <w:autoSpaceDE w:val="0"/>
              <w:autoSpaceDN w:val="0"/>
              <w:adjustRightInd w:val="0"/>
              <w:rPr>
                <w:color w:val="000000"/>
                <w:sz w:val="18"/>
                <w:szCs w:val="18"/>
              </w:rPr>
            </w:pPr>
          </w:p>
          <w:p w14:paraId="123D184E" w14:textId="77777777" w:rsidR="00F1341F" w:rsidRPr="008340BB" w:rsidRDefault="00F1341F" w:rsidP="00896998">
            <w:pPr>
              <w:widowControl w:val="0"/>
              <w:autoSpaceDE w:val="0"/>
              <w:autoSpaceDN w:val="0"/>
              <w:adjustRightInd w:val="0"/>
              <w:rPr>
                <w:color w:val="000000"/>
                <w:sz w:val="18"/>
                <w:szCs w:val="18"/>
              </w:rPr>
            </w:pPr>
          </w:p>
          <w:p w14:paraId="4CDA2C5F" w14:textId="77777777" w:rsidR="00F1341F" w:rsidRPr="008340BB" w:rsidRDefault="00F1341F" w:rsidP="00896998">
            <w:pPr>
              <w:widowControl w:val="0"/>
              <w:autoSpaceDE w:val="0"/>
              <w:autoSpaceDN w:val="0"/>
              <w:adjustRightInd w:val="0"/>
              <w:rPr>
                <w:color w:val="000000"/>
                <w:sz w:val="18"/>
                <w:szCs w:val="18"/>
              </w:rPr>
            </w:pPr>
          </w:p>
          <w:p w14:paraId="68E50FA7" w14:textId="77777777" w:rsidR="00F1341F" w:rsidRPr="008340BB" w:rsidRDefault="00F1341F" w:rsidP="00896998">
            <w:pPr>
              <w:widowControl w:val="0"/>
              <w:autoSpaceDE w:val="0"/>
              <w:autoSpaceDN w:val="0"/>
              <w:adjustRightInd w:val="0"/>
              <w:rPr>
                <w:color w:val="000000"/>
                <w:sz w:val="18"/>
                <w:szCs w:val="18"/>
              </w:rPr>
            </w:pPr>
          </w:p>
          <w:p w14:paraId="36965D06" w14:textId="77777777" w:rsidR="00F1341F" w:rsidRPr="008340BB" w:rsidRDefault="00F1341F" w:rsidP="00896998">
            <w:pPr>
              <w:widowControl w:val="0"/>
              <w:autoSpaceDE w:val="0"/>
              <w:autoSpaceDN w:val="0"/>
              <w:adjustRightInd w:val="0"/>
              <w:rPr>
                <w:color w:val="000000"/>
                <w:sz w:val="18"/>
                <w:szCs w:val="18"/>
              </w:rPr>
            </w:pPr>
          </w:p>
          <w:p w14:paraId="417B8379" w14:textId="77777777" w:rsidR="00F1341F" w:rsidRPr="008340BB" w:rsidRDefault="00F1341F" w:rsidP="00896998">
            <w:pPr>
              <w:widowControl w:val="0"/>
              <w:autoSpaceDE w:val="0"/>
              <w:autoSpaceDN w:val="0"/>
              <w:adjustRightInd w:val="0"/>
              <w:rPr>
                <w:color w:val="000000"/>
                <w:sz w:val="18"/>
                <w:szCs w:val="18"/>
              </w:rPr>
            </w:pPr>
          </w:p>
          <w:p w14:paraId="3A6FA00F" w14:textId="77777777" w:rsidR="0013075A" w:rsidRDefault="0013075A" w:rsidP="00AD6695">
            <w:pPr>
              <w:jc w:val="left"/>
              <w:rPr>
                <w:color w:val="000000"/>
                <w:sz w:val="18"/>
                <w:szCs w:val="18"/>
              </w:rPr>
            </w:pPr>
          </w:p>
          <w:p w14:paraId="675C36E3" w14:textId="77777777" w:rsidR="0013075A" w:rsidRDefault="0013075A" w:rsidP="00AD6695">
            <w:pPr>
              <w:jc w:val="left"/>
              <w:rPr>
                <w:color w:val="000000"/>
                <w:sz w:val="18"/>
                <w:szCs w:val="18"/>
              </w:rPr>
            </w:pPr>
          </w:p>
          <w:p w14:paraId="57B2A1B1" w14:textId="77777777" w:rsidR="0013075A" w:rsidRDefault="0013075A" w:rsidP="00AD6695">
            <w:pPr>
              <w:jc w:val="left"/>
              <w:rPr>
                <w:color w:val="000000"/>
                <w:sz w:val="18"/>
                <w:szCs w:val="18"/>
              </w:rPr>
            </w:pPr>
          </w:p>
          <w:p w14:paraId="7AF1ED79" w14:textId="77777777" w:rsidR="00F1341F" w:rsidRPr="008340BB" w:rsidRDefault="00F1341F" w:rsidP="00AD6695">
            <w:pPr>
              <w:jc w:val="left"/>
            </w:pPr>
            <w:r w:rsidRPr="00EA04DF">
              <w:rPr>
                <w:color w:val="000000"/>
                <w:sz w:val="18"/>
                <w:szCs w:val="18"/>
              </w:rPr>
              <w:t xml:space="preserve"> </w:t>
            </w:r>
            <w:r w:rsidR="00AD6695" w:rsidRPr="00EA04DF">
              <w:rPr>
                <w:color w:val="000000"/>
                <w:sz w:val="18"/>
                <w:szCs w:val="18"/>
              </w:rPr>
              <w:t>T</w:t>
            </w:r>
            <w:r w:rsidRPr="00EA04DF">
              <w:rPr>
                <w:color w:val="000000"/>
                <w:sz w:val="18"/>
                <w:szCs w:val="18"/>
              </w:rPr>
              <w:t>echnical assistance projects to ensure the capacity of beneficiaries to deliver the project pipeline</w:t>
            </w:r>
            <w:r w:rsidRPr="008340BB">
              <w:rPr>
                <w:color w:val="000000"/>
                <w:sz w:val="18"/>
                <w:szCs w:val="18"/>
              </w:rPr>
              <w:t>.</w:t>
            </w:r>
          </w:p>
        </w:tc>
        <w:tc>
          <w:tcPr>
            <w:tcW w:w="725" w:type="pct"/>
          </w:tcPr>
          <w:p w14:paraId="2E30238F" w14:textId="36DCD9F2" w:rsidR="00F1341F" w:rsidRPr="008340BB" w:rsidRDefault="00F1341F" w:rsidP="00F21D3E">
            <w:pPr>
              <w:jc w:val="left"/>
            </w:pPr>
            <w:r w:rsidRPr="008340BB">
              <w:rPr>
                <w:sz w:val="18"/>
              </w:rPr>
              <w:t xml:space="preserve">In the General Transport Master Plan, Section 6 "Option Identification", is included a long list of ports and waterways options (Table 6.4), a long list of air transport options (Table 6.5) and a long list of intermodal options (Table 6.6). Long lists are reduced to a list of priority projects, recommended for development and implementation. There are finally recommended 7 projects for water transport, 2 projects for air transport and 3 projects for intermodal transport (Table 9.14, Priority projects). The projects included in Table 9.14 are subject to cost-benefit analysis. </w:t>
            </w:r>
            <w:r w:rsidRPr="008340BB">
              <w:rPr>
                <w:sz w:val="18"/>
                <w:szCs w:val="24"/>
              </w:rPr>
              <w:t xml:space="preserve">In the preparation process of the OPTTI 2014-2020 it was made a prioritization of </w:t>
            </w:r>
            <w:r w:rsidRPr="008340BB">
              <w:rPr>
                <w:sz w:val="18"/>
                <w:szCs w:val="24"/>
              </w:rPr>
              <w:lastRenderedPageBreak/>
              <w:t xml:space="preserve">projects within the scope of the programme, based on multicriteria analysis. </w:t>
            </w:r>
            <w:r w:rsidRPr="008340BB">
              <w:rPr>
                <w:sz w:val="18"/>
              </w:rPr>
              <w:t xml:space="preserve">It is envisaged development of multimodal links (road and rail) with ports and airports. No projects for the development of port and airport infrastructure are envisaged within the scope of the OPTTI 2014-2020.Measures to improve navigation in the Bulgarian-Romanian common section of the Danube are planned for the programming period 2014-2020 with funding from the </w:t>
            </w:r>
            <w:r w:rsidRPr="008340BB">
              <w:rPr>
                <w:sz w:val="18"/>
                <w:szCs w:val="22"/>
                <w:lang w:eastAsia="en-US"/>
              </w:rPr>
              <w:t>Connecting Europe Facility</w:t>
            </w:r>
            <w:r w:rsidRPr="008340BB">
              <w:rPr>
                <w:sz w:val="18"/>
              </w:rPr>
              <w:t>.</w:t>
            </w:r>
          </w:p>
        </w:tc>
      </w:tr>
      <w:tr w:rsidR="00F1341F" w:rsidRPr="008340BB" w14:paraId="124038DA" w14:textId="77777777" w:rsidTr="00E23FEF">
        <w:trPr>
          <w:trHeight w:val="836"/>
          <w:jc w:val="center"/>
        </w:trPr>
        <w:tc>
          <w:tcPr>
            <w:tcW w:w="758" w:type="pct"/>
          </w:tcPr>
          <w:p w14:paraId="7552F981" w14:textId="77777777" w:rsidR="00F1341F" w:rsidRPr="008340BB" w:rsidRDefault="00F1341F" w:rsidP="00E23FEF">
            <w:pPr>
              <w:pStyle w:val="Sous-titreobjet"/>
              <w:spacing w:before="120"/>
              <w:ind w:left="80"/>
              <w:jc w:val="left"/>
              <w:rPr>
                <w:sz w:val="18"/>
                <w:szCs w:val="18"/>
              </w:rPr>
            </w:pPr>
            <w:r w:rsidRPr="008340BB">
              <w:rPr>
                <w:sz w:val="18"/>
                <w:szCs w:val="18"/>
              </w:rPr>
              <w:lastRenderedPageBreak/>
              <w:t>General ex-ante conditionalities (ExAC)</w:t>
            </w:r>
          </w:p>
        </w:tc>
        <w:tc>
          <w:tcPr>
            <w:tcW w:w="758" w:type="pct"/>
          </w:tcPr>
          <w:p w14:paraId="0B3ABB88" w14:textId="77777777" w:rsidR="00F1341F" w:rsidRPr="008340BB" w:rsidRDefault="00F1341F" w:rsidP="00896998">
            <w:pPr>
              <w:pStyle w:val="BodyTextIndent"/>
              <w:spacing w:before="120" w:after="0"/>
              <w:ind w:left="0"/>
              <w:jc w:val="left"/>
              <w:rPr>
                <w:sz w:val="16"/>
                <w:szCs w:val="16"/>
                <w:lang w:val="en-GB" w:eastAsia="en-GB"/>
              </w:rPr>
            </w:pPr>
          </w:p>
        </w:tc>
        <w:tc>
          <w:tcPr>
            <w:tcW w:w="697" w:type="pct"/>
          </w:tcPr>
          <w:p w14:paraId="67391902" w14:textId="77777777" w:rsidR="00F1341F" w:rsidRPr="008340BB" w:rsidRDefault="00F1341F" w:rsidP="00F03C1E">
            <w:pPr>
              <w:rPr>
                <w:bCs/>
                <w:sz w:val="16"/>
                <w:szCs w:val="16"/>
                <w:lang w:eastAsia="bg-BG"/>
              </w:rPr>
            </w:pPr>
          </w:p>
        </w:tc>
        <w:tc>
          <w:tcPr>
            <w:tcW w:w="760" w:type="pct"/>
          </w:tcPr>
          <w:p w14:paraId="1481624E" w14:textId="77777777" w:rsidR="00F1341F" w:rsidRPr="008340BB" w:rsidRDefault="00F1341F" w:rsidP="00896998">
            <w:pPr>
              <w:pStyle w:val="Sous-titreobjet"/>
              <w:spacing w:before="120"/>
              <w:jc w:val="left"/>
              <w:rPr>
                <w:b w:val="0"/>
                <w:sz w:val="16"/>
                <w:szCs w:val="16"/>
              </w:rPr>
            </w:pPr>
          </w:p>
        </w:tc>
        <w:tc>
          <w:tcPr>
            <w:tcW w:w="542" w:type="pct"/>
          </w:tcPr>
          <w:p w14:paraId="42A5187C" w14:textId="77777777" w:rsidR="00F1341F" w:rsidRPr="008340BB" w:rsidRDefault="00F1341F" w:rsidP="00F03C1E">
            <w:pPr>
              <w:rPr>
                <w:sz w:val="16"/>
                <w:szCs w:val="16"/>
              </w:rPr>
            </w:pPr>
          </w:p>
        </w:tc>
        <w:tc>
          <w:tcPr>
            <w:tcW w:w="760" w:type="pct"/>
          </w:tcPr>
          <w:p w14:paraId="52A93832" w14:textId="77777777" w:rsidR="00F1341F" w:rsidRPr="008340BB" w:rsidRDefault="00F1341F" w:rsidP="00896998">
            <w:pPr>
              <w:widowControl w:val="0"/>
              <w:autoSpaceDE w:val="0"/>
              <w:autoSpaceDN w:val="0"/>
              <w:adjustRightInd w:val="0"/>
              <w:jc w:val="left"/>
              <w:rPr>
                <w:color w:val="000000"/>
                <w:sz w:val="16"/>
                <w:szCs w:val="16"/>
              </w:rPr>
            </w:pPr>
          </w:p>
        </w:tc>
        <w:tc>
          <w:tcPr>
            <w:tcW w:w="725" w:type="pct"/>
          </w:tcPr>
          <w:p w14:paraId="40DDA643" w14:textId="77777777" w:rsidR="00F1341F" w:rsidRPr="008340BB" w:rsidRDefault="00F1341F" w:rsidP="00F03C1E">
            <w:pPr>
              <w:rPr>
                <w:sz w:val="16"/>
                <w:szCs w:val="16"/>
              </w:rPr>
            </w:pPr>
          </w:p>
        </w:tc>
      </w:tr>
      <w:tr w:rsidR="00F1341F" w:rsidRPr="008340BB" w14:paraId="57A30E03" w14:textId="77777777" w:rsidTr="00E23FEF">
        <w:trPr>
          <w:trHeight w:val="836"/>
          <w:jc w:val="center"/>
        </w:trPr>
        <w:tc>
          <w:tcPr>
            <w:tcW w:w="758" w:type="pct"/>
          </w:tcPr>
          <w:p w14:paraId="44D1B4DF"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4. Existence of framework for the effective implementation of EU legislation on public procurement in the field of EU structural and investment funds.</w:t>
            </w:r>
          </w:p>
          <w:p w14:paraId="3C14B943" w14:textId="77777777" w:rsidR="00F1341F" w:rsidRPr="008340BB" w:rsidRDefault="00F1341F" w:rsidP="00E23FEF">
            <w:pPr>
              <w:pStyle w:val="Sous-titreobjet"/>
              <w:spacing w:before="120"/>
              <w:ind w:left="80"/>
              <w:jc w:val="left"/>
              <w:rPr>
                <w:sz w:val="18"/>
                <w:szCs w:val="18"/>
              </w:rPr>
            </w:pPr>
          </w:p>
        </w:tc>
        <w:tc>
          <w:tcPr>
            <w:tcW w:w="758" w:type="pct"/>
          </w:tcPr>
          <w:p w14:paraId="0214088D" w14:textId="77777777" w:rsidR="00F1341F" w:rsidRPr="008340BB" w:rsidRDefault="00F1341F" w:rsidP="00D0023C">
            <w:pPr>
              <w:pStyle w:val="BodyTextIndent"/>
              <w:spacing w:before="120" w:after="0"/>
              <w:ind w:left="0"/>
              <w:jc w:val="left"/>
              <w:rPr>
                <w:sz w:val="18"/>
                <w:szCs w:val="18"/>
                <w:lang w:val="en-GB" w:eastAsia="en-GB"/>
              </w:rPr>
            </w:pPr>
            <w:r w:rsidRPr="008340BB">
              <w:rPr>
                <w:sz w:val="18"/>
                <w:szCs w:val="18"/>
                <w:lang w:val="en-GB" w:eastAsia="en-GB"/>
              </w:rPr>
              <w:t>All axes of OPTTI</w:t>
            </w:r>
          </w:p>
        </w:tc>
        <w:tc>
          <w:tcPr>
            <w:tcW w:w="697" w:type="pct"/>
          </w:tcPr>
          <w:p w14:paraId="5598A818" w14:textId="77777777" w:rsidR="00F1341F" w:rsidRPr="008340BB" w:rsidRDefault="00F1341F" w:rsidP="00243777">
            <w:pPr>
              <w:jc w:val="left"/>
              <w:rPr>
                <w:bCs/>
                <w:sz w:val="18"/>
                <w:szCs w:val="18"/>
                <w:lang w:eastAsia="bg-BG"/>
              </w:rPr>
            </w:pPr>
            <w:r w:rsidRPr="008340BB">
              <w:rPr>
                <w:bCs/>
                <w:sz w:val="18"/>
                <w:szCs w:val="18"/>
                <w:lang w:eastAsia="bg-BG"/>
              </w:rPr>
              <w:t>Partially</w:t>
            </w:r>
          </w:p>
        </w:tc>
        <w:tc>
          <w:tcPr>
            <w:tcW w:w="760" w:type="pct"/>
          </w:tcPr>
          <w:p w14:paraId="5C757444" w14:textId="77777777" w:rsidR="00F1341F" w:rsidRPr="008340BB" w:rsidRDefault="00F1341F" w:rsidP="00E23FEF">
            <w:pPr>
              <w:snapToGrid w:val="0"/>
              <w:spacing w:before="0" w:after="0"/>
              <w:ind w:left="26"/>
              <w:jc w:val="left"/>
              <w:rPr>
                <w:color w:val="000000"/>
                <w:sz w:val="18"/>
                <w:szCs w:val="18"/>
              </w:rPr>
            </w:pPr>
            <w:r w:rsidRPr="008340BB">
              <w:rPr>
                <w:color w:val="000000"/>
                <w:sz w:val="18"/>
                <w:szCs w:val="18"/>
              </w:rPr>
              <w:t>Existence of framework for the effective implementation of EU legislation on public procurement in the field of EU structural and investment funds.</w:t>
            </w:r>
          </w:p>
          <w:p w14:paraId="20FA337D" w14:textId="77777777" w:rsidR="00F1341F" w:rsidRPr="008340BB" w:rsidRDefault="00F1341F" w:rsidP="00E23FEF">
            <w:pPr>
              <w:pStyle w:val="Sous-titreobjet"/>
              <w:spacing w:before="120"/>
              <w:ind w:left="26"/>
              <w:jc w:val="left"/>
              <w:rPr>
                <w:b w:val="0"/>
                <w:sz w:val="18"/>
                <w:szCs w:val="18"/>
              </w:rPr>
            </w:pPr>
          </w:p>
        </w:tc>
        <w:tc>
          <w:tcPr>
            <w:tcW w:w="542" w:type="pct"/>
          </w:tcPr>
          <w:p w14:paraId="399613A2" w14:textId="77777777" w:rsidR="00F1341F" w:rsidRPr="00EA04DF" w:rsidRDefault="005C669A" w:rsidP="00243777">
            <w:pPr>
              <w:jc w:val="left"/>
              <w:rPr>
                <w:color w:val="000000"/>
                <w:sz w:val="18"/>
                <w:szCs w:val="18"/>
                <w:lang w:val="bg-BG"/>
              </w:rPr>
            </w:pPr>
            <w:r>
              <w:rPr>
                <w:b/>
                <w:sz w:val="16"/>
                <w:szCs w:val="16"/>
                <w:lang w:val="en-US"/>
              </w:rPr>
              <w:t>NO</w:t>
            </w:r>
          </w:p>
        </w:tc>
        <w:tc>
          <w:tcPr>
            <w:tcW w:w="760" w:type="pct"/>
          </w:tcPr>
          <w:p w14:paraId="4D7C03CB" w14:textId="77777777" w:rsidR="00F1341F" w:rsidRPr="008340BB" w:rsidRDefault="00F1341F" w:rsidP="00E23FEF">
            <w:pPr>
              <w:widowControl w:val="0"/>
              <w:autoSpaceDE w:val="0"/>
              <w:autoSpaceDN w:val="0"/>
              <w:adjustRightInd w:val="0"/>
              <w:ind w:hanging="31"/>
              <w:jc w:val="left"/>
              <w:rPr>
                <w:color w:val="000000"/>
                <w:sz w:val="18"/>
                <w:szCs w:val="18"/>
              </w:rPr>
            </w:pPr>
            <w:r w:rsidRPr="008340BB">
              <w:rPr>
                <w:color w:val="000000"/>
                <w:sz w:val="18"/>
                <w:szCs w:val="18"/>
              </w:rPr>
              <w:t xml:space="preserve">Development of </w:t>
            </w:r>
            <w:r w:rsidRPr="008340BB">
              <w:rPr>
                <w:color w:val="000000"/>
                <w:sz w:val="18"/>
                <w:szCs w:val="18"/>
                <w:lang w:eastAsia="en-US"/>
              </w:rPr>
              <w:t>National strategy for development of the public procurement sector in Bulgaria for the period 2014 - 2020</w:t>
            </w:r>
          </w:p>
        </w:tc>
        <w:tc>
          <w:tcPr>
            <w:tcW w:w="725" w:type="pct"/>
          </w:tcPr>
          <w:p w14:paraId="29AA69B3" w14:textId="77777777" w:rsidR="00F1341F" w:rsidRPr="008340BB" w:rsidRDefault="00F1341F" w:rsidP="00243777">
            <w:pPr>
              <w:jc w:val="left"/>
              <w:rPr>
                <w:sz w:val="18"/>
                <w:szCs w:val="18"/>
              </w:rPr>
            </w:pPr>
            <w:r w:rsidRPr="008340BB">
              <w:rPr>
                <w:sz w:val="18"/>
                <w:szCs w:val="18"/>
              </w:rPr>
              <w:t>-Additional extension of the scope of ex-ante control, execised by the PPA</w:t>
            </w:r>
          </w:p>
          <w:p w14:paraId="09A5C189" w14:textId="77777777" w:rsidR="00F1341F" w:rsidRPr="008340BB" w:rsidRDefault="00F1341F" w:rsidP="00243777">
            <w:pPr>
              <w:jc w:val="left"/>
              <w:rPr>
                <w:sz w:val="18"/>
                <w:szCs w:val="18"/>
              </w:rPr>
            </w:pPr>
            <w:r w:rsidRPr="008340BB">
              <w:rPr>
                <w:sz w:val="18"/>
                <w:szCs w:val="18"/>
              </w:rPr>
              <w:t>- Enforcement of new European directives through elaboration of entirely new framework law</w:t>
            </w:r>
          </w:p>
          <w:p w14:paraId="36FE5F84" w14:textId="77777777" w:rsidR="00F1341F" w:rsidRPr="008340BB" w:rsidRDefault="00F1341F" w:rsidP="00243777">
            <w:pPr>
              <w:jc w:val="left"/>
              <w:rPr>
                <w:sz w:val="18"/>
                <w:szCs w:val="18"/>
              </w:rPr>
            </w:pPr>
            <w:r w:rsidRPr="008340BB">
              <w:rPr>
                <w:sz w:val="18"/>
                <w:szCs w:val="18"/>
              </w:rPr>
              <w:t>- Elaboration of Action plan for implementation of the Strategy</w:t>
            </w:r>
          </w:p>
        </w:tc>
      </w:tr>
      <w:tr w:rsidR="00F1341F" w:rsidRPr="008340BB" w14:paraId="158507A6" w14:textId="77777777" w:rsidTr="00E23FEF">
        <w:trPr>
          <w:trHeight w:val="836"/>
          <w:jc w:val="center"/>
        </w:trPr>
        <w:tc>
          <w:tcPr>
            <w:tcW w:w="758" w:type="pct"/>
          </w:tcPr>
          <w:p w14:paraId="255D78BC" w14:textId="77777777" w:rsidR="00F1341F" w:rsidRPr="008340BB" w:rsidRDefault="00F1341F" w:rsidP="00E23FEF">
            <w:pPr>
              <w:pStyle w:val="Sous-titreobjet"/>
              <w:spacing w:before="120"/>
              <w:ind w:left="80"/>
              <w:jc w:val="left"/>
              <w:rPr>
                <w:sz w:val="18"/>
                <w:szCs w:val="18"/>
              </w:rPr>
            </w:pPr>
          </w:p>
        </w:tc>
        <w:tc>
          <w:tcPr>
            <w:tcW w:w="758" w:type="pct"/>
          </w:tcPr>
          <w:p w14:paraId="0DED9081" w14:textId="77777777" w:rsidR="00F1341F" w:rsidRPr="008340BB" w:rsidRDefault="00F1341F" w:rsidP="00896998">
            <w:pPr>
              <w:pStyle w:val="BodyTextIndent"/>
              <w:spacing w:before="120" w:after="0"/>
              <w:ind w:left="0"/>
              <w:jc w:val="left"/>
              <w:rPr>
                <w:sz w:val="16"/>
                <w:szCs w:val="16"/>
                <w:lang w:val="en-GB" w:eastAsia="en-GB"/>
              </w:rPr>
            </w:pPr>
          </w:p>
        </w:tc>
        <w:tc>
          <w:tcPr>
            <w:tcW w:w="697" w:type="pct"/>
          </w:tcPr>
          <w:p w14:paraId="6DCD4DEC" w14:textId="77777777" w:rsidR="00F1341F" w:rsidRPr="008340BB" w:rsidRDefault="00F1341F" w:rsidP="00F03C1E">
            <w:pPr>
              <w:rPr>
                <w:bCs/>
                <w:sz w:val="16"/>
                <w:szCs w:val="16"/>
                <w:lang w:eastAsia="bg-BG"/>
              </w:rPr>
            </w:pPr>
          </w:p>
        </w:tc>
        <w:tc>
          <w:tcPr>
            <w:tcW w:w="760" w:type="pct"/>
          </w:tcPr>
          <w:p w14:paraId="78334540" w14:textId="77777777" w:rsidR="00F1341F" w:rsidRPr="008340BB" w:rsidRDefault="00F1341F" w:rsidP="00E23FEF">
            <w:pPr>
              <w:snapToGrid w:val="0"/>
              <w:spacing w:before="0" w:after="0"/>
              <w:ind w:left="26"/>
              <w:jc w:val="left"/>
              <w:rPr>
                <w:color w:val="000000"/>
                <w:sz w:val="18"/>
                <w:szCs w:val="18"/>
              </w:rPr>
            </w:pPr>
            <w:r w:rsidRPr="008340BB">
              <w:rPr>
                <w:color w:val="000000"/>
                <w:sz w:val="18"/>
                <w:szCs w:val="18"/>
              </w:rPr>
              <w:t>Framework, guaranteeing transparent procedures for awarding public procurement contracts</w:t>
            </w:r>
          </w:p>
        </w:tc>
        <w:tc>
          <w:tcPr>
            <w:tcW w:w="542" w:type="pct"/>
          </w:tcPr>
          <w:p w14:paraId="61F4A574" w14:textId="77777777" w:rsidR="00F1341F" w:rsidRPr="008340BB" w:rsidRDefault="00F1341F" w:rsidP="00243777">
            <w:pPr>
              <w:pStyle w:val="Sous-titreobjet"/>
              <w:spacing w:before="120"/>
              <w:jc w:val="left"/>
              <w:rPr>
                <w:sz w:val="16"/>
                <w:szCs w:val="16"/>
              </w:rPr>
            </w:pPr>
            <w:r w:rsidRPr="008340BB">
              <w:rPr>
                <w:b w:val="0"/>
                <w:sz w:val="16"/>
                <w:szCs w:val="16"/>
              </w:rPr>
              <w:t>YES</w:t>
            </w:r>
          </w:p>
        </w:tc>
        <w:tc>
          <w:tcPr>
            <w:tcW w:w="760" w:type="pct"/>
          </w:tcPr>
          <w:p w14:paraId="017C4111" w14:textId="77777777" w:rsidR="00F1341F" w:rsidRPr="008340BB" w:rsidRDefault="00F1341F" w:rsidP="00E23FEF">
            <w:pPr>
              <w:snapToGrid w:val="0"/>
              <w:spacing w:before="0" w:after="0"/>
              <w:ind w:left="26"/>
              <w:jc w:val="left"/>
              <w:rPr>
                <w:color w:val="000000"/>
                <w:sz w:val="18"/>
                <w:szCs w:val="18"/>
              </w:rPr>
            </w:pPr>
            <w:r w:rsidRPr="008340BB">
              <w:rPr>
                <w:color w:val="000000"/>
                <w:sz w:val="18"/>
                <w:szCs w:val="18"/>
              </w:rPr>
              <w:t xml:space="preserve">The principle of publicity and transparency is guaranteed by the Public Procurement Registry and last amendments and </w:t>
            </w:r>
            <w:r w:rsidRPr="008340BB">
              <w:rPr>
                <w:color w:val="000000"/>
                <w:sz w:val="18"/>
                <w:szCs w:val="18"/>
              </w:rPr>
              <w:lastRenderedPageBreak/>
              <w:t>supplements to the PPA</w:t>
            </w:r>
          </w:p>
        </w:tc>
        <w:tc>
          <w:tcPr>
            <w:tcW w:w="725" w:type="pct"/>
          </w:tcPr>
          <w:p w14:paraId="16D8C833" w14:textId="77777777" w:rsidR="00F1341F" w:rsidRPr="008340BB" w:rsidRDefault="00F1341F" w:rsidP="00E23FEF">
            <w:pPr>
              <w:snapToGrid w:val="0"/>
              <w:spacing w:before="0" w:after="0"/>
              <w:ind w:left="26"/>
              <w:jc w:val="left"/>
              <w:rPr>
                <w:color w:val="000000"/>
                <w:sz w:val="18"/>
                <w:szCs w:val="18"/>
              </w:rPr>
            </w:pPr>
            <w:r w:rsidRPr="008340BB">
              <w:rPr>
                <w:color w:val="000000"/>
                <w:sz w:val="18"/>
                <w:szCs w:val="18"/>
              </w:rPr>
              <w:lastRenderedPageBreak/>
              <w:t>Forthcoming introduction  entirely of electronic communication up to the stage of submission of electronic tender</w:t>
            </w:r>
          </w:p>
        </w:tc>
      </w:tr>
      <w:tr w:rsidR="00F1341F" w:rsidRPr="008340BB" w14:paraId="22EF0E2C" w14:textId="77777777" w:rsidTr="00E23FEF">
        <w:trPr>
          <w:trHeight w:val="836"/>
          <w:jc w:val="center"/>
        </w:trPr>
        <w:tc>
          <w:tcPr>
            <w:tcW w:w="758" w:type="pct"/>
          </w:tcPr>
          <w:p w14:paraId="2B833659" w14:textId="77777777" w:rsidR="00F1341F" w:rsidRPr="008340BB" w:rsidRDefault="00F1341F" w:rsidP="00E23FEF">
            <w:pPr>
              <w:pStyle w:val="Sous-titreobjet"/>
              <w:spacing w:before="120"/>
              <w:ind w:left="80"/>
              <w:jc w:val="left"/>
              <w:rPr>
                <w:sz w:val="18"/>
                <w:szCs w:val="18"/>
              </w:rPr>
            </w:pPr>
          </w:p>
        </w:tc>
        <w:tc>
          <w:tcPr>
            <w:tcW w:w="758" w:type="pct"/>
          </w:tcPr>
          <w:p w14:paraId="63C8B7A7" w14:textId="77777777" w:rsidR="00F1341F" w:rsidRPr="008340BB" w:rsidRDefault="00F1341F" w:rsidP="00896998">
            <w:pPr>
              <w:pStyle w:val="BodyTextIndent"/>
              <w:spacing w:before="120" w:after="0"/>
              <w:ind w:left="0"/>
              <w:jc w:val="left"/>
              <w:rPr>
                <w:sz w:val="16"/>
                <w:szCs w:val="16"/>
                <w:lang w:val="en-GB" w:eastAsia="en-GB"/>
              </w:rPr>
            </w:pPr>
          </w:p>
        </w:tc>
        <w:tc>
          <w:tcPr>
            <w:tcW w:w="697" w:type="pct"/>
          </w:tcPr>
          <w:p w14:paraId="263A7685" w14:textId="77777777" w:rsidR="00F1341F" w:rsidRPr="008340BB" w:rsidRDefault="00F1341F" w:rsidP="00F03C1E">
            <w:pPr>
              <w:rPr>
                <w:bCs/>
                <w:sz w:val="16"/>
                <w:szCs w:val="16"/>
                <w:lang w:eastAsia="bg-BG"/>
              </w:rPr>
            </w:pPr>
          </w:p>
        </w:tc>
        <w:tc>
          <w:tcPr>
            <w:tcW w:w="760" w:type="pct"/>
          </w:tcPr>
          <w:p w14:paraId="2BE19D3E" w14:textId="77777777" w:rsidR="00F1341F" w:rsidRPr="008340BB" w:rsidRDefault="00F1341F" w:rsidP="00E23FEF">
            <w:pPr>
              <w:snapToGrid w:val="0"/>
              <w:spacing w:before="0" w:after="0"/>
              <w:ind w:left="26"/>
              <w:jc w:val="left"/>
              <w:rPr>
                <w:color w:val="000000"/>
                <w:sz w:val="18"/>
                <w:szCs w:val="18"/>
              </w:rPr>
            </w:pPr>
            <w:r w:rsidRPr="008340BB">
              <w:rPr>
                <w:color w:val="000000"/>
                <w:sz w:val="18"/>
                <w:szCs w:val="18"/>
              </w:rPr>
              <w:t>Framework for the training of staff involved in the implementation of EU structural and investment funds and for communicating information to this staff</w:t>
            </w:r>
          </w:p>
        </w:tc>
        <w:tc>
          <w:tcPr>
            <w:tcW w:w="542" w:type="pct"/>
          </w:tcPr>
          <w:p w14:paraId="095A0D99" w14:textId="77777777" w:rsidR="00F1341F" w:rsidRPr="008340BB" w:rsidRDefault="00F1341F" w:rsidP="00E23FEF">
            <w:pPr>
              <w:ind w:left="566" w:hanging="566"/>
              <w:jc w:val="left"/>
              <w:rPr>
                <w:sz w:val="16"/>
                <w:szCs w:val="16"/>
              </w:rPr>
            </w:pPr>
            <w:r w:rsidRPr="008340BB">
              <w:rPr>
                <w:color w:val="000000"/>
                <w:sz w:val="16"/>
                <w:szCs w:val="16"/>
              </w:rPr>
              <w:t>NO</w:t>
            </w:r>
          </w:p>
        </w:tc>
        <w:tc>
          <w:tcPr>
            <w:tcW w:w="760" w:type="pct"/>
          </w:tcPr>
          <w:p w14:paraId="5EC8514A" w14:textId="77777777" w:rsidR="00F1341F" w:rsidRPr="008340BB" w:rsidRDefault="00F1341F" w:rsidP="00E23FEF">
            <w:pPr>
              <w:snapToGrid w:val="0"/>
              <w:spacing w:before="0" w:after="0"/>
              <w:ind w:left="26"/>
              <w:jc w:val="left"/>
              <w:rPr>
                <w:color w:val="000000"/>
                <w:sz w:val="18"/>
                <w:szCs w:val="18"/>
              </w:rPr>
            </w:pPr>
            <w:r w:rsidRPr="008340BB">
              <w:rPr>
                <w:color w:val="000000"/>
                <w:sz w:val="18"/>
                <w:szCs w:val="18"/>
              </w:rPr>
              <w:t>Conducting trainings for the MA, related to implementation of EU legislation on public procurement, avoiding the risk of imposing financial corrections and administrative sanctions</w:t>
            </w:r>
          </w:p>
        </w:tc>
        <w:tc>
          <w:tcPr>
            <w:tcW w:w="725" w:type="pct"/>
          </w:tcPr>
          <w:p w14:paraId="45E37241" w14:textId="77777777" w:rsidR="00F1341F" w:rsidRPr="008340BB" w:rsidRDefault="00F1341F" w:rsidP="00E23FEF">
            <w:pPr>
              <w:snapToGrid w:val="0"/>
              <w:spacing w:before="0" w:after="0"/>
              <w:ind w:left="26"/>
              <w:jc w:val="left"/>
              <w:rPr>
                <w:color w:val="000000"/>
                <w:sz w:val="18"/>
                <w:szCs w:val="18"/>
              </w:rPr>
            </w:pPr>
            <w:r w:rsidRPr="008340BB">
              <w:rPr>
                <w:color w:val="000000"/>
                <w:sz w:val="18"/>
                <w:szCs w:val="18"/>
              </w:rPr>
              <w:t>Use of UMIS</w:t>
            </w:r>
          </w:p>
          <w:p w14:paraId="41A2F072" w14:textId="77777777" w:rsidR="00F1341F" w:rsidRPr="008340BB" w:rsidRDefault="00F1341F" w:rsidP="001250BE">
            <w:pPr>
              <w:snapToGrid w:val="0"/>
              <w:spacing w:before="0" w:after="0"/>
              <w:ind w:left="26"/>
              <w:jc w:val="left"/>
              <w:rPr>
                <w:color w:val="000000"/>
                <w:sz w:val="18"/>
                <w:szCs w:val="18"/>
              </w:rPr>
            </w:pPr>
            <w:r w:rsidRPr="008340BB">
              <w:rPr>
                <w:color w:val="000000"/>
                <w:sz w:val="18"/>
                <w:szCs w:val="18"/>
              </w:rPr>
              <w:t>Various trainings on the PPA for the period since 2007 to present were attended by 50 employees of the MA of the OPT</w:t>
            </w:r>
          </w:p>
        </w:tc>
      </w:tr>
      <w:tr w:rsidR="00F1341F" w:rsidRPr="008340BB" w14:paraId="4544AE68" w14:textId="77777777" w:rsidTr="00E23FEF">
        <w:trPr>
          <w:trHeight w:val="836"/>
          <w:jc w:val="center"/>
        </w:trPr>
        <w:tc>
          <w:tcPr>
            <w:tcW w:w="758" w:type="pct"/>
          </w:tcPr>
          <w:p w14:paraId="47FF6FC5" w14:textId="77777777" w:rsidR="00F1341F" w:rsidRPr="008340BB" w:rsidRDefault="00F1341F" w:rsidP="00E23FEF">
            <w:pPr>
              <w:pStyle w:val="Sous-titreobjet"/>
              <w:spacing w:before="120"/>
              <w:ind w:left="80"/>
              <w:jc w:val="left"/>
              <w:rPr>
                <w:sz w:val="18"/>
                <w:szCs w:val="18"/>
              </w:rPr>
            </w:pPr>
          </w:p>
        </w:tc>
        <w:tc>
          <w:tcPr>
            <w:tcW w:w="758" w:type="pct"/>
          </w:tcPr>
          <w:p w14:paraId="2D6FC4D7" w14:textId="77777777" w:rsidR="00F1341F" w:rsidRPr="008340BB" w:rsidRDefault="00F1341F" w:rsidP="00896998">
            <w:pPr>
              <w:pStyle w:val="BodyTextIndent"/>
              <w:spacing w:before="120" w:after="0"/>
              <w:ind w:left="0"/>
              <w:jc w:val="left"/>
              <w:rPr>
                <w:sz w:val="16"/>
                <w:szCs w:val="16"/>
                <w:lang w:val="en-GB" w:eastAsia="en-GB"/>
              </w:rPr>
            </w:pPr>
          </w:p>
        </w:tc>
        <w:tc>
          <w:tcPr>
            <w:tcW w:w="697" w:type="pct"/>
          </w:tcPr>
          <w:p w14:paraId="33DF31A4" w14:textId="77777777" w:rsidR="00F1341F" w:rsidRPr="008340BB" w:rsidRDefault="00F1341F" w:rsidP="00F03C1E">
            <w:pPr>
              <w:rPr>
                <w:bCs/>
                <w:sz w:val="16"/>
                <w:szCs w:val="16"/>
                <w:lang w:eastAsia="bg-BG"/>
              </w:rPr>
            </w:pPr>
          </w:p>
        </w:tc>
        <w:tc>
          <w:tcPr>
            <w:tcW w:w="760" w:type="pct"/>
          </w:tcPr>
          <w:p w14:paraId="148029A3" w14:textId="77777777" w:rsidR="00F1341F" w:rsidRPr="008340BB" w:rsidRDefault="00F1341F" w:rsidP="00E23FEF">
            <w:pPr>
              <w:snapToGrid w:val="0"/>
              <w:spacing w:before="0" w:after="0"/>
              <w:ind w:left="26"/>
              <w:jc w:val="left"/>
              <w:rPr>
                <w:color w:val="000000"/>
                <w:sz w:val="18"/>
                <w:szCs w:val="18"/>
              </w:rPr>
            </w:pPr>
            <w:r w:rsidRPr="008340BB">
              <w:rPr>
                <w:color w:val="000000"/>
                <w:sz w:val="18"/>
                <w:szCs w:val="18"/>
              </w:rPr>
              <w:t>Framework guaranteeing the administrative capacity to implement and enforce EU rules on public procurement.</w:t>
            </w:r>
          </w:p>
        </w:tc>
        <w:tc>
          <w:tcPr>
            <w:tcW w:w="542" w:type="pct"/>
          </w:tcPr>
          <w:p w14:paraId="13CA0984" w14:textId="77777777" w:rsidR="00F1341F" w:rsidRPr="008340BB" w:rsidRDefault="00F1341F" w:rsidP="00E23FEF">
            <w:pPr>
              <w:ind w:left="566" w:hanging="566"/>
              <w:rPr>
                <w:sz w:val="16"/>
                <w:szCs w:val="16"/>
              </w:rPr>
            </w:pPr>
            <w:r w:rsidRPr="008340BB">
              <w:rPr>
                <w:color w:val="000000"/>
                <w:sz w:val="16"/>
                <w:szCs w:val="16"/>
              </w:rPr>
              <w:t>NO</w:t>
            </w:r>
          </w:p>
        </w:tc>
        <w:tc>
          <w:tcPr>
            <w:tcW w:w="760" w:type="pct"/>
          </w:tcPr>
          <w:p w14:paraId="48DBC260" w14:textId="77777777" w:rsidR="00F1341F" w:rsidRPr="008340BB" w:rsidRDefault="00F1341F" w:rsidP="00E23FEF">
            <w:pPr>
              <w:snapToGrid w:val="0"/>
              <w:spacing w:before="0" w:after="0"/>
              <w:ind w:left="26"/>
              <w:jc w:val="left"/>
              <w:rPr>
                <w:color w:val="000000"/>
                <w:sz w:val="18"/>
                <w:szCs w:val="18"/>
              </w:rPr>
            </w:pPr>
            <w:r w:rsidRPr="008340BB">
              <w:rPr>
                <w:color w:val="000000"/>
                <w:sz w:val="18"/>
                <w:szCs w:val="18"/>
              </w:rPr>
              <w:t>In the MA of the OPT there are designated employees, who have in their job descriptions included responsibilities on public procurement issues</w:t>
            </w:r>
          </w:p>
          <w:p w14:paraId="31BCCA46" w14:textId="77777777" w:rsidR="00F1341F" w:rsidRPr="008340BB" w:rsidRDefault="00F1341F" w:rsidP="00E23FEF">
            <w:pPr>
              <w:snapToGrid w:val="0"/>
              <w:spacing w:before="0" w:after="0"/>
              <w:ind w:left="26"/>
              <w:jc w:val="left"/>
              <w:rPr>
                <w:color w:val="000000"/>
                <w:sz w:val="18"/>
                <w:szCs w:val="18"/>
              </w:rPr>
            </w:pPr>
            <w:r w:rsidRPr="008340BB">
              <w:rPr>
                <w:color w:val="000000"/>
                <w:sz w:val="18"/>
                <w:szCs w:val="18"/>
              </w:rPr>
              <w:t>MA provide required information, including in the form of elaborated documents, manuals, instructions, etc., in the field of public procurement</w:t>
            </w:r>
          </w:p>
          <w:p w14:paraId="32A89A66" w14:textId="77777777" w:rsidR="00F1341F" w:rsidRPr="008340BB" w:rsidRDefault="00F1341F" w:rsidP="00E23FEF">
            <w:pPr>
              <w:snapToGrid w:val="0"/>
              <w:spacing w:before="0" w:after="0"/>
              <w:ind w:left="26"/>
              <w:jc w:val="left"/>
              <w:rPr>
                <w:color w:val="000000"/>
                <w:sz w:val="18"/>
                <w:szCs w:val="18"/>
              </w:rPr>
            </w:pPr>
            <w:r w:rsidRPr="008340BB">
              <w:rPr>
                <w:color w:val="000000"/>
                <w:sz w:val="18"/>
                <w:szCs w:val="18"/>
              </w:rPr>
              <w:t>In the National strategy for development of the public procurement sector in Bulgaria for the period 2014 – 2020 (in process of development) are envisaged measures to provide technical assistance to the persons, who apply the rules on public procurement.</w:t>
            </w:r>
          </w:p>
        </w:tc>
        <w:tc>
          <w:tcPr>
            <w:tcW w:w="725" w:type="pct"/>
          </w:tcPr>
          <w:p w14:paraId="09381306" w14:textId="77777777" w:rsidR="00F1341F" w:rsidRPr="008340BB" w:rsidRDefault="00F1341F" w:rsidP="00E23FEF">
            <w:pPr>
              <w:snapToGrid w:val="0"/>
              <w:spacing w:before="0" w:after="0"/>
              <w:ind w:left="26"/>
              <w:jc w:val="left"/>
              <w:rPr>
                <w:color w:val="000000"/>
                <w:sz w:val="18"/>
                <w:szCs w:val="18"/>
              </w:rPr>
            </w:pPr>
            <w:r w:rsidRPr="008340BB">
              <w:rPr>
                <w:color w:val="000000"/>
                <w:sz w:val="18"/>
                <w:szCs w:val="18"/>
              </w:rPr>
              <w:t>In the MA of the OPT there are 8 employees, who have in their job descriptions included responsibilities on public procurement issues</w:t>
            </w:r>
          </w:p>
          <w:p w14:paraId="473E8A19" w14:textId="77777777" w:rsidR="00F1341F" w:rsidRPr="008340BB" w:rsidRDefault="00F1341F" w:rsidP="00E23FEF">
            <w:pPr>
              <w:snapToGrid w:val="0"/>
              <w:spacing w:before="0" w:after="0"/>
              <w:ind w:left="26"/>
              <w:rPr>
                <w:color w:val="000000"/>
                <w:sz w:val="18"/>
                <w:szCs w:val="18"/>
              </w:rPr>
            </w:pPr>
          </w:p>
        </w:tc>
      </w:tr>
      <w:tr w:rsidR="00F1341F" w:rsidRPr="008340BB" w14:paraId="3548DDFB" w14:textId="77777777" w:rsidTr="00E23FEF">
        <w:trPr>
          <w:trHeight w:val="836"/>
          <w:jc w:val="center"/>
        </w:trPr>
        <w:tc>
          <w:tcPr>
            <w:tcW w:w="758" w:type="pct"/>
          </w:tcPr>
          <w:p w14:paraId="76E3B700"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 xml:space="preserve">5. Existence of framework for the effective implementation of EU rules on state aid in the </w:t>
            </w:r>
            <w:r w:rsidRPr="008340BB">
              <w:rPr>
                <w:color w:val="000000"/>
                <w:sz w:val="18"/>
                <w:szCs w:val="18"/>
              </w:rPr>
              <w:lastRenderedPageBreak/>
              <w:t>field of EU structural and investment funds.</w:t>
            </w:r>
          </w:p>
          <w:p w14:paraId="18F0786F" w14:textId="77777777" w:rsidR="00F1341F" w:rsidRPr="008340BB" w:rsidRDefault="00F1341F" w:rsidP="00E23FEF">
            <w:pPr>
              <w:pStyle w:val="Sous-titreobjet"/>
              <w:spacing w:before="120"/>
              <w:ind w:left="80"/>
              <w:jc w:val="left"/>
              <w:rPr>
                <w:b w:val="0"/>
                <w:color w:val="000000"/>
                <w:sz w:val="18"/>
                <w:szCs w:val="18"/>
              </w:rPr>
            </w:pPr>
          </w:p>
        </w:tc>
        <w:tc>
          <w:tcPr>
            <w:tcW w:w="758" w:type="pct"/>
          </w:tcPr>
          <w:p w14:paraId="5C48F07F"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lastRenderedPageBreak/>
              <w:t>All axes of OPTTI</w:t>
            </w:r>
          </w:p>
        </w:tc>
        <w:tc>
          <w:tcPr>
            <w:tcW w:w="697" w:type="pct"/>
          </w:tcPr>
          <w:p w14:paraId="753F1E7C"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YES</w:t>
            </w:r>
          </w:p>
        </w:tc>
        <w:tc>
          <w:tcPr>
            <w:tcW w:w="760" w:type="pct"/>
          </w:tcPr>
          <w:p w14:paraId="11817FE6"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Framework for the effective implementation of EU rules on state aid</w:t>
            </w:r>
          </w:p>
        </w:tc>
        <w:tc>
          <w:tcPr>
            <w:tcW w:w="542" w:type="pct"/>
          </w:tcPr>
          <w:p w14:paraId="30144FFB"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YES</w:t>
            </w:r>
          </w:p>
        </w:tc>
        <w:tc>
          <w:tcPr>
            <w:tcW w:w="760" w:type="pct"/>
          </w:tcPr>
          <w:p w14:paraId="164D1738"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Available national laws on state aid: SAA and ROISAA;</w:t>
            </w:r>
          </w:p>
        </w:tc>
        <w:tc>
          <w:tcPr>
            <w:tcW w:w="725" w:type="pct"/>
          </w:tcPr>
          <w:p w14:paraId="26807A50"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 xml:space="preserve">Subject to mandatory concurrence are all measures for aid – for notification or </w:t>
            </w:r>
            <w:r w:rsidRPr="008340BB">
              <w:rPr>
                <w:color w:val="000000"/>
                <w:sz w:val="18"/>
                <w:szCs w:val="18"/>
              </w:rPr>
              <w:lastRenderedPageBreak/>
              <w:t>exempted from this obligation, excluding de minimis aid</w:t>
            </w:r>
          </w:p>
          <w:p w14:paraId="29E12708"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The cumulative rules shall directly apply in accordance with the requirements of the measures for granting the aid</w:t>
            </w:r>
          </w:p>
          <w:p w14:paraId="3DA31AD3"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The effective national laws provide for procedure for refunding of illegitimate and ineligible aid under the procedure of the Tax and Social nsurance Procedure Code</w:t>
            </w:r>
          </w:p>
        </w:tc>
      </w:tr>
      <w:tr w:rsidR="00F1341F" w:rsidRPr="008340BB" w14:paraId="20556005" w14:textId="77777777" w:rsidTr="00E23FEF">
        <w:trPr>
          <w:trHeight w:val="836"/>
          <w:jc w:val="center"/>
        </w:trPr>
        <w:tc>
          <w:tcPr>
            <w:tcW w:w="758" w:type="pct"/>
          </w:tcPr>
          <w:p w14:paraId="4778AB0B" w14:textId="77777777" w:rsidR="00F1341F" w:rsidRPr="008340BB" w:rsidRDefault="00F1341F" w:rsidP="00896998">
            <w:pPr>
              <w:pStyle w:val="Sous-titreobjet"/>
              <w:spacing w:before="120"/>
              <w:jc w:val="left"/>
              <w:rPr>
                <w:sz w:val="16"/>
                <w:szCs w:val="16"/>
              </w:rPr>
            </w:pPr>
          </w:p>
        </w:tc>
        <w:tc>
          <w:tcPr>
            <w:tcW w:w="758" w:type="pct"/>
          </w:tcPr>
          <w:p w14:paraId="7B469C0F" w14:textId="77777777" w:rsidR="00F1341F" w:rsidRPr="008340BB" w:rsidRDefault="00F1341F" w:rsidP="00896998">
            <w:pPr>
              <w:pStyle w:val="BodyTextIndent"/>
              <w:spacing w:before="120" w:after="0"/>
              <w:ind w:left="0"/>
              <w:jc w:val="left"/>
              <w:rPr>
                <w:sz w:val="16"/>
                <w:szCs w:val="16"/>
                <w:lang w:val="en-GB" w:eastAsia="en-GB"/>
              </w:rPr>
            </w:pPr>
          </w:p>
        </w:tc>
        <w:tc>
          <w:tcPr>
            <w:tcW w:w="697" w:type="pct"/>
          </w:tcPr>
          <w:p w14:paraId="5EDDEE33" w14:textId="77777777" w:rsidR="00F1341F" w:rsidRPr="008340BB" w:rsidRDefault="00F1341F" w:rsidP="00F03C1E">
            <w:pPr>
              <w:rPr>
                <w:bCs/>
                <w:sz w:val="16"/>
                <w:szCs w:val="16"/>
                <w:lang w:eastAsia="bg-BG"/>
              </w:rPr>
            </w:pPr>
          </w:p>
        </w:tc>
        <w:tc>
          <w:tcPr>
            <w:tcW w:w="760" w:type="pct"/>
          </w:tcPr>
          <w:p w14:paraId="0307F306"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Framework for the training of staff involved in the implementation of EU structural and investment funds and for communicating information to this staff</w:t>
            </w:r>
          </w:p>
        </w:tc>
        <w:tc>
          <w:tcPr>
            <w:tcW w:w="542" w:type="pct"/>
          </w:tcPr>
          <w:p w14:paraId="6302CE25"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YES</w:t>
            </w:r>
          </w:p>
        </w:tc>
        <w:tc>
          <w:tcPr>
            <w:tcW w:w="760" w:type="pct"/>
          </w:tcPr>
          <w:p w14:paraId="7DAB5EA5"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Employees of the MA of the OPT attended trainings on state aid issues</w:t>
            </w:r>
          </w:p>
          <w:p w14:paraId="325AE4CA" w14:textId="77777777" w:rsidR="00F1341F" w:rsidRPr="008340BB" w:rsidRDefault="00F1341F" w:rsidP="007A30F3">
            <w:pPr>
              <w:snapToGrid w:val="0"/>
              <w:spacing w:before="0" w:after="0"/>
              <w:ind w:left="80"/>
              <w:jc w:val="left"/>
              <w:rPr>
                <w:color w:val="000000"/>
                <w:sz w:val="18"/>
                <w:szCs w:val="18"/>
              </w:rPr>
            </w:pPr>
            <w:r w:rsidRPr="008340BB">
              <w:rPr>
                <w:color w:val="000000"/>
                <w:sz w:val="18"/>
                <w:szCs w:val="18"/>
              </w:rPr>
              <w:t xml:space="preserve">Information on publicity for the state aid is submitted via specific Internet page of the “State Aid </w:t>
            </w:r>
            <w:r w:rsidR="00482C21">
              <w:rPr>
                <w:color w:val="000000"/>
                <w:sz w:val="18"/>
                <w:szCs w:val="18"/>
              </w:rPr>
              <w:t>and Real S</w:t>
            </w:r>
            <w:r w:rsidR="00304AFB">
              <w:rPr>
                <w:color w:val="000000"/>
                <w:sz w:val="18"/>
                <w:szCs w:val="18"/>
              </w:rPr>
              <w:t>ector</w:t>
            </w:r>
            <w:r w:rsidR="007A30F3">
              <w:rPr>
                <w:color w:val="000000"/>
                <w:sz w:val="18"/>
                <w:szCs w:val="18"/>
              </w:rPr>
              <w:t>”</w:t>
            </w:r>
            <w:r w:rsidR="00304AFB">
              <w:rPr>
                <w:color w:val="000000"/>
                <w:sz w:val="18"/>
                <w:szCs w:val="18"/>
              </w:rPr>
              <w:t xml:space="preserve"> </w:t>
            </w:r>
            <w:r w:rsidRPr="008340BB">
              <w:rPr>
                <w:color w:val="000000"/>
                <w:sz w:val="18"/>
                <w:szCs w:val="18"/>
              </w:rPr>
              <w:t>D</w:t>
            </w:r>
            <w:r w:rsidR="00304AFB">
              <w:rPr>
                <w:color w:val="000000"/>
                <w:sz w:val="18"/>
                <w:szCs w:val="18"/>
              </w:rPr>
              <w:t>irectorate</w:t>
            </w:r>
            <w:r w:rsidRPr="008340BB">
              <w:rPr>
                <w:color w:val="000000"/>
                <w:sz w:val="18"/>
                <w:szCs w:val="18"/>
              </w:rPr>
              <w:t xml:space="preserve"> with the MF, as well as through official correspondence and electronic mail</w:t>
            </w:r>
          </w:p>
        </w:tc>
        <w:tc>
          <w:tcPr>
            <w:tcW w:w="725" w:type="pct"/>
          </w:tcPr>
          <w:p w14:paraId="6407F52B"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Forthcoming is the establishment and maintenance of administrative capacity on planning, development, notification, management, reporting and control of the state aid and the provision of de minimis aid</w:t>
            </w:r>
          </w:p>
        </w:tc>
      </w:tr>
      <w:tr w:rsidR="00F1341F" w:rsidRPr="008340BB" w14:paraId="78908B3C" w14:textId="77777777" w:rsidTr="00E23FEF">
        <w:trPr>
          <w:trHeight w:val="836"/>
          <w:jc w:val="center"/>
        </w:trPr>
        <w:tc>
          <w:tcPr>
            <w:tcW w:w="758" w:type="pct"/>
          </w:tcPr>
          <w:p w14:paraId="06515ACA" w14:textId="77777777" w:rsidR="00F1341F" w:rsidRPr="008340BB" w:rsidRDefault="00F1341F" w:rsidP="00896998">
            <w:pPr>
              <w:pStyle w:val="Sous-titreobjet"/>
              <w:spacing w:before="120"/>
              <w:jc w:val="left"/>
              <w:rPr>
                <w:sz w:val="16"/>
                <w:szCs w:val="16"/>
              </w:rPr>
            </w:pPr>
          </w:p>
        </w:tc>
        <w:tc>
          <w:tcPr>
            <w:tcW w:w="758" w:type="pct"/>
          </w:tcPr>
          <w:p w14:paraId="7A14A8FB" w14:textId="77777777" w:rsidR="00F1341F" w:rsidRPr="008340BB" w:rsidRDefault="00F1341F" w:rsidP="00896998">
            <w:pPr>
              <w:pStyle w:val="BodyTextIndent"/>
              <w:spacing w:before="120" w:after="0"/>
              <w:ind w:left="0"/>
              <w:jc w:val="left"/>
              <w:rPr>
                <w:sz w:val="16"/>
                <w:szCs w:val="16"/>
                <w:lang w:val="en-GB" w:eastAsia="en-GB"/>
              </w:rPr>
            </w:pPr>
          </w:p>
        </w:tc>
        <w:tc>
          <w:tcPr>
            <w:tcW w:w="697" w:type="pct"/>
          </w:tcPr>
          <w:p w14:paraId="05A3AED5" w14:textId="77777777" w:rsidR="00F1341F" w:rsidRPr="008340BB" w:rsidRDefault="00F1341F" w:rsidP="00F03C1E">
            <w:pPr>
              <w:rPr>
                <w:bCs/>
                <w:sz w:val="16"/>
                <w:szCs w:val="16"/>
                <w:lang w:eastAsia="bg-BG"/>
              </w:rPr>
            </w:pPr>
          </w:p>
        </w:tc>
        <w:tc>
          <w:tcPr>
            <w:tcW w:w="760" w:type="pct"/>
          </w:tcPr>
          <w:p w14:paraId="7376C86A"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Framework guaranteeing the administrative capacity to implement and enforce EU rules on state aid</w:t>
            </w:r>
          </w:p>
        </w:tc>
        <w:tc>
          <w:tcPr>
            <w:tcW w:w="542" w:type="pct"/>
          </w:tcPr>
          <w:p w14:paraId="2EF37CB3"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YES</w:t>
            </w:r>
          </w:p>
        </w:tc>
        <w:tc>
          <w:tcPr>
            <w:tcW w:w="760" w:type="pct"/>
          </w:tcPr>
          <w:p w14:paraId="4E03B1F9"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 xml:space="preserve">MF is the national competent body in charge of monitoring, transparency and coordination of state aid. It is envisaged introduction of a specific obligation for state aid administrators to establish, maintain and provide sufficient capacity on planning, development, </w:t>
            </w:r>
            <w:r w:rsidRPr="008340BB">
              <w:rPr>
                <w:color w:val="000000"/>
                <w:sz w:val="18"/>
                <w:szCs w:val="18"/>
              </w:rPr>
              <w:lastRenderedPageBreak/>
              <w:t>notification, management, reporting and control of the provided state aid and de minimis aid</w:t>
            </w:r>
          </w:p>
        </w:tc>
        <w:tc>
          <w:tcPr>
            <w:tcW w:w="725" w:type="pct"/>
          </w:tcPr>
          <w:p w14:paraId="7ECF7A37"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lastRenderedPageBreak/>
              <w:t xml:space="preserve">The planned amendments to the SAA will introduce an obligation for each state aid administrator, as is the case with MA of the OPT,  to establish, maintain and provide sufficient capacity on planning, development, notification, management, reporting and control of the provided state </w:t>
            </w:r>
            <w:r w:rsidRPr="008340BB">
              <w:rPr>
                <w:color w:val="000000"/>
                <w:sz w:val="18"/>
                <w:szCs w:val="18"/>
              </w:rPr>
              <w:lastRenderedPageBreak/>
              <w:t>aid and de minimis aid</w:t>
            </w:r>
          </w:p>
        </w:tc>
      </w:tr>
      <w:tr w:rsidR="00F1341F" w:rsidRPr="008340BB" w14:paraId="0A1B42DF" w14:textId="77777777" w:rsidTr="00E23FEF">
        <w:trPr>
          <w:trHeight w:val="836"/>
          <w:jc w:val="center"/>
        </w:trPr>
        <w:tc>
          <w:tcPr>
            <w:tcW w:w="758" w:type="pct"/>
          </w:tcPr>
          <w:p w14:paraId="5C3A755B"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lastRenderedPageBreak/>
              <w:t>6. Existence of framework for the effective implementation of EU legislation on environment, EIA and SEA.</w:t>
            </w:r>
          </w:p>
        </w:tc>
        <w:tc>
          <w:tcPr>
            <w:tcW w:w="758" w:type="pct"/>
          </w:tcPr>
          <w:p w14:paraId="49B507F0"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All axes of OPTTI</w:t>
            </w:r>
          </w:p>
        </w:tc>
        <w:tc>
          <w:tcPr>
            <w:tcW w:w="697" w:type="pct"/>
          </w:tcPr>
          <w:p w14:paraId="40FE60E6"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YES</w:t>
            </w:r>
          </w:p>
        </w:tc>
        <w:tc>
          <w:tcPr>
            <w:tcW w:w="760" w:type="pct"/>
          </w:tcPr>
          <w:p w14:paraId="79D821CE"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Framework for the effective implementation of Directive 2011/92/ЕU of the European Parliament and the Council (2) (EIA) and Directive 2001/42/ЕU of the European Parliament and the Council (3) (SEA)</w:t>
            </w:r>
          </w:p>
        </w:tc>
        <w:tc>
          <w:tcPr>
            <w:tcW w:w="542" w:type="pct"/>
          </w:tcPr>
          <w:p w14:paraId="7395DC43"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YES</w:t>
            </w:r>
          </w:p>
        </w:tc>
        <w:tc>
          <w:tcPr>
            <w:tcW w:w="760" w:type="pct"/>
          </w:tcPr>
          <w:p w14:paraId="572FDD11"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Applicable legislation:</w:t>
            </w:r>
          </w:p>
          <w:p w14:paraId="6240B036"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 EPA</w:t>
            </w:r>
          </w:p>
          <w:p w14:paraId="66B4FC0E"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Regulation on the terms and conditions for carrying out EIA</w:t>
            </w:r>
          </w:p>
          <w:p w14:paraId="48368944"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 Regulation on the terms and conditions for SEA</w:t>
            </w:r>
          </w:p>
        </w:tc>
        <w:tc>
          <w:tcPr>
            <w:tcW w:w="725" w:type="pct"/>
          </w:tcPr>
          <w:p w14:paraId="6F3CC9EC"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Applicable harmonisation legislation for implementation of EIA Directive and SEA Directive, for public involvement in various stages of the procedures under EIA and SEA, as well as clear regulations on right of access to justice for all stakeholders</w:t>
            </w:r>
          </w:p>
        </w:tc>
      </w:tr>
      <w:tr w:rsidR="00F1341F" w:rsidRPr="008340BB" w14:paraId="02897DAE" w14:textId="77777777" w:rsidTr="00E23FEF">
        <w:trPr>
          <w:trHeight w:val="836"/>
          <w:jc w:val="center"/>
        </w:trPr>
        <w:tc>
          <w:tcPr>
            <w:tcW w:w="758" w:type="pct"/>
          </w:tcPr>
          <w:p w14:paraId="52E11A49" w14:textId="77777777" w:rsidR="00F1341F" w:rsidRPr="008340BB" w:rsidRDefault="00F1341F" w:rsidP="00E23FEF">
            <w:pPr>
              <w:snapToGrid w:val="0"/>
              <w:spacing w:before="0" w:after="0"/>
              <w:ind w:left="80"/>
              <w:jc w:val="left"/>
              <w:rPr>
                <w:color w:val="000000"/>
                <w:sz w:val="18"/>
                <w:szCs w:val="18"/>
              </w:rPr>
            </w:pPr>
          </w:p>
        </w:tc>
        <w:tc>
          <w:tcPr>
            <w:tcW w:w="758" w:type="pct"/>
          </w:tcPr>
          <w:p w14:paraId="20BA41FB" w14:textId="77777777" w:rsidR="00F1341F" w:rsidRPr="008340BB" w:rsidRDefault="00F1341F" w:rsidP="00E23FEF">
            <w:pPr>
              <w:snapToGrid w:val="0"/>
              <w:spacing w:before="0" w:after="0"/>
              <w:ind w:left="80"/>
              <w:jc w:val="left"/>
              <w:rPr>
                <w:color w:val="000000"/>
                <w:sz w:val="18"/>
                <w:szCs w:val="18"/>
              </w:rPr>
            </w:pPr>
          </w:p>
        </w:tc>
        <w:tc>
          <w:tcPr>
            <w:tcW w:w="697" w:type="pct"/>
          </w:tcPr>
          <w:p w14:paraId="2481FD65" w14:textId="77777777" w:rsidR="00F1341F" w:rsidRPr="008340BB" w:rsidRDefault="00F1341F" w:rsidP="00E23FEF">
            <w:pPr>
              <w:snapToGrid w:val="0"/>
              <w:spacing w:before="0" w:after="0"/>
              <w:ind w:left="80"/>
              <w:jc w:val="left"/>
              <w:rPr>
                <w:color w:val="000000"/>
                <w:sz w:val="18"/>
                <w:szCs w:val="18"/>
              </w:rPr>
            </w:pPr>
          </w:p>
        </w:tc>
        <w:tc>
          <w:tcPr>
            <w:tcW w:w="760" w:type="pct"/>
          </w:tcPr>
          <w:p w14:paraId="29E2E2E9"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Framework for the training of staff involved in the implementation of EIA Directive and SEA Directive and for communicating information to this staff</w:t>
            </w:r>
          </w:p>
        </w:tc>
        <w:tc>
          <w:tcPr>
            <w:tcW w:w="542" w:type="pct"/>
          </w:tcPr>
          <w:p w14:paraId="0027C89C"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YES</w:t>
            </w:r>
          </w:p>
        </w:tc>
        <w:tc>
          <w:tcPr>
            <w:tcW w:w="760" w:type="pct"/>
          </w:tcPr>
          <w:p w14:paraId="1147B27C"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 Conducted trainings, working meetings, seminars.</w:t>
            </w:r>
          </w:p>
          <w:p w14:paraId="0697002A"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 Prepared instructions.</w:t>
            </w:r>
          </w:p>
          <w:p w14:paraId="69EE072E"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 Provided access to the instructions and issued manuals via electronic communication and by conventional mail</w:t>
            </w:r>
          </w:p>
        </w:tc>
        <w:tc>
          <w:tcPr>
            <w:tcW w:w="725" w:type="pct"/>
          </w:tcPr>
          <w:p w14:paraId="6B965D63"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Issued guidelines and manuals on roads, railway projects, waste, wastewater, application of Article 7 of the EIA Directive and Practical Guidance on SEA/EIA Directives Training, including annex with a list of judgements of the Court of Justice of the EU on the SEA Directive.</w:t>
            </w:r>
          </w:p>
        </w:tc>
      </w:tr>
      <w:tr w:rsidR="00F1341F" w:rsidRPr="008340BB" w14:paraId="1EFEA712" w14:textId="77777777" w:rsidTr="00E23FEF">
        <w:trPr>
          <w:trHeight w:val="836"/>
          <w:jc w:val="center"/>
        </w:trPr>
        <w:tc>
          <w:tcPr>
            <w:tcW w:w="758" w:type="pct"/>
          </w:tcPr>
          <w:p w14:paraId="6FA72019" w14:textId="77777777" w:rsidR="00F1341F" w:rsidRPr="008340BB" w:rsidRDefault="00F1341F" w:rsidP="00E23FEF">
            <w:pPr>
              <w:snapToGrid w:val="0"/>
              <w:spacing w:before="0" w:after="0"/>
              <w:ind w:left="80"/>
              <w:jc w:val="left"/>
              <w:rPr>
                <w:color w:val="000000"/>
                <w:sz w:val="18"/>
                <w:szCs w:val="18"/>
              </w:rPr>
            </w:pPr>
          </w:p>
        </w:tc>
        <w:tc>
          <w:tcPr>
            <w:tcW w:w="758" w:type="pct"/>
          </w:tcPr>
          <w:p w14:paraId="79875F82" w14:textId="77777777" w:rsidR="00F1341F" w:rsidRPr="008340BB" w:rsidRDefault="00F1341F" w:rsidP="00E23FEF">
            <w:pPr>
              <w:snapToGrid w:val="0"/>
              <w:spacing w:before="0" w:after="0"/>
              <w:ind w:left="80"/>
              <w:jc w:val="left"/>
              <w:rPr>
                <w:color w:val="000000"/>
                <w:sz w:val="18"/>
                <w:szCs w:val="18"/>
              </w:rPr>
            </w:pPr>
          </w:p>
        </w:tc>
        <w:tc>
          <w:tcPr>
            <w:tcW w:w="697" w:type="pct"/>
          </w:tcPr>
          <w:p w14:paraId="5967FBE1" w14:textId="77777777" w:rsidR="00F1341F" w:rsidRPr="008340BB" w:rsidRDefault="00F1341F" w:rsidP="00E23FEF">
            <w:pPr>
              <w:snapToGrid w:val="0"/>
              <w:spacing w:before="0" w:after="0"/>
              <w:ind w:left="80"/>
              <w:jc w:val="left"/>
              <w:rPr>
                <w:color w:val="000000"/>
                <w:sz w:val="18"/>
                <w:szCs w:val="18"/>
              </w:rPr>
            </w:pPr>
          </w:p>
        </w:tc>
        <w:tc>
          <w:tcPr>
            <w:tcW w:w="760" w:type="pct"/>
          </w:tcPr>
          <w:p w14:paraId="0536D81C"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Framework for ensuring sufficient administrative capacity</w:t>
            </w:r>
          </w:p>
        </w:tc>
        <w:tc>
          <w:tcPr>
            <w:tcW w:w="542" w:type="pct"/>
          </w:tcPr>
          <w:p w14:paraId="240D56D5"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YES</w:t>
            </w:r>
          </w:p>
        </w:tc>
        <w:tc>
          <w:tcPr>
            <w:tcW w:w="760" w:type="pct"/>
          </w:tcPr>
          <w:p w14:paraId="2EC8E6BF"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Established administrative units, in charge of  EIA and SEA issues and engaged experts, whose job descriptions include responsibilities on coordination of the procedures under EIA and SEA.</w:t>
            </w:r>
          </w:p>
        </w:tc>
        <w:tc>
          <w:tcPr>
            <w:tcW w:w="725" w:type="pct"/>
          </w:tcPr>
          <w:p w14:paraId="6C48FE28"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 Conducted trainings, working meetings, seminars.</w:t>
            </w:r>
          </w:p>
          <w:p w14:paraId="474B3D64"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 Prepared instructions.</w:t>
            </w:r>
          </w:p>
          <w:p w14:paraId="2C7EFEB8" w14:textId="77777777" w:rsidR="00F1341F" w:rsidRPr="008340BB" w:rsidRDefault="00F1341F" w:rsidP="00E23FEF">
            <w:pPr>
              <w:snapToGrid w:val="0"/>
              <w:spacing w:before="0" w:after="0"/>
              <w:ind w:left="80"/>
              <w:jc w:val="left"/>
              <w:rPr>
                <w:color w:val="000000"/>
                <w:sz w:val="18"/>
                <w:szCs w:val="18"/>
              </w:rPr>
            </w:pPr>
            <w:r w:rsidRPr="008340BB">
              <w:rPr>
                <w:color w:val="000000"/>
                <w:sz w:val="18"/>
                <w:szCs w:val="18"/>
              </w:rPr>
              <w:t>- Provided access to the instructions and issued manuals via electronic communication and by conventional mail</w:t>
            </w:r>
          </w:p>
        </w:tc>
      </w:tr>
      <w:tr w:rsidR="005A4265" w:rsidRPr="008340BB" w14:paraId="09F90438" w14:textId="77777777" w:rsidTr="00E23FEF">
        <w:trPr>
          <w:trHeight w:val="836"/>
          <w:jc w:val="center"/>
        </w:trPr>
        <w:tc>
          <w:tcPr>
            <w:tcW w:w="758" w:type="pct"/>
          </w:tcPr>
          <w:p w14:paraId="2A5C294B" w14:textId="77777777" w:rsidR="007E2D5A" w:rsidRDefault="00FE3599" w:rsidP="00E23FEF">
            <w:pPr>
              <w:snapToGrid w:val="0"/>
              <w:spacing w:before="0" w:after="0"/>
              <w:ind w:left="80"/>
              <w:jc w:val="left"/>
              <w:rPr>
                <w:color w:val="000000"/>
                <w:sz w:val="18"/>
                <w:szCs w:val="18"/>
                <w:lang w:val="bg-BG"/>
              </w:rPr>
            </w:pPr>
            <w:r w:rsidRPr="00FE3599">
              <w:rPr>
                <w:color w:val="000000"/>
                <w:sz w:val="18"/>
                <w:szCs w:val="18"/>
              </w:rPr>
              <w:t xml:space="preserve">7. The existence of a statistical basis necessary to undertake </w:t>
            </w:r>
            <w:r w:rsidRPr="00FE3599">
              <w:rPr>
                <w:color w:val="000000"/>
                <w:sz w:val="18"/>
                <w:szCs w:val="18"/>
              </w:rPr>
              <w:lastRenderedPageBreak/>
              <w:t xml:space="preserve">evaluations to assess the effectiveness and impact of the programmes. </w:t>
            </w:r>
          </w:p>
          <w:p w14:paraId="2CA8EE3A" w14:textId="77777777" w:rsidR="005A4265" w:rsidRPr="008340BB" w:rsidRDefault="00FE3599" w:rsidP="00E23FEF">
            <w:pPr>
              <w:snapToGrid w:val="0"/>
              <w:spacing w:before="0" w:after="0"/>
              <w:ind w:left="80"/>
              <w:jc w:val="left"/>
              <w:rPr>
                <w:color w:val="000000"/>
                <w:sz w:val="18"/>
                <w:szCs w:val="18"/>
              </w:rPr>
            </w:pPr>
            <w:r w:rsidRPr="00FE3599">
              <w:rPr>
                <w:color w:val="000000"/>
                <w:sz w:val="18"/>
                <w:szCs w:val="18"/>
              </w:rPr>
              <w:t>The existence of a system of result indicators necessary to select actions, which most effectively contribute to desired results, to monitor progress towards results and to undertake impact evaluation.</w:t>
            </w:r>
          </w:p>
        </w:tc>
        <w:tc>
          <w:tcPr>
            <w:tcW w:w="758" w:type="pct"/>
          </w:tcPr>
          <w:p w14:paraId="67C7E196" w14:textId="77777777" w:rsidR="005A4265" w:rsidRPr="008340BB" w:rsidRDefault="00A02A3E" w:rsidP="00E23FEF">
            <w:pPr>
              <w:snapToGrid w:val="0"/>
              <w:spacing w:before="0" w:after="0"/>
              <w:ind w:left="80"/>
              <w:jc w:val="left"/>
              <w:rPr>
                <w:color w:val="000000"/>
                <w:sz w:val="18"/>
                <w:szCs w:val="18"/>
              </w:rPr>
            </w:pPr>
            <w:r w:rsidRPr="00A02A3E">
              <w:rPr>
                <w:color w:val="000000"/>
                <w:sz w:val="18"/>
                <w:szCs w:val="18"/>
              </w:rPr>
              <w:lastRenderedPageBreak/>
              <w:t>All axes of OPTTI</w:t>
            </w:r>
          </w:p>
        </w:tc>
        <w:tc>
          <w:tcPr>
            <w:tcW w:w="697" w:type="pct"/>
          </w:tcPr>
          <w:p w14:paraId="7A26325F" w14:textId="77777777" w:rsidR="005A4265" w:rsidRPr="008340BB" w:rsidRDefault="00B00049" w:rsidP="00E23FEF">
            <w:pPr>
              <w:snapToGrid w:val="0"/>
              <w:spacing w:before="0" w:after="0"/>
              <w:ind w:left="80"/>
              <w:jc w:val="left"/>
              <w:rPr>
                <w:color w:val="000000"/>
                <w:sz w:val="18"/>
                <w:szCs w:val="18"/>
              </w:rPr>
            </w:pPr>
            <w:r w:rsidRPr="00B00049">
              <w:rPr>
                <w:color w:val="000000"/>
                <w:sz w:val="18"/>
                <w:szCs w:val="18"/>
              </w:rPr>
              <w:t>Partially</w:t>
            </w:r>
          </w:p>
        </w:tc>
        <w:tc>
          <w:tcPr>
            <w:tcW w:w="760" w:type="pct"/>
          </w:tcPr>
          <w:p w14:paraId="26676285" w14:textId="77777777" w:rsidR="00AD616A" w:rsidRPr="00AD616A" w:rsidRDefault="00AD616A" w:rsidP="00AD616A">
            <w:pPr>
              <w:snapToGrid w:val="0"/>
              <w:spacing w:before="0" w:after="0"/>
              <w:ind w:left="80"/>
              <w:jc w:val="left"/>
              <w:rPr>
                <w:color w:val="000000"/>
                <w:sz w:val="18"/>
                <w:szCs w:val="18"/>
              </w:rPr>
            </w:pPr>
            <w:r w:rsidRPr="00AD616A">
              <w:rPr>
                <w:color w:val="000000"/>
                <w:sz w:val="18"/>
                <w:szCs w:val="18"/>
              </w:rPr>
              <w:t xml:space="preserve">Arrangements for timely collection and aggregation of </w:t>
            </w:r>
            <w:r w:rsidRPr="00AD616A">
              <w:rPr>
                <w:color w:val="000000"/>
                <w:sz w:val="18"/>
                <w:szCs w:val="18"/>
              </w:rPr>
              <w:lastRenderedPageBreak/>
              <w:t xml:space="preserve">statistical data with the following elements are in place: </w:t>
            </w:r>
          </w:p>
          <w:p w14:paraId="673B5378" w14:textId="77777777" w:rsidR="00AD616A" w:rsidRPr="00AD616A" w:rsidRDefault="00AD616A" w:rsidP="00AD616A">
            <w:pPr>
              <w:snapToGrid w:val="0"/>
              <w:spacing w:before="0" w:after="0"/>
              <w:ind w:left="80"/>
              <w:jc w:val="left"/>
              <w:rPr>
                <w:color w:val="000000"/>
                <w:sz w:val="18"/>
                <w:szCs w:val="18"/>
              </w:rPr>
            </w:pPr>
            <w:r w:rsidRPr="00AD616A">
              <w:rPr>
                <w:color w:val="000000"/>
                <w:sz w:val="18"/>
                <w:szCs w:val="18"/>
              </w:rPr>
              <w:t xml:space="preserve">— the identification of sources and mechanisms to ensure statistical validation; </w:t>
            </w:r>
          </w:p>
          <w:p w14:paraId="69FE038C" w14:textId="77777777" w:rsidR="005A4265" w:rsidRDefault="00AD616A" w:rsidP="00AD616A">
            <w:pPr>
              <w:snapToGrid w:val="0"/>
              <w:spacing w:before="0" w:after="0"/>
              <w:ind w:left="80"/>
              <w:jc w:val="left"/>
              <w:rPr>
                <w:color w:val="000000"/>
                <w:sz w:val="18"/>
                <w:szCs w:val="18"/>
              </w:rPr>
            </w:pPr>
            <w:r w:rsidRPr="00AD616A">
              <w:rPr>
                <w:color w:val="000000"/>
                <w:sz w:val="18"/>
                <w:szCs w:val="18"/>
              </w:rPr>
              <w:t>— arrangements for publication and public availability of aggregated data;</w:t>
            </w:r>
          </w:p>
          <w:p w14:paraId="50DB13B6" w14:textId="77777777" w:rsidR="00385D72" w:rsidRDefault="00385D72" w:rsidP="00AD616A">
            <w:pPr>
              <w:snapToGrid w:val="0"/>
              <w:spacing w:before="0" w:after="0"/>
              <w:ind w:left="80"/>
              <w:jc w:val="left"/>
              <w:rPr>
                <w:color w:val="000000"/>
                <w:sz w:val="18"/>
                <w:szCs w:val="18"/>
              </w:rPr>
            </w:pPr>
          </w:p>
          <w:p w14:paraId="7F8FFEA3" w14:textId="77777777" w:rsidR="00385D72" w:rsidRDefault="00385D72" w:rsidP="00AD616A">
            <w:pPr>
              <w:snapToGrid w:val="0"/>
              <w:spacing w:before="0" w:after="0"/>
              <w:ind w:left="80"/>
              <w:jc w:val="left"/>
              <w:rPr>
                <w:color w:val="000000"/>
                <w:sz w:val="18"/>
                <w:szCs w:val="18"/>
              </w:rPr>
            </w:pPr>
          </w:p>
          <w:p w14:paraId="5228A508" w14:textId="77777777" w:rsidR="00385D72" w:rsidRDefault="00385D72" w:rsidP="00AD616A">
            <w:pPr>
              <w:snapToGrid w:val="0"/>
              <w:spacing w:before="0" w:after="0"/>
              <w:ind w:left="80"/>
              <w:jc w:val="left"/>
              <w:rPr>
                <w:color w:val="000000"/>
                <w:sz w:val="18"/>
                <w:szCs w:val="18"/>
              </w:rPr>
            </w:pPr>
          </w:p>
          <w:p w14:paraId="7C4FFA72" w14:textId="77777777" w:rsidR="00385D72" w:rsidRDefault="00385D72" w:rsidP="00AD616A">
            <w:pPr>
              <w:snapToGrid w:val="0"/>
              <w:spacing w:before="0" w:after="0"/>
              <w:ind w:left="80"/>
              <w:jc w:val="left"/>
              <w:rPr>
                <w:color w:val="000000"/>
                <w:sz w:val="18"/>
                <w:szCs w:val="18"/>
              </w:rPr>
            </w:pPr>
          </w:p>
          <w:p w14:paraId="2347DFC0" w14:textId="77777777" w:rsidR="00385D72" w:rsidRDefault="00385D72" w:rsidP="00AD616A">
            <w:pPr>
              <w:snapToGrid w:val="0"/>
              <w:spacing w:before="0" w:after="0"/>
              <w:ind w:left="80"/>
              <w:jc w:val="left"/>
              <w:rPr>
                <w:color w:val="000000"/>
                <w:sz w:val="18"/>
                <w:szCs w:val="18"/>
              </w:rPr>
            </w:pPr>
          </w:p>
          <w:p w14:paraId="175F97CD" w14:textId="77777777" w:rsidR="00385D72" w:rsidRDefault="00385D72" w:rsidP="00AD616A">
            <w:pPr>
              <w:snapToGrid w:val="0"/>
              <w:spacing w:before="0" w:after="0"/>
              <w:ind w:left="80"/>
              <w:jc w:val="left"/>
              <w:rPr>
                <w:color w:val="000000"/>
                <w:sz w:val="18"/>
                <w:szCs w:val="18"/>
              </w:rPr>
            </w:pPr>
          </w:p>
          <w:p w14:paraId="494F5F26" w14:textId="77777777" w:rsidR="00385D72" w:rsidRDefault="00385D72" w:rsidP="00AD616A">
            <w:pPr>
              <w:snapToGrid w:val="0"/>
              <w:spacing w:before="0" w:after="0"/>
              <w:ind w:left="80"/>
              <w:jc w:val="left"/>
              <w:rPr>
                <w:color w:val="000000"/>
                <w:sz w:val="18"/>
                <w:szCs w:val="18"/>
              </w:rPr>
            </w:pPr>
          </w:p>
          <w:p w14:paraId="0502202E" w14:textId="77777777" w:rsidR="00385D72" w:rsidRDefault="00385D72" w:rsidP="00AD616A">
            <w:pPr>
              <w:snapToGrid w:val="0"/>
              <w:spacing w:before="0" w:after="0"/>
              <w:ind w:left="80"/>
              <w:jc w:val="left"/>
              <w:rPr>
                <w:color w:val="000000"/>
                <w:sz w:val="18"/>
                <w:szCs w:val="18"/>
              </w:rPr>
            </w:pPr>
          </w:p>
          <w:p w14:paraId="3D99435A" w14:textId="77777777" w:rsidR="00385D72" w:rsidRDefault="00385D72" w:rsidP="00AD616A">
            <w:pPr>
              <w:snapToGrid w:val="0"/>
              <w:spacing w:before="0" w:after="0"/>
              <w:ind w:left="80"/>
              <w:jc w:val="left"/>
              <w:rPr>
                <w:color w:val="000000"/>
                <w:sz w:val="18"/>
                <w:szCs w:val="18"/>
              </w:rPr>
            </w:pPr>
          </w:p>
          <w:p w14:paraId="3BB9A7D7" w14:textId="77777777" w:rsidR="00385D72" w:rsidRDefault="00385D72" w:rsidP="00AD616A">
            <w:pPr>
              <w:snapToGrid w:val="0"/>
              <w:spacing w:before="0" w:after="0"/>
              <w:ind w:left="80"/>
              <w:jc w:val="left"/>
              <w:rPr>
                <w:color w:val="000000"/>
                <w:sz w:val="18"/>
                <w:szCs w:val="18"/>
              </w:rPr>
            </w:pPr>
          </w:p>
          <w:p w14:paraId="5C68BC45" w14:textId="77777777" w:rsidR="00385D72" w:rsidRDefault="00385D72" w:rsidP="00AD616A">
            <w:pPr>
              <w:snapToGrid w:val="0"/>
              <w:spacing w:before="0" w:after="0"/>
              <w:ind w:left="80"/>
              <w:jc w:val="left"/>
              <w:rPr>
                <w:color w:val="000000"/>
                <w:sz w:val="18"/>
                <w:szCs w:val="18"/>
              </w:rPr>
            </w:pPr>
          </w:p>
          <w:p w14:paraId="390B82C0" w14:textId="77777777" w:rsidR="00385D72" w:rsidRDefault="00385D72" w:rsidP="00AD616A">
            <w:pPr>
              <w:snapToGrid w:val="0"/>
              <w:spacing w:before="0" w:after="0"/>
              <w:ind w:left="80"/>
              <w:jc w:val="left"/>
              <w:rPr>
                <w:color w:val="000000"/>
                <w:sz w:val="18"/>
                <w:szCs w:val="18"/>
              </w:rPr>
            </w:pPr>
          </w:p>
          <w:p w14:paraId="09A3D7DF" w14:textId="77777777" w:rsidR="00385D72" w:rsidRDefault="00385D72" w:rsidP="00AD616A">
            <w:pPr>
              <w:snapToGrid w:val="0"/>
              <w:spacing w:before="0" w:after="0"/>
              <w:ind w:left="80"/>
              <w:jc w:val="left"/>
              <w:rPr>
                <w:color w:val="000000"/>
                <w:sz w:val="18"/>
                <w:szCs w:val="18"/>
              </w:rPr>
            </w:pPr>
          </w:p>
          <w:p w14:paraId="6D9D2A80" w14:textId="77777777" w:rsidR="00385D72" w:rsidRDefault="00385D72" w:rsidP="00AD616A">
            <w:pPr>
              <w:snapToGrid w:val="0"/>
              <w:spacing w:before="0" w:after="0"/>
              <w:ind w:left="80"/>
              <w:jc w:val="left"/>
              <w:rPr>
                <w:color w:val="000000"/>
                <w:sz w:val="18"/>
                <w:szCs w:val="18"/>
              </w:rPr>
            </w:pPr>
          </w:p>
          <w:p w14:paraId="41745BF3" w14:textId="77777777" w:rsidR="00385D72" w:rsidRDefault="00385D72" w:rsidP="00AD616A">
            <w:pPr>
              <w:snapToGrid w:val="0"/>
              <w:spacing w:before="0" w:after="0"/>
              <w:ind w:left="80"/>
              <w:jc w:val="left"/>
              <w:rPr>
                <w:color w:val="000000"/>
                <w:sz w:val="18"/>
                <w:szCs w:val="18"/>
              </w:rPr>
            </w:pPr>
          </w:p>
          <w:p w14:paraId="27F83F0A" w14:textId="77777777" w:rsidR="00385D72" w:rsidRDefault="00385D72" w:rsidP="00AD616A">
            <w:pPr>
              <w:snapToGrid w:val="0"/>
              <w:spacing w:before="0" w:after="0"/>
              <w:ind w:left="80"/>
              <w:jc w:val="left"/>
              <w:rPr>
                <w:color w:val="000000"/>
                <w:sz w:val="18"/>
                <w:szCs w:val="18"/>
              </w:rPr>
            </w:pPr>
          </w:p>
          <w:p w14:paraId="79971A3A" w14:textId="77777777" w:rsidR="00385D72" w:rsidRDefault="00385D72" w:rsidP="00AD616A">
            <w:pPr>
              <w:snapToGrid w:val="0"/>
              <w:spacing w:before="0" w:after="0"/>
              <w:ind w:left="80"/>
              <w:jc w:val="left"/>
              <w:rPr>
                <w:color w:val="000000"/>
                <w:sz w:val="18"/>
                <w:szCs w:val="18"/>
              </w:rPr>
            </w:pPr>
          </w:p>
          <w:p w14:paraId="34D61ABB" w14:textId="77777777" w:rsidR="00385D72" w:rsidRDefault="00385D72" w:rsidP="00AD616A">
            <w:pPr>
              <w:snapToGrid w:val="0"/>
              <w:spacing w:before="0" w:after="0"/>
              <w:ind w:left="80"/>
              <w:jc w:val="left"/>
              <w:rPr>
                <w:color w:val="000000"/>
                <w:sz w:val="18"/>
                <w:szCs w:val="18"/>
              </w:rPr>
            </w:pPr>
          </w:p>
          <w:p w14:paraId="14CC54EC" w14:textId="77777777" w:rsidR="00385D72" w:rsidRDefault="00385D72" w:rsidP="00AD616A">
            <w:pPr>
              <w:snapToGrid w:val="0"/>
              <w:spacing w:before="0" w:after="0"/>
              <w:ind w:left="80"/>
              <w:jc w:val="left"/>
              <w:rPr>
                <w:color w:val="000000"/>
                <w:sz w:val="18"/>
                <w:szCs w:val="18"/>
              </w:rPr>
            </w:pPr>
          </w:p>
          <w:p w14:paraId="7DE2A52B" w14:textId="77777777" w:rsidR="00385D72" w:rsidRDefault="00385D72" w:rsidP="00AD616A">
            <w:pPr>
              <w:snapToGrid w:val="0"/>
              <w:spacing w:before="0" w:after="0"/>
              <w:ind w:left="80"/>
              <w:jc w:val="left"/>
              <w:rPr>
                <w:color w:val="000000"/>
                <w:sz w:val="18"/>
                <w:szCs w:val="18"/>
              </w:rPr>
            </w:pPr>
          </w:p>
          <w:p w14:paraId="7AE74EBD" w14:textId="77777777" w:rsidR="00385D72" w:rsidRDefault="00385D72" w:rsidP="00AD616A">
            <w:pPr>
              <w:snapToGrid w:val="0"/>
              <w:spacing w:before="0" w:after="0"/>
              <w:ind w:left="80"/>
              <w:jc w:val="left"/>
              <w:rPr>
                <w:color w:val="000000"/>
                <w:sz w:val="18"/>
                <w:szCs w:val="18"/>
              </w:rPr>
            </w:pPr>
          </w:p>
          <w:p w14:paraId="16C4AD10" w14:textId="77777777" w:rsidR="00385D72" w:rsidRDefault="00385D72" w:rsidP="00AD616A">
            <w:pPr>
              <w:snapToGrid w:val="0"/>
              <w:spacing w:before="0" w:after="0"/>
              <w:ind w:left="80"/>
              <w:jc w:val="left"/>
              <w:rPr>
                <w:color w:val="000000"/>
                <w:sz w:val="18"/>
                <w:szCs w:val="18"/>
              </w:rPr>
            </w:pPr>
          </w:p>
          <w:p w14:paraId="122FF0CB" w14:textId="77777777" w:rsidR="00385D72" w:rsidRDefault="00385D72" w:rsidP="00AD616A">
            <w:pPr>
              <w:snapToGrid w:val="0"/>
              <w:spacing w:before="0" w:after="0"/>
              <w:ind w:left="80"/>
              <w:jc w:val="left"/>
              <w:rPr>
                <w:color w:val="000000"/>
                <w:sz w:val="18"/>
                <w:szCs w:val="18"/>
              </w:rPr>
            </w:pPr>
          </w:p>
          <w:p w14:paraId="54355524" w14:textId="77777777" w:rsidR="00385D72" w:rsidRDefault="00385D72" w:rsidP="00AD616A">
            <w:pPr>
              <w:snapToGrid w:val="0"/>
              <w:spacing w:before="0" w:after="0"/>
              <w:ind w:left="80"/>
              <w:jc w:val="left"/>
              <w:rPr>
                <w:color w:val="000000"/>
                <w:sz w:val="18"/>
                <w:szCs w:val="18"/>
              </w:rPr>
            </w:pPr>
          </w:p>
          <w:p w14:paraId="1D10252A" w14:textId="77777777" w:rsidR="00385D72" w:rsidRDefault="00385D72" w:rsidP="00AD616A">
            <w:pPr>
              <w:snapToGrid w:val="0"/>
              <w:spacing w:before="0" w:after="0"/>
              <w:ind w:left="80"/>
              <w:jc w:val="left"/>
              <w:rPr>
                <w:color w:val="000000"/>
                <w:sz w:val="18"/>
                <w:szCs w:val="18"/>
              </w:rPr>
            </w:pPr>
          </w:p>
          <w:p w14:paraId="0F6E82FE" w14:textId="77777777" w:rsidR="00385D72" w:rsidRDefault="00385D72" w:rsidP="00AD616A">
            <w:pPr>
              <w:snapToGrid w:val="0"/>
              <w:spacing w:before="0" w:after="0"/>
              <w:ind w:left="80"/>
              <w:jc w:val="left"/>
              <w:rPr>
                <w:color w:val="000000"/>
                <w:sz w:val="18"/>
                <w:szCs w:val="18"/>
              </w:rPr>
            </w:pPr>
          </w:p>
          <w:p w14:paraId="1DA40FBC" w14:textId="77777777" w:rsidR="00385D72" w:rsidRDefault="00385D72" w:rsidP="00AD616A">
            <w:pPr>
              <w:snapToGrid w:val="0"/>
              <w:spacing w:before="0" w:after="0"/>
              <w:ind w:left="80"/>
              <w:jc w:val="left"/>
              <w:rPr>
                <w:color w:val="000000"/>
                <w:sz w:val="18"/>
                <w:szCs w:val="18"/>
              </w:rPr>
            </w:pPr>
          </w:p>
          <w:p w14:paraId="39FC6162" w14:textId="77777777" w:rsidR="00385D72" w:rsidRDefault="00385D72" w:rsidP="00AD616A">
            <w:pPr>
              <w:snapToGrid w:val="0"/>
              <w:spacing w:before="0" w:after="0"/>
              <w:ind w:left="80"/>
              <w:jc w:val="left"/>
              <w:rPr>
                <w:color w:val="000000"/>
                <w:sz w:val="18"/>
                <w:szCs w:val="18"/>
              </w:rPr>
            </w:pPr>
          </w:p>
          <w:p w14:paraId="2230CE63" w14:textId="77777777" w:rsidR="00385D72" w:rsidRDefault="00385D72" w:rsidP="00AD616A">
            <w:pPr>
              <w:snapToGrid w:val="0"/>
              <w:spacing w:before="0" w:after="0"/>
              <w:ind w:left="80"/>
              <w:jc w:val="left"/>
              <w:rPr>
                <w:color w:val="000000"/>
                <w:sz w:val="18"/>
                <w:szCs w:val="18"/>
              </w:rPr>
            </w:pPr>
          </w:p>
          <w:p w14:paraId="456A6104" w14:textId="77777777" w:rsidR="00385D72" w:rsidRDefault="00385D72" w:rsidP="00AD616A">
            <w:pPr>
              <w:snapToGrid w:val="0"/>
              <w:spacing w:before="0" w:after="0"/>
              <w:ind w:left="80"/>
              <w:jc w:val="left"/>
              <w:rPr>
                <w:color w:val="000000"/>
                <w:sz w:val="18"/>
                <w:szCs w:val="18"/>
              </w:rPr>
            </w:pPr>
          </w:p>
          <w:p w14:paraId="1D18A102" w14:textId="77777777" w:rsidR="00385D72" w:rsidRDefault="00385D72" w:rsidP="00AD616A">
            <w:pPr>
              <w:snapToGrid w:val="0"/>
              <w:spacing w:before="0" w:after="0"/>
              <w:ind w:left="80"/>
              <w:jc w:val="left"/>
              <w:rPr>
                <w:color w:val="000000"/>
                <w:sz w:val="18"/>
                <w:szCs w:val="18"/>
              </w:rPr>
            </w:pPr>
          </w:p>
          <w:p w14:paraId="54E5994D" w14:textId="77777777" w:rsidR="00385D72" w:rsidRDefault="00385D72" w:rsidP="00AD616A">
            <w:pPr>
              <w:snapToGrid w:val="0"/>
              <w:spacing w:before="0" w:after="0"/>
              <w:ind w:left="80"/>
              <w:jc w:val="left"/>
              <w:rPr>
                <w:color w:val="000000"/>
                <w:sz w:val="18"/>
                <w:szCs w:val="18"/>
              </w:rPr>
            </w:pPr>
          </w:p>
          <w:p w14:paraId="0736F512" w14:textId="77777777" w:rsidR="00385D72" w:rsidRDefault="00385D72" w:rsidP="00AD616A">
            <w:pPr>
              <w:snapToGrid w:val="0"/>
              <w:spacing w:before="0" w:after="0"/>
              <w:ind w:left="80"/>
              <w:jc w:val="left"/>
              <w:rPr>
                <w:color w:val="000000"/>
                <w:sz w:val="18"/>
                <w:szCs w:val="18"/>
              </w:rPr>
            </w:pPr>
          </w:p>
          <w:p w14:paraId="62645BB3" w14:textId="77777777" w:rsidR="00385D72" w:rsidRDefault="00385D72" w:rsidP="00AD616A">
            <w:pPr>
              <w:snapToGrid w:val="0"/>
              <w:spacing w:before="0" w:after="0"/>
              <w:ind w:left="80"/>
              <w:jc w:val="left"/>
              <w:rPr>
                <w:color w:val="000000"/>
                <w:sz w:val="18"/>
                <w:szCs w:val="18"/>
              </w:rPr>
            </w:pPr>
          </w:p>
          <w:p w14:paraId="3F1EC9A7" w14:textId="77777777" w:rsidR="00385D72" w:rsidRDefault="00385D72" w:rsidP="00AD616A">
            <w:pPr>
              <w:snapToGrid w:val="0"/>
              <w:spacing w:before="0" w:after="0"/>
              <w:ind w:left="80"/>
              <w:jc w:val="left"/>
              <w:rPr>
                <w:color w:val="000000"/>
                <w:sz w:val="18"/>
                <w:szCs w:val="18"/>
              </w:rPr>
            </w:pPr>
          </w:p>
          <w:p w14:paraId="1B2AED87" w14:textId="77777777" w:rsidR="00385D72" w:rsidRDefault="00385D72" w:rsidP="00AD616A">
            <w:pPr>
              <w:snapToGrid w:val="0"/>
              <w:spacing w:before="0" w:after="0"/>
              <w:ind w:left="80"/>
              <w:jc w:val="left"/>
              <w:rPr>
                <w:color w:val="000000"/>
                <w:sz w:val="18"/>
                <w:szCs w:val="18"/>
              </w:rPr>
            </w:pPr>
          </w:p>
          <w:p w14:paraId="58E7100F" w14:textId="77777777" w:rsidR="00385D72" w:rsidRDefault="00385D72" w:rsidP="00AD616A">
            <w:pPr>
              <w:snapToGrid w:val="0"/>
              <w:spacing w:before="0" w:after="0"/>
              <w:ind w:left="80"/>
              <w:jc w:val="left"/>
              <w:rPr>
                <w:color w:val="000000"/>
                <w:sz w:val="18"/>
                <w:szCs w:val="18"/>
              </w:rPr>
            </w:pPr>
          </w:p>
          <w:p w14:paraId="335FFC3F" w14:textId="77777777" w:rsidR="00385D72" w:rsidRDefault="00385D72" w:rsidP="00AD616A">
            <w:pPr>
              <w:snapToGrid w:val="0"/>
              <w:spacing w:before="0" w:after="0"/>
              <w:ind w:left="80"/>
              <w:jc w:val="left"/>
              <w:rPr>
                <w:color w:val="000000"/>
                <w:sz w:val="18"/>
                <w:szCs w:val="18"/>
              </w:rPr>
            </w:pPr>
          </w:p>
          <w:p w14:paraId="045CCCD7" w14:textId="77777777" w:rsidR="00385D72" w:rsidRDefault="00385D72" w:rsidP="00AD616A">
            <w:pPr>
              <w:snapToGrid w:val="0"/>
              <w:spacing w:before="0" w:after="0"/>
              <w:ind w:left="80"/>
              <w:jc w:val="left"/>
              <w:rPr>
                <w:color w:val="000000"/>
                <w:sz w:val="18"/>
                <w:szCs w:val="18"/>
              </w:rPr>
            </w:pPr>
          </w:p>
          <w:p w14:paraId="772B004F" w14:textId="77777777" w:rsidR="00385D72" w:rsidRDefault="00385D72" w:rsidP="00AD616A">
            <w:pPr>
              <w:snapToGrid w:val="0"/>
              <w:spacing w:before="0" w:after="0"/>
              <w:ind w:left="80"/>
              <w:jc w:val="left"/>
              <w:rPr>
                <w:color w:val="000000"/>
                <w:sz w:val="18"/>
                <w:szCs w:val="18"/>
              </w:rPr>
            </w:pPr>
          </w:p>
          <w:p w14:paraId="47B7DD58" w14:textId="77777777" w:rsidR="00385D72" w:rsidRDefault="00385D72" w:rsidP="00AD616A">
            <w:pPr>
              <w:snapToGrid w:val="0"/>
              <w:spacing w:before="0" w:after="0"/>
              <w:ind w:left="80"/>
              <w:jc w:val="left"/>
              <w:rPr>
                <w:color w:val="000000"/>
                <w:sz w:val="18"/>
                <w:szCs w:val="18"/>
              </w:rPr>
            </w:pPr>
          </w:p>
          <w:p w14:paraId="73B3628A" w14:textId="77777777" w:rsidR="00385D72" w:rsidRDefault="00385D72" w:rsidP="00AD616A">
            <w:pPr>
              <w:snapToGrid w:val="0"/>
              <w:spacing w:before="0" w:after="0"/>
              <w:ind w:left="80"/>
              <w:jc w:val="left"/>
              <w:rPr>
                <w:color w:val="000000"/>
                <w:sz w:val="18"/>
                <w:szCs w:val="18"/>
              </w:rPr>
            </w:pPr>
          </w:p>
          <w:p w14:paraId="43D845B6" w14:textId="77777777" w:rsidR="00385D72" w:rsidRDefault="00385D72" w:rsidP="00AD616A">
            <w:pPr>
              <w:snapToGrid w:val="0"/>
              <w:spacing w:before="0" w:after="0"/>
              <w:ind w:left="80"/>
              <w:jc w:val="left"/>
              <w:rPr>
                <w:color w:val="000000"/>
                <w:sz w:val="18"/>
                <w:szCs w:val="18"/>
              </w:rPr>
            </w:pPr>
          </w:p>
          <w:p w14:paraId="5AF74170" w14:textId="77777777" w:rsidR="00385D72" w:rsidRDefault="00385D72" w:rsidP="00AD616A">
            <w:pPr>
              <w:snapToGrid w:val="0"/>
              <w:spacing w:before="0" w:after="0"/>
              <w:ind w:left="80"/>
              <w:jc w:val="left"/>
              <w:rPr>
                <w:color w:val="000000"/>
                <w:sz w:val="18"/>
                <w:szCs w:val="18"/>
              </w:rPr>
            </w:pPr>
          </w:p>
          <w:p w14:paraId="5A965C39" w14:textId="77777777" w:rsidR="00385D72" w:rsidRDefault="00385D72" w:rsidP="00AD616A">
            <w:pPr>
              <w:snapToGrid w:val="0"/>
              <w:spacing w:before="0" w:after="0"/>
              <w:ind w:left="80"/>
              <w:jc w:val="left"/>
              <w:rPr>
                <w:color w:val="000000"/>
                <w:sz w:val="18"/>
                <w:szCs w:val="18"/>
              </w:rPr>
            </w:pPr>
          </w:p>
          <w:p w14:paraId="555CDE2F" w14:textId="77777777" w:rsidR="00385D72" w:rsidRDefault="00385D72" w:rsidP="00AD616A">
            <w:pPr>
              <w:snapToGrid w:val="0"/>
              <w:spacing w:before="0" w:after="0"/>
              <w:ind w:left="80"/>
              <w:jc w:val="left"/>
              <w:rPr>
                <w:color w:val="000000"/>
                <w:sz w:val="18"/>
                <w:szCs w:val="18"/>
              </w:rPr>
            </w:pPr>
          </w:p>
          <w:p w14:paraId="66C484FE" w14:textId="77777777" w:rsidR="00385D72" w:rsidRDefault="00385D72" w:rsidP="00AD616A">
            <w:pPr>
              <w:snapToGrid w:val="0"/>
              <w:spacing w:before="0" w:after="0"/>
              <w:ind w:left="80"/>
              <w:jc w:val="left"/>
              <w:rPr>
                <w:color w:val="000000"/>
                <w:sz w:val="18"/>
                <w:szCs w:val="18"/>
              </w:rPr>
            </w:pPr>
          </w:p>
          <w:p w14:paraId="1C2EEEE6" w14:textId="77777777" w:rsidR="00385D72" w:rsidRDefault="00385D72" w:rsidP="00AD616A">
            <w:pPr>
              <w:snapToGrid w:val="0"/>
              <w:spacing w:before="0" w:after="0"/>
              <w:ind w:left="80"/>
              <w:jc w:val="left"/>
              <w:rPr>
                <w:color w:val="000000"/>
                <w:sz w:val="18"/>
                <w:szCs w:val="18"/>
              </w:rPr>
            </w:pPr>
          </w:p>
          <w:p w14:paraId="4F8FB33D" w14:textId="77777777" w:rsidR="00385D72" w:rsidRDefault="00385D72" w:rsidP="00AD616A">
            <w:pPr>
              <w:snapToGrid w:val="0"/>
              <w:spacing w:before="0" w:after="0"/>
              <w:ind w:left="80"/>
              <w:jc w:val="left"/>
              <w:rPr>
                <w:color w:val="000000"/>
                <w:sz w:val="18"/>
                <w:szCs w:val="18"/>
              </w:rPr>
            </w:pPr>
          </w:p>
          <w:p w14:paraId="56DC0227" w14:textId="77777777" w:rsidR="00385D72" w:rsidRDefault="00385D72" w:rsidP="00AD616A">
            <w:pPr>
              <w:snapToGrid w:val="0"/>
              <w:spacing w:before="0" w:after="0"/>
              <w:ind w:left="80"/>
              <w:jc w:val="left"/>
              <w:rPr>
                <w:color w:val="000000"/>
                <w:sz w:val="18"/>
                <w:szCs w:val="18"/>
              </w:rPr>
            </w:pPr>
          </w:p>
          <w:p w14:paraId="514B6796" w14:textId="77777777" w:rsidR="00385D72" w:rsidRDefault="00385D72" w:rsidP="00AD616A">
            <w:pPr>
              <w:snapToGrid w:val="0"/>
              <w:spacing w:before="0" w:after="0"/>
              <w:ind w:left="80"/>
              <w:jc w:val="left"/>
              <w:rPr>
                <w:color w:val="000000"/>
                <w:sz w:val="18"/>
                <w:szCs w:val="18"/>
              </w:rPr>
            </w:pPr>
          </w:p>
          <w:p w14:paraId="54D1C207" w14:textId="77777777" w:rsidR="00385D72" w:rsidRDefault="00385D72" w:rsidP="00AD616A">
            <w:pPr>
              <w:snapToGrid w:val="0"/>
              <w:spacing w:before="0" w:after="0"/>
              <w:ind w:left="80"/>
              <w:jc w:val="left"/>
              <w:rPr>
                <w:color w:val="000000"/>
                <w:sz w:val="18"/>
                <w:szCs w:val="18"/>
              </w:rPr>
            </w:pPr>
          </w:p>
          <w:p w14:paraId="0E0D6CE6" w14:textId="77777777" w:rsidR="00385D72" w:rsidRDefault="00385D72" w:rsidP="00AD616A">
            <w:pPr>
              <w:snapToGrid w:val="0"/>
              <w:spacing w:before="0" w:after="0"/>
              <w:ind w:left="80"/>
              <w:jc w:val="left"/>
              <w:rPr>
                <w:color w:val="000000"/>
                <w:sz w:val="18"/>
                <w:szCs w:val="18"/>
              </w:rPr>
            </w:pPr>
          </w:p>
          <w:p w14:paraId="34176BAD" w14:textId="77777777" w:rsidR="00385D72" w:rsidRDefault="00385D72" w:rsidP="00AD616A">
            <w:pPr>
              <w:snapToGrid w:val="0"/>
              <w:spacing w:before="0" w:after="0"/>
              <w:ind w:left="80"/>
              <w:jc w:val="left"/>
              <w:rPr>
                <w:color w:val="000000"/>
                <w:sz w:val="18"/>
                <w:szCs w:val="18"/>
              </w:rPr>
            </w:pPr>
          </w:p>
          <w:p w14:paraId="018AA790" w14:textId="77777777" w:rsidR="00385D72" w:rsidRDefault="00385D72" w:rsidP="00AD616A">
            <w:pPr>
              <w:snapToGrid w:val="0"/>
              <w:spacing w:before="0" w:after="0"/>
              <w:ind w:left="80"/>
              <w:jc w:val="left"/>
              <w:rPr>
                <w:color w:val="000000"/>
                <w:sz w:val="18"/>
                <w:szCs w:val="18"/>
              </w:rPr>
            </w:pPr>
          </w:p>
          <w:p w14:paraId="3F4AFF60" w14:textId="77777777" w:rsidR="00385D72" w:rsidRDefault="00385D72" w:rsidP="00AD616A">
            <w:pPr>
              <w:snapToGrid w:val="0"/>
              <w:spacing w:before="0" w:after="0"/>
              <w:ind w:left="80"/>
              <w:jc w:val="left"/>
              <w:rPr>
                <w:color w:val="000000"/>
                <w:sz w:val="18"/>
                <w:szCs w:val="18"/>
              </w:rPr>
            </w:pPr>
          </w:p>
          <w:p w14:paraId="3B33EB54" w14:textId="77777777" w:rsidR="00385D72" w:rsidRDefault="00385D72" w:rsidP="00AD616A">
            <w:pPr>
              <w:snapToGrid w:val="0"/>
              <w:spacing w:before="0" w:after="0"/>
              <w:ind w:left="80"/>
              <w:jc w:val="left"/>
              <w:rPr>
                <w:color w:val="000000"/>
                <w:sz w:val="18"/>
                <w:szCs w:val="18"/>
              </w:rPr>
            </w:pPr>
          </w:p>
          <w:p w14:paraId="51D7D892" w14:textId="77777777" w:rsidR="00385D72" w:rsidRDefault="00385D72" w:rsidP="00AD616A">
            <w:pPr>
              <w:snapToGrid w:val="0"/>
              <w:spacing w:before="0" w:after="0"/>
              <w:ind w:left="80"/>
              <w:jc w:val="left"/>
              <w:rPr>
                <w:color w:val="000000"/>
                <w:sz w:val="18"/>
                <w:szCs w:val="18"/>
              </w:rPr>
            </w:pPr>
          </w:p>
          <w:p w14:paraId="609C37D2" w14:textId="77777777" w:rsidR="00385D72" w:rsidRDefault="00385D72" w:rsidP="00AD616A">
            <w:pPr>
              <w:snapToGrid w:val="0"/>
              <w:spacing w:before="0" w:after="0"/>
              <w:ind w:left="80"/>
              <w:jc w:val="left"/>
              <w:rPr>
                <w:color w:val="000000"/>
                <w:sz w:val="18"/>
                <w:szCs w:val="18"/>
              </w:rPr>
            </w:pPr>
          </w:p>
          <w:p w14:paraId="64166ADF" w14:textId="77777777" w:rsidR="00385D72" w:rsidRDefault="00385D72" w:rsidP="00AD616A">
            <w:pPr>
              <w:snapToGrid w:val="0"/>
              <w:spacing w:before="0" w:after="0"/>
              <w:ind w:left="80"/>
              <w:jc w:val="left"/>
              <w:rPr>
                <w:color w:val="000000"/>
                <w:sz w:val="18"/>
                <w:szCs w:val="18"/>
              </w:rPr>
            </w:pPr>
          </w:p>
          <w:p w14:paraId="4B0EE951" w14:textId="77777777" w:rsidR="00385D72" w:rsidRDefault="00385D72" w:rsidP="00AD616A">
            <w:pPr>
              <w:snapToGrid w:val="0"/>
              <w:spacing w:before="0" w:after="0"/>
              <w:ind w:left="80"/>
              <w:jc w:val="left"/>
              <w:rPr>
                <w:color w:val="000000"/>
                <w:sz w:val="18"/>
                <w:szCs w:val="18"/>
              </w:rPr>
            </w:pPr>
          </w:p>
          <w:p w14:paraId="1619AF61" w14:textId="77777777" w:rsidR="00385D72" w:rsidRDefault="00385D72" w:rsidP="00AD616A">
            <w:pPr>
              <w:snapToGrid w:val="0"/>
              <w:spacing w:before="0" w:after="0"/>
              <w:ind w:left="80"/>
              <w:jc w:val="left"/>
              <w:rPr>
                <w:color w:val="000000"/>
                <w:sz w:val="18"/>
                <w:szCs w:val="18"/>
              </w:rPr>
            </w:pPr>
          </w:p>
          <w:p w14:paraId="7269E5BD" w14:textId="77777777" w:rsidR="00385D72" w:rsidRDefault="00385D72" w:rsidP="00AD616A">
            <w:pPr>
              <w:snapToGrid w:val="0"/>
              <w:spacing w:before="0" w:after="0"/>
              <w:ind w:left="80"/>
              <w:jc w:val="left"/>
              <w:rPr>
                <w:color w:val="000000"/>
                <w:sz w:val="18"/>
                <w:szCs w:val="18"/>
              </w:rPr>
            </w:pPr>
          </w:p>
          <w:p w14:paraId="639F8B21" w14:textId="77777777" w:rsidR="00385D72" w:rsidRDefault="00385D72" w:rsidP="00AD616A">
            <w:pPr>
              <w:snapToGrid w:val="0"/>
              <w:spacing w:before="0" w:after="0"/>
              <w:ind w:left="80"/>
              <w:jc w:val="left"/>
              <w:rPr>
                <w:color w:val="000000"/>
                <w:sz w:val="18"/>
                <w:szCs w:val="18"/>
              </w:rPr>
            </w:pPr>
          </w:p>
          <w:p w14:paraId="7AA95A69" w14:textId="77777777" w:rsidR="00385D72" w:rsidRDefault="00385D72" w:rsidP="00AD616A">
            <w:pPr>
              <w:snapToGrid w:val="0"/>
              <w:spacing w:before="0" w:after="0"/>
              <w:ind w:left="80"/>
              <w:jc w:val="left"/>
              <w:rPr>
                <w:color w:val="000000"/>
                <w:sz w:val="18"/>
                <w:szCs w:val="18"/>
              </w:rPr>
            </w:pPr>
          </w:p>
          <w:p w14:paraId="4DFE5DCA" w14:textId="77777777" w:rsidR="00385D72" w:rsidRDefault="00385D72" w:rsidP="00AD616A">
            <w:pPr>
              <w:snapToGrid w:val="0"/>
              <w:spacing w:before="0" w:after="0"/>
              <w:ind w:left="80"/>
              <w:jc w:val="left"/>
              <w:rPr>
                <w:color w:val="000000"/>
                <w:sz w:val="18"/>
                <w:szCs w:val="18"/>
              </w:rPr>
            </w:pPr>
          </w:p>
          <w:p w14:paraId="3260DABC" w14:textId="77777777" w:rsidR="00385D72" w:rsidRDefault="00385D72" w:rsidP="00AD616A">
            <w:pPr>
              <w:snapToGrid w:val="0"/>
              <w:spacing w:before="0" w:after="0"/>
              <w:ind w:left="80"/>
              <w:jc w:val="left"/>
              <w:rPr>
                <w:color w:val="000000"/>
                <w:sz w:val="18"/>
                <w:szCs w:val="18"/>
              </w:rPr>
            </w:pPr>
          </w:p>
          <w:p w14:paraId="48B43BA8" w14:textId="77777777" w:rsidR="00385D72" w:rsidRDefault="00385D72" w:rsidP="00AD616A">
            <w:pPr>
              <w:snapToGrid w:val="0"/>
              <w:spacing w:before="0" w:after="0"/>
              <w:ind w:left="80"/>
              <w:jc w:val="left"/>
              <w:rPr>
                <w:color w:val="000000"/>
                <w:sz w:val="18"/>
                <w:szCs w:val="18"/>
              </w:rPr>
            </w:pPr>
          </w:p>
          <w:p w14:paraId="4561824F" w14:textId="77777777" w:rsidR="00385D72" w:rsidRDefault="00385D72" w:rsidP="00AD616A">
            <w:pPr>
              <w:snapToGrid w:val="0"/>
              <w:spacing w:before="0" w:after="0"/>
              <w:ind w:left="80"/>
              <w:jc w:val="left"/>
              <w:rPr>
                <w:color w:val="000000"/>
                <w:sz w:val="18"/>
                <w:szCs w:val="18"/>
              </w:rPr>
            </w:pPr>
          </w:p>
          <w:p w14:paraId="48D0E837" w14:textId="77777777" w:rsidR="00385D72" w:rsidRDefault="00385D72" w:rsidP="00AD616A">
            <w:pPr>
              <w:snapToGrid w:val="0"/>
              <w:spacing w:before="0" w:after="0"/>
              <w:ind w:left="80"/>
              <w:jc w:val="left"/>
              <w:rPr>
                <w:color w:val="000000"/>
                <w:sz w:val="18"/>
                <w:szCs w:val="18"/>
              </w:rPr>
            </w:pPr>
          </w:p>
          <w:p w14:paraId="116965D1" w14:textId="77777777" w:rsidR="00385D72" w:rsidRDefault="00385D72" w:rsidP="00AD616A">
            <w:pPr>
              <w:snapToGrid w:val="0"/>
              <w:spacing w:before="0" w:after="0"/>
              <w:ind w:left="80"/>
              <w:jc w:val="left"/>
              <w:rPr>
                <w:color w:val="000000"/>
                <w:sz w:val="18"/>
                <w:szCs w:val="18"/>
              </w:rPr>
            </w:pPr>
          </w:p>
          <w:p w14:paraId="1373C29E" w14:textId="77777777" w:rsidR="00385D72" w:rsidRDefault="00385D72" w:rsidP="00AD616A">
            <w:pPr>
              <w:snapToGrid w:val="0"/>
              <w:spacing w:before="0" w:after="0"/>
              <w:ind w:left="80"/>
              <w:jc w:val="left"/>
              <w:rPr>
                <w:color w:val="000000"/>
                <w:sz w:val="18"/>
                <w:szCs w:val="18"/>
              </w:rPr>
            </w:pPr>
          </w:p>
          <w:p w14:paraId="5AFDEA02" w14:textId="77777777" w:rsidR="00385D72" w:rsidRDefault="00385D72" w:rsidP="00AD616A">
            <w:pPr>
              <w:snapToGrid w:val="0"/>
              <w:spacing w:before="0" w:after="0"/>
              <w:ind w:left="80"/>
              <w:jc w:val="left"/>
              <w:rPr>
                <w:color w:val="000000"/>
                <w:sz w:val="18"/>
                <w:szCs w:val="18"/>
              </w:rPr>
            </w:pPr>
          </w:p>
          <w:p w14:paraId="5A073AEC" w14:textId="77777777" w:rsidR="00385D72" w:rsidRDefault="00385D72" w:rsidP="00AD616A">
            <w:pPr>
              <w:snapToGrid w:val="0"/>
              <w:spacing w:before="0" w:after="0"/>
              <w:ind w:left="80"/>
              <w:jc w:val="left"/>
              <w:rPr>
                <w:color w:val="000000"/>
                <w:sz w:val="18"/>
                <w:szCs w:val="18"/>
              </w:rPr>
            </w:pPr>
          </w:p>
          <w:p w14:paraId="626C54A9" w14:textId="77777777" w:rsidR="00385D72" w:rsidRDefault="00385D72" w:rsidP="00AD616A">
            <w:pPr>
              <w:snapToGrid w:val="0"/>
              <w:spacing w:before="0" w:after="0"/>
              <w:ind w:left="80"/>
              <w:jc w:val="left"/>
              <w:rPr>
                <w:color w:val="000000"/>
                <w:sz w:val="18"/>
                <w:szCs w:val="18"/>
              </w:rPr>
            </w:pPr>
          </w:p>
          <w:p w14:paraId="70F8CAEE" w14:textId="77777777" w:rsidR="00385D72" w:rsidRDefault="00385D72" w:rsidP="00AD616A">
            <w:pPr>
              <w:snapToGrid w:val="0"/>
              <w:spacing w:before="0" w:after="0"/>
              <w:ind w:left="80"/>
              <w:jc w:val="left"/>
              <w:rPr>
                <w:color w:val="000000"/>
                <w:sz w:val="18"/>
                <w:szCs w:val="18"/>
              </w:rPr>
            </w:pPr>
          </w:p>
          <w:p w14:paraId="138E101D" w14:textId="77777777" w:rsidR="00385D72" w:rsidRDefault="00385D72" w:rsidP="00AD616A">
            <w:pPr>
              <w:snapToGrid w:val="0"/>
              <w:spacing w:before="0" w:after="0"/>
              <w:ind w:left="80"/>
              <w:jc w:val="left"/>
              <w:rPr>
                <w:color w:val="000000"/>
                <w:sz w:val="18"/>
                <w:szCs w:val="18"/>
              </w:rPr>
            </w:pPr>
          </w:p>
          <w:p w14:paraId="4C0CE18E" w14:textId="77777777" w:rsidR="00385D72" w:rsidRDefault="00385D72" w:rsidP="00AD616A">
            <w:pPr>
              <w:snapToGrid w:val="0"/>
              <w:spacing w:before="0" w:after="0"/>
              <w:ind w:left="80"/>
              <w:jc w:val="left"/>
              <w:rPr>
                <w:color w:val="000000"/>
                <w:sz w:val="18"/>
                <w:szCs w:val="18"/>
              </w:rPr>
            </w:pPr>
          </w:p>
          <w:p w14:paraId="2535E732" w14:textId="77777777" w:rsidR="00385D72" w:rsidRDefault="00385D72" w:rsidP="00AD616A">
            <w:pPr>
              <w:snapToGrid w:val="0"/>
              <w:spacing w:before="0" w:after="0"/>
              <w:ind w:left="80"/>
              <w:jc w:val="left"/>
              <w:rPr>
                <w:color w:val="000000"/>
                <w:sz w:val="18"/>
                <w:szCs w:val="18"/>
              </w:rPr>
            </w:pPr>
          </w:p>
          <w:p w14:paraId="1FF31E24" w14:textId="77777777" w:rsidR="00385D72" w:rsidRDefault="00385D72" w:rsidP="00AD616A">
            <w:pPr>
              <w:snapToGrid w:val="0"/>
              <w:spacing w:before="0" w:after="0"/>
              <w:ind w:left="80"/>
              <w:jc w:val="left"/>
              <w:rPr>
                <w:color w:val="000000"/>
                <w:sz w:val="18"/>
                <w:szCs w:val="18"/>
              </w:rPr>
            </w:pPr>
          </w:p>
          <w:p w14:paraId="4CD80EAA" w14:textId="77777777" w:rsidR="00385D72" w:rsidRDefault="00385D72" w:rsidP="00AD616A">
            <w:pPr>
              <w:snapToGrid w:val="0"/>
              <w:spacing w:before="0" w:after="0"/>
              <w:ind w:left="80"/>
              <w:jc w:val="left"/>
              <w:rPr>
                <w:color w:val="000000"/>
                <w:sz w:val="18"/>
                <w:szCs w:val="18"/>
              </w:rPr>
            </w:pPr>
          </w:p>
          <w:p w14:paraId="17B76375" w14:textId="77777777" w:rsidR="00385D72" w:rsidRDefault="00385D72" w:rsidP="00AD616A">
            <w:pPr>
              <w:snapToGrid w:val="0"/>
              <w:spacing w:before="0" w:after="0"/>
              <w:ind w:left="80"/>
              <w:jc w:val="left"/>
              <w:rPr>
                <w:color w:val="000000"/>
                <w:sz w:val="18"/>
                <w:szCs w:val="18"/>
              </w:rPr>
            </w:pPr>
          </w:p>
          <w:p w14:paraId="716F2EDB" w14:textId="77777777" w:rsidR="00385D72" w:rsidRDefault="00385D72" w:rsidP="00AD616A">
            <w:pPr>
              <w:snapToGrid w:val="0"/>
              <w:spacing w:before="0" w:after="0"/>
              <w:ind w:left="80"/>
              <w:jc w:val="left"/>
              <w:rPr>
                <w:color w:val="000000"/>
                <w:sz w:val="18"/>
                <w:szCs w:val="18"/>
              </w:rPr>
            </w:pPr>
          </w:p>
          <w:p w14:paraId="51657FF8" w14:textId="77777777" w:rsidR="00385D72" w:rsidRDefault="00385D72" w:rsidP="00AD616A">
            <w:pPr>
              <w:snapToGrid w:val="0"/>
              <w:spacing w:before="0" w:after="0"/>
              <w:ind w:left="80"/>
              <w:jc w:val="left"/>
              <w:rPr>
                <w:color w:val="000000"/>
                <w:sz w:val="18"/>
                <w:szCs w:val="18"/>
              </w:rPr>
            </w:pPr>
          </w:p>
          <w:p w14:paraId="3DEB2309" w14:textId="77777777" w:rsidR="00385D72" w:rsidRDefault="00385D72" w:rsidP="00AD616A">
            <w:pPr>
              <w:snapToGrid w:val="0"/>
              <w:spacing w:before="0" w:after="0"/>
              <w:ind w:left="80"/>
              <w:jc w:val="left"/>
              <w:rPr>
                <w:color w:val="000000"/>
                <w:sz w:val="18"/>
                <w:szCs w:val="18"/>
              </w:rPr>
            </w:pPr>
          </w:p>
          <w:p w14:paraId="00ABF73A" w14:textId="77777777" w:rsidR="00385D72" w:rsidRDefault="00385D72" w:rsidP="00AD616A">
            <w:pPr>
              <w:snapToGrid w:val="0"/>
              <w:spacing w:before="0" w:after="0"/>
              <w:ind w:left="80"/>
              <w:jc w:val="left"/>
              <w:rPr>
                <w:color w:val="000000"/>
                <w:sz w:val="18"/>
                <w:szCs w:val="18"/>
              </w:rPr>
            </w:pPr>
          </w:p>
          <w:p w14:paraId="60380F36" w14:textId="77777777" w:rsidR="00385D72" w:rsidRDefault="00385D72" w:rsidP="00AD616A">
            <w:pPr>
              <w:snapToGrid w:val="0"/>
              <w:spacing w:before="0" w:after="0"/>
              <w:ind w:left="80"/>
              <w:jc w:val="left"/>
              <w:rPr>
                <w:color w:val="000000"/>
                <w:sz w:val="18"/>
                <w:szCs w:val="18"/>
              </w:rPr>
            </w:pPr>
          </w:p>
          <w:p w14:paraId="61AC6BB9" w14:textId="77777777" w:rsidR="00385D72" w:rsidRDefault="00385D72" w:rsidP="00AD616A">
            <w:pPr>
              <w:snapToGrid w:val="0"/>
              <w:spacing w:before="0" w:after="0"/>
              <w:ind w:left="80"/>
              <w:jc w:val="left"/>
              <w:rPr>
                <w:color w:val="000000"/>
                <w:sz w:val="18"/>
                <w:szCs w:val="18"/>
              </w:rPr>
            </w:pPr>
          </w:p>
          <w:p w14:paraId="2EAD8D19" w14:textId="77777777" w:rsidR="00385D72" w:rsidRDefault="00385D72" w:rsidP="00AD616A">
            <w:pPr>
              <w:snapToGrid w:val="0"/>
              <w:spacing w:before="0" w:after="0"/>
              <w:ind w:left="80"/>
              <w:jc w:val="left"/>
              <w:rPr>
                <w:color w:val="000000"/>
                <w:sz w:val="18"/>
                <w:szCs w:val="18"/>
              </w:rPr>
            </w:pPr>
          </w:p>
          <w:p w14:paraId="530AB958" w14:textId="77777777" w:rsidR="00385D72" w:rsidRDefault="00385D72" w:rsidP="00AD616A">
            <w:pPr>
              <w:snapToGrid w:val="0"/>
              <w:spacing w:before="0" w:after="0"/>
              <w:ind w:left="80"/>
              <w:jc w:val="left"/>
              <w:rPr>
                <w:color w:val="000000"/>
                <w:sz w:val="18"/>
                <w:szCs w:val="18"/>
              </w:rPr>
            </w:pPr>
          </w:p>
          <w:p w14:paraId="5D7546D3" w14:textId="77777777" w:rsidR="00385D72" w:rsidRDefault="00385D72" w:rsidP="00AD616A">
            <w:pPr>
              <w:snapToGrid w:val="0"/>
              <w:spacing w:before="0" w:after="0"/>
              <w:ind w:left="80"/>
              <w:jc w:val="left"/>
              <w:rPr>
                <w:color w:val="000000"/>
                <w:sz w:val="18"/>
                <w:szCs w:val="18"/>
              </w:rPr>
            </w:pPr>
          </w:p>
          <w:p w14:paraId="772AEF08" w14:textId="77777777" w:rsidR="00385D72" w:rsidRDefault="00385D72" w:rsidP="00AD616A">
            <w:pPr>
              <w:snapToGrid w:val="0"/>
              <w:spacing w:before="0" w:after="0"/>
              <w:ind w:left="80"/>
              <w:jc w:val="left"/>
              <w:rPr>
                <w:color w:val="000000"/>
                <w:sz w:val="18"/>
                <w:szCs w:val="18"/>
              </w:rPr>
            </w:pPr>
          </w:p>
          <w:p w14:paraId="4520F2B4" w14:textId="77777777" w:rsidR="00385D72" w:rsidRDefault="00385D72" w:rsidP="00AD616A">
            <w:pPr>
              <w:snapToGrid w:val="0"/>
              <w:spacing w:before="0" w:after="0"/>
              <w:ind w:left="80"/>
              <w:jc w:val="left"/>
              <w:rPr>
                <w:color w:val="000000"/>
                <w:sz w:val="18"/>
                <w:szCs w:val="18"/>
              </w:rPr>
            </w:pPr>
          </w:p>
          <w:p w14:paraId="1C0BB357" w14:textId="77777777" w:rsidR="00385D72" w:rsidRDefault="00385D72" w:rsidP="00AD616A">
            <w:pPr>
              <w:snapToGrid w:val="0"/>
              <w:spacing w:before="0" w:after="0"/>
              <w:ind w:left="80"/>
              <w:jc w:val="left"/>
              <w:rPr>
                <w:color w:val="000000"/>
                <w:sz w:val="18"/>
                <w:szCs w:val="18"/>
              </w:rPr>
            </w:pPr>
          </w:p>
          <w:p w14:paraId="07EBE32E" w14:textId="77777777" w:rsidR="00385D72" w:rsidRDefault="00385D72" w:rsidP="00AD616A">
            <w:pPr>
              <w:snapToGrid w:val="0"/>
              <w:spacing w:before="0" w:after="0"/>
              <w:ind w:left="80"/>
              <w:jc w:val="left"/>
              <w:rPr>
                <w:color w:val="000000"/>
                <w:sz w:val="18"/>
                <w:szCs w:val="18"/>
              </w:rPr>
            </w:pPr>
          </w:p>
          <w:p w14:paraId="7F7715A1" w14:textId="77777777" w:rsidR="00385D72" w:rsidRDefault="00385D72" w:rsidP="00AD616A">
            <w:pPr>
              <w:snapToGrid w:val="0"/>
              <w:spacing w:before="0" w:after="0"/>
              <w:ind w:left="80"/>
              <w:jc w:val="left"/>
              <w:rPr>
                <w:color w:val="000000"/>
                <w:sz w:val="18"/>
                <w:szCs w:val="18"/>
              </w:rPr>
            </w:pPr>
          </w:p>
          <w:p w14:paraId="1685AAFD" w14:textId="77777777" w:rsidR="00385D72" w:rsidRDefault="00385D72" w:rsidP="00AD616A">
            <w:pPr>
              <w:snapToGrid w:val="0"/>
              <w:spacing w:before="0" w:after="0"/>
              <w:ind w:left="80"/>
              <w:jc w:val="left"/>
              <w:rPr>
                <w:color w:val="000000"/>
                <w:sz w:val="18"/>
                <w:szCs w:val="18"/>
              </w:rPr>
            </w:pPr>
          </w:p>
          <w:p w14:paraId="20FD7C29" w14:textId="77777777" w:rsidR="00385D72" w:rsidRDefault="00385D72" w:rsidP="00AD616A">
            <w:pPr>
              <w:snapToGrid w:val="0"/>
              <w:spacing w:before="0" w:after="0"/>
              <w:ind w:left="80"/>
              <w:jc w:val="left"/>
              <w:rPr>
                <w:color w:val="000000"/>
                <w:sz w:val="18"/>
                <w:szCs w:val="18"/>
              </w:rPr>
            </w:pPr>
          </w:p>
          <w:p w14:paraId="3790F8FA" w14:textId="77777777" w:rsidR="00385D72" w:rsidRDefault="00385D72" w:rsidP="00AD616A">
            <w:pPr>
              <w:snapToGrid w:val="0"/>
              <w:spacing w:before="0" w:after="0"/>
              <w:ind w:left="80"/>
              <w:jc w:val="left"/>
              <w:rPr>
                <w:color w:val="000000"/>
                <w:sz w:val="18"/>
                <w:szCs w:val="18"/>
              </w:rPr>
            </w:pPr>
          </w:p>
          <w:p w14:paraId="4FAC5E9E" w14:textId="77777777" w:rsidR="00385D72" w:rsidRDefault="00385D72" w:rsidP="00AD616A">
            <w:pPr>
              <w:snapToGrid w:val="0"/>
              <w:spacing w:before="0" w:after="0"/>
              <w:ind w:left="80"/>
              <w:jc w:val="left"/>
              <w:rPr>
                <w:color w:val="000000"/>
                <w:sz w:val="18"/>
                <w:szCs w:val="18"/>
              </w:rPr>
            </w:pPr>
          </w:p>
          <w:p w14:paraId="22B6BE66" w14:textId="77777777" w:rsidR="00385D72" w:rsidRDefault="00385D72" w:rsidP="00AD616A">
            <w:pPr>
              <w:snapToGrid w:val="0"/>
              <w:spacing w:before="0" w:after="0"/>
              <w:ind w:left="80"/>
              <w:jc w:val="left"/>
              <w:rPr>
                <w:color w:val="000000"/>
                <w:sz w:val="18"/>
                <w:szCs w:val="18"/>
              </w:rPr>
            </w:pPr>
          </w:p>
          <w:p w14:paraId="57B31137" w14:textId="77777777" w:rsidR="00385D72" w:rsidRDefault="00385D72" w:rsidP="00AD616A">
            <w:pPr>
              <w:snapToGrid w:val="0"/>
              <w:spacing w:before="0" w:after="0"/>
              <w:ind w:left="80"/>
              <w:jc w:val="left"/>
              <w:rPr>
                <w:color w:val="000000"/>
                <w:sz w:val="18"/>
                <w:szCs w:val="18"/>
              </w:rPr>
            </w:pPr>
          </w:p>
          <w:p w14:paraId="0BA853BC" w14:textId="77777777" w:rsidR="00385D72" w:rsidRDefault="00385D72" w:rsidP="00AD616A">
            <w:pPr>
              <w:snapToGrid w:val="0"/>
              <w:spacing w:before="0" w:after="0"/>
              <w:ind w:left="80"/>
              <w:jc w:val="left"/>
              <w:rPr>
                <w:color w:val="000000"/>
                <w:sz w:val="18"/>
                <w:szCs w:val="18"/>
              </w:rPr>
            </w:pPr>
          </w:p>
          <w:p w14:paraId="53A10439" w14:textId="77777777" w:rsidR="00385D72" w:rsidRDefault="00385D72" w:rsidP="00AD616A">
            <w:pPr>
              <w:snapToGrid w:val="0"/>
              <w:spacing w:before="0" w:after="0"/>
              <w:ind w:left="80"/>
              <w:jc w:val="left"/>
              <w:rPr>
                <w:color w:val="000000"/>
                <w:sz w:val="18"/>
                <w:szCs w:val="18"/>
              </w:rPr>
            </w:pPr>
          </w:p>
          <w:p w14:paraId="632BEFFF" w14:textId="77777777" w:rsidR="00385D72" w:rsidRDefault="00385D72" w:rsidP="00AD616A">
            <w:pPr>
              <w:snapToGrid w:val="0"/>
              <w:spacing w:before="0" w:after="0"/>
              <w:ind w:left="80"/>
              <w:jc w:val="left"/>
              <w:rPr>
                <w:color w:val="000000"/>
                <w:sz w:val="18"/>
                <w:szCs w:val="18"/>
              </w:rPr>
            </w:pPr>
          </w:p>
          <w:p w14:paraId="27A2FC0E" w14:textId="77777777" w:rsidR="00385D72" w:rsidRDefault="00385D72" w:rsidP="00AD616A">
            <w:pPr>
              <w:snapToGrid w:val="0"/>
              <w:spacing w:before="0" w:after="0"/>
              <w:ind w:left="80"/>
              <w:jc w:val="left"/>
              <w:rPr>
                <w:color w:val="000000"/>
                <w:sz w:val="18"/>
                <w:szCs w:val="18"/>
              </w:rPr>
            </w:pPr>
          </w:p>
          <w:p w14:paraId="32AC6693" w14:textId="77777777" w:rsidR="00385D72" w:rsidRDefault="00385D72" w:rsidP="00AD616A">
            <w:pPr>
              <w:snapToGrid w:val="0"/>
              <w:spacing w:before="0" w:after="0"/>
              <w:ind w:left="80"/>
              <w:jc w:val="left"/>
              <w:rPr>
                <w:color w:val="000000"/>
                <w:sz w:val="18"/>
                <w:szCs w:val="18"/>
              </w:rPr>
            </w:pPr>
          </w:p>
          <w:p w14:paraId="1AE7E5CE" w14:textId="77777777" w:rsidR="00385D72" w:rsidRDefault="00385D72" w:rsidP="00AD616A">
            <w:pPr>
              <w:snapToGrid w:val="0"/>
              <w:spacing w:before="0" w:after="0"/>
              <w:ind w:left="80"/>
              <w:jc w:val="left"/>
              <w:rPr>
                <w:color w:val="000000"/>
                <w:sz w:val="18"/>
                <w:szCs w:val="18"/>
              </w:rPr>
            </w:pPr>
          </w:p>
          <w:p w14:paraId="4D67BF7D" w14:textId="77777777" w:rsidR="00385D72" w:rsidRDefault="00385D72" w:rsidP="00AD616A">
            <w:pPr>
              <w:snapToGrid w:val="0"/>
              <w:spacing w:before="0" w:after="0"/>
              <w:ind w:left="80"/>
              <w:jc w:val="left"/>
              <w:rPr>
                <w:color w:val="000000"/>
                <w:sz w:val="18"/>
                <w:szCs w:val="18"/>
              </w:rPr>
            </w:pPr>
          </w:p>
          <w:p w14:paraId="202A0C55" w14:textId="77777777" w:rsidR="00385D72" w:rsidRDefault="00385D72" w:rsidP="00AD616A">
            <w:pPr>
              <w:snapToGrid w:val="0"/>
              <w:spacing w:before="0" w:after="0"/>
              <w:ind w:left="80"/>
              <w:jc w:val="left"/>
              <w:rPr>
                <w:color w:val="000000"/>
                <w:sz w:val="18"/>
                <w:szCs w:val="18"/>
              </w:rPr>
            </w:pPr>
          </w:p>
          <w:p w14:paraId="0827DE44" w14:textId="77777777" w:rsidR="00385D72" w:rsidRDefault="00385D72" w:rsidP="00AD616A">
            <w:pPr>
              <w:snapToGrid w:val="0"/>
              <w:spacing w:before="0" w:after="0"/>
              <w:ind w:left="80"/>
              <w:jc w:val="left"/>
              <w:rPr>
                <w:color w:val="000000"/>
                <w:sz w:val="18"/>
                <w:szCs w:val="18"/>
              </w:rPr>
            </w:pPr>
          </w:p>
          <w:p w14:paraId="7C8691D1" w14:textId="77777777" w:rsidR="00385D72" w:rsidRDefault="00385D72" w:rsidP="00AD616A">
            <w:pPr>
              <w:snapToGrid w:val="0"/>
              <w:spacing w:before="0" w:after="0"/>
              <w:ind w:left="80"/>
              <w:jc w:val="left"/>
              <w:rPr>
                <w:color w:val="000000"/>
                <w:sz w:val="18"/>
                <w:szCs w:val="18"/>
              </w:rPr>
            </w:pPr>
          </w:p>
          <w:p w14:paraId="51950B31" w14:textId="77777777" w:rsidR="00385D72" w:rsidRDefault="00385D72" w:rsidP="00AD616A">
            <w:pPr>
              <w:snapToGrid w:val="0"/>
              <w:spacing w:before="0" w:after="0"/>
              <w:ind w:left="80"/>
              <w:jc w:val="left"/>
              <w:rPr>
                <w:color w:val="000000"/>
                <w:sz w:val="18"/>
                <w:szCs w:val="18"/>
              </w:rPr>
            </w:pPr>
          </w:p>
          <w:p w14:paraId="5DDB31D6" w14:textId="77777777" w:rsidR="00385D72" w:rsidRDefault="00385D72" w:rsidP="00AD616A">
            <w:pPr>
              <w:snapToGrid w:val="0"/>
              <w:spacing w:before="0" w:after="0"/>
              <w:ind w:left="80"/>
              <w:jc w:val="left"/>
              <w:rPr>
                <w:color w:val="000000"/>
                <w:sz w:val="18"/>
                <w:szCs w:val="18"/>
              </w:rPr>
            </w:pPr>
          </w:p>
          <w:p w14:paraId="3D13D32E" w14:textId="77777777" w:rsidR="00385D72" w:rsidRDefault="00385D72" w:rsidP="00AD616A">
            <w:pPr>
              <w:snapToGrid w:val="0"/>
              <w:spacing w:before="0" w:after="0"/>
              <w:ind w:left="80"/>
              <w:jc w:val="left"/>
              <w:rPr>
                <w:color w:val="000000"/>
                <w:sz w:val="18"/>
                <w:szCs w:val="18"/>
              </w:rPr>
            </w:pPr>
          </w:p>
          <w:p w14:paraId="3C996FE4" w14:textId="77777777" w:rsidR="00385D72" w:rsidRDefault="00385D72" w:rsidP="00AD616A">
            <w:pPr>
              <w:snapToGrid w:val="0"/>
              <w:spacing w:before="0" w:after="0"/>
              <w:ind w:left="80"/>
              <w:jc w:val="left"/>
              <w:rPr>
                <w:color w:val="000000"/>
                <w:sz w:val="18"/>
                <w:szCs w:val="18"/>
              </w:rPr>
            </w:pPr>
          </w:p>
          <w:p w14:paraId="6566520C" w14:textId="77777777" w:rsidR="00385D72" w:rsidRDefault="00385D72" w:rsidP="00AD616A">
            <w:pPr>
              <w:snapToGrid w:val="0"/>
              <w:spacing w:before="0" w:after="0"/>
              <w:ind w:left="80"/>
              <w:jc w:val="left"/>
              <w:rPr>
                <w:color w:val="000000"/>
                <w:sz w:val="18"/>
                <w:szCs w:val="18"/>
              </w:rPr>
            </w:pPr>
          </w:p>
          <w:p w14:paraId="2166767F" w14:textId="77777777" w:rsidR="00385D72" w:rsidRDefault="00385D72" w:rsidP="00AD616A">
            <w:pPr>
              <w:snapToGrid w:val="0"/>
              <w:spacing w:before="0" w:after="0"/>
              <w:ind w:left="80"/>
              <w:jc w:val="left"/>
              <w:rPr>
                <w:color w:val="000000"/>
                <w:sz w:val="18"/>
                <w:szCs w:val="18"/>
              </w:rPr>
            </w:pPr>
          </w:p>
          <w:p w14:paraId="72DC9B55" w14:textId="77777777" w:rsidR="00385D72" w:rsidRDefault="00385D72" w:rsidP="00AD616A">
            <w:pPr>
              <w:snapToGrid w:val="0"/>
              <w:spacing w:before="0" w:after="0"/>
              <w:ind w:left="80"/>
              <w:jc w:val="left"/>
              <w:rPr>
                <w:color w:val="000000"/>
                <w:sz w:val="18"/>
                <w:szCs w:val="18"/>
              </w:rPr>
            </w:pPr>
          </w:p>
          <w:p w14:paraId="14400ABC" w14:textId="77777777" w:rsidR="00385D72" w:rsidRDefault="00385D72" w:rsidP="00AD616A">
            <w:pPr>
              <w:snapToGrid w:val="0"/>
              <w:spacing w:before="0" w:after="0"/>
              <w:ind w:left="80"/>
              <w:jc w:val="left"/>
              <w:rPr>
                <w:color w:val="000000"/>
                <w:sz w:val="18"/>
                <w:szCs w:val="18"/>
              </w:rPr>
            </w:pPr>
          </w:p>
          <w:p w14:paraId="77E895B3" w14:textId="77777777" w:rsidR="00385D72" w:rsidRDefault="00385D72" w:rsidP="00AD616A">
            <w:pPr>
              <w:snapToGrid w:val="0"/>
              <w:spacing w:before="0" w:after="0"/>
              <w:ind w:left="80"/>
              <w:jc w:val="left"/>
              <w:rPr>
                <w:color w:val="000000"/>
                <w:sz w:val="18"/>
                <w:szCs w:val="18"/>
              </w:rPr>
            </w:pPr>
          </w:p>
          <w:p w14:paraId="30C3F834" w14:textId="77777777" w:rsidR="00385D72" w:rsidRDefault="00385D72" w:rsidP="00AD616A">
            <w:pPr>
              <w:snapToGrid w:val="0"/>
              <w:spacing w:before="0" w:after="0"/>
              <w:ind w:left="80"/>
              <w:jc w:val="left"/>
              <w:rPr>
                <w:color w:val="000000"/>
                <w:sz w:val="18"/>
                <w:szCs w:val="18"/>
              </w:rPr>
            </w:pPr>
          </w:p>
          <w:p w14:paraId="6915A640" w14:textId="77777777" w:rsidR="00385D72" w:rsidRPr="00385D72" w:rsidRDefault="00385D72" w:rsidP="00385D72">
            <w:pPr>
              <w:snapToGrid w:val="0"/>
              <w:spacing w:before="0" w:after="0"/>
              <w:ind w:left="80"/>
              <w:jc w:val="left"/>
              <w:rPr>
                <w:color w:val="000000"/>
                <w:sz w:val="18"/>
                <w:szCs w:val="18"/>
              </w:rPr>
            </w:pPr>
            <w:r w:rsidRPr="00385D72">
              <w:rPr>
                <w:color w:val="000000"/>
                <w:sz w:val="18"/>
                <w:szCs w:val="18"/>
              </w:rPr>
              <w:t xml:space="preserve">An effective system of result indicators including: </w:t>
            </w:r>
          </w:p>
          <w:p w14:paraId="7E97CA66" w14:textId="77777777" w:rsidR="00385D72" w:rsidRPr="00385D72" w:rsidRDefault="00385D72" w:rsidP="00385D72">
            <w:pPr>
              <w:snapToGrid w:val="0"/>
              <w:spacing w:before="0" w:after="0"/>
              <w:ind w:left="80"/>
              <w:jc w:val="left"/>
              <w:rPr>
                <w:color w:val="000000"/>
                <w:sz w:val="18"/>
                <w:szCs w:val="18"/>
              </w:rPr>
            </w:pPr>
            <w:r w:rsidRPr="00385D72">
              <w:rPr>
                <w:color w:val="000000"/>
                <w:sz w:val="18"/>
                <w:szCs w:val="18"/>
              </w:rPr>
              <w:t xml:space="preserve">— the selection of result indicators for each programme providing information on what motivates the selection of policy actions financed by the programme; </w:t>
            </w:r>
          </w:p>
          <w:p w14:paraId="203CB380" w14:textId="77777777" w:rsidR="00385D72" w:rsidRPr="00385D72" w:rsidRDefault="00385D72" w:rsidP="00385D72">
            <w:pPr>
              <w:snapToGrid w:val="0"/>
              <w:spacing w:before="0" w:after="0"/>
              <w:ind w:left="80"/>
              <w:jc w:val="left"/>
              <w:rPr>
                <w:color w:val="000000"/>
                <w:sz w:val="18"/>
                <w:szCs w:val="18"/>
              </w:rPr>
            </w:pPr>
            <w:r w:rsidRPr="00385D72">
              <w:rPr>
                <w:color w:val="000000"/>
                <w:sz w:val="18"/>
                <w:szCs w:val="18"/>
              </w:rPr>
              <w:t xml:space="preserve">— the establishment of targets for these indicators; </w:t>
            </w:r>
          </w:p>
          <w:p w14:paraId="53BF067F" w14:textId="77777777" w:rsidR="00385D72" w:rsidRDefault="00385D72" w:rsidP="00385D72">
            <w:pPr>
              <w:snapToGrid w:val="0"/>
              <w:spacing w:before="0" w:after="0"/>
              <w:ind w:left="80"/>
              <w:jc w:val="left"/>
              <w:rPr>
                <w:color w:val="000000"/>
                <w:sz w:val="18"/>
                <w:szCs w:val="18"/>
              </w:rPr>
            </w:pPr>
            <w:r w:rsidRPr="00385D72">
              <w:rPr>
                <w:color w:val="000000"/>
                <w:sz w:val="18"/>
                <w:szCs w:val="18"/>
              </w:rPr>
              <w:t>— the consistency of each indicator with the following requisites: robustness and statistical validation, clarity of normative interpretation, responsiveness to policy, timely collection of data;</w:t>
            </w:r>
          </w:p>
          <w:p w14:paraId="62691D89" w14:textId="77777777" w:rsidR="00831699" w:rsidRDefault="00831699" w:rsidP="00385D72">
            <w:pPr>
              <w:snapToGrid w:val="0"/>
              <w:spacing w:before="0" w:after="0"/>
              <w:ind w:left="80"/>
              <w:jc w:val="left"/>
              <w:rPr>
                <w:color w:val="000000"/>
                <w:sz w:val="18"/>
                <w:szCs w:val="18"/>
              </w:rPr>
            </w:pPr>
          </w:p>
          <w:p w14:paraId="759F0415" w14:textId="77777777" w:rsidR="00831699" w:rsidRDefault="00831699" w:rsidP="00385D72">
            <w:pPr>
              <w:snapToGrid w:val="0"/>
              <w:spacing w:before="0" w:after="0"/>
              <w:ind w:left="80"/>
              <w:jc w:val="left"/>
              <w:rPr>
                <w:color w:val="000000"/>
                <w:sz w:val="18"/>
                <w:szCs w:val="18"/>
              </w:rPr>
            </w:pPr>
          </w:p>
          <w:p w14:paraId="706C885F" w14:textId="77777777" w:rsidR="00831699" w:rsidRDefault="00831699" w:rsidP="00385D72">
            <w:pPr>
              <w:snapToGrid w:val="0"/>
              <w:spacing w:before="0" w:after="0"/>
              <w:ind w:left="80"/>
              <w:jc w:val="left"/>
              <w:rPr>
                <w:color w:val="000000"/>
                <w:sz w:val="18"/>
                <w:szCs w:val="18"/>
              </w:rPr>
            </w:pPr>
          </w:p>
          <w:p w14:paraId="0EB89056" w14:textId="77777777" w:rsidR="00831699" w:rsidRDefault="00831699" w:rsidP="00385D72">
            <w:pPr>
              <w:snapToGrid w:val="0"/>
              <w:spacing w:before="0" w:after="0"/>
              <w:ind w:left="80"/>
              <w:jc w:val="left"/>
              <w:rPr>
                <w:color w:val="000000"/>
                <w:sz w:val="18"/>
                <w:szCs w:val="18"/>
              </w:rPr>
            </w:pPr>
          </w:p>
          <w:p w14:paraId="5985F567" w14:textId="77777777" w:rsidR="00831699" w:rsidRDefault="00831699" w:rsidP="00385D72">
            <w:pPr>
              <w:snapToGrid w:val="0"/>
              <w:spacing w:before="0" w:after="0"/>
              <w:ind w:left="80"/>
              <w:jc w:val="left"/>
              <w:rPr>
                <w:color w:val="000000"/>
                <w:sz w:val="18"/>
                <w:szCs w:val="18"/>
              </w:rPr>
            </w:pPr>
          </w:p>
          <w:p w14:paraId="0324592C" w14:textId="77777777" w:rsidR="00831699" w:rsidRDefault="00831699" w:rsidP="00385D72">
            <w:pPr>
              <w:snapToGrid w:val="0"/>
              <w:spacing w:before="0" w:after="0"/>
              <w:ind w:left="80"/>
              <w:jc w:val="left"/>
              <w:rPr>
                <w:color w:val="000000"/>
                <w:sz w:val="18"/>
                <w:szCs w:val="18"/>
              </w:rPr>
            </w:pPr>
          </w:p>
          <w:p w14:paraId="247D9DEA" w14:textId="77777777" w:rsidR="00831699" w:rsidRDefault="00831699" w:rsidP="00385D72">
            <w:pPr>
              <w:snapToGrid w:val="0"/>
              <w:spacing w:before="0" w:after="0"/>
              <w:ind w:left="80"/>
              <w:jc w:val="left"/>
              <w:rPr>
                <w:color w:val="000000"/>
                <w:sz w:val="18"/>
                <w:szCs w:val="18"/>
              </w:rPr>
            </w:pPr>
          </w:p>
          <w:p w14:paraId="021FE4F1" w14:textId="77777777" w:rsidR="00831699" w:rsidRDefault="00831699" w:rsidP="00385D72">
            <w:pPr>
              <w:snapToGrid w:val="0"/>
              <w:spacing w:before="0" w:after="0"/>
              <w:ind w:left="80"/>
              <w:jc w:val="left"/>
              <w:rPr>
                <w:color w:val="000000"/>
                <w:sz w:val="18"/>
                <w:szCs w:val="18"/>
              </w:rPr>
            </w:pPr>
          </w:p>
          <w:p w14:paraId="1C9EAE3F" w14:textId="77777777" w:rsidR="00831699" w:rsidRDefault="00831699" w:rsidP="00385D72">
            <w:pPr>
              <w:snapToGrid w:val="0"/>
              <w:spacing w:before="0" w:after="0"/>
              <w:ind w:left="80"/>
              <w:jc w:val="left"/>
              <w:rPr>
                <w:color w:val="000000"/>
                <w:sz w:val="18"/>
                <w:szCs w:val="18"/>
              </w:rPr>
            </w:pPr>
          </w:p>
          <w:p w14:paraId="0E8F5F50" w14:textId="77777777" w:rsidR="00831699" w:rsidRDefault="00831699" w:rsidP="00385D72">
            <w:pPr>
              <w:snapToGrid w:val="0"/>
              <w:spacing w:before="0" w:after="0"/>
              <w:ind w:left="80"/>
              <w:jc w:val="left"/>
              <w:rPr>
                <w:color w:val="000000"/>
                <w:sz w:val="18"/>
                <w:szCs w:val="18"/>
              </w:rPr>
            </w:pPr>
          </w:p>
          <w:p w14:paraId="2D4841ED" w14:textId="77777777" w:rsidR="00831699" w:rsidRDefault="00831699" w:rsidP="00385D72">
            <w:pPr>
              <w:snapToGrid w:val="0"/>
              <w:spacing w:before="0" w:after="0"/>
              <w:ind w:left="80"/>
              <w:jc w:val="left"/>
              <w:rPr>
                <w:color w:val="000000"/>
                <w:sz w:val="18"/>
                <w:szCs w:val="18"/>
              </w:rPr>
            </w:pPr>
          </w:p>
          <w:p w14:paraId="4815EDF9" w14:textId="77777777" w:rsidR="00831699" w:rsidRDefault="00831699" w:rsidP="00385D72">
            <w:pPr>
              <w:snapToGrid w:val="0"/>
              <w:spacing w:before="0" w:after="0"/>
              <w:ind w:left="80"/>
              <w:jc w:val="left"/>
              <w:rPr>
                <w:color w:val="000000"/>
                <w:sz w:val="18"/>
                <w:szCs w:val="18"/>
              </w:rPr>
            </w:pPr>
          </w:p>
          <w:p w14:paraId="0C57513C" w14:textId="77777777" w:rsidR="00831699" w:rsidRDefault="00831699" w:rsidP="00385D72">
            <w:pPr>
              <w:snapToGrid w:val="0"/>
              <w:spacing w:before="0" w:after="0"/>
              <w:ind w:left="80"/>
              <w:jc w:val="left"/>
              <w:rPr>
                <w:color w:val="000000"/>
                <w:sz w:val="18"/>
                <w:szCs w:val="18"/>
              </w:rPr>
            </w:pPr>
          </w:p>
          <w:p w14:paraId="0CD4343B" w14:textId="77777777" w:rsidR="00831699" w:rsidRDefault="00831699" w:rsidP="00385D72">
            <w:pPr>
              <w:snapToGrid w:val="0"/>
              <w:spacing w:before="0" w:after="0"/>
              <w:ind w:left="80"/>
              <w:jc w:val="left"/>
              <w:rPr>
                <w:color w:val="000000"/>
                <w:sz w:val="18"/>
                <w:szCs w:val="18"/>
              </w:rPr>
            </w:pPr>
          </w:p>
          <w:p w14:paraId="43E46F36" w14:textId="77777777" w:rsidR="00831699" w:rsidRDefault="00831699" w:rsidP="00385D72">
            <w:pPr>
              <w:snapToGrid w:val="0"/>
              <w:spacing w:before="0" w:after="0"/>
              <w:ind w:left="80"/>
              <w:jc w:val="left"/>
              <w:rPr>
                <w:color w:val="000000"/>
                <w:sz w:val="18"/>
                <w:szCs w:val="18"/>
              </w:rPr>
            </w:pPr>
          </w:p>
          <w:p w14:paraId="2D8B31CD" w14:textId="77777777" w:rsidR="00831699" w:rsidRDefault="00831699" w:rsidP="00385D72">
            <w:pPr>
              <w:snapToGrid w:val="0"/>
              <w:spacing w:before="0" w:after="0"/>
              <w:ind w:left="80"/>
              <w:jc w:val="left"/>
              <w:rPr>
                <w:color w:val="000000"/>
                <w:sz w:val="18"/>
                <w:szCs w:val="18"/>
              </w:rPr>
            </w:pPr>
          </w:p>
          <w:p w14:paraId="50024E61" w14:textId="77777777" w:rsidR="00831699" w:rsidRDefault="00831699" w:rsidP="00385D72">
            <w:pPr>
              <w:snapToGrid w:val="0"/>
              <w:spacing w:before="0" w:after="0"/>
              <w:ind w:left="80"/>
              <w:jc w:val="left"/>
              <w:rPr>
                <w:color w:val="000000"/>
                <w:sz w:val="18"/>
                <w:szCs w:val="18"/>
              </w:rPr>
            </w:pPr>
          </w:p>
          <w:p w14:paraId="0385AEF7" w14:textId="77777777" w:rsidR="00831699" w:rsidRDefault="00831699" w:rsidP="00385D72">
            <w:pPr>
              <w:snapToGrid w:val="0"/>
              <w:spacing w:before="0" w:after="0"/>
              <w:ind w:left="80"/>
              <w:jc w:val="left"/>
              <w:rPr>
                <w:color w:val="000000"/>
                <w:sz w:val="18"/>
                <w:szCs w:val="18"/>
              </w:rPr>
            </w:pPr>
          </w:p>
          <w:p w14:paraId="3A95F766" w14:textId="77777777" w:rsidR="00831699" w:rsidRDefault="00831699" w:rsidP="00385D72">
            <w:pPr>
              <w:snapToGrid w:val="0"/>
              <w:spacing w:before="0" w:after="0"/>
              <w:ind w:left="80"/>
              <w:jc w:val="left"/>
              <w:rPr>
                <w:color w:val="000000"/>
                <w:sz w:val="18"/>
                <w:szCs w:val="18"/>
              </w:rPr>
            </w:pPr>
          </w:p>
          <w:p w14:paraId="2640CA57" w14:textId="77777777" w:rsidR="00831699" w:rsidRDefault="00831699" w:rsidP="00385D72">
            <w:pPr>
              <w:snapToGrid w:val="0"/>
              <w:spacing w:before="0" w:after="0"/>
              <w:ind w:left="80"/>
              <w:jc w:val="left"/>
              <w:rPr>
                <w:color w:val="000000"/>
                <w:sz w:val="18"/>
                <w:szCs w:val="18"/>
              </w:rPr>
            </w:pPr>
          </w:p>
          <w:p w14:paraId="1E9F2D9F" w14:textId="77777777" w:rsidR="00831699" w:rsidRDefault="00831699" w:rsidP="00385D72">
            <w:pPr>
              <w:snapToGrid w:val="0"/>
              <w:spacing w:before="0" w:after="0"/>
              <w:ind w:left="80"/>
              <w:jc w:val="left"/>
              <w:rPr>
                <w:color w:val="000000"/>
                <w:sz w:val="18"/>
                <w:szCs w:val="18"/>
              </w:rPr>
            </w:pPr>
          </w:p>
          <w:p w14:paraId="5BA5E136" w14:textId="77777777" w:rsidR="00831699" w:rsidRDefault="00831699" w:rsidP="00385D72">
            <w:pPr>
              <w:snapToGrid w:val="0"/>
              <w:spacing w:before="0" w:after="0"/>
              <w:ind w:left="80"/>
              <w:jc w:val="left"/>
              <w:rPr>
                <w:color w:val="000000"/>
                <w:sz w:val="18"/>
                <w:szCs w:val="18"/>
              </w:rPr>
            </w:pPr>
          </w:p>
          <w:p w14:paraId="05BDB428" w14:textId="77777777" w:rsidR="00831699" w:rsidRDefault="00831699" w:rsidP="00385D72">
            <w:pPr>
              <w:snapToGrid w:val="0"/>
              <w:spacing w:before="0" w:after="0"/>
              <w:ind w:left="80"/>
              <w:jc w:val="left"/>
              <w:rPr>
                <w:color w:val="000000"/>
                <w:sz w:val="18"/>
                <w:szCs w:val="18"/>
              </w:rPr>
            </w:pPr>
          </w:p>
          <w:p w14:paraId="59B50659" w14:textId="77777777" w:rsidR="00831699" w:rsidRDefault="00831699" w:rsidP="00385D72">
            <w:pPr>
              <w:snapToGrid w:val="0"/>
              <w:spacing w:before="0" w:after="0"/>
              <w:ind w:left="80"/>
              <w:jc w:val="left"/>
              <w:rPr>
                <w:color w:val="000000"/>
                <w:sz w:val="18"/>
                <w:szCs w:val="18"/>
              </w:rPr>
            </w:pPr>
          </w:p>
          <w:p w14:paraId="10C1576E" w14:textId="77777777" w:rsidR="00831699" w:rsidRDefault="00831699" w:rsidP="00385D72">
            <w:pPr>
              <w:snapToGrid w:val="0"/>
              <w:spacing w:before="0" w:after="0"/>
              <w:ind w:left="80"/>
              <w:jc w:val="left"/>
              <w:rPr>
                <w:color w:val="000000"/>
                <w:sz w:val="18"/>
                <w:szCs w:val="18"/>
              </w:rPr>
            </w:pPr>
          </w:p>
          <w:p w14:paraId="6443DB4B" w14:textId="77777777" w:rsidR="00831699" w:rsidRDefault="00831699" w:rsidP="00385D72">
            <w:pPr>
              <w:snapToGrid w:val="0"/>
              <w:spacing w:before="0" w:after="0"/>
              <w:ind w:left="80"/>
              <w:jc w:val="left"/>
              <w:rPr>
                <w:color w:val="000000"/>
                <w:sz w:val="18"/>
                <w:szCs w:val="18"/>
              </w:rPr>
            </w:pPr>
          </w:p>
          <w:p w14:paraId="1A40BF43" w14:textId="77777777" w:rsidR="00831699" w:rsidRDefault="00831699" w:rsidP="00385D72">
            <w:pPr>
              <w:snapToGrid w:val="0"/>
              <w:spacing w:before="0" w:after="0"/>
              <w:ind w:left="80"/>
              <w:jc w:val="left"/>
              <w:rPr>
                <w:color w:val="000000"/>
                <w:sz w:val="18"/>
                <w:szCs w:val="18"/>
              </w:rPr>
            </w:pPr>
          </w:p>
          <w:p w14:paraId="40F64036" w14:textId="77777777" w:rsidR="00831699" w:rsidRDefault="00831699" w:rsidP="00385D72">
            <w:pPr>
              <w:snapToGrid w:val="0"/>
              <w:spacing w:before="0" w:after="0"/>
              <w:ind w:left="80"/>
              <w:jc w:val="left"/>
              <w:rPr>
                <w:color w:val="000000"/>
                <w:sz w:val="18"/>
                <w:szCs w:val="18"/>
              </w:rPr>
            </w:pPr>
          </w:p>
          <w:p w14:paraId="420A2D69" w14:textId="77777777" w:rsidR="00831699" w:rsidRDefault="00831699" w:rsidP="00385D72">
            <w:pPr>
              <w:snapToGrid w:val="0"/>
              <w:spacing w:before="0" w:after="0"/>
              <w:ind w:left="80"/>
              <w:jc w:val="left"/>
              <w:rPr>
                <w:color w:val="000000"/>
                <w:sz w:val="18"/>
                <w:szCs w:val="18"/>
              </w:rPr>
            </w:pPr>
          </w:p>
          <w:p w14:paraId="1B7CEE29" w14:textId="77777777" w:rsidR="00831699" w:rsidRDefault="00831699" w:rsidP="00385D72">
            <w:pPr>
              <w:snapToGrid w:val="0"/>
              <w:spacing w:before="0" w:after="0"/>
              <w:ind w:left="80"/>
              <w:jc w:val="left"/>
              <w:rPr>
                <w:color w:val="000000"/>
                <w:sz w:val="18"/>
                <w:szCs w:val="18"/>
              </w:rPr>
            </w:pPr>
          </w:p>
          <w:p w14:paraId="22C96CA5" w14:textId="77777777" w:rsidR="00831699" w:rsidRDefault="00831699" w:rsidP="00385D72">
            <w:pPr>
              <w:snapToGrid w:val="0"/>
              <w:spacing w:before="0" w:after="0"/>
              <w:ind w:left="80"/>
              <w:jc w:val="left"/>
              <w:rPr>
                <w:color w:val="000000"/>
                <w:sz w:val="18"/>
                <w:szCs w:val="18"/>
              </w:rPr>
            </w:pPr>
          </w:p>
          <w:p w14:paraId="2459AFF0" w14:textId="77777777" w:rsidR="00831699" w:rsidRDefault="00831699" w:rsidP="00385D72">
            <w:pPr>
              <w:snapToGrid w:val="0"/>
              <w:spacing w:before="0" w:after="0"/>
              <w:ind w:left="80"/>
              <w:jc w:val="left"/>
              <w:rPr>
                <w:color w:val="000000"/>
                <w:sz w:val="18"/>
                <w:szCs w:val="18"/>
              </w:rPr>
            </w:pPr>
          </w:p>
          <w:p w14:paraId="1FBF544B" w14:textId="77777777" w:rsidR="00831699" w:rsidRDefault="00831699" w:rsidP="00385D72">
            <w:pPr>
              <w:snapToGrid w:val="0"/>
              <w:spacing w:before="0" w:after="0"/>
              <w:ind w:left="80"/>
              <w:jc w:val="left"/>
              <w:rPr>
                <w:color w:val="000000"/>
                <w:sz w:val="18"/>
                <w:szCs w:val="18"/>
              </w:rPr>
            </w:pPr>
          </w:p>
          <w:p w14:paraId="0A118D60" w14:textId="77777777" w:rsidR="00831699" w:rsidRDefault="00831699" w:rsidP="00385D72">
            <w:pPr>
              <w:snapToGrid w:val="0"/>
              <w:spacing w:before="0" w:after="0"/>
              <w:ind w:left="80"/>
              <w:jc w:val="left"/>
              <w:rPr>
                <w:color w:val="000000"/>
                <w:sz w:val="18"/>
                <w:szCs w:val="18"/>
              </w:rPr>
            </w:pPr>
          </w:p>
          <w:p w14:paraId="5E696454" w14:textId="77777777" w:rsidR="00831699" w:rsidRDefault="00831699" w:rsidP="00385D72">
            <w:pPr>
              <w:snapToGrid w:val="0"/>
              <w:spacing w:before="0" w:after="0"/>
              <w:ind w:left="80"/>
              <w:jc w:val="left"/>
              <w:rPr>
                <w:color w:val="000000"/>
                <w:sz w:val="18"/>
                <w:szCs w:val="18"/>
              </w:rPr>
            </w:pPr>
          </w:p>
          <w:p w14:paraId="0C3ADD29" w14:textId="77777777" w:rsidR="00831699" w:rsidRDefault="00831699" w:rsidP="00385D72">
            <w:pPr>
              <w:snapToGrid w:val="0"/>
              <w:spacing w:before="0" w:after="0"/>
              <w:ind w:left="80"/>
              <w:jc w:val="left"/>
              <w:rPr>
                <w:color w:val="000000"/>
                <w:sz w:val="18"/>
                <w:szCs w:val="18"/>
              </w:rPr>
            </w:pPr>
          </w:p>
          <w:p w14:paraId="49431DEC" w14:textId="77777777" w:rsidR="00831699" w:rsidRDefault="00831699" w:rsidP="00385D72">
            <w:pPr>
              <w:snapToGrid w:val="0"/>
              <w:spacing w:before="0" w:after="0"/>
              <w:ind w:left="80"/>
              <w:jc w:val="left"/>
              <w:rPr>
                <w:color w:val="000000"/>
                <w:sz w:val="18"/>
                <w:szCs w:val="18"/>
              </w:rPr>
            </w:pPr>
          </w:p>
          <w:p w14:paraId="2EDFD122" w14:textId="77777777" w:rsidR="00831699" w:rsidRDefault="00831699" w:rsidP="00385D72">
            <w:pPr>
              <w:snapToGrid w:val="0"/>
              <w:spacing w:before="0" w:after="0"/>
              <w:ind w:left="80"/>
              <w:jc w:val="left"/>
              <w:rPr>
                <w:color w:val="000000"/>
                <w:sz w:val="18"/>
                <w:szCs w:val="18"/>
              </w:rPr>
            </w:pPr>
          </w:p>
          <w:p w14:paraId="5B66DC7E" w14:textId="77777777" w:rsidR="00831699" w:rsidRDefault="00831699" w:rsidP="00385D72">
            <w:pPr>
              <w:snapToGrid w:val="0"/>
              <w:spacing w:before="0" w:after="0"/>
              <w:ind w:left="80"/>
              <w:jc w:val="left"/>
              <w:rPr>
                <w:color w:val="000000"/>
                <w:sz w:val="18"/>
                <w:szCs w:val="18"/>
              </w:rPr>
            </w:pPr>
          </w:p>
          <w:p w14:paraId="1425B122" w14:textId="77777777" w:rsidR="00831699" w:rsidRDefault="00831699" w:rsidP="00385D72">
            <w:pPr>
              <w:snapToGrid w:val="0"/>
              <w:spacing w:before="0" w:after="0"/>
              <w:ind w:left="80"/>
              <w:jc w:val="left"/>
              <w:rPr>
                <w:color w:val="000000"/>
                <w:sz w:val="18"/>
                <w:szCs w:val="18"/>
              </w:rPr>
            </w:pPr>
          </w:p>
          <w:p w14:paraId="05091349" w14:textId="77777777" w:rsidR="00831699" w:rsidRDefault="00831699" w:rsidP="00385D72">
            <w:pPr>
              <w:snapToGrid w:val="0"/>
              <w:spacing w:before="0" w:after="0"/>
              <w:ind w:left="80"/>
              <w:jc w:val="left"/>
              <w:rPr>
                <w:color w:val="000000"/>
                <w:sz w:val="18"/>
                <w:szCs w:val="18"/>
              </w:rPr>
            </w:pPr>
          </w:p>
          <w:p w14:paraId="48359842" w14:textId="77777777" w:rsidR="00831699" w:rsidRDefault="00831699" w:rsidP="00385D72">
            <w:pPr>
              <w:snapToGrid w:val="0"/>
              <w:spacing w:before="0" w:after="0"/>
              <w:ind w:left="80"/>
              <w:jc w:val="left"/>
              <w:rPr>
                <w:color w:val="000000"/>
                <w:sz w:val="18"/>
                <w:szCs w:val="18"/>
              </w:rPr>
            </w:pPr>
          </w:p>
          <w:p w14:paraId="4B1EF36B" w14:textId="77777777" w:rsidR="00831699" w:rsidRDefault="00831699" w:rsidP="00385D72">
            <w:pPr>
              <w:snapToGrid w:val="0"/>
              <w:spacing w:before="0" w:after="0"/>
              <w:ind w:left="80"/>
              <w:jc w:val="left"/>
              <w:rPr>
                <w:color w:val="000000"/>
                <w:sz w:val="18"/>
                <w:szCs w:val="18"/>
              </w:rPr>
            </w:pPr>
          </w:p>
          <w:p w14:paraId="7D6D28BC" w14:textId="77777777" w:rsidR="00831699" w:rsidRDefault="00831699" w:rsidP="00385D72">
            <w:pPr>
              <w:snapToGrid w:val="0"/>
              <w:spacing w:before="0" w:after="0"/>
              <w:ind w:left="80"/>
              <w:jc w:val="left"/>
              <w:rPr>
                <w:color w:val="000000"/>
                <w:sz w:val="18"/>
                <w:szCs w:val="18"/>
              </w:rPr>
            </w:pPr>
          </w:p>
          <w:p w14:paraId="5FC09E78" w14:textId="77777777" w:rsidR="00831699" w:rsidRDefault="00831699" w:rsidP="00385D72">
            <w:pPr>
              <w:snapToGrid w:val="0"/>
              <w:spacing w:before="0" w:after="0"/>
              <w:ind w:left="80"/>
              <w:jc w:val="left"/>
              <w:rPr>
                <w:color w:val="000000"/>
                <w:sz w:val="18"/>
                <w:szCs w:val="18"/>
              </w:rPr>
            </w:pPr>
          </w:p>
          <w:p w14:paraId="7B8C4A44" w14:textId="77777777" w:rsidR="00831699" w:rsidRDefault="00831699" w:rsidP="00385D72">
            <w:pPr>
              <w:snapToGrid w:val="0"/>
              <w:spacing w:before="0" w:after="0"/>
              <w:ind w:left="80"/>
              <w:jc w:val="left"/>
              <w:rPr>
                <w:color w:val="000000"/>
                <w:sz w:val="18"/>
                <w:szCs w:val="18"/>
              </w:rPr>
            </w:pPr>
          </w:p>
          <w:p w14:paraId="500A0964" w14:textId="77777777" w:rsidR="00831699" w:rsidRDefault="00831699" w:rsidP="00385D72">
            <w:pPr>
              <w:snapToGrid w:val="0"/>
              <w:spacing w:before="0" w:after="0"/>
              <w:ind w:left="80"/>
              <w:jc w:val="left"/>
              <w:rPr>
                <w:color w:val="000000"/>
                <w:sz w:val="18"/>
                <w:szCs w:val="18"/>
              </w:rPr>
            </w:pPr>
          </w:p>
          <w:p w14:paraId="2C171061" w14:textId="77777777" w:rsidR="00831699" w:rsidRDefault="00831699" w:rsidP="00385D72">
            <w:pPr>
              <w:snapToGrid w:val="0"/>
              <w:spacing w:before="0" w:after="0"/>
              <w:ind w:left="80"/>
              <w:jc w:val="left"/>
              <w:rPr>
                <w:color w:val="000000"/>
                <w:sz w:val="18"/>
                <w:szCs w:val="18"/>
              </w:rPr>
            </w:pPr>
          </w:p>
          <w:p w14:paraId="0BDC24EB" w14:textId="77777777" w:rsidR="00831699" w:rsidRDefault="00831699" w:rsidP="00385D72">
            <w:pPr>
              <w:snapToGrid w:val="0"/>
              <w:spacing w:before="0" w:after="0"/>
              <w:ind w:left="80"/>
              <w:jc w:val="left"/>
              <w:rPr>
                <w:color w:val="000000"/>
                <w:sz w:val="18"/>
                <w:szCs w:val="18"/>
              </w:rPr>
            </w:pPr>
          </w:p>
          <w:p w14:paraId="17811062" w14:textId="77777777" w:rsidR="00831699" w:rsidRDefault="00831699" w:rsidP="00385D72">
            <w:pPr>
              <w:snapToGrid w:val="0"/>
              <w:spacing w:before="0" w:after="0"/>
              <w:ind w:left="80"/>
              <w:jc w:val="left"/>
              <w:rPr>
                <w:color w:val="000000"/>
                <w:sz w:val="18"/>
                <w:szCs w:val="18"/>
              </w:rPr>
            </w:pPr>
          </w:p>
          <w:p w14:paraId="4D5E3E3E" w14:textId="77777777" w:rsidR="00831699" w:rsidRDefault="00831699" w:rsidP="00385D72">
            <w:pPr>
              <w:snapToGrid w:val="0"/>
              <w:spacing w:before="0" w:after="0"/>
              <w:ind w:left="80"/>
              <w:jc w:val="left"/>
              <w:rPr>
                <w:color w:val="000000"/>
                <w:sz w:val="18"/>
                <w:szCs w:val="18"/>
              </w:rPr>
            </w:pPr>
          </w:p>
          <w:p w14:paraId="3386A4AB" w14:textId="77777777" w:rsidR="00831699" w:rsidRDefault="00831699" w:rsidP="00385D72">
            <w:pPr>
              <w:snapToGrid w:val="0"/>
              <w:spacing w:before="0" w:after="0"/>
              <w:ind w:left="80"/>
              <w:jc w:val="left"/>
              <w:rPr>
                <w:color w:val="000000"/>
                <w:sz w:val="18"/>
                <w:szCs w:val="18"/>
              </w:rPr>
            </w:pPr>
          </w:p>
          <w:p w14:paraId="4F680D49" w14:textId="77777777" w:rsidR="00831699" w:rsidRDefault="00831699" w:rsidP="00385D72">
            <w:pPr>
              <w:snapToGrid w:val="0"/>
              <w:spacing w:before="0" w:after="0"/>
              <w:ind w:left="80"/>
              <w:jc w:val="left"/>
              <w:rPr>
                <w:color w:val="000000"/>
                <w:sz w:val="18"/>
                <w:szCs w:val="18"/>
              </w:rPr>
            </w:pPr>
          </w:p>
          <w:p w14:paraId="65D28933" w14:textId="77777777" w:rsidR="00831699" w:rsidRDefault="00831699" w:rsidP="00385D72">
            <w:pPr>
              <w:snapToGrid w:val="0"/>
              <w:spacing w:before="0" w:after="0"/>
              <w:ind w:left="80"/>
              <w:jc w:val="left"/>
              <w:rPr>
                <w:color w:val="000000"/>
                <w:sz w:val="18"/>
                <w:szCs w:val="18"/>
              </w:rPr>
            </w:pPr>
          </w:p>
          <w:p w14:paraId="58E66801" w14:textId="77777777" w:rsidR="00831699" w:rsidRDefault="00831699" w:rsidP="00385D72">
            <w:pPr>
              <w:snapToGrid w:val="0"/>
              <w:spacing w:before="0" w:after="0"/>
              <w:ind w:left="80"/>
              <w:jc w:val="left"/>
              <w:rPr>
                <w:color w:val="000000"/>
                <w:sz w:val="18"/>
                <w:szCs w:val="18"/>
              </w:rPr>
            </w:pPr>
          </w:p>
          <w:p w14:paraId="1A30DF95" w14:textId="77777777" w:rsidR="00831699" w:rsidRDefault="00831699" w:rsidP="00385D72">
            <w:pPr>
              <w:snapToGrid w:val="0"/>
              <w:spacing w:before="0" w:after="0"/>
              <w:ind w:left="80"/>
              <w:jc w:val="left"/>
              <w:rPr>
                <w:color w:val="000000"/>
                <w:sz w:val="18"/>
                <w:szCs w:val="18"/>
              </w:rPr>
            </w:pPr>
          </w:p>
          <w:p w14:paraId="5FFE1C36" w14:textId="77777777" w:rsidR="00831699" w:rsidRDefault="00831699" w:rsidP="00385D72">
            <w:pPr>
              <w:snapToGrid w:val="0"/>
              <w:spacing w:before="0" w:after="0"/>
              <w:ind w:left="80"/>
              <w:jc w:val="left"/>
              <w:rPr>
                <w:color w:val="000000"/>
                <w:sz w:val="18"/>
                <w:szCs w:val="18"/>
              </w:rPr>
            </w:pPr>
          </w:p>
          <w:p w14:paraId="328D2F97" w14:textId="77777777" w:rsidR="00831699" w:rsidRDefault="00831699" w:rsidP="00385D72">
            <w:pPr>
              <w:snapToGrid w:val="0"/>
              <w:spacing w:before="0" w:after="0"/>
              <w:ind w:left="80"/>
              <w:jc w:val="left"/>
              <w:rPr>
                <w:color w:val="000000"/>
                <w:sz w:val="18"/>
                <w:szCs w:val="18"/>
              </w:rPr>
            </w:pPr>
          </w:p>
          <w:p w14:paraId="6D6783E0" w14:textId="77777777" w:rsidR="00831699" w:rsidRDefault="00831699" w:rsidP="00385D72">
            <w:pPr>
              <w:snapToGrid w:val="0"/>
              <w:spacing w:before="0" w:after="0"/>
              <w:ind w:left="80"/>
              <w:jc w:val="left"/>
              <w:rPr>
                <w:color w:val="000000"/>
                <w:sz w:val="18"/>
                <w:szCs w:val="18"/>
              </w:rPr>
            </w:pPr>
          </w:p>
          <w:p w14:paraId="373B2847" w14:textId="77777777" w:rsidR="00831699" w:rsidRDefault="00831699" w:rsidP="00385D72">
            <w:pPr>
              <w:snapToGrid w:val="0"/>
              <w:spacing w:before="0" w:after="0"/>
              <w:ind w:left="80"/>
              <w:jc w:val="left"/>
              <w:rPr>
                <w:color w:val="000000"/>
                <w:sz w:val="18"/>
                <w:szCs w:val="18"/>
              </w:rPr>
            </w:pPr>
          </w:p>
          <w:p w14:paraId="73850807" w14:textId="77777777" w:rsidR="00831699" w:rsidRDefault="00831699" w:rsidP="00385D72">
            <w:pPr>
              <w:snapToGrid w:val="0"/>
              <w:spacing w:before="0" w:after="0"/>
              <w:ind w:left="80"/>
              <w:jc w:val="left"/>
              <w:rPr>
                <w:color w:val="000000"/>
                <w:sz w:val="18"/>
                <w:szCs w:val="18"/>
              </w:rPr>
            </w:pPr>
          </w:p>
          <w:p w14:paraId="5191E562" w14:textId="77777777" w:rsidR="00831699" w:rsidRDefault="00831699" w:rsidP="00385D72">
            <w:pPr>
              <w:snapToGrid w:val="0"/>
              <w:spacing w:before="0" w:after="0"/>
              <w:ind w:left="80"/>
              <w:jc w:val="left"/>
              <w:rPr>
                <w:color w:val="000000"/>
                <w:sz w:val="18"/>
                <w:szCs w:val="18"/>
              </w:rPr>
            </w:pPr>
          </w:p>
          <w:p w14:paraId="6519CFB8" w14:textId="77777777" w:rsidR="00831699" w:rsidRDefault="00831699" w:rsidP="00385D72">
            <w:pPr>
              <w:snapToGrid w:val="0"/>
              <w:spacing w:before="0" w:after="0"/>
              <w:ind w:left="80"/>
              <w:jc w:val="left"/>
              <w:rPr>
                <w:color w:val="000000"/>
                <w:sz w:val="18"/>
                <w:szCs w:val="18"/>
              </w:rPr>
            </w:pPr>
            <w:r w:rsidRPr="00831699">
              <w:rPr>
                <w:color w:val="000000"/>
                <w:sz w:val="18"/>
                <w:szCs w:val="18"/>
              </w:rPr>
              <w:t>- Procedures to ensure that all operations financed by the program adopt an effective system of indicators.</w:t>
            </w:r>
          </w:p>
          <w:p w14:paraId="2A42ADFF" w14:textId="77777777" w:rsidR="00831699" w:rsidRDefault="00831699" w:rsidP="00385D72">
            <w:pPr>
              <w:snapToGrid w:val="0"/>
              <w:spacing w:before="0" w:after="0"/>
              <w:ind w:left="80"/>
              <w:jc w:val="left"/>
              <w:rPr>
                <w:color w:val="000000"/>
                <w:sz w:val="18"/>
                <w:szCs w:val="18"/>
              </w:rPr>
            </w:pPr>
          </w:p>
          <w:p w14:paraId="5B19D58B" w14:textId="77777777" w:rsidR="00831699" w:rsidRPr="008340BB" w:rsidRDefault="00831699" w:rsidP="00385D72">
            <w:pPr>
              <w:snapToGrid w:val="0"/>
              <w:spacing w:before="0" w:after="0"/>
              <w:ind w:left="80"/>
              <w:jc w:val="left"/>
              <w:rPr>
                <w:color w:val="000000"/>
                <w:sz w:val="18"/>
                <w:szCs w:val="18"/>
              </w:rPr>
            </w:pPr>
          </w:p>
        </w:tc>
        <w:tc>
          <w:tcPr>
            <w:tcW w:w="542" w:type="pct"/>
          </w:tcPr>
          <w:p w14:paraId="09222166" w14:textId="77777777" w:rsidR="005A4265" w:rsidRDefault="00AD616A" w:rsidP="00E23FEF">
            <w:pPr>
              <w:snapToGrid w:val="0"/>
              <w:spacing w:before="0" w:after="0"/>
              <w:ind w:left="80"/>
              <w:jc w:val="left"/>
              <w:rPr>
                <w:color w:val="000000"/>
                <w:sz w:val="18"/>
                <w:szCs w:val="18"/>
              </w:rPr>
            </w:pPr>
            <w:r w:rsidRPr="00AD616A">
              <w:rPr>
                <w:color w:val="000000"/>
                <w:sz w:val="18"/>
                <w:szCs w:val="18"/>
              </w:rPr>
              <w:lastRenderedPageBreak/>
              <w:t>YES</w:t>
            </w:r>
          </w:p>
          <w:p w14:paraId="7D67E8BE" w14:textId="77777777" w:rsidR="00F972FA" w:rsidRDefault="00F972FA" w:rsidP="00E23FEF">
            <w:pPr>
              <w:snapToGrid w:val="0"/>
              <w:spacing w:before="0" w:after="0"/>
              <w:ind w:left="80"/>
              <w:jc w:val="left"/>
              <w:rPr>
                <w:color w:val="000000"/>
                <w:sz w:val="18"/>
                <w:szCs w:val="18"/>
              </w:rPr>
            </w:pPr>
          </w:p>
          <w:p w14:paraId="1658C50D" w14:textId="77777777" w:rsidR="00F972FA" w:rsidRDefault="00F972FA" w:rsidP="00E23FEF">
            <w:pPr>
              <w:snapToGrid w:val="0"/>
              <w:spacing w:before="0" w:after="0"/>
              <w:ind w:left="80"/>
              <w:jc w:val="left"/>
              <w:rPr>
                <w:color w:val="000000"/>
                <w:sz w:val="18"/>
                <w:szCs w:val="18"/>
              </w:rPr>
            </w:pPr>
          </w:p>
          <w:p w14:paraId="668C394B" w14:textId="77777777" w:rsidR="00F972FA" w:rsidRDefault="00F972FA" w:rsidP="00E23FEF">
            <w:pPr>
              <w:snapToGrid w:val="0"/>
              <w:spacing w:before="0" w:after="0"/>
              <w:ind w:left="80"/>
              <w:jc w:val="left"/>
              <w:rPr>
                <w:color w:val="000000"/>
                <w:sz w:val="18"/>
                <w:szCs w:val="18"/>
              </w:rPr>
            </w:pPr>
          </w:p>
          <w:p w14:paraId="2C7EED94" w14:textId="77777777" w:rsidR="00F972FA" w:rsidRDefault="00F972FA" w:rsidP="00E23FEF">
            <w:pPr>
              <w:snapToGrid w:val="0"/>
              <w:spacing w:before="0" w:after="0"/>
              <w:ind w:left="80"/>
              <w:jc w:val="left"/>
              <w:rPr>
                <w:color w:val="000000"/>
                <w:sz w:val="18"/>
                <w:szCs w:val="18"/>
              </w:rPr>
            </w:pPr>
          </w:p>
          <w:p w14:paraId="1C6D1FDC" w14:textId="77777777" w:rsidR="00F972FA" w:rsidRDefault="00F972FA" w:rsidP="00E23FEF">
            <w:pPr>
              <w:snapToGrid w:val="0"/>
              <w:spacing w:before="0" w:after="0"/>
              <w:ind w:left="80"/>
              <w:jc w:val="left"/>
              <w:rPr>
                <w:color w:val="000000"/>
                <w:sz w:val="18"/>
                <w:szCs w:val="18"/>
              </w:rPr>
            </w:pPr>
          </w:p>
          <w:p w14:paraId="216BED47" w14:textId="77777777" w:rsidR="00F972FA" w:rsidRDefault="00F972FA" w:rsidP="00E23FEF">
            <w:pPr>
              <w:snapToGrid w:val="0"/>
              <w:spacing w:before="0" w:after="0"/>
              <w:ind w:left="80"/>
              <w:jc w:val="left"/>
              <w:rPr>
                <w:color w:val="000000"/>
                <w:sz w:val="18"/>
                <w:szCs w:val="18"/>
              </w:rPr>
            </w:pPr>
          </w:p>
          <w:p w14:paraId="447A72AB" w14:textId="77777777" w:rsidR="00F972FA" w:rsidRDefault="00F972FA" w:rsidP="00E23FEF">
            <w:pPr>
              <w:snapToGrid w:val="0"/>
              <w:spacing w:before="0" w:after="0"/>
              <w:ind w:left="80"/>
              <w:jc w:val="left"/>
              <w:rPr>
                <w:color w:val="000000"/>
                <w:sz w:val="18"/>
                <w:szCs w:val="18"/>
              </w:rPr>
            </w:pPr>
          </w:p>
          <w:p w14:paraId="288DD49A" w14:textId="77777777" w:rsidR="00F972FA" w:rsidRDefault="00F972FA" w:rsidP="00E23FEF">
            <w:pPr>
              <w:snapToGrid w:val="0"/>
              <w:spacing w:before="0" w:after="0"/>
              <w:ind w:left="80"/>
              <w:jc w:val="left"/>
              <w:rPr>
                <w:color w:val="000000"/>
                <w:sz w:val="18"/>
                <w:szCs w:val="18"/>
              </w:rPr>
            </w:pPr>
          </w:p>
          <w:p w14:paraId="6421E08D" w14:textId="77777777" w:rsidR="00F972FA" w:rsidRDefault="00F972FA" w:rsidP="00E23FEF">
            <w:pPr>
              <w:snapToGrid w:val="0"/>
              <w:spacing w:before="0" w:after="0"/>
              <w:ind w:left="80"/>
              <w:jc w:val="left"/>
              <w:rPr>
                <w:color w:val="000000"/>
                <w:sz w:val="18"/>
                <w:szCs w:val="18"/>
              </w:rPr>
            </w:pPr>
          </w:p>
          <w:p w14:paraId="02B05B71" w14:textId="77777777" w:rsidR="00F972FA" w:rsidRDefault="00F972FA" w:rsidP="00E23FEF">
            <w:pPr>
              <w:snapToGrid w:val="0"/>
              <w:spacing w:before="0" w:after="0"/>
              <w:ind w:left="80"/>
              <w:jc w:val="left"/>
              <w:rPr>
                <w:color w:val="000000"/>
                <w:sz w:val="18"/>
                <w:szCs w:val="18"/>
              </w:rPr>
            </w:pPr>
          </w:p>
          <w:p w14:paraId="42B0A5D6" w14:textId="77777777" w:rsidR="00F972FA" w:rsidRDefault="00F972FA" w:rsidP="00E23FEF">
            <w:pPr>
              <w:snapToGrid w:val="0"/>
              <w:spacing w:before="0" w:after="0"/>
              <w:ind w:left="80"/>
              <w:jc w:val="left"/>
              <w:rPr>
                <w:color w:val="000000"/>
                <w:sz w:val="18"/>
                <w:szCs w:val="18"/>
              </w:rPr>
            </w:pPr>
          </w:p>
          <w:p w14:paraId="0DD6EDE5" w14:textId="77777777" w:rsidR="00F972FA" w:rsidRDefault="00F972FA" w:rsidP="00E23FEF">
            <w:pPr>
              <w:snapToGrid w:val="0"/>
              <w:spacing w:before="0" w:after="0"/>
              <w:ind w:left="80"/>
              <w:jc w:val="left"/>
              <w:rPr>
                <w:color w:val="000000"/>
                <w:sz w:val="18"/>
                <w:szCs w:val="18"/>
              </w:rPr>
            </w:pPr>
          </w:p>
          <w:p w14:paraId="09712AEF" w14:textId="77777777" w:rsidR="00F972FA" w:rsidRDefault="00F972FA" w:rsidP="00E23FEF">
            <w:pPr>
              <w:snapToGrid w:val="0"/>
              <w:spacing w:before="0" w:after="0"/>
              <w:ind w:left="80"/>
              <w:jc w:val="left"/>
              <w:rPr>
                <w:color w:val="000000"/>
                <w:sz w:val="18"/>
                <w:szCs w:val="18"/>
              </w:rPr>
            </w:pPr>
          </w:p>
          <w:p w14:paraId="5588C3E7" w14:textId="77777777" w:rsidR="00F972FA" w:rsidRDefault="00F972FA" w:rsidP="00E23FEF">
            <w:pPr>
              <w:snapToGrid w:val="0"/>
              <w:spacing w:before="0" w:after="0"/>
              <w:ind w:left="80"/>
              <w:jc w:val="left"/>
              <w:rPr>
                <w:color w:val="000000"/>
                <w:sz w:val="18"/>
                <w:szCs w:val="18"/>
              </w:rPr>
            </w:pPr>
          </w:p>
          <w:p w14:paraId="7AD04DC8" w14:textId="77777777" w:rsidR="00F972FA" w:rsidRDefault="00F972FA" w:rsidP="00E23FEF">
            <w:pPr>
              <w:snapToGrid w:val="0"/>
              <w:spacing w:before="0" w:after="0"/>
              <w:ind w:left="80"/>
              <w:jc w:val="left"/>
              <w:rPr>
                <w:color w:val="000000"/>
                <w:sz w:val="18"/>
                <w:szCs w:val="18"/>
              </w:rPr>
            </w:pPr>
          </w:p>
          <w:p w14:paraId="2444DBD5" w14:textId="77777777" w:rsidR="00F972FA" w:rsidRDefault="00F972FA" w:rsidP="00E23FEF">
            <w:pPr>
              <w:snapToGrid w:val="0"/>
              <w:spacing w:before="0" w:after="0"/>
              <w:ind w:left="80"/>
              <w:jc w:val="left"/>
              <w:rPr>
                <w:color w:val="000000"/>
                <w:sz w:val="18"/>
                <w:szCs w:val="18"/>
              </w:rPr>
            </w:pPr>
          </w:p>
          <w:p w14:paraId="00B23CB2" w14:textId="77777777" w:rsidR="00F972FA" w:rsidRDefault="00F972FA" w:rsidP="00E23FEF">
            <w:pPr>
              <w:snapToGrid w:val="0"/>
              <w:spacing w:before="0" w:after="0"/>
              <w:ind w:left="80"/>
              <w:jc w:val="left"/>
              <w:rPr>
                <w:color w:val="000000"/>
                <w:sz w:val="18"/>
                <w:szCs w:val="18"/>
              </w:rPr>
            </w:pPr>
          </w:p>
          <w:p w14:paraId="50CF22A0" w14:textId="77777777" w:rsidR="00F972FA" w:rsidRDefault="00F972FA" w:rsidP="00E23FEF">
            <w:pPr>
              <w:snapToGrid w:val="0"/>
              <w:spacing w:before="0" w:after="0"/>
              <w:ind w:left="80"/>
              <w:jc w:val="left"/>
              <w:rPr>
                <w:color w:val="000000"/>
                <w:sz w:val="18"/>
                <w:szCs w:val="18"/>
              </w:rPr>
            </w:pPr>
          </w:p>
          <w:p w14:paraId="3570232D" w14:textId="77777777" w:rsidR="00F972FA" w:rsidRDefault="00F972FA" w:rsidP="00E23FEF">
            <w:pPr>
              <w:snapToGrid w:val="0"/>
              <w:spacing w:before="0" w:after="0"/>
              <w:ind w:left="80"/>
              <w:jc w:val="left"/>
              <w:rPr>
                <w:color w:val="000000"/>
                <w:sz w:val="18"/>
                <w:szCs w:val="18"/>
              </w:rPr>
            </w:pPr>
          </w:p>
          <w:p w14:paraId="2A024C7E" w14:textId="77777777" w:rsidR="00F972FA" w:rsidRDefault="00F972FA" w:rsidP="00E23FEF">
            <w:pPr>
              <w:snapToGrid w:val="0"/>
              <w:spacing w:before="0" w:after="0"/>
              <w:ind w:left="80"/>
              <w:jc w:val="left"/>
              <w:rPr>
                <w:color w:val="000000"/>
                <w:sz w:val="18"/>
                <w:szCs w:val="18"/>
              </w:rPr>
            </w:pPr>
          </w:p>
          <w:p w14:paraId="353D3AC4" w14:textId="77777777" w:rsidR="00F972FA" w:rsidRDefault="00F972FA" w:rsidP="00E23FEF">
            <w:pPr>
              <w:snapToGrid w:val="0"/>
              <w:spacing w:before="0" w:after="0"/>
              <w:ind w:left="80"/>
              <w:jc w:val="left"/>
              <w:rPr>
                <w:color w:val="000000"/>
                <w:sz w:val="18"/>
                <w:szCs w:val="18"/>
              </w:rPr>
            </w:pPr>
          </w:p>
          <w:p w14:paraId="09044580" w14:textId="77777777" w:rsidR="00F972FA" w:rsidRDefault="00F972FA" w:rsidP="00E23FEF">
            <w:pPr>
              <w:snapToGrid w:val="0"/>
              <w:spacing w:before="0" w:after="0"/>
              <w:ind w:left="80"/>
              <w:jc w:val="left"/>
              <w:rPr>
                <w:color w:val="000000"/>
                <w:sz w:val="18"/>
                <w:szCs w:val="18"/>
              </w:rPr>
            </w:pPr>
          </w:p>
          <w:p w14:paraId="03EB003E" w14:textId="77777777" w:rsidR="00F972FA" w:rsidRDefault="00F972FA" w:rsidP="00E23FEF">
            <w:pPr>
              <w:snapToGrid w:val="0"/>
              <w:spacing w:before="0" w:after="0"/>
              <w:ind w:left="80"/>
              <w:jc w:val="left"/>
              <w:rPr>
                <w:color w:val="000000"/>
                <w:sz w:val="18"/>
                <w:szCs w:val="18"/>
              </w:rPr>
            </w:pPr>
          </w:p>
          <w:p w14:paraId="6974FB99" w14:textId="77777777" w:rsidR="00F972FA" w:rsidRDefault="00F972FA" w:rsidP="00E23FEF">
            <w:pPr>
              <w:snapToGrid w:val="0"/>
              <w:spacing w:before="0" w:after="0"/>
              <w:ind w:left="80"/>
              <w:jc w:val="left"/>
              <w:rPr>
                <w:color w:val="000000"/>
                <w:sz w:val="18"/>
                <w:szCs w:val="18"/>
              </w:rPr>
            </w:pPr>
          </w:p>
          <w:p w14:paraId="47E51BCF" w14:textId="77777777" w:rsidR="00F972FA" w:rsidRDefault="00F972FA" w:rsidP="00E23FEF">
            <w:pPr>
              <w:snapToGrid w:val="0"/>
              <w:spacing w:before="0" w:after="0"/>
              <w:ind w:left="80"/>
              <w:jc w:val="left"/>
              <w:rPr>
                <w:color w:val="000000"/>
                <w:sz w:val="18"/>
                <w:szCs w:val="18"/>
              </w:rPr>
            </w:pPr>
          </w:p>
          <w:p w14:paraId="3B68BE60" w14:textId="77777777" w:rsidR="00F972FA" w:rsidRDefault="00F972FA" w:rsidP="00E23FEF">
            <w:pPr>
              <w:snapToGrid w:val="0"/>
              <w:spacing w:before="0" w:after="0"/>
              <w:ind w:left="80"/>
              <w:jc w:val="left"/>
              <w:rPr>
                <w:color w:val="000000"/>
                <w:sz w:val="18"/>
                <w:szCs w:val="18"/>
              </w:rPr>
            </w:pPr>
          </w:p>
          <w:p w14:paraId="3C5C2B1D" w14:textId="77777777" w:rsidR="00F972FA" w:rsidRDefault="00F972FA" w:rsidP="00E23FEF">
            <w:pPr>
              <w:snapToGrid w:val="0"/>
              <w:spacing w:before="0" w:after="0"/>
              <w:ind w:left="80"/>
              <w:jc w:val="left"/>
              <w:rPr>
                <w:color w:val="000000"/>
                <w:sz w:val="18"/>
                <w:szCs w:val="18"/>
              </w:rPr>
            </w:pPr>
          </w:p>
          <w:p w14:paraId="36EEC0E4" w14:textId="77777777" w:rsidR="00F972FA" w:rsidRDefault="00F972FA" w:rsidP="00E23FEF">
            <w:pPr>
              <w:snapToGrid w:val="0"/>
              <w:spacing w:before="0" w:after="0"/>
              <w:ind w:left="80"/>
              <w:jc w:val="left"/>
              <w:rPr>
                <w:color w:val="000000"/>
                <w:sz w:val="18"/>
                <w:szCs w:val="18"/>
              </w:rPr>
            </w:pPr>
          </w:p>
          <w:p w14:paraId="006ABE01" w14:textId="77777777" w:rsidR="00F972FA" w:rsidRDefault="00F972FA" w:rsidP="00E23FEF">
            <w:pPr>
              <w:snapToGrid w:val="0"/>
              <w:spacing w:before="0" w:after="0"/>
              <w:ind w:left="80"/>
              <w:jc w:val="left"/>
              <w:rPr>
                <w:color w:val="000000"/>
                <w:sz w:val="18"/>
                <w:szCs w:val="18"/>
              </w:rPr>
            </w:pPr>
          </w:p>
          <w:p w14:paraId="1A07D14E" w14:textId="77777777" w:rsidR="00F972FA" w:rsidRDefault="00F972FA" w:rsidP="00E23FEF">
            <w:pPr>
              <w:snapToGrid w:val="0"/>
              <w:spacing w:before="0" w:after="0"/>
              <w:ind w:left="80"/>
              <w:jc w:val="left"/>
              <w:rPr>
                <w:color w:val="000000"/>
                <w:sz w:val="18"/>
                <w:szCs w:val="18"/>
              </w:rPr>
            </w:pPr>
          </w:p>
          <w:p w14:paraId="38F565DE" w14:textId="77777777" w:rsidR="00F972FA" w:rsidRDefault="00F972FA" w:rsidP="00E23FEF">
            <w:pPr>
              <w:snapToGrid w:val="0"/>
              <w:spacing w:before="0" w:after="0"/>
              <w:ind w:left="80"/>
              <w:jc w:val="left"/>
              <w:rPr>
                <w:color w:val="000000"/>
                <w:sz w:val="18"/>
                <w:szCs w:val="18"/>
              </w:rPr>
            </w:pPr>
          </w:p>
          <w:p w14:paraId="3951D465" w14:textId="77777777" w:rsidR="00F972FA" w:rsidRDefault="00F972FA" w:rsidP="00E23FEF">
            <w:pPr>
              <w:snapToGrid w:val="0"/>
              <w:spacing w:before="0" w:after="0"/>
              <w:ind w:left="80"/>
              <w:jc w:val="left"/>
              <w:rPr>
                <w:color w:val="000000"/>
                <w:sz w:val="18"/>
                <w:szCs w:val="18"/>
              </w:rPr>
            </w:pPr>
          </w:p>
          <w:p w14:paraId="134E07A7" w14:textId="77777777" w:rsidR="00F972FA" w:rsidRDefault="00F972FA" w:rsidP="00E23FEF">
            <w:pPr>
              <w:snapToGrid w:val="0"/>
              <w:spacing w:before="0" w:after="0"/>
              <w:ind w:left="80"/>
              <w:jc w:val="left"/>
              <w:rPr>
                <w:color w:val="000000"/>
                <w:sz w:val="18"/>
                <w:szCs w:val="18"/>
              </w:rPr>
            </w:pPr>
          </w:p>
          <w:p w14:paraId="338846CB" w14:textId="77777777" w:rsidR="00F972FA" w:rsidRDefault="00F972FA" w:rsidP="00E23FEF">
            <w:pPr>
              <w:snapToGrid w:val="0"/>
              <w:spacing w:before="0" w:after="0"/>
              <w:ind w:left="80"/>
              <w:jc w:val="left"/>
              <w:rPr>
                <w:color w:val="000000"/>
                <w:sz w:val="18"/>
                <w:szCs w:val="18"/>
              </w:rPr>
            </w:pPr>
          </w:p>
          <w:p w14:paraId="0E10AB45" w14:textId="77777777" w:rsidR="00F972FA" w:rsidRDefault="00F972FA" w:rsidP="00E23FEF">
            <w:pPr>
              <w:snapToGrid w:val="0"/>
              <w:spacing w:before="0" w:after="0"/>
              <w:ind w:left="80"/>
              <w:jc w:val="left"/>
              <w:rPr>
                <w:color w:val="000000"/>
                <w:sz w:val="18"/>
                <w:szCs w:val="18"/>
              </w:rPr>
            </w:pPr>
          </w:p>
          <w:p w14:paraId="30874185" w14:textId="77777777" w:rsidR="00F972FA" w:rsidRDefault="00F972FA" w:rsidP="00E23FEF">
            <w:pPr>
              <w:snapToGrid w:val="0"/>
              <w:spacing w:before="0" w:after="0"/>
              <w:ind w:left="80"/>
              <w:jc w:val="left"/>
              <w:rPr>
                <w:color w:val="000000"/>
                <w:sz w:val="18"/>
                <w:szCs w:val="18"/>
              </w:rPr>
            </w:pPr>
          </w:p>
          <w:p w14:paraId="4FE961C8" w14:textId="77777777" w:rsidR="00F972FA" w:rsidRDefault="00F972FA" w:rsidP="00E23FEF">
            <w:pPr>
              <w:snapToGrid w:val="0"/>
              <w:spacing w:before="0" w:after="0"/>
              <w:ind w:left="80"/>
              <w:jc w:val="left"/>
              <w:rPr>
                <w:color w:val="000000"/>
                <w:sz w:val="18"/>
                <w:szCs w:val="18"/>
              </w:rPr>
            </w:pPr>
          </w:p>
          <w:p w14:paraId="47592706" w14:textId="77777777" w:rsidR="00F972FA" w:rsidRDefault="00F972FA" w:rsidP="00E23FEF">
            <w:pPr>
              <w:snapToGrid w:val="0"/>
              <w:spacing w:before="0" w:after="0"/>
              <w:ind w:left="80"/>
              <w:jc w:val="left"/>
              <w:rPr>
                <w:color w:val="000000"/>
                <w:sz w:val="18"/>
                <w:szCs w:val="18"/>
              </w:rPr>
            </w:pPr>
          </w:p>
          <w:p w14:paraId="423AE433" w14:textId="77777777" w:rsidR="00F972FA" w:rsidRDefault="00F972FA" w:rsidP="00E23FEF">
            <w:pPr>
              <w:snapToGrid w:val="0"/>
              <w:spacing w:before="0" w:after="0"/>
              <w:ind w:left="80"/>
              <w:jc w:val="left"/>
              <w:rPr>
                <w:color w:val="000000"/>
                <w:sz w:val="18"/>
                <w:szCs w:val="18"/>
              </w:rPr>
            </w:pPr>
          </w:p>
          <w:p w14:paraId="68515C41" w14:textId="77777777" w:rsidR="00F972FA" w:rsidRDefault="00F972FA" w:rsidP="00E23FEF">
            <w:pPr>
              <w:snapToGrid w:val="0"/>
              <w:spacing w:before="0" w:after="0"/>
              <w:ind w:left="80"/>
              <w:jc w:val="left"/>
              <w:rPr>
                <w:color w:val="000000"/>
                <w:sz w:val="18"/>
                <w:szCs w:val="18"/>
              </w:rPr>
            </w:pPr>
          </w:p>
          <w:p w14:paraId="144D20C1" w14:textId="77777777" w:rsidR="00F972FA" w:rsidRDefault="00F972FA" w:rsidP="00E23FEF">
            <w:pPr>
              <w:snapToGrid w:val="0"/>
              <w:spacing w:before="0" w:after="0"/>
              <w:ind w:left="80"/>
              <w:jc w:val="left"/>
              <w:rPr>
                <w:color w:val="000000"/>
                <w:sz w:val="18"/>
                <w:szCs w:val="18"/>
              </w:rPr>
            </w:pPr>
          </w:p>
          <w:p w14:paraId="6DEE383E" w14:textId="77777777" w:rsidR="00F972FA" w:rsidRDefault="00F972FA" w:rsidP="00E23FEF">
            <w:pPr>
              <w:snapToGrid w:val="0"/>
              <w:spacing w:before="0" w:after="0"/>
              <w:ind w:left="80"/>
              <w:jc w:val="left"/>
              <w:rPr>
                <w:color w:val="000000"/>
                <w:sz w:val="18"/>
                <w:szCs w:val="18"/>
              </w:rPr>
            </w:pPr>
          </w:p>
          <w:p w14:paraId="66F0A233" w14:textId="77777777" w:rsidR="00F972FA" w:rsidRDefault="00F972FA" w:rsidP="00E23FEF">
            <w:pPr>
              <w:snapToGrid w:val="0"/>
              <w:spacing w:before="0" w:after="0"/>
              <w:ind w:left="80"/>
              <w:jc w:val="left"/>
              <w:rPr>
                <w:color w:val="000000"/>
                <w:sz w:val="18"/>
                <w:szCs w:val="18"/>
              </w:rPr>
            </w:pPr>
          </w:p>
          <w:p w14:paraId="388B6C26" w14:textId="77777777" w:rsidR="00F972FA" w:rsidRDefault="00F972FA" w:rsidP="00E23FEF">
            <w:pPr>
              <w:snapToGrid w:val="0"/>
              <w:spacing w:before="0" w:after="0"/>
              <w:ind w:left="80"/>
              <w:jc w:val="left"/>
              <w:rPr>
                <w:color w:val="000000"/>
                <w:sz w:val="18"/>
                <w:szCs w:val="18"/>
              </w:rPr>
            </w:pPr>
          </w:p>
          <w:p w14:paraId="57C0BDAD" w14:textId="77777777" w:rsidR="00F972FA" w:rsidRDefault="00F972FA" w:rsidP="00E23FEF">
            <w:pPr>
              <w:snapToGrid w:val="0"/>
              <w:spacing w:before="0" w:after="0"/>
              <w:ind w:left="80"/>
              <w:jc w:val="left"/>
              <w:rPr>
                <w:color w:val="000000"/>
                <w:sz w:val="18"/>
                <w:szCs w:val="18"/>
              </w:rPr>
            </w:pPr>
          </w:p>
          <w:p w14:paraId="183987D1" w14:textId="77777777" w:rsidR="00F972FA" w:rsidRDefault="00F972FA" w:rsidP="00E23FEF">
            <w:pPr>
              <w:snapToGrid w:val="0"/>
              <w:spacing w:before="0" w:after="0"/>
              <w:ind w:left="80"/>
              <w:jc w:val="left"/>
              <w:rPr>
                <w:color w:val="000000"/>
                <w:sz w:val="18"/>
                <w:szCs w:val="18"/>
              </w:rPr>
            </w:pPr>
          </w:p>
          <w:p w14:paraId="721C1AF7" w14:textId="77777777" w:rsidR="00F972FA" w:rsidRDefault="00F972FA" w:rsidP="00E23FEF">
            <w:pPr>
              <w:snapToGrid w:val="0"/>
              <w:spacing w:before="0" w:after="0"/>
              <w:ind w:left="80"/>
              <w:jc w:val="left"/>
              <w:rPr>
                <w:color w:val="000000"/>
                <w:sz w:val="18"/>
                <w:szCs w:val="18"/>
              </w:rPr>
            </w:pPr>
          </w:p>
          <w:p w14:paraId="3B435EDB" w14:textId="77777777" w:rsidR="00F972FA" w:rsidRDefault="00F972FA" w:rsidP="00E23FEF">
            <w:pPr>
              <w:snapToGrid w:val="0"/>
              <w:spacing w:before="0" w:after="0"/>
              <w:ind w:left="80"/>
              <w:jc w:val="left"/>
              <w:rPr>
                <w:color w:val="000000"/>
                <w:sz w:val="18"/>
                <w:szCs w:val="18"/>
              </w:rPr>
            </w:pPr>
          </w:p>
          <w:p w14:paraId="229ACB68" w14:textId="77777777" w:rsidR="00F972FA" w:rsidRDefault="00F972FA" w:rsidP="00E23FEF">
            <w:pPr>
              <w:snapToGrid w:val="0"/>
              <w:spacing w:before="0" w:after="0"/>
              <w:ind w:left="80"/>
              <w:jc w:val="left"/>
              <w:rPr>
                <w:color w:val="000000"/>
                <w:sz w:val="18"/>
                <w:szCs w:val="18"/>
              </w:rPr>
            </w:pPr>
          </w:p>
          <w:p w14:paraId="277A1213" w14:textId="77777777" w:rsidR="00F972FA" w:rsidRDefault="00F972FA" w:rsidP="00E23FEF">
            <w:pPr>
              <w:snapToGrid w:val="0"/>
              <w:spacing w:before="0" w:after="0"/>
              <w:ind w:left="80"/>
              <w:jc w:val="left"/>
              <w:rPr>
                <w:color w:val="000000"/>
                <w:sz w:val="18"/>
                <w:szCs w:val="18"/>
              </w:rPr>
            </w:pPr>
          </w:p>
          <w:p w14:paraId="11142CB6" w14:textId="77777777" w:rsidR="00F972FA" w:rsidRDefault="00F972FA" w:rsidP="00E23FEF">
            <w:pPr>
              <w:snapToGrid w:val="0"/>
              <w:spacing w:before="0" w:after="0"/>
              <w:ind w:left="80"/>
              <w:jc w:val="left"/>
              <w:rPr>
                <w:color w:val="000000"/>
                <w:sz w:val="18"/>
                <w:szCs w:val="18"/>
              </w:rPr>
            </w:pPr>
          </w:p>
          <w:p w14:paraId="4E03F25F" w14:textId="77777777" w:rsidR="00F972FA" w:rsidRDefault="00F972FA" w:rsidP="00E23FEF">
            <w:pPr>
              <w:snapToGrid w:val="0"/>
              <w:spacing w:before="0" w:after="0"/>
              <w:ind w:left="80"/>
              <w:jc w:val="left"/>
              <w:rPr>
                <w:color w:val="000000"/>
                <w:sz w:val="18"/>
                <w:szCs w:val="18"/>
              </w:rPr>
            </w:pPr>
          </w:p>
          <w:p w14:paraId="0875FF75" w14:textId="77777777" w:rsidR="00F972FA" w:rsidRDefault="00F972FA" w:rsidP="00E23FEF">
            <w:pPr>
              <w:snapToGrid w:val="0"/>
              <w:spacing w:before="0" w:after="0"/>
              <w:ind w:left="80"/>
              <w:jc w:val="left"/>
              <w:rPr>
                <w:color w:val="000000"/>
                <w:sz w:val="18"/>
                <w:szCs w:val="18"/>
              </w:rPr>
            </w:pPr>
          </w:p>
          <w:p w14:paraId="31D5CFEC" w14:textId="77777777" w:rsidR="00F972FA" w:rsidRDefault="00F972FA" w:rsidP="00E23FEF">
            <w:pPr>
              <w:snapToGrid w:val="0"/>
              <w:spacing w:before="0" w:after="0"/>
              <w:ind w:left="80"/>
              <w:jc w:val="left"/>
              <w:rPr>
                <w:color w:val="000000"/>
                <w:sz w:val="18"/>
                <w:szCs w:val="18"/>
              </w:rPr>
            </w:pPr>
          </w:p>
          <w:p w14:paraId="72964ED9" w14:textId="77777777" w:rsidR="00F972FA" w:rsidRDefault="00F972FA" w:rsidP="00E23FEF">
            <w:pPr>
              <w:snapToGrid w:val="0"/>
              <w:spacing w:before="0" w:after="0"/>
              <w:ind w:left="80"/>
              <w:jc w:val="left"/>
              <w:rPr>
                <w:color w:val="000000"/>
                <w:sz w:val="18"/>
                <w:szCs w:val="18"/>
              </w:rPr>
            </w:pPr>
          </w:p>
          <w:p w14:paraId="0B5BCAEE" w14:textId="77777777" w:rsidR="00F972FA" w:rsidRDefault="00F972FA" w:rsidP="00E23FEF">
            <w:pPr>
              <w:snapToGrid w:val="0"/>
              <w:spacing w:before="0" w:after="0"/>
              <w:ind w:left="80"/>
              <w:jc w:val="left"/>
              <w:rPr>
                <w:color w:val="000000"/>
                <w:sz w:val="18"/>
                <w:szCs w:val="18"/>
              </w:rPr>
            </w:pPr>
          </w:p>
          <w:p w14:paraId="5B84B5BF" w14:textId="77777777" w:rsidR="00F972FA" w:rsidRDefault="00F972FA" w:rsidP="00E23FEF">
            <w:pPr>
              <w:snapToGrid w:val="0"/>
              <w:spacing w:before="0" w:after="0"/>
              <w:ind w:left="80"/>
              <w:jc w:val="left"/>
              <w:rPr>
                <w:color w:val="000000"/>
                <w:sz w:val="18"/>
                <w:szCs w:val="18"/>
              </w:rPr>
            </w:pPr>
          </w:p>
          <w:p w14:paraId="0D3D3D73" w14:textId="77777777" w:rsidR="00F972FA" w:rsidRDefault="00F972FA" w:rsidP="00E23FEF">
            <w:pPr>
              <w:snapToGrid w:val="0"/>
              <w:spacing w:before="0" w:after="0"/>
              <w:ind w:left="80"/>
              <w:jc w:val="left"/>
              <w:rPr>
                <w:color w:val="000000"/>
                <w:sz w:val="18"/>
                <w:szCs w:val="18"/>
              </w:rPr>
            </w:pPr>
          </w:p>
          <w:p w14:paraId="016B2F2F" w14:textId="77777777" w:rsidR="00F972FA" w:rsidRDefault="00F972FA" w:rsidP="00E23FEF">
            <w:pPr>
              <w:snapToGrid w:val="0"/>
              <w:spacing w:before="0" w:after="0"/>
              <w:ind w:left="80"/>
              <w:jc w:val="left"/>
              <w:rPr>
                <w:color w:val="000000"/>
                <w:sz w:val="18"/>
                <w:szCs w:val="18"/>
              </w:rPr>
            </w:pPr>
          </w:p>
          <w:p w14:paraId="07FDDFB7" w14:textId="77777777" w:rsidR="00F972FA" w:rsidRDefault="00F972FA" w:rsidP="00E23FEF">
            <w:pPr>
              <w:snapToGrid w:val="0"/>
              <w:spacing w:before="0" w:after="0"/>
              <w:ind w:left="80"/>
              <w:jc w:val="left"/>
              <w:rPr>
                <w:color w:val="000000"/>
                <w:sz w:val="18"/>
                <w:szCs w:val="18"/>
              </w:rPr>
            </w:pPr>
          </w:p>
          <w:p w14:paraId="317C2774" w14:textId="77777777" w:rsidR="00F972FA" w:rsidRDefault="00F972FA" w:rsidP="00E23FEF">
            <w:pPr>
              <w:snapToGrid w:val="0"/>
              <w:spacing w:before="0" w:after="0"/>
              <w:ind w:left="80"/>
              <w:jc w:val="left"/>
              <w:rPr>
                <w:color w:val="000000"/>
                <w:sz w:val="18"/>
                <w:szCs w:val="18"/>
              </w:rPr>
            </w:pPr>
          </w:p>
          <w:p w14:paraId="0302666C" w14:textId="77777777" w:rsidR="00F972FA" w:rsidRDefault="00F972FA" w:rsidP="00E23FEF">
            <w:pPr>
              <w:snapToGrid w:val="0"/>
              <w:spacing w:before="0" w:after="0"/>
              <w:ind w:left="80"/>
              <w:jc w:val="left"/>
              <w:rPr>
                <w:color w:val="000000"/>
                <w:sz w:val="18"/>
                <w:szCs w:val="18"/>
              </w:rPr>
            </w:pPr>
          </w:p>
          <w:p w14:paraId="0E1FEDD4" w14:textId="77777777" w:rsidR="00F972FA" w:rsidRDefault="00F972FA" w:rsidP="00E23FEF">
            <w:pPr>
              <w:snapToGrid w:val="0"/>
              <w:spacing w:before="0" w:after="0"/>
              <w:ind w:left="80"/>
              <w:jc w:val="left"/>
              <w:rPr>
                <w:color w:val="000000"/>
                <w:sz w:val="18"/>
                <w:szCs w:val="18"/>
              </w:rPr>
            </w:pPr>
          </w:p>
          <w:p w14:paraId="79F39CC4" w14:textId="77777777" w:rsidR="00F972FA" w:rsidRDefault="00F972FA" w:rsidP="00E23FEF">
            <w:pPr>
              <w:snapToGrid w:val="0"/>
              <w:spacing w:before="0" w:after="0"/>
              <w:ind w:left="80"/>
              <w:jc w:val="left"/>
              <w:rPr>
                <w:color w:val="000000"/>
                <w:sz w:val="18"/>
                <w:szCs w:val="18"/>
              </w:rPr>
            </w:pPr>
          </w:p>
          <w:p w14:paraId="11D213FD" w14:textId="77777777" w:rsidR="00F972FA" w:rsidRDefault="00F972FA" w:rsidP="00E23FEF">
            <w:pPr>
              <w:snapToGrid w:val="0"/>
              <w:spacing w:before="0" w:after="0"/>
              <w:ind w:left="80"/>
              <w:jc w:val="left"/>
              <w:rPr>
                <w:color w:val="000000"/>
                <w:sz w:val="18"/>
                <w:szCs w:val="18"/>
              </w:rPr>
            </w:pPr>
          </w:p>
          <w:p w14:paraId="435587AF" w14:textId="77777777" w:rsidR="00F972FA" w:rsidRDefault="00F972FA" w:rsidP="00E23FEF">
            <w:pPr>
              <w:snapToGrid w:val="0"/>
              <w:spacing w:before="0" w:after="0"/>
              <w:ind w:left="80"/>
              <w:jc w:val="left"/>
              <w:rPr>
                <w:color w:val="000000"/>
                <w:sz w:val="18"/>
                <w:szCs w:val="18"/>
              </w:rPr>
            </w:pPr>
          </w:p>
          <w:p w14:paraId="434315F2" w14:textId="77777777" w:rsidR="00F972FA" w:rsidRDefault="00F972FA" w:rsidP="00E23FEF">
            <w:pPr>
              <w:snapToGrid w:val="0"/>
              <w:spacing w:before="0" w:after="0"/>
              <w:ind w:left="80"/>
              <w:jc w:val="left"/>
              <w:rPr>
                <w:color w:val="000000"/>
                <w:sz w:val="18"/>
                <w:szCs w:val="18"/>
              </w:rPr>
            </w:pPr>
          </w:p>
          <w:p w14:paraId="7FADC8CA" w14:textId="77777777" w:rsidR="00F972FA" w:rsidRDefault="00F972FA" w:rsidP="00E23FEF">
            <w:pPr>
              <w:snapToGrid w:val="0"/>
              <w:spacing w:before="0" w:after="0"/>
              <w:ind w:left="80"/>
              <w:jc w:val="left"/>
              <w:rPr>
                <w:color w:val="000000"/>
                <w:sz w:val="18"/>
                <w:szCs w:val="18"/>
              </w:rPr>
            </w:pPr>
          </w:p>
          <w:p w14:paraId="48FCF275" w14:textId="77777777" w:rsidR="00F972FA" w:rsidRDefault="00F972FA" w:rsidP="00E23FEF">
            <w:pPr>
              <w:snapToGrid w:val="0"/>
              <w:spacing w:before="0" w:after="0"/>
              <w:ind w:left="80"/>
              <w:jc w:val="left"/>
              <w:rPr>
                <w:color w:val="000000"/>
                <w:sz w:val="18"/>
                <w:szCs w:val="18"/>
              </w:rPr>
            </w:pPr>
          </w:p>
          <w:p w14:paraId="2AEE3CC2" w14:textId="77777777" w:rsidR="00F972FA" w:rsidRDefault="00F972FA" w:rsidP="00E23FEF">
            <w:pPr>
              <w:snapToGrid w:val="0"/>
              <w:spacing w:before="0" w:after="0"/>
              <w:ind w:left="80"/>
              <w:jc w:val="left"/>
              <w:rPr>
                <w:color w:val="000000"/>
                <w:sz w:val="18"/>
                <w:szCs w:val="18"/>
              </w:rPr>
            </w:pPr>
          </w:p>
          <w:p w14:paraId="109DB88B" w14:textId="77777777" w:rsidR="00F972FA" w:rsidRDefault="00F972FA" w:rsidP="00E23FEF">
            <w:pPr>
              <w:snapToGrid w:val="0"/>
              <w:spacing w:before="0" w:after="0"/>
              <w:ind w:left="80"/>
              <w:jc w:val="left"/>
              <w:rPr>
                <w:color w:val="000000"/>
                <w:sz w:val="18"/>
                <w:szCs w:val="18"/>
              </w:rPr>
            </w:pPr>
          </w:p>
          <w:p w14:paraId="0DBD6CB7" w14:textId="77777777" w:rsidR="00F972FA" w:rsidRDefault="00F972FA" w:rsidP="00E23FEF">
            <w:pPr>
              <w:snapToGrid w:val="0"/>
              <w:spacing w:before="0" w:after="0"/>
              <w:ind w:left="80"/>
              <w:jc w:val="left"/>
              <w:rPr>
                <w:color w:val="000000"/>
                <w:sz w:val="18"/>
                <w:szCs w:val="18"/>
              </w:rPr>
            </w:pPr>
          </w:p>
          <w:p w14:paraId="37004F25" w14:textId="77777777" w:rsidR="00F972FA" w:rsidRDefault="00F972FA" w:rsidP="00E23FEF">
            <w:pPr>
              <w:snapToGrid w:val="0"/>
              <w:spacing w:before="0" w:after="0"/>
              <w:ind w:left="80"/>
              <w:jc w:val="left"/>
              <w:rPr>
                <w:color w:val="000000"/>
                <w:sz w:val="18"/>
                <w:szCs w:val="18"/>
              </w:rPr>
            </w:pPr>
          </w:p>
          <w:p w14:paraId="21E90DCB" w14:textId="77777777" w:rsidR="00F972FA" w:rsidRDefault="00F972FA" w:rsidP="00E23FEF">
            <w:pPr>
              <w:snapToGrid w:val="0"/>
              <w:spacing w:before="0" w:after="0"/>
              <w:ind w:left="80"/>
              <w:jc w:val="left"/>
              <w:rPr>
                <w:color w:val="000000"/>
                <w:sz w:val="18"/>
                <w:szCs w:val="18"/>
              </w:rPr>
            </w:pPr>
          </w:p>
          <w:p w14:paraId="04C2E5F0" w14:textId="77777777" w:rsidR="00F972FA" w:rsidRDefault="00F972FA" w:rsidP="00E23FEF">
            <w:pPr>
              <w:snapToGrid w:val="0"/>
              <w:spacing w:before="0" w:after="0"/>
              <w:ind w:left="80"/>
              <w:jc w:val="left"/>
              <w:rPr>
                <w:color w:val="000000"/>
                <w:sz w:val="18"/>
                <w:szCs w:val="18"/>
              </w:rPr>
            </w:pPr>
          </w:p>
          <w:p w14:paraId="43FBDCB6" w14:textId="77777777" w:rsidR="00F972FA" w:rsidRDefault="00F972FA" w:rsidP="00E23FEF">
            <w:pPr>
              <w:snapToGrid w:val="0"/>
              <w:spacing w:before="0" w:after="0"/>
              <w:ind w:left="80"/>
              <w:jc w:val="left"/>
              <w:rPr>
                <w:color w:val="000000"/>
                <w:sz w:val="18"/>
                <w:szCs w:val="18"/>
              </w:rPr>
            </w:pPr>
          </w:p>
          <w:p w14:paraId="304F189F" w14:textId="77777777" w:rsidR="00F972FA" w:rsidRDefault="00F972FA" w:rsidP="00E23FEF">
            <w:pPr>
              <w:snapToGrid w:val="0"/>
              <w:spacing w:before="0" w:after="0"/>
              <w:ind w:left="80"/>
              <w:jc w:val="left"/>
              <w:rPr>
                <w:color w:val="000000"/>
                <w:sz w:val="18"/>
                <w:szCs w:val="18"/>
              </w:rPr>
            </w:pPr>
          </w:p>
          <w:p w14:paraId="657051D1" w14:textId="77777777" w:rsidR="00F972FA" w:rsidRDefault="00F972FA" w:rsidP="00E23FEF">
            <w:pPr>
              <w:snapToGrid w:val="0"/>
              <w:spacing w:before="0" w:after="0"/>
              <w:ind w:left="80"/>
              <w:jc w:val="left"/>
              <w:rPr>
                <w:color w:val="000000"/>
                <w:sz w:val="18"/>
                <w:szCs w:val="18"/>
              </w:rPr>
            </w:pPr>
          </w:p>
          <w:p w14:paraId="20FFB8C3" w14:textId="77777777" w:rsidR="00F972FA" w:rsidRDefault="00F972FA" w:rsidP="00E23FEF">
            <w:pPr>
              <w:snapToGrid w:val="0"/>
              <w:spacing w:before="0" w:after="0"/>
              <w:ind w:left="80"/>
              <w:jc w:val="left"/>
              <w:rPr>
                <w:color w:val="000000"/>
                <w:sz w:val="18"/>
                <w:szCs w:val="18"/>
              </w:rPr>
            </w:pPr>
          </w:p>
          <w:p w14:paraId="0D5FD1A8" w14:textId="77777777" w:rsidR="00F972FA" w:rsidRDefault="00F972FA" w:rsidP="00E23FEF">
            <w:pPr>
              <w:snapToGrid w:val="0"/>
              <w:spacing w:before="0" w:after="0"/>
              <w:ind w:left="80"/>
              <w:jc w:val="left"/>
              <w:rPr>
                <w:color w:val="000000"/>
                <w:sz w:val="18"/>
                <w:szCs w:val="18"/>
              </w:rPr>
            </w:pPr>
          </w:p>
          <w:p w14:paraId="2FFAD214" w14:textId="77777777" w:rsidR="00F972FA" w:rsidRDefault="00F972FA" w:rsidP="00E23FEF">
            <w:pPr>
              <w:snapToGrid w:val="0"/>
              <w:spacing w:before="0" w:after="0"/>
              <w:ind w:left="80"/>
              <w:jc w:val="left"/>
              <w:rPr>
                <w:color w:val="000000"/>
                <w:sz w:val="18"/>
                <w:szCs w:val="18"/>
              </w:rPr>
            </w:pPr>
          </w:p>
          <w:p w14:paraId="445A1E02" w14:textId="77777777" w:rsidR="00F972FA" w:rsidRDefault="00F972FA" w:rsidP="00E23FEF">
            <w:pPr>
              <w:snapToGrid w:val="0"/>
              <w:spacing w:before="0" w:after="0"/>
              <w:ind w:left="80"/>
              <w:jc w:val="left"/>
              <w:rPr>
                <w:color w:val="000000"/>
                <w:sz w:val="18"/>
                <w:szCs w:val="18"/>
              </w:rPr>
            </w:pPr>
          </w:p>
          <w:p w14:paraId="503E1D46" w14:textId="77777777" w:rsidR="00F972FA" w:rsidRDefault="00F972FA" w:rsidP="00E23FEF">
            <w:pPr>
              <w:snapToGrid w:val="0"/>
              <w:spacing w:before="0" w:after="0"/>
              <w:ind w:left="80"/>
              <w:jc w:val="left"/>
              <w:rPr>
                <w:color w:val="000000"/>
                <w:sz w:val="18"/>
                <w:szCs w:val="18"/>
              </w:rPr>
            </w:pPr>
          </w:p>
          <w:p w14:paraId="79F5EB81" w14:textId="77777777" w:rsidR="00F972FA" w:rsidRDefault="00F972FA" w:rsidP="00E23FEF">
            <w:pPr>
              <w:snapToGrid w:val="0"/>
              <w:spacing w:before="0" w:after="0"/>
              <w:ind w:left="80"/>
              <w:jc w:val="left"/>
              <w:rPr>
                <w:color w:val="000000"/>
                <w:sz w:val="18"/>
                <w:szCs w:val="18"/>
              </w:rPr>
            </w:pPr>
          </w:p>
          <w:p w14:paraId="6A58B556" w14:textId="77777777" w:rsidR="00F972FA" w:rsidRDefault="00F972FA" w:rsidP="00E23FEF">
            <w:pPr>
              <w:snapToGrid w:val="0"/>
              <w:spacing w:before="0" w:after="0"/>
              <w:ind w:left="80"/>
              <w:jc w:val="left"/>
              <w:rPr>
                <w:color w:val="000000"/>
                <w:sz w:val="18"/>
                <w:szCs w:val="18"/>
              </w:rPr>
            </w:pPr>
          </w:p>
          <w:p w14:paraId="68319FA6" w14:textId="77777777" w:rsidR="00F972FA" w:rsidRDefault="00F972FA" w:rsidP="00E23FEF">
            <w:pPr>
              <w:snapToGrid w:val="0"/>
              <w:spacing w:before="0" w:after="0"/>
              <w:ind w:left="80"/>
              <w:jc w:val="left"/>
              <w:rPr>
                <w:color w:val="000000"/>
                <w:sz w:val="18"/>
                <w:szCs w:val="18"/>
              </w:rPr>
            </w:pPr>
          </w:p>
          <w:p w14:paraId="52C6835D" w14:textId="77777777" w:rsidR="00F972FA" w:rsidRDefault="00F972FA" w:rsidP="00E23FEF">
            <w:pPr>
              <w:snapToGrid w:val="0"/>
              <w:spacing w:before="0" w:after="0"/>
              <w:ind w:left="80"/>
              <w:jc w:val="left"/>
              <w:rPr>
                <w:color w:val="000000"/>
                <w:sz w:val="18"/>
                <w:szCs w:val="18"/>
              </w:rPr>
            </w:pPr>
          </w:p>
          <w:p w14:paraId="24AA5B62" w14:textId="77777777" w:rsidR="00F972FA" w:rsidRDefault="00F972FA" w:rsidP="00E23FEF">
            <w:pPr>
              <w:snapToGrid w:val="0"/>
              <w:spacing w:before="0" w:after="0"/>
              <w:ind w:left="80"/>
              <w:jc w:val="left"/>
              <w:rPr>
                <w:color w:val="000000"/>
                <w:sz w:val="18"/>
                <w:szCs w:val="18"/>
              </w:rPr>
            </w:pPr>
          </w:p>
          <w:p w14:paraId="368074DA" w14:textId="77777777" w:rsidR="00F972FA" w:rsidRDefault="00F972FA" w:rsidP="00E23FEF">
            <w:pPr>
              <w:snapToGrid w:val="0"/>
              <w:spacing w:before="0" w:after="0"/>
              <w:ind w:left="80"/>
              <w:jc w:val="left"/>
              <w:rPr>
                <w:color w:val="000000"/>
                <w:sz w:val="18"/>
                <w:szCs w:val="18"/>
              </w:rPr>
            </w:pPr>
          </w:p>
          <w:p w14:paraId="790F9626" w14:textId="77777777" w:rsidR="00F972FA" w:rsidRDefault="00F972FA" w:rsidP="00E23FEF">
            <w:pPr>
              <w:snapToGrid w:val="0"/>
              <w:spacing w:before="0" w:after="0"/>
              <w:ind w:left="80"/>
              <w:jc w:val="left"/>
              <w:rPr>
                <w:color w:val="000000"/>
                <w:sz w:val="18"/>
                <w:szCs w:val="18"/>
              </w:rPr>
            </w:pPr>
          </w:p>
          <w:p w14:paraId="66003088" w14:textId="77777777" w:rsidR="00F972FA" w:rsidRDefault="00F972FA" w:rsidP="00E23FEF">
            <w:pPr>
              <w:snapToGrid w:val="0"/>
              <w:spacing w:before="0" w:after="0"/>
              <w:ind w:left="80"/>
              <w:jc w:val="left"/>
              <w:rPr>
                <w:color w:val="000000"/>
                <w:sz w:val="18"/>
                <w:szCs w:val="18"/>
              </w:rPr>
            </w:pPr>
          </w:p>
          <w:p w14:paraId="3052ADA5" w14:textId="77777777" w:rsidR="00F972FA" w:rsidRDefault="00F972FA" w:rsidP="00E23FEF">
            <w:pPr>
              <w:snapToGrid w:val="0"/>
              <w:spacing w:before="0" w:after="0"/>
              <w:ind w:left="80"/>
              <w:jc w:val="left"/>
              <w:rPr>
                <w:color w:val="000000"/>
                <w:sz w:val="18"/>
                <w:szCs w:val="18"/>
              </w:rPr>
            </w:pPr>
          </w:p>
          <w:p w14:paraId="6EDC5D6B" w14:textId="77777777" w:rsidR="00F972FA" w:rsidRDefault="00F972FA" w:rsidP="00E23FEF">
            <w:pPr>
              <w:snapToGrid w:val="0"/>
              <w:spacing w:before="0" w:after="0"/>
              <w:ind w:left="80"/>
              <w:jc w:val="left"/>
              <w:rPr>
                <w:color w:val="000000"/>
                <w:sz w:val="18"/>
                <w:szCs w:val="18"/>
              </w:rPr>
            </w:pPr>
          </w:p>
          <w:p w14:paraId="16F8C0D8" w14:textId="77777777" w:rsidR="00F972FA" w:rsidRDefault="00F972FA" w:rsidP="00E23FEF">
            <w:pPr>
              <w:snapToGrid w:val="0"/>
              <w:spacing w:before="0" w:after="0"/>
              <w:ind w:left="80"/>
              <w:jc w:val="left"/>
              <w:rPr>
                <w:color w:val="000000"/>
                <w:sz w:val="18"/>
                <w:szCs w:val="18"/>
              </w:rPr>
            </w:pPr>
          </w:p>
          <w:p w14:paraId="600AD264" w14:textId="77777777" w:rsidR="00F972FA" w:rsidRDefault="00F972FA" w:rsidP="00E23FEF">
            <w:pPr>
              <w:snapToGrid w:val="0"/>
              <w:spacing w:before="0" w:after="0"/>
              <w:ind w:left="80"/>
              <w:jc w:val="left"/>
              <w:rPr>
                <w:color w:val="000000"/>
                <w:sz w:val="18"/>
                <w:szCs w:val="18"/>
              </w:rPr>
            </w:pPr>
          </w:p>
          <w:p w14:paraId="1A3641D0" w14:textId="77777777" w:rsidR="00F972FA" w:rsidRDefault="00F972FA" w:rsidP="00E23FEF">
            <w:pPr>
              <w:snapToGrid w:val="0"/>
              <w:spacing w:before="0" w:after="0"/>
              <w:ind w:left="80"/>
              <w:jc w:val="left"/>
              <w:rPr>
                <w:color w:val="000000"/>
                <w:sz w:val="18"/>
                <w:szCs w:val="18"/>
              </w:rPr>
            </w:pPr>
          </w:p>
          <w:p w14:paraId="2E87893A" w14:textId="77777777" w:rsidR="00F972FA" w:rsidRDefault="00F972FA" w:rsidP="00E23FEF">
            <w:pPr>
              <w:snapToGrid w:val="0"/>
              <w:spacing w:before="0" w:after="0"/>
              <w:ind w:left="80"/>
              <w:jc w:val="left"/>
              <w:rPr>
                <w:color w:val="000000"/>
                <w:sz w:val="18"/>
                <w:szCs w:val="18"/>
              </w:rPr>
            </w:pPr>
          </w:p>
          <w:p w14:paraId="20A8468C" w14:textId="77777777" w:rsidR="00F972FA" w:rsidRDefault="00F972FA" w:rsidP="00E23FEF">
            <w:pPr>
              <w:snapToGrid w:val="0"/>
              <w:spacing w:before="0" w:after="0"/>
              <w:ind w:left="80"/>
              <w:jc w:val="left"/>
              <w:rPr>
                <w:color w:val="000000"/>
                <w:sz w:val="18"/>
                <w:szCs w:val="18"/>
              </w:rPr>
            </w:pPr>
          </w:p>
          <w:p w14:paraId="72A71F7B" w14:textId="77777777" w:rsidR="00F972FA" w:rsidRDefault="00F972FA" w:rsidP="00E23FEF">
            <w:pPr>
              <w:snapToGrid w:val="0"/>
              <w:spacing w:before="0" w:after="0"/>
              <w:ind w:left="80"/>
              <w:jc w:val="left"/>
              <w:rPr>
                <w:color w:val="000000"/>
                <w:sz w:val="18"/>
                <w:szCs w:val="18"/>
              </w:rPr>
            </w:pPr>
          </w:p>
          <w:p w14:paraId="106F9B7C" w14:textId="77777777" w:rsidR="00F972FA" w:rsidRDefault="00F972FA" w:rsidP="00E23FEF">
            <w:pPr>
              <w:snapToGrid w:val="0"/>
              <w:spacing w:before="0" w:after="0"/>
              <w:ind w:left="80"/>
              <w:jc w:val="left"/>
              <w:rPr>
                <w:color w:val="000000"/>
                <w:sz w:val="18"/>
                <w:szCs w:val="18"/>
              </w:rPr>
            </w:pPr>
          </w:p>
          <w:p w14:paraId="24ACA9CF" w14:textId="77777777" w:rsidR="00F972FA" w:rsidRDefault="00F972FA" w:rsidP="00E23FEF">
            <w:pPr>
              <w:snapToGrid w:val="0"/>
              <w:spacing w:before="0" w:after="0"/>
              <w:ind w:left="80"/>
              <w:jc w:val="left"/>
              <w:rPr>
                <w:color w:val="000000"/>
                <w:sz w:val="18"/>
                <w:szCs w:val="18"/>
              </w:rPr>
            </w:pPr>
          </w:p>
          <w:p w14:paraId="0EFB21CD" w14:textId="77777777" w:rsidR="00F972FA" w:rsidRDefault="00F972FA" w:rsidP="00E23FEF">
            <w:pPr>
              <w:snapToGrid w:val="0"/>
              <w:spacing w:before="0" w:after="0"/>
              <w:ind w:left="80"/>
              <w:jc w:val="left"/>
              <w:rPr>
                <w:color w:val="000000"/>
                <w:sz w:val="18"/>
                <w:szCs w:val="18"/>
              </w:rPr>
            </w:pPr>
          </w:p>
          <w:p w14:paraId="534C6068" w14:textId="77777777" w:rsidR="00F972FA" w:rsidRDefault="00F972FA" w:rsidP="00E23FEF">
            <w:pPr>
              <w:snapToGrid w:val="0"/>
              <w:spacing w:before="0" w:after="0"/>
              <w:ind w:left="80"/>
              <w:jc w:val="left"/>
              <w:rPr>
                <w:color w:val="000000"/>
                <w:sz w:val="18"/>
                <w:szCs w:val="18"/>
              </w:rPr>
            </w:pPr>
          </w:p>
          <w:p w14:paraId="341B52B2" w14:textId="77777777" w:rsidR="00F972FA" w:rsidRDefault="00F972FA" w:rsidP="00E23FEF">
            <w:pPr>
              <w:snapToGrid w:val="0"/>
              <w:spacing w:before="0" w:after="0"/>
              <w:ind w:left="80"/>
              <w:jc w:val="left"/>
              <w:rPr>
                <w:color w:val="000000"/>
                <w:sz w:val="18"/>
                <w:szCs w:val="18"/>
              </w:rPr>
            </w:pPr>
          </w:p>
          <w:p w14:paraId="17403322" w14:textId="77777777" w:rsidR="00F972FA" w:rsidRDefault="00F972FA" w:rsidP="00E23FEF">
            <w:pPr>
              <w:snapToGrid w:val="0"/>
              <w:spacing w:before="0" w:after="0"/>
              <w:ind w:left="80"/>
              <w:jc w:val="left"/>
              <w:rPr>
                <w:color w:val="000000"/>
                <w:sz w:val="18"/>
                <w:szCs w:val="18"/>
              </w:rPr>
            </w:pPr>
          </w:p>
          <w:p w14:paraId="14F6693C" w14:textId="77777777" w:rsidR="00F972FA" w:rsidRDefault="00F972FA" w:rsidP="00E23FEF">
            <w:pPr>
              <w:snapToGrid w:val="0"/>
              <w:spacing w:before="0" w:after="0"/>
              <w:ind w:left="80"/>
              <w:jc w:val="left"/>
              <w:rPr>
                <w:color w:val="000000"/>
                <w:sz w:val="18"/>
                <w:szCs w:val="18"/>
              </w:rPr>
            </w:pPr>
          </w:p>
          <w:p w14:paraId="4C2FDA05" w14:textId="77777777" w:rsidR="00F972FA" w:rsidRDefault="00F972FA" w:rsidP="00E23FEF">
            <w:pPr>
              <w:snapToGrid w:val="0"/>
              <w:spacing w:before="0" w:after="0"/>
              <w:ind w:left="80"/>
              <w:jc w:val="left"/>
              <w:rPr>
                <w:color w:val="000000"/>
                <w:sz w:val="18"/>
                <w:szCs w:val="18"/>
              </w:rPr>
            </w:pPr>
          </w:p>
          <w:p w14:paraId="62CBC6A2" w14:textId="77777777" w:rsidR="00F972FA" w:rsidRDefault="00F972FA" w:rsidP="00E23FEF">
            <w:pPr>
              <w:snapToGrid w:val="0"/>
              <w:spacing w:before="0" w:after="0"/>
              <w:ind w:left="80"/>
              <w:jc w:val="left"/>
              <w:rPr>
                <w:color w:val="000000"/>
                <w:sz w:val="18"/>
                <w:szCs w:val="18"/>
              </w:rPr>
            </w:pPr>
          </w:p>
          <w:p w14:paraId="3E90265E" w14:textId="77777777" w:rsidR="00F972FA" w:rsidRDefault="00F972FA" w:rsidP="00E23FEF">
            <w:pPr>
              <w:snapToGrid w:val="0"/>
              <w:spacing w:before="0" w:after="0"/>
              <w:ind w:left="80"/>
              <w:jc w:val="left"/>
              <w:rPr>
                <w:color w:val="000000"/>
                <w:sz w:val="18"/>
                <w:szCs w:val="18"/>
              </w:rPr>
            </w:pPr>
          </w:p>
          <w:p w14:paraId="3B1CC51B" w14:textId="77777777" w:rsidR="00F972FA" w:rsidRDefault="00F972FA" w:rsidP="00E23FEF">
            <w:pPr>
              <w:snapToGrid w:val="0"/>
              <w:spacing w:before="0" w:after="0"/>
              <w:ind w:left="80"/>
              <w:jc w:val="left"/>
              <w:rPr>
                <w:color w:val="000000"/>
                <w:sz w:val="18"/>
                <w:szCs w:val="18"/>
              </w:rPr>
            </w:pPr>
          </w:p>
          <w:p w14:paraId="59C2784B" w14:textId="77777777" w:rsidR="00F972FA" w:rsidRDefault="00F972FA" w:rsidP="00E23FEF">
            <w:pPr>
              <w:snapToGrid w:val="0"/>
              <w:spacing w:before="0" w:after="0"/>
              <w:ind w:left="80"/>
              <w:jc w:val="left"/>
              <w:rPr>
                <w:color w:val="000000"/>
                <w:sz w:val="18"/>
                <w:szCs w:val="18"/>
              </w:rPr>
            </w:pPr>
          </w:p>
          <w:p w14:paraId="148DCD22" w14:textId="77777777" w:rsidR="00F972FA" w:rsidRDefault="00F972FA" w:rsidP="00E23FEF">
            <w:pPr>
              <w:snapToGrid w:val="0"/>
              <w:spacing w:before="0" w:after="0"/>
              <w:ind w:left="80"/>
              <w:jc w:val="left"/>
              <w:rPr>
                <w:color w:val="000000"/>
                <w:sz w:val="18"/>
                <w:szCs w:val="18"/>
              </w:rPr>
            </w:pPr>
          </w:p>
          <w:p w14:paraId="1F035CCF" w14:textId="77777777" w:rsidR="00F972FA" w:rsidRDefault="00F972FA" w:rsidP="00E23FEF">
            <w:pPr>
              <w:snapToGrid w:val="0"/>
              <w:spacing w:before="0" w:after="0"/>
              <w:ind w:left="80"/>
              <w:jc w:val="left"/>
              <w:rPr>
                <w:color w:val="000000"/>
                <w:sz w:val="18"/>
                <w:szCs w:val="18"/>
              </w:rPr>
            </w:pPr>
          </w:p>
          <w:p w14:paraId="5F0C214D" w14:textId="77777777" w:rsidR="00F972FA" w:rsidRDefault="00F972FA" w:rsidP="00E23FEF">
            <w:pPr>
              <w:snapToGrid w:val="0"/>
              <w:spacing w:before="0" w:after="0"/>
              <w:ind w:left="80"/>
              <w:jc w:val="left"/>
              <w:rPr>
                <w:color w:val="000000"/>
                <w:sz w:val="18"/>
                <w:szCs w:val="18"/>
              </w:rPr>
            </w:pPr>
          </w:p>
          <w:p w14:paraId="6F667856" w14:textId="77777777" w:rsidR="00F972FA" w:rsidRDefault="00F972FA" w:rsidP="00E23FEF">
            <w:pPr>
              <w:snapToGrid w:val="0"/>
              <w:spacing w:before="0" w:after="0"/>
              <w:ind w:left="80"/>
              <w:jc w:val="left"/>
              <w:rPr>
                <w:color w:val="000000"/>
                <w:sz w:val="18"/>
                <w:szCs w:val="18"/>
              </w:rPr>
            </w:pPr>
          </w:p>
          <w:p w14:paraId="492374A0" w14:textId="77777777" w:rsidR="00F972FA" w:rsidRDefault="00F972FA" w:rsidP="00E23FEF">
            <w:pPr>
              <w:snapToGrid w:val="0"/>
              <w:spacing w:before="0" w:after="0"/>
              <w:ind w:left="80"/>
              <w:jc w:val="left"/>
              <w:rPr>
                <w:color w:val="000000"/>
                <w:sz w:val="18"/>
                <w:szCs w:val="18"/>
              </w:rPr>
            </w:pPr>
          </w:p>
          <w:p w14:paraId="703E01DA" w14:textId="77777777" w:rsidR="00F972FA" w:rsidRDefault="00F972FA" w:rsidP="00E23FEF">
            <w:pPr>
              <w:snapToGrid w:val="0"/>
              <w:spacing w:before="0" w:after="0"/>
              <w:ind w:left="80"/>
              <w:jc w:val="left"/>
              <w:rPr>
                <w:color w:val="000000"/>
                <w:sz w:val="18"/>
                <w:szCs w:val="18"/>
              </w:rPr>
            </w:pPr>
          </w:p>
          <w:p w14:paraId="15D9FF56" w14:textId="77777777" w:rsidR="00F972FA" w:rsidRDefault="00F972FA" w:rsidP="00E23FEF">
            <w:pPr>
              <w:snapToGrid w:val="0"/>
              <w:spacing w:before="0" w:after="0"/>
              <w:ind w:left="80"/>
              <w:jc w:val="left"/>
              <w:rPr>
                <w:color w:val="000000"/>
                <w:sz w:val="18"/>
                <w:szCs w:val="18"/>
              </w:rPr>
            </w:pPr>
          </w:p>
          <w:p w14:paraId="67253286" w14:textId="77777777" w:rsidR="00F972FA" w:rsidRDefault="00F972FA" w:rsidP="00E23FEF">
            <w:pPr>
              <w:snapToGrid w:val="0"/>
              <w:spacing w:before="0" w:after="0"/>
              <w:ind w:left="80"/>
              <w:jc w:val="left"/>
              <w:rPr>
                <w:color w:val="000000"/>
                <w:sz w:val="18"/>
                <w:szCs w:val="18"/>
              </w:rPr>
            </w:pPr>
          </w:p>
          <w:p w14:paraId="191025EF" w14:textId="77777777" w:rsidR="00F972FA" w:rsidRDefault="00F972FA" w:rsidP="00E23FEF">
            <w:pPr>
              <w:snapToGrid w:val="0"/>
              <w:spacing w:before="0" w:after="0"/>
              <w:ind w:left="80"/>
              <w:jc w:val="left"/>
              <w:rPr>
                <w:color w:val="000000"/>
                <w:sz w:val="18"/>
                <w:szCs w:val="18"/>
              </w:rPr>
            </w:pPr>
          </w:p>
          <w:p w14:paraId="1B8C00D7" w14:textId="77777777" w:rsidR="00F972FA" w:rsidRDefault="00F972FA" w:rsidP="00E23FEF">
            <w:pPr>
              <w:snapToGrid w:val="0"/>
              <w:spacing w:before="0" w:after="0"/>
              <w:ind w:left="80"/>
              <w:jc w:val="left"/>
              <w:rPr>
                <w:color w:val="000000"/>
                <w:sz w:val="18"/>
                <w:szCs w:val="18"/>
              </w:rPr>
            </w:pPr>
          </w:p>
          <w:p w14:paraId="650908BA" w14:textId="77777777" w:rsidR="00F972FA" w:rsidRDefault="00F972FA" w:rsidP="00E23FEF">
            <w:pPr>
              <w:snapToGrid w:val="0"/>
              <w:spacing w:before="0" w:after="0"/>
              <w:ind w:left="80"/>
              <w:jc w:val="left"/>
              <w:rPr>
                <w:color w:val="000000"/>
                <w:sz w:val="18"/>
                <w:szCs w:val="18"/>
              </w:rPr>
            </w:pPr>
          </w:p>
          <w:p w14:paraId="26A0B27F" w14:textId="77777777" w:rsidR="00F972FA" w:rsidRDefault="00F972FA" w:rsidP="00E23FEF">
            <w:pPr>
              <w:snapToGrid w:val="0"/>
              <w:spacing w:before="0" w:after="0"/>
              <w:ind w:left="80"/>
              <w:jc w:val="left"/>
              <w:rPr>
                <w:color w:val="000000"/>
                <w:sz w:val="18"/>
                <w:szCs w:val="18"/>
              </w:rPr>
            </w:pPr>
          </w:p>
          <w:p w14:paraId="7DEC6D54" w14:textId="77777777" w:rsidR="00F972FA" w:rsidRDefault="00F972FA" w:rsidP="00E23FEF">
            <w:pPr>
              <w:snapToGrid w:val="0"/>
              <w:spacing w:before="0" w:after="0"/>
              <w:ind w:left="80"/>
              <w:jc w:val="left"/>
              <w:rPr>
                <w:color w:val="000000"/>
                <w:sz w:val="18"/>
                <w:szCs w:val="18"/>
              </w:rPr>
            </w:pPr>
          </w:p>
          <w:p w14:paraId="722B1C62" w14:textId="77777777" w:rsidR="00F972FA" w:rsidRDefault="00F972FA" w:rsidP="00E23FEF">
            <w:pPr>
              <w:snapToGrid w:val="0"/>
              <w:spacing w:before="0" w:after="0"/>
              <w:ind w:left="80"/>
              <w:jc w:val="left"/>
              <w:rPr>
                <w:color w:val="000000"/>
                <w:sz w:val="18"/>
                <w:szCs w:val="18"/>
              </w:rPr>
            </w:pPr>
          </w:p>
          <w:p w14:paraId="7AECD8F4" w14:textId="77777777" w:rsidR="00F972FA" w:rsidRDefault="00F972FA" w:rsidP="00E23FEF">
            <w:pPr>
              <w:snapToGrid w:val="0"/>
              <w:spacing w:before="0" w:after="0"/>
              <w:ind w:left="80"/>
              <w:jc w:val="left"/>
              <w:rPr>
                <w:color w:val="000000"/>
                <w:sz w:val="18"/>
                <w:szCs w:val="18"/>
              </w:rPr>
            </w:pPr>
          </w:p>
          <w:p w14:paraId="6B4C047F" w14:textId="77777777" w:rsidR="00F972FA" w:rsidRDefault="00F972FA" w:rsidP="00E23FEF">
            <w:pPr>
              <w:snapToGrid w:val="0"/>
              <w:spacing w:before="0" w:after="0"/>
              <w:ind w:left="80"/>
              <w:jc w:val="left"/>
              <w:rPr>
                <w:color w:val="000000"/>
                <w:sz w:val="18"/>
                <w:szCs w:val="18"/>
              </w:rPr>
            </w:pPr>
          </w:p>
          <w:p w14:paraId="5E555FB7" w14:textId="77777777" w:rsidR="00F972FA" w:rsidRDefault="00F972FA" w:rsidP="00E23FEF">
            <w:pPr>
              <w:snapToGrid w:val="0"/>
              <w:spacing w:before="0" w:after="0"/>
              <w:ind w:left="80"/>
              <w:jc w:val="left"/>
              <w:rPr>
                <w:color w:val="000000"/>
                <w:sz w:val="18"/>
                <w:szCs w:val="18"/>
              </w:rPr>
            </w:pPr>
          </w:p>
          <w:p w14:paraId="0C45D8C2" w14:textId="77777777" w:rsidR="00F972FA" w:rsidRDefault="00F972FA" w:rsidP="00E23FEF">
            <w:pPr>
              <w:snapToGrid w:val="0"/>
              <w:spacing w:before="0" w:after="0"/>
              <w:ind w:left="80"/>
              <w:jc w:val="left"/>
              <w:rPr>
                <w:color w:val="000000"/>
                <w:sz w:val="18"/>
                <w:szCs w:val="18"/>
              </w:rPr>
            </w:pPr>
          </w:p>
          <w:p w14:paraId="6E9945D1" w14:textId="77777777" w:rsidR="00F972FA" w:rsidRDefault="00F972FA" w:rsidP="00E23FEF">
            <w:pPr>
              <w:snapToGrid w:val="0"/>
              <w:spacing w:before="0" w:after="0"/>
              <w:ind w:left="80"/>
              <w:jc w:val="left"/>
              <w:rPr>
                <w:color w:val="000000"/>
                <w:sz w:val="18"/>
                <w:szCs w:val="18"/>
              </w:rPr>
            </w:pPr>
          </w:p>
          <w:p w14:paraId="09185DBD" w14:textId="77777777" w:rsidR="00F972FA" w:rsidRDefault="00F972FA" w:rsidP="00E23FEF">
            <w:pPr>
              <w:snapToGrid w:val="0"/>
              <w:spacing w:before="0" w:after="0"/>
              <w:ind w:left="80"/>
              <w:jc w:val="left"/>
              <w:rPr>
                <w:color w:val="000000"/>
                <w:sz w:val="18"/>
                <w:szCs w:val="18"/>
              </w:rPr>
            </w:pPr>
          </w:p>
          <w:p w14:paraId="06D0C40D" w14:textId="77777777" w:rsidR="00F972FA" w:rsidRDefault="00F972FA" w:rsidP="00E23FEF">
            <w:pPr>
              <w:snapToGrid w:val="0"/>
              <w:spacing w:before="0" w:after="0"/>
              <w:ind w:left="80"/>
              <w:jc w:val="left"/>
              <w:rPr>
                <w:color w:val="000000"/>
                <w:sz w:val="18"/>
                <w:szCs w:val="18"/>
              </w:rPr>
            </w:pPr>
          </w:p>
          <w:p w14:paraId="11FDD688" w14:textId="77777777" w:rsidR="00F972FA" w:rsidRDefault="00F972FA" w:rsidP="00E23FEF">
            <w:pPr>
              <w:snapToGrid w:val="0"/>
              <w:spacing w:before="0" w:after="0"/>
              <w:ind w:left="80"/>
              <w:jc w:val="left"/>
              <w:rPr>
                <w:color w:val="000000"/>
                <w:sz w:val="18"/>
                <w:szCs w:val="18"/>
              </w:rPr>
            </w:pPr>
          </w:p>
          <w:p w14:paraId="521BCE89" w14:textId="77777777" w:rsidR="00F972FA" w:rsidRDefault="00F972FA" w:rsidP="00E23FEF">
            <w:pPr>
              <w:snapToGrid w:val="0"/>
              <w:spacing w:before="0" w:after="0"/>
              <w:ind w:left="80"/>
              <w:jc w:val="left"/>
              <w:rPr>
                <w:color w:val="000000"/>
                <w:sz w:val="18"/>
                <w:szCs w:val="18"/>
              </w:rPr>
            </w:pPr>
          </w:p>
          <w:p w14:paraId="0FCF4147" w14:textId="77777777" w:rsidR="00F972FA" w:rsidRDefault="00F972FA" w:rsidP="00E23FEF">
            <w:pPr>
              <w:snapToGrid w:val="0"/>
              <w:spacing w:before="0" w:after="0"/>
              <w:ind w:left="80"/>
              <w:jc w:val="left"/>
              <w:rPr>
                <w:color w:val="000000"/>
                <w:sz w:val="18"/>
                <w:szCs w:val="18"/>
              </w:rPr>
            </w:pPr>
          </w:p>
          <w:p w14:paraId="1D07FCAA" w14:textId="77777777" w:rsidR="00F972FA" w:rsidRDefault="00F972FA" w:rsidP="00E23FEF">
            <w:pPr>
              <w:snapToGrid w:val="0"/>
              <w:spacing w:before="0" w:after="0"/>
              <w:ind w:left="80"/>
              <w:jc w:val="left"/>
              <w:rPr>
                <w:color w:val="000000"/>
                <w:sz w:val="18"/>
                <w:szCs w:val="18"/>
              </w:rPr>
            </w:pPr>
          </w:p>
          <w:p w14:paraId="5674BE41" w14:textId="77777777" w:rsidR="00F972FA" w:rsidRDefault="00F972FA" w:rsidP="00E23FEF">
            <w:pPr>
              <w:snapToGrid w:val="0"/>
              <w:spacing w:before="0" w:after="0"/>
              <w:ind w:left="80"/>
              <w:jc w:val="left"/>
              <w:rPr>
                <w:color w:val="000000"/>
                <w:sz w:val="18"/>
                <w:szCs w:val="18"/>
              </w:rPr>
            </w:pPr>
          </w:p>
          <w:p w14:paraId="57B39BCE" w14:textId="77777777" w:rsidR="00F972FA" w:rsidRDefault="00F972FA" w:rsidP="00E23FEF">
            <w:pPr>
              <w:snapToGrid w:val="0"/>
              <w:spacing w:before="0" w:after="0"/>
              <w:ind w:left="80"/>
              <w:jc w:val="left"/>
              <w:rPr>
                <w:color w:val="000000"/>
                <w:sz w:val="18"/>
                <w:szCs w:val="18"/>
              </w:rPr>
            </w:pPr>
          </w:p>
          <w:p w14:paraId="206CFFA9" w14:textId="77777777" w:rsidR="00F972FA" w:rsidRDefault="00F972FA" w:rsidP="00E23FEF">
            <w:pPr>
              <w:snapToGrid w:val="0"/>
              <w:spacing w:before="0" w:after="0"/>
              <w:ind w:left="80"/>
              <w:jc w:val="left"/>
              <w:rPr>
                <w:color w:val="000000"/>
                <w:sz w:val="18"/>
                <w:szCs w:val="18"/>
              </w:rPr>
            </w:pPr>
          </w:p>
          <w:p w14:paraId="1098B75C" w14:textId="77777777" w:rsidR="00F972FA" w:rsidRDefault="00F972FA" w:rsidP="00E23FEF">
            <w:pPr>
              <w:snapToGrid w:val="0"/>
              <w:spacing w:before="0" w:after="0"/>
              <w:ind w:left="80"/>
              <w:jc w:val="left"/>
              <w:rPr>
                <w:color w:val="000000"/>
                <w:sz w:val="18"/>
                <w:szCs w:val="18"/>
              </w:rPr>
            </w:pPr>
          </w:p>
          <w:p w14:paraId="4DBF0A68" w14:textId="77777777" w:rsidR="00F972FA" w:rsidRDefault="00F972FA" w:rsidP="00E23FEF">
            <w:pPr>
              <w:snapToGrid w:val="0"/>
              <w:spacing w:before="0" w:after="0"/>
              <w:ind w:left="80"/>
              <w:jc w:val="left"/>
              <w:rPr>
                <w:color w:val="000000"/>
                <w:sz w:val="18"/>
                <w:szCs w:val="18"/>
              </w:rPr>
            </w:pPr>
          </w:p>
          <w:p w14:paraId="34FF0449" w14:textId="77777777" w:rsidR="00F972FA" w:rsidRDefault="00F972FA" w:rsidP="00E23FEF">
            <w:pPr>
              <w:snapToGrid w:val="0"/>
              <w:spacing w:before="0" w:after="0"/>
              <w:ind w:left="80"/>
              <w:jc w:val="left"/>
              <w:rPr>
                <w:color w:val="000000"/>
                <w:sz w:val="18"/>
                <w:szCs w:val="18"/>
              </w:rPr>
            </w:pPr>
          </w:p>
          <w:p w14:paraId="36542974" w14:textId="77777777" w:rsidR="00F972FA" w:rsidRDefault="00F972FA" w:rsidP="00E23FEF">
            <w:pPr>
              <w:snapToGrid w:val="0"/>
              <w:spacing w:before="0" w:after="0"/>
              <w:ind w:left="80"/>
              <w:jc w:val="left"/>
              <w:rPr>
                <w:color w:val="000000"/>
                <w:sz w:val="18"/>
                <w:szCs w:val="18"/>
              </w:rPr>
            </w:pPr>
          </w:p>
          <w:p w14:paraId="55C7252D" w14:textId="77777777" w:rsidR="00F972FA" w:rsidRDefault="00F972FA" w:rsidP="00E23FEF">
            <w:pPr>
              <w:snapToGrid w:val="0"/>
              <w:spacing w:before="0" w:after="0"/>
              <w:ind w:left="80"/>
              <w:jc w:val="left"/>
              <w:rPr>
                <w:color w:val="000000"/>
                <w:sz w:val="18"/>
                <w:szCs w:val="18"/>
              </w:rPr>
            </w:pPr>
            <w:r w:rsidRPr="00F972FA">
              <w:rPr>
                <w:color w:val="000000"/>
                <w:sz w:val="18"/>
                <w:szCs w:val="18"/>
              </w:rPr>
              <w:t>NO</w:t>
            </w:r>
          </w:p>
          <w:p w14:paraId="53EA079D" w14:textId="77777777" w:rsidR="00F972FA" w:rsidRDefault="00F972FA" w:rsidP="00E23FEF">
            <w:pPr>
              <w:snapToGrid w:val="0"/>
              <w:spacing w:before="0" w:after="0"/>
              <w:ind w:left="80"/>
              <w:jc w:val="left"/>
              <w:rPr>
                <w:color w:val="000000"/>
                <w:sz w:val="18"/>
                <w:szCs w:val="18"/>
              </w:rPr>
            </w:pPr>
          </w:p>
          <w:p w14:paraId="5432EAD3" w14:textId="77777777" w:rsidR="00252BC8" w:rsidRDefault="00252BC8" w:rsidP="00E23FEF">
            <w:pPr>
              <w:snapToGrid w:val="0"/>
              <w:spacing w:before="0" w:after="0"/>
              <w:ind w:left="80"/>
              <w:jc w:val="left"/>
              <w:rPr>
                <w:color w:val="000000"/>
                <w:sz w:val="18"/>
                <w:szCs w:val="18"/>
              </w:rPr>
            </w:pPr>
          </w:p>
          <w:p w14:paraId="406783DC" w14:textId="77777777" w:rsidR="00252BC8" w:rsidRDefault="00252BC8" w:rsidP="00E23FEF">
            <w:pPr>
              <w:snapToGrid w:val="0"/>
              <w:spacing w:before="0" w:after="0"/>
              <w:ind w:left="80"/>
              <w:jc w:val="left"/>
              <w:rPr>
                <w:color w:val="000000"/>
                <w:sz w:val="18"/>
                <w:szCs w:val="18"/>
              </w:rPr>
            </w:pPr>
          </w:p>
          <w:p w14:paraId="5E3A5547" w14:textId="77777777" w:rsidR="00252BC8" w:rsidRDefault="00252BC8" w:rsidP="00E23FEF">
            <w:pPr>
              <w:snapToGrid w:val="0"/>
              <w:spacing w:before="0" w:after="0"/>
              <w:ind w:left="80"/>
              <w:jc w:val="left"/>
              <w:rPr>
                <w:color w:val="000000"/>
                <w:sz w:val="18"/>
                <w:szCs w:val="18"/>
              </w:rPr>
            </w:pPr>
          </w:p>
          <w:p w14:paraId="7EE67422" w14:textId="77777777" w:rsidR="00252BC8" w:rsidRDefault="00252BC8" w:rsidP="00E23FEF">
            <w:pPr>
              <w:snapToGrid w:val="0"/>
              <w:spacing w:before="0" w:after="0"/>
              <w:ind w:left="80"/>
              <w:jc w:val="left"/>
              <w:rPr>
                <w:color w:val="000000"/>
                <w:sz w:val="18"/>
                <w:szCs w:val="18"/>
              </w:rPr>
            </w:pPr>
          </w:p>
          <w:p w14:paraId="6A023968" w14:textId="77777777" w:rsidR="00252BC8" w:rsidRDefault="00252BC8" w:rsidP="00E23FEF">
            <w:pPr>
              <w:snapToGrid w:val="0"/>
              <w:spacing w:before="0" w:after="0"/>
              <w:ind w:left="80"/>
              <w:jc w:val="left"/>
              <w:rPr>
                <w:color w:val="000000"/>
                <w:sz w:val="18"/>
                <w:szCs w:val="18"/>
              </w:rPr>
            </w:pPr>
          </w:p>
          <w:p w14:paraId="72612AC3" w14:textId="77777777" w:rsidR="00252BC8" w:rsidRDefault="00252BC8" w:rsidP="00E23FEF">
            <w:pPr>
              <w:snapToGrid w:val="0"/>
              <w:spacing w:before="0" w:after="0"/>
              <w:ind w:left="80"/>
              <w:jc w:val="left"/>
              <w:rPr>
                <w:color w:val="000000"/>
                <w:sz w:val="18"/>
                <w:szCs w:val="18"/>
              </w:rPr>
            </w:pPr>
          </w:p>
          <w:p w14:paraId="14B26ED5" w14:textId="77777777" w:rsidR="00252BC8" w:rsidRDefault="00252BC8" w:rsidP="00E23FEF">
            <w:pPr>
              <w:snapToGrid w:val="0"/>
              <w:spacing w:before="0" w:after="0"/>
              <w:ind w:left="80"/>
              <w:jc w:val="left"/>
              <w:rPr>
                <w:color w:val="000000"/>
                <w:sz w:val="18"/>
                <w:szCs w:val="18"/>
              </w:rPr>
            </w:pPr>
          </w:p>
          <w:p w14:paraId="1C529BC0" w14:textId="77777777" w:rsidR="00252BC8" w:rsidRDefault="00252BC8" w:rsidP="00E23FEF">
            <w:pPr>
              <w:snapToGrid w:val="0"/>
              <w:spacing w:before="0" w:after="0"/>
              <w:ind w:left="80"/>
              <w:jc w:val="left"/>
              <w:rPr>
                <w:color w:val="000000"/>
                <w:sz w:val="18"/>
                <w:szCs w:val="18"/>
              </w:rPr>
            </w:pPr>
          </w:p>
          <w:p w14:paraId="282DDB56" w14:textId="77777777" w:rsidR="00252BC8" w:rsidRDefault="00252BC8" w:rsidP="00E23FEF">
            <w:pPr>
              <w:snapToGrid w:val="0"/>
              <w:spacing w:before="0" w:after="0"/>
              <w:ind w:left="80"/>
              <w:jc w:val="left"/>
              <w:rPr>
                <w:color w:val="000000"/>
                <w:sz w:val="18"/>
                <w:szCs w:val="18"/>
              </w:rPr>
            </w:pPr>
          </w:p>
          <w:p w14:paraId="024429C5" w14:textId="77777777" w:rsidR="00252BC8" w:rsidRDefault="00252BC8" w:rsidP="00E23FEF">
            <w:pPr>
              <w:snapToGrid w:val="0"/>
              <w:spacing w:before="0" w:after="0"/>
              <w:ind w:left="80"/>
              <w:jc w:val="left"/>
              <w:rPr>
                <w:color w:val="000000"/>
                <w:sz w:val="18"/>
                <w:szCs w:val="18"/>
              </w:rPr>
            </w:pPr>
          </w:p>
          <w:p w14:paraId="0C030E89" w14:textId="77777777" w:rsidR="00252BC8" w:rsidRDefault="00252BC8" w:rsidP="00E23FEF">
            <w:pPr>
              <w:snapToGrid w:val="0"/>
              <w:spacing w:before="0" w:after="0"/>
              <w:ind w:left="80"/>
              <w:jc w:val="left"/>
              <w:rPr>
                <w:color w:val="000000"/>
                <w:sz w:val="18"/>
                <w:szCs w:val="18"/>
              </w:rPr>
            </w:pPr>
          </w:p>
          <w:p w14:paraId="6C515870" w14:textId="77777777" w:rsidR="00252BC8" w:rsidRDefault="00252BC8" w:rsidP="00E23FEF">
            <w:pPr>
              <w:snapToGrid w:val="0"/>
              <w:spacing w:before="0" w:after="0"/>
              <w:ind w:left="80"/>
              <w:jc w:val="left"/>
              <w:rPr>
                <w:color w:val="000000"/>
                <w:sz w:val="18"/>
                <w:szCs w:val="18"/>
              </w:rPr>
            </w:pPr>
          </w:p>
          <w:p w14:paraId="07BABA24" w14:textId="77777777" w:rsidR="00252BC8" w:rsidRDefault="00252BC8" w:rsidP="00E23FEF">
            <w:pPr>
              <w:snapToGrid w:val="0"/>
              <w:spacing w:before="0" w:after="0"/>
              <w:ind w:left="80"/>
              <w:jc w:val="left"/>
              <w:rPr>
                <w:color w:val="000000"/>
                <w:sz w:val="18"/>
                <w:szCs w:val="18"/>
              </w:rPr>
            </w:pPr>
          </w:p>
          <w:p w14:paraId="2183AC34" w14:textId="77777777" w:rsidR="00252BC8" w:rsidRDefault="00252BC8" w:rsidP="00E23FEF">
            <w:pPr>
              <w:snapToGrid w:val="0"/>
              <w:spacing w:before="0" w:after="0"/>
              <w:ind w:left="80"/>
              <w:jc w:val="left"/>
              <w:rPr>
                <w:color w:val="000000"/>
                <w:sz w:val="18"/>
                <w:szCs w:val="18"/>
              </w:rPr>
            </w:pPr>
          </w:p>
          <w:p w14:paraId="53721869" w14:textId="77777777" w:rsidR="00252BC8" w:rsidRDefault="00252BC8" w:rsidP="00E23FEF">
            <w:pPr>
              <w:snapToGrid w:val="0"/>
              <w:spacing w:before="0" w:after="0"/>
              <w:ind w:left="80"/>
              <w:jc w:val="left"/>
              <w:rPr>
                <w:color w:val="000000"/>
                <w:sz w:val="18"/>
                <w:szCs w:val="18"/>
              </w:rPr>
            </w:pPr>
          </w:p>
          <w:p w14:paraId="5B1F65F6" w14:textId="77777777" w:rsidR="00252BC8" w:rsidRDefault="00252BC8" w:rsidP="00E23FEF">
            <w:pPr>
              <w:snapToGrid w:val="0"/>
              <w:spacing w:before="0" w:after="0"/>
              <w:ind w:left="80"/>
              <w:jc w:val="left"/>
              <w:rPr>
                <w:color w:val="000000"/>
                <w:sz w:val="18"/>
                <w:szCs w:val="18"/>
              </w:rPr>
            </w:pPr>
          </w:p>
          <w:p w14:paraId="5E9764D5" w14:textId="77777777" w:rsidR="00252BC8" w:rsidRDefault="00252BC8" w:rsidP="00E23FEF">
            <w:pPr>
              <w:snapToGrid w:val="0"/>
              <w:spacing w:before="0" w:after="0"/>
              <w:ind w:left="80"/>
              <w:jc w:val="left"/>
              <w:rPr>
                <w:color w:val="000000"/>
                <w:sz w:val="18"/>
                <w:szCs w:val="18"/>
              </w:rPr>
            </w:pPr>
          </w:p>
          <w:p w14:paraId="710430BE" w14:textId="77777777" w:rsidR="00252BC8" w:rsidRDefault="00252BC8" w:rsidP="00E23FEF">
            <w:pPr>
              <w:snapToGrid w:val="0"/>
              <w:spacing w:before="0" w:after="0"/>
              <w:ind w:left="80"/>
              <w:jc w:val="left"/>
              <w:rPr>
                <w:color w:val="000000"/>
                <w:sz w:val="18"/>
                <w:szCs w:val="18"/>
              </w:rPr>
            </w:pPr>
          </w:p>
          <w:p w14:paraId="48CEE268" w14:textId="77777777" w:rsidR="00252BC8" w:rsidRDefault="00252BC8" w:rsidP="00E23FEF">
            <w:pPr>
              <w:snapToGrid w:val="0"/>
              <w:spacing w:before="0" w:after="0"/>
              <w:ind w:left="80"/>
              <w:jc w:val="left"/>
              <w:rPr>
                <w:color w:val="000000"/>
                <w:sz w:val="18"/>
                <w:szCs w:val="18"/>
              </w:rPr>
            </w:pPr>
          </w:p>
          <w:p w14:paraId="43D09383" w14:textId="77777777" w:rsidR="00252BC8" w:rsidRDefault="00252BC8" w:rsidP="00E23FEF">
            <w:pPr>
              <w:snapToGrid w:val="0"/>
              <w:spacing w:before="0" w:after="0"/>
              <w:ind w:left="80"/>
              <w:jc w:val="left"/>
              <w:rPr>
                <w:color w:val="000000"/>
                <w:sz w:val="18"/>
                <w:szCs w:val="18"/>
              </w:rPr>
            </w:pPr>
          </w:p>
          <w:p w14:paraId="33B7D95D" w14:textId="77777777" w:rsidR="00252BC8" w:rsidRDefault="00252BC8" w:rsidP="00E23FEF">
            <w:pPr>
              <w:snapToGrid w:val="0"/>
              <w:spacing w:before="0" w:after="0"/>
              <w:ind w:left="80"/>
              <w:jc w:val="left"/>
              <w:rPr>
                <w:color w:val="000000"/>
                <w:sz w:val="18"/>
                <w:szCs w:val="18"/>
              </w:rPr>
            </w:pPr>
          </w:p>
          <w:p w14:paraId="2F1A9748" w14:textId="77777777" w:rsidR="00252BC8" w:rsidRDefault="00252BC8" w:rsidP="00E23FEF">
            <w:pPr>
              <w:snapToGrid w:val="0"/>
              <w:spacing w:before="0" w:after="0"/>
              <w:ind w:left="80"/>
              <w:jc w:val="left"/>
              <w:rPr>
                <w:color w:val="000000"/>
                <w:sz w:val="18"/>
                <w:szCs w:val="18"/>
              </w:rPr>
            </w:pPr>
          </w:p>
          <w:p w14:paraId="2A2A7E79" w14:textId="77777777" w:rsidR="00252BC8" w:rsidRDefault="00252BC8" w:rsidP="00E23FEF">
            <w:pPr>
              <w:snapToGrid w:val="0"/>
              <w:spacing w:before="0" w:after="0"/>
              <w:ind w:left="80"/>
              <w:jc w:val="left"/>
              <w:rPr>
                <w:color w:val="000000"/>
                <w:sz w:val="18"/>
                <w:szCs w:val="18"/>
              </w:rPr>
            </w:pPr>
          </w:p>
          <w:p w14:paraId="3B42AF37" w14:textId="77777777" w:rsidR="00252BC8" w:rsidRDefault="00252BC8" w:rsidP="00E23FEF">
            <w:pPr>
              <w:snapToGrid w:val="0"/>
              <w:spacing w:before="0" w:after="0"/>
              <w:ind w:left="80"/>
              <w:jc w:val="left"/>
              <w:rPr>
                <w:color w:val="000000"/>
                <w:sz w:val="18"/>
                <w:szCs w:val="18"/>
              </w:rPr>
            </w:pPr>
          </w:p>
          <w:p w14:paraId="0848A0DC" w14:textId="77777777" w:rsidR="00252BC8" w:rsidRDefault="00252BC8" w:rsidP="00E23FEF">
            <w:pPr>
              <w:snapToGrid w:val="0"/>
              <w:spacing w:before="0" w:after="0"/>
              <w:ind w:left="80"/>
              <w:jc w:val="left"/>
              <w:rPr>
                <w:color w:val="000000"/>
                <w:sz w:val="18"/>
                <w:szCs w:val="18"/>
              </w:rPr>
            </w:pPr>
          </w:p>
          <w:p w14:paraId="654FBD29" w14:textId="77777777" w:rsidR="00252BC8" w:rsidRDefault="00252BC8" w:rsidP="00E23FEF">
            <w:pPr>
              <w:snapToGrid w:val="0"/>
              <w:spacing w:before="0" w:after="0"/>
              <w:ind w:left="80"/>
              <w:jc w:val="left"/>
              <w:rPr>
                <w:color w:val="000000"/>
                <w:sz w:val="18"/>
                <w:szCs w:val="18"/>
              </w:rPr>
            </w:pPr>
          </w:p>
          <w:p w14:paraId="3F18B24C" w14:textId="77777777" w:rsidR="00252BC8" w:rsidRDefault="00252BC8" w:rsidP="00E23FEF">
            <w:pPr>
              <w:snapToGrid w:val="0"/>
              <w:spacing w:before="0" w:after="0"/>
              <w:ind w:left="80"/>
              <w:jc w:val="left"/>
              <w:rPr>
                <w:color w:val="000000"/>
                <w:sz w:val="18"/>
                <w:szCs w:val="18"/>
              </w:rPr>
            </w:pPr>
          </w:p>
          <w:p w14:paraId="317CF6BC" w14:textId="77777777" w:rsidR="00252BC8" w:rsidRDefault="00252BC8" w:rsidP="00E23FEF">
            <w:pPr>
              <w:snapToGrid w:val="0"/>
              <w:spacing w:before="0" w:after="0"/>
              <w:ind w:left="80"/>
              <w:jc w:val="left"/>
              <w:rPr>
                <w:color w:val="000000"/>
                <w:sz w:val="18"/>
                <w:szCs w:val="18"/>
              </w:rPr>
            </w:pPr>
          </w:p>
          <w:p w14:paraId="22125E12" w14:textId="77777777" w:rsidR="00252BC8" w:rsidRDefault="00252BC8" w:rsidP="00E23FEF">
            <w:pPr>
              <w:snapToGrid w:val="0"/>
              <w:spacing w:before="0" w:after="0"/>
              <w:ind w:left="80"/>
              <w:jc w:val="left"/>
              <w:rPr>
                <w:color w:val="000000"/>
                <w:sz w:val="18"/>
                <w:szCs w:val="18"/>
              </w:rPr>
            </w:pPr>
          </w:p>
          <w:p w14:paraId="35AF8EDD" w14:textId="77777777" w:rsidR="00252BC8" w:rsidRDefault="00252BC8" w:rsidP="00E23FEF">
            <w:pPr>
              <w:snapToGrid w:val="0"/>
              <w:spacing w:before="0" w:after="0"/>
              <w:ind w:left="80"/>
              <w:jc w:val="left"/>
              <w:rPr>
                <w:color w:val="000000"/>
                <w:sz w:val="18"/>
                <w:szCs w:val="18"/>
              </w:rPr>
            </w:pPr>
          </w:p>
          <w:p w14:paraId="2B088236" w14:textId="77777777" w:rsidR="00252BC8" w:rsidRDefault="00252BC8" w:rsidP="00E23FEF">
            <w:pPr>
              <w:snapToGrid w:val="0"/>
              <w:spacing w:before="0" w:after="0"/>
              <w:ind w:left="80"/>
              <w:jc w:val="left"/>
              <w:rPr>
                <w:color w:val="000000"/>
                <w:sz w:val="18"/>
                <w:szCs w:val="18"/>
              </w:rPr>
            </w:pPr>
          </w:p>
          <w:p w14:paraId="007827DD" w14:textId="77777777" w:rsidR="00252BC8" w:rsidRDefault="00252BC8" w:rsidP="00E23FEF">
            <w:pPr>
              <w:snapToGrid w:val="0"/>
              <w:spacing w:before="0" w:after="0"/>
              <w:ind w:left="80"/>
              <w:jc w:val="left"/>
              <w:rPr>
                <w:color w:val="000000"/>
                <w:sz w:val="18"/>
                <w:szCs w:val="18"/>
              </w:rPr>
            </w:pPr>
          </w:p>
          <w:p w14:paraId="1C9DFF63" w14:textId="77777777" w:rsidR="00252BC8" w:rsidRDefault="00252BC8" w:rsidP="00E23FEF">
            <w:pPr>
              <w:snapToGrid w:val="0"/>
              <w:spacing w:before="0" w:after="0"/>
              <w:ind w:left="80"/>
              <w:jc w:val="left"/>
              <w:rPr>
                <w:color w:val="000000"/>
                <w:sz w:val="18"/>
                <w:szCs w:val="18"/>
              </w:rPr>
            </w:pPr>
          </w:p>
          <w:p w14:paraId="745B31FC" w14:textId="77777777" w:rsidR="00252BC8" w:rsidRDefault="00252BC8" w:rsidP="00E23FEF">
            <w:pPr>
              <w:snapToGrid w:val="0"/>
              <w:spacing w:before="0" w:after="0"/>
              <w:ind w:left="80"/>
              <w:jc w:val="left"/>
              <w:rPr>
                <w:color w:val="000000"/>
                <w:sz w:val="18"/>
                <w:szCs w:val="18"/>
              </w:rPr>
            </w:pPr>
          </w:p>
          <w:p w14:paraId="69997EA7" w14:textId="77777777" w:rsidR="00252BC8" w:rsidRDefault="00252BC8" w:rsidP="00E23FEF">
            <w:pPr>
              <w:snapToGrid w:val="0"/>
              <w:spacing w:before="0" w:after="0"/>
              <w:ind w:left="80"/>
              <w:jc w:val="left"/>
              <w:rPr>
                <w:color w:val="000000"/>
                <w:sz w:val="18"/>
                <w:szCs w:val="18"/>
              </w:rPr>
            </w:pPr>
          </w:p>
          <w:p w14:paraId="409CB6B1" w14:textId="77777777" w:rsidR="00252BC8" w:rsidRDefault="00252BC8" w:rsidP="00E23FEF">
            <w:pPr>
              <w:snapToGrid w:val="0"/>
              <w:spacing w:before="0" w:after="0"/>
              <w:ind w:left="80"/>
              <w:jc w:val="left"/>
              <w:rPr>
                <w:color w:val="000000"/>
                <w:sz w:val="18"/>
                <w:szCs w:val="18"/>
              </w:rPr>
            </w:pPr>
          </w:p>
          <w:p w14:paraId="57197EF7" w14:textId="77777777" w:rsidR="00252BC8" w:rsidRDefault="00252BC8" w:rsidP="00E23FEF">
            <w:pPr>
              <w:snapToGrid w:val="0"/>
              <w:spacing w:before="0" w:after="0"/>
              <w:ind w:left="80"/>
              <w:jc w:val="left"/>
              <w:rPr>
                <w:color w:val="000000"/>
                <w:sz w:val="18"/>
                <w:szCs w:val="18"/>
              </w:rPr>
            </w:pPr>
          </w:p>
          <w:p w14:paraId="08289B55" w14:textId="77777777" w:rsidR="00252BC8" w:rsidRDefault="00252BC8" w:rsidP="00E23FEF">
            <w:pPr>
              <w:snapToGrid w:val="0"/>
              <w:spacing w:before="0" w:after="0"/>
              <w:ind w:left="80"/>
              <w:jc w:val="left"/>
              <w:rPr>
                <w:color w:val="000000"/>
                <w:sz w:val="18"/>
                <w:szCs w:val="18"/>
              </w:rPr>
            </w:pPr>
          </w:p>
          <w:p w14:paraId="18DBB7F1" w14:textId="77777777" w:rsidR="00252BC8" w:rsidRDefault="00252BC8" w:rsidP="00E23FEF">
            <w:pPr>
              <w:snapToGrid w:val="0"/>
              <w:spacing w:before="0" w:after="0"/>
              <w:ind w:left="80"/>
              <w:jc w:val="left"/>
              <w:rPr>
                <w:color w:val="000000"/>
                <w:sz w:val="18"/>
                <w:szCs w:val="18"/>
              </w:rPr>
            </w:pPr>
          </w:p>
          <w:p w14:paraId="402C4489" w14:textId="77777777" w:rsidR="00252BC8" w:rsidRDefault="00252BC8" w:rsidP="00E23FEF">
            <w:pPr>
              <w:snapToGrid w:val="0"/>
              <w:spacing w:before="0" w:after="0"/>
              <w:ind w:left="80"/>
              <w:jc w:val="left"/>
              <w:rPr>
                <w:color w:val="000000"/>
                <w:sz w:val="18"/>
                <w:szCs w:val="18"/>
              </w:rPr>
            </w:pPr>
          </w:p>
          <w:p w14:paraId="7D4E0725" w14:textId="77777777" w:rsidR="00252BC8" w:rsidRDefault="00252BC8" w:rsidP="00E23FEF">
            <w:pPr>
              <w:snapToGrid w:val="0"/>
              <w:spacing w:before="0" w:after="0"/>
              <w:ind w:left="80"/>
              <w:jc w:val="left"/>
              <w:rPr>
                <w:color w:val="000000"/>
                <w:sz w:val="18"/>
                <w:szCs w:val="18"/>
              </w:rPr>
            </w:pPr>
          </w:p>
          <w:p w14:paraId="35750C4E" w14:textId="77777777" w:rsidR="00252BC8" w:rsidRDefault="00252BC8" w:rsidP="00E23FEF">
            <w:pPr>
              <w:snapToGrid w:val="0"/>
              <w:spacing w:before="0" w:after="0"/>
              <w:ind w:left="80"/>
              <w:jc w:val="left"/>
              <w:rPr>
                <w:color w:val="000000"/>
                <w:sz w:val="18"/>
                <w:szCs w:val="18"/>
              </w:rPr>
            </w:pPr>
          </w:p>
          <w:p w14:paraId="6665DB88" w14:textId="77777777" w:rsidR="00252BC8" w:rsidRDefault="00252BC8" w:rsidP="00E23FEF">
            <w:pPr>
              <w:snapToGrid w:val="0"/>
              <w:spacing w:before="0" w:after="0"/>
              <w:ind w:left="80"/>
              <w:jc w:val="left"/>
              <w:rPr>
                <w:color w:val="000000"/>
                <w:sz w:val="18"/>
                <w:szCs w:val="18"/>
              </w:rPr>
            </w:pPr>
          </w:p>
          <w:p w14:paraId="6CA3F062" w14:textId="77777777" w:rsidR="00252BC8" w:rsidRDefault="00252BC8" w:rsidP="00E23FEF">
            <w:pPr>
              <w:snapToGrid w:val="0"/>
              <w:spacing w:before="0" w:after="0"/>
              <w:ind w:left="80"/>
              <w:jc w:val="left"/>
              <w:rPr>
                <w:color w:val="000000"/>
                <w:sz w:val="18"/>
                <w:szCs w:val="18"/>
              </w:rPr>
            </w:pPr>
          </w:p>
          <w:p w14:paraId="6849C2BB" w14:textId="77777777" w:rsidR="00252BC8" w:rsidRDefault="00252BC8" w:rsidP="00E23FEF">
            <w:pPr>
              <w:snapToGrid w:val="0"/>
              <w:spacing w:before="0" w:after="0"/>
              <w:ind w:left="80"/>
              <w:jc w:val="left"/>
              <w:rPr>
                <w:color w:val="000000"/>
                <w:sz w:val="18"/>
                <w:szCs w:val="18"/>
              </w:rPr>
            </w:pPr>
          </w:p>
          <w:p w14:paraId="70C065C2" w14:textId="77777777" w:rsidR="00252BC8" w:rsidRDefault="00252BC8" w:rsidP="00E23FEF">
            <w:pPr>
              <w:snapToGrid w:val="0"/>
              <w:spacing w:before="0" w:after="0"/>
              <w:ind w:left="80"/>
              <w:jc w:val="left"/>
              <w:rPr>
                <w:color w:val="000000"/>
                <w:sz w:val="18"/>
                <w:szCs w:val="18"/>
              </w:rPr>
            </w:pPr>
          </w:p>
          <w:p w14:paraId="200CBDE9" w14:textId="77777777" w:rsidR="00252BC8" w:rsidRDefault="00252BC8" w:rsidP="00E23FEF">
            <w:pPr>
              <w:snapToGrid w:val="0"/>
              <w:spacing w:before="0" w:after="0"/>
              <w:ind w:left="80"/>
              <w:jc w:val="left"/>
              <w:rPr>
                <w:color w:val="000000"/>
                <w:sz w:val="18"/>
                <w:szCs w:val="18"/>
              </w:rPr>
            </w:pPr>
          </w:p>
          <w:p w14:paraId="23DE65FE" w14:textId="77777777" w:rsidR="00252BC8" w:rsidRDefault="00252BC8" w:rsidP="00E23FEF">
            <w:pPr>
              <w:snapToGrid w:val="0"/>
              <w:spacing w:before="0" w:after="0"/>
              <w:ind w:left="80"/>
              <w:jc w:val="left"/>
              <w:rPr>
                <w:color w:val="000000"/>
                <w:sz w:val="18"/>
                <w:szCs w:val="18"/>
              </w:rPr>
            </w:pPr>
          </w:p>
          <w:p w14:paraId="25FB8CA7" w14:textId="77777777" w:rsidR="00252BC8" w:rsidRDefault="00252BC8" w:rsidP="00E23FEF">
            <w:pPr>
              <w:snapToGrid w:val="0"/>
              <w:spacing w:before="0" w:after="0"/>
              <w:ind w:left="80"/>
              <w:jc w:val="left"/>
              <w:rPr>
                <w:color w:val="000000"/>
                <w:sz w:val="18"/>
                <w:szCs w:val="18"/>
              </w:rPr>
            </w:pPr>
          </w:p>
          <w:p w14:paraId="3E4FB22B" w14:textId="77777777" w:rsidR="00252BC8" w:rsidRDefault="00252BC8" w:rsidP="00E23FEF">
            <w:pPr>
              <w:snapToGrid w:val="0"/>
              <w:spacing w:before="0" w:after="0"/>
              <w:ind w:left="80"/>
              <w:jc w:val="left"/>
              <w:rPr>
                <w:color w:val="000000"/>
                <w:sz w:val="18"/>
                <w:szCs w:val="18"/>
              </w:rPr>
            </w:pPr>
          </w:p>
          <w:p w14:paraId="1272EAC0" w14:textId="77777777" w:rsidR="00252BC8" w:rsidRDefault="00252BC8" w:rsidP="00E23FEF">
            <w:pPr>
              <w:snapToGrid w:val="0"/>
              <w:spacing w:before="0" w:after="0"/>
              <w:ind w:left="80"/>
              <w:jc w:val="left"/>
              <w:rPr>
                <w:color w:val="000000"/>
                <w:sz w:val="18"/>
                <w:szCs w:val="18"/>
              </w:rPr>
            </w:pPr>
          </w:p>
          <w:p w14:paraId="5DA47408" w14:textId="77777777" w:rsidR="00252BC8" w:rsidRDefault="00252BC8" w:rsidP="00E23FEF">
            <w:pPr>
              <w:snapToGrid w:val="0"/>
              <w:spacing w:before="0" w:after="0"/>
              <w:ind w:left="80"/>
              <w:jc w:val="left"/>
              <w:rPr>
                <w:color w:val="000000"/>
                <w:sz w:val="18"/>
                <w:szCs w:val="18"/>
              </w:rPr>
            </w:pPr>
          </w:p>
          <w:p w14:paraId="09043E29" w14:textId="77777777" w:rsidR="00252BC8" w:rsidRDefault="00252BC8" w:rsidP="00E23FEF">
            <w:pPr>
              <w:snapToGrid w:val="0"/>
              <w:spacing w:before="0" w:after="0"/>
              <w:ind w:left="80"/>
              <w:jc w:val="left"/>
              <w:rPr>
                <w:color w:val="000000"/>
                <w:sz w:val="18"/>
                <w:szCs w:val="18"/>
              </w:rPr>
            </w:pPr>
          </w:p>
          <w:p w14:paraId="02D169EA" w14:textId="77777777" w:rsidR="00252BC8" w:rsidRDefault="00252BC8" w:rsidP="00E23FEF">
            <w:pPr>
              <w:snapToGrid w:val="0"/>
              <w:spacing w:before="0" w:after="0"/>
              <w:ind w:left="80"/>
              <w:jc w:val="left"/>
              <w:rPr>
                <w:color w:val="000000"/>
                <w:sz w:val="18"/>
                <w:szCs w:val="18"/>
              </w:rPr>
            </w:pPr>
          </w:p>
          <w:p w14:paraId="36D8E045" w14:textId="77777777" w:rsidR="00252BC8" w:rsidRDefault="00252BC8" w:rsidP="00E23FEF">
            <w:pPr>
              <w:snapToGrid w:val="0"/>
              <w:spacing w:before="0" w:after="0"/>
              <w:ind w:left="80"/>
              <w:jc w:val="left"/>
              <w:rPr>
                <w:color w:val="000000"/>
                <w:sz w:val="18"/>
                <w:szCs w:val="18"/>
              </w:rPr>
            </w:pPr>
          </w:p>
          <w:p w14:paraId="39207BA1" w14:textId="77777777" w:rsidR="00252BC8" w:rsidRDefault="00252BC8" w:rsidP="00E23FEF">
            <w:pPr>
              <w:snapToGrid w:val="0"/>
              <w:spacing w:before="0" w:after="0"/>
              <w:ind w:left="80"/>
              <w:jc w:val="left"/>
              <w:rPr>
                <w:color w:val="000000"/>
                <w:sz w:val="18"/>
                <w:szCs w:val="18"/>
              </w:rPr>
            </w:pPr>
          </w:p>
          <w:p w14:paraId="2E33A1B0" w14:textId="77777777" w:rsidR="00252BC8" w:rsidRDefault="00252BC8" w:rsidP="00E23FEF">
            <w:pPr>
              <w:snapToGrid w:val="0"/>
              <w:spacing w:before="0" w:after="0"/>
              <w:ind w:left="80"/>
              <w:jc w:val="left"/>
              <w:rPr>
                <w:color w:val="000000"/>
                <w:sz w:val="18"/>
                <w:szCs w:val="18"/>
              </w:rPr>
            </w:pPr>
          </w:p>
          <w:p w14:paraId="0DCE9A62" w14:textId="77777777" w:rsidR="00252BC8" w:rsidRDefault="00252BC8" w:rsidP="00E23FEF">
            <w:pPr>
              <w:snapToGrid w:val="0"/>
              <w:spacing w:before="0" w:after="0"/>
              <w:ind w:left="80"/>
              <w:jc w:val="left"/>
              <w:rPr>
                <w:color w:val="000000"/>
                <w:sz w:val="18"/>
                <w:szCs w:val="18"/>
              </w:rPr>
            </w:pPr>
          </w:p>
          <w:p w14:paraId="4A0552FB" w14:textId="77777777" w:rsidR="00252BC8" w:rsidRDefault="00252BC8" w:rsidP="00E23FEF">
            <w:pPr>
              <w:snapToGrid w:val="0"/>
              <w:spacing w:before="0" w:after="0"/>
              <w:ind w:left="80"/>
              <w:jc w:val="left"/>
              <w:rPr>
                <w:color w:val="000000"/>
                <w:sz w:val="18"/>
                <w:szCs w:val="18"/>
              </w:rPr>
            </w:pPr>
          </w:p>
          <w:p w14:paraId="494D358F" w14:textId="77777777" w:rsidR="00252BC8" w:rsidRDefault="00252BC8" w:rsidP="00E23FEF">
            <w:pPr>
              <w:snapToGrid w:val="0"/>
              <w:spacing w:before="0" w:after="0"/>
              <w:ind w:left="80"/>
              <w:jc w:val="left"/>
              <w:rPr>
                <w:color w:val="000000"/>
                <w:sz w:val="18"/>
                <w:szCs w:val="18"/>
              </w:rPr>
            </w:pPr>
          </w:p>
          <w:p w14:paraId="320C88A4" w14:textId="77777777" w:rsidR="00252BC8" w:rsidRDefault="00252BC8" w:rsidP="00E23FEF">
            <w:pPr>
              <w:snapToGrid w:val="0"/>
              <w:spacing w:before="0" w:after="0"/>
              <w:ind w:left="80"/>
              <w:jc w:val="left"/>
              <w:rPr>
                <w:color w:val="000000"/>
                <w:sz w:val="18"/>
                <w:szCs w:val="18"/>
              </w:rPr>
            </w:pPr>
          </w:p>
          <w:p w14:paraId="25E2BF51" w14:textId="77777777" w:rsidR="00252BC8" w:rsidRDefault="00252BC8" w:rsidP="00E23FEF">
            <w:pPr>
              <w:snapToGrid w:val="0"/>
              <w:spacing w:before="0" w:after="0"/>
              <w:ind w:left="80"/>
              <w:jc w:val="left"/>
              <w:rPr>
                <w:color w:val="000000"/>
                <w:sz w:val="18"/>
                <w:szCs w:val="18"/>
              </w:rPr>
            </w:pPr>
          </w:p>
          <w:p w14:paraId="06D241B3" w14:textId="77777777" w:rsidR="00252BC8" w:rsidRDefault="00252BC8" w:rsidP="00E23FEF">
            <w:pPr>
              <w:snapToGrid w:val="0"/>
              <w:spacing w:before="0" w:after="0"/>
              <w:ind w:left="80"/>
              <w:jc w:val="left"/>
              <w:rPr>
                <w:color w:val="000000"/>
                <w:sz w:val="18"/>
                <w:szCs w:val="18"/>
              </w:rPr>
            </w:pPr>
          </w:p>
          <w:p w14:paraId="4B2F1724" w14:textId="77777777" w:rsidR="00252BC8" w:rsidRDefault="00252BC8" w:rsidP="00E23FEF">
            <w:pPr>
              <w:snapToGrid w:val="0"/>
              <w:spacing w:before="0" w:after="0"/>
              <w:ind w:left="80"/>
              <w:jc w:val="left"/>
              <w:rPr>
                <w:color w:val="000000"/>
                <w:sz w:val="18"/>
                <w:szCs w:val="18"/>
              </w:rPr>
            </w:pPr>
          </w:p>
          <w:p w14:paraId="689792DF" w14:textId="77777777" w:rsidR="00252BC8" w:rsidRDefault="00252BC8" w:rsidP="00E23FEF">
            <w:pPr>
              <w:snapToGrid w:val="0"/>
              <w:spacing w:before="0" w:after="0"/>
              <w:ind w:left="80"/>
              <w:jc w:val="left"/>
              <w:rPr>
                <w:color w:val="000000"/>
                <w:sz w:val="18"/>
                <w:szCs w:val="18"/>
              </w:rPr>
            </w:pPr>
          </w:p>
          <w:p w14:paraId="19EA6A34" w14:textId="77777777" w:rsidR="00252BC8" w:rsidRDefault="00252BC8" w:rsidP="00E23FEF">
            <w:pPr>
              <w:snapToGrid w:val="0"/>
              <w:spacing w:before="0" w:after="0"/>
              <w:ind w:left="80"/>
              <w:jc w:val="left"/>
              <w:rPr>
                <w:color w:val="000000"/>
                <w:sz w:val="18"/>
                <w:szCs w:val="18"/>
              </w:rPr>
            </w:pPr>
          </w:p>
          <w:p w14:paraId="50F903AA" w14:textId="77777777" w:rsidR="00252BC8" w:rsidRDefault="00252BC8" w:rsidP="00E23FEF">
            <w:pPr>
              <w:snapToGrid w:val="0"/>
              <w:spacing w:before="0" w:after="0"/>
              <w:ind w:left="80"/>
              <w:jc w:val="left"/>
              <w:rPr>
                <w:color w:val="000000"/>
                <w:sz w:val="18"/>
                <w:szCs w:val="18"/>
              </w:rPr>
            </w:pPr>
          </w:p>
          <w:p w14:paraId="7C0E6220" w14:textId="77777777" w:rsidR="00252BC8" w:rsidRDefault="00252BC8" w:rsidP="00E23FEF">
            <w:pPr>
              <w:snapToGrid w:val="0"/>
              <w:spacing w:before="0" w:after="0"/>
              <w:ind w:left="80"/>
              <w:jc w:val="left"/>
              <w:rPr>
                <w:color w:val="000000"/>
                <w:sz w:val="18"/>
                <w:szCs w:val="18"/>
              </w:rPr>
            </w:pPr>
          </w:p>
          <w:p w14:paraId="4ED76FDE" w14:textId="77777777" w:rsidR="00252BC8" w:rsidRDefault="00252BC8" w:rsidP="00E23FEF">
            <w:pPr>
              <w:snapToGrid w:val="0"/>
              <w:spacing w:before="0" w:after="0"/>
              <w:ind w:left="80"/>
              <w:jc w:val="left"/>
              <w:rPr>
                <w:color w:val="000000"/>
                <w:sz w:val="18"/>
                <w:szCs w:val="18"/>
              </w:rPr>
            </w:pPr>
          </w:p>
          <w:p w14:paraId="39EB766F" w14:textId="77777777" w:rsidR="00252BC8" w:rsidRDefault="00252BC8" w:rsidP="00E23FEF">
            <w:pPr>
              <w:snapToGrid w:val="0"/>
              <w:spacing w:before="0" w:after="0"/>
              <w:ind w:left="80"/>
              <w:jc w:val="left"/>
              <w:rPr>
                <w:color w:val="000000"/>
                <w:sz w:val="18"/>
                <w:szCs w:val="18"/>
              </w:rPr>
            </w:pPr>
          </w:p>
          <w:p w14:paraId="192B518D" w14:textId="77777777" w:rsidR="00252BC8" w:rsidRDefault="00252BC8" w:rsidP="00E23FEF">
            <w:pPr>
              <w:snapToGrid w:val="0"/>
              <w:spacing w:before="0" w:after="0"/>
              <w:ind w:left="80"/>
              <w:jc w:val="left"/>
              <w:rPr>
                <w:color w:val="000000"/>
                <w:sz w:val="18"/>
                <w:szCs w:val="18"/>
              </w:rPr>
            </w:pPr>
          </w:p>
          <w:p w14:paraId="2DE43DCE" w14:textId="77777777" w:rsidR="00252BC8" w:rsidRDefault="00252BC8" w:rsidP="00E23FEF">
            <w:pPr>
              <w:snapToGrid w:val="0"/>
              <w:spacing w:before="0" w:after="0"/>
              <w:ind w:left="80"/>
              <w:jc w:val="left"/>
              <w:rPr>
                <w:color w:val="000000"/>
                <w:sz w:val="18"/>
                <w:szCs w:val="18"/>
              </w:rPr>
            </w:pPr>
          </w:p>
          <w:p w14:paraId="2823C86D" w14:textId="77777777" w:rsidR="00252BC8" w:rsidRDefault="00252BC8" w:rsidP="00E23FEF">
            <w:pPr>
              <w:snapToGrid w:val="0"/>
              <w:spacing w:before="0" w:after="0"/>
              <w:ind w:left="80"/>
              <w:jc w:val="left"/>
              <w:rPr>
                <w:color w:val="000000"/>
                <w:sz w:val="18"/>
                <w:szCs w:val="18"/>
              </w:rPr>
            </w:pPr>
          </w:p>
          <w:p w14:paraId="7FCCC719" w14:textId="77777777" w:rsidR="00252BC8" w:rsidRDefault="00252BC8" w:rsidP="00E23FEF">
            <w:pPr>
              <w:snapToGrid w:val="0"/>
              <w:spacing w:before="0" w:after="0"/>
              <w:ind w:left="80"/>
              <w:jc w:val="left"/>
              <w:rPr>
                <w:color w:val="000000"/>
                <w:sz w:val="18"/>
                <w:szCs w:val="18"/>
              </w:rPr>
            </w:pPr>
          </w:p>
          <w:p w14:paraId="6DFF118D" w14:textId="77777777" w:rsidR="00252BC8" w:rsidRDefault="00252BC8" w:rsidP="00E23FEF">
            <w:pPr>
              <w:snapToGrid w:val="0"/>
              <w:spacing w:before="0" w:after="0"/>
              <w:ind w:left="80"/>
              <w:jc w:val="left"/>
              <w:rPr>
                <w:color w:val="000000"/>
                <w:sz w:val="18"/>
                <w:szCs w:val="18"/>
              </w:rPr>
            </w:pPr>
          </w:p>
          <w:p w14:paraId="6D5137A5" w14:textId="77777777" w:rsidR="00252BC8" w:rsidRDefault="00252BC8" w:rsidP="00E23FEF">
            <w:pPr>
              <w:snapToGrid w:val="0"/>
              <w:spacing w:before="0" w:after="0"/>
              <w:ind w:left="80"/>
              <w:jc w:val="left"/>
              <w:rPr>
                <w:color w:val="000000"/>
                <w:sz w:val="18"/>
                <w:szCs w:val="18"/>
              </w:rPr>
            </w:pPr>
          </w:p>
          <w:p w14:paraId="5FD0A4A8" w14:textId="77777777" w:rsidR="00252BC8" w:rsidRDefault="00252BC8" w:rsidP="00E23FEF">
            <w:pPr>
              <w:snapToGrid w:val="0"/>
              <w:spacing w:before="0" w:after="0"/>
              <w:ind w:left="80"/>
              <w:jc w:val="left"/>
              <w:rPr>
                <w:color w:val="000000"/>
                <w:sz w:val="18"/>
                <w:szCs w:val="18"/>
              </w:rPr>
            </w:pPr>
          </w:p>
          <w:p w14:paraId="6249BAA3" w14:textId="77777777" w:rsidR="00252BC8" w:rsidRDefault="00252BC8" w:rsidP="00E23FEF">
            <w:pPr>
              <w:snapToGrid w:val="0"/>
              <w:spacing w:before="0" w:after="0"/>
              <w:ind w:left="80"/>
              <w:jc w:val="left"/>
              <w:rPr>
                <w:color w:val="000000"/>
                <w:sz w:val="18"/>
                <w:szCs w:val="18"/>
              </w:rPr>
            </w:pPr>
          </w:p>
          <w:p w14:paraId="4189F7DA" w14:textId="77777777" w:rsidR="00252BC8" w:rsidRDefault="00252BC8" w:rsidP="00E23FEF">
            <w:pPr>
              <w:snapToGrid w:val="0"/>
              <w:spacing w:before="0" w:after="0"/>
              <w:ind w:left="80"/>
              <w:jc w:val="left"/>
              <w:rPr>
                <w:color w:val="000000"/>
                <w:sz w:val="18"/>
                <w:szCs w:val="18"/>
              </w:rPr>
            </w:pPr>
          </w:p>
          <w:p w14:paraId="64F62A9A" w14:textId="77777777" w:rsidR="00252BC8" w:rsidRDefault="00252BC8" w:rsidP="00E23FEF">
            <w:pPr>
              <w:snapToGrid w:val="0"/>
              <w:spacing w:before="0" w:after="0"/>
              <w:ind w:left="80"/>
              <w:jc w:val="left"/>
              <w:rPr>
                <w:color w:val="000000"/>
                <w:sz w:val="18"/>
                <w:szCs w:val="18"/>
              </w:rPr>
            </w:pPr>
          </w:p>
          <w:p w14:paraId="52CD4FEE" w14:textId="77777777" w:rsidR="00252BC8" w:rsidRDefault="00252BC8" w:rsidP="00E23FEF">
            <w:pPr>
              <w:snapToGrid w:val="0"/>
              <w:spacing w:before="0" w:after="0"/>
              <w:ind w:left="80"/>
              <w:jc w:val="left"/>
              <w:rPr>
                <w:color w:val="000000"/>
                <w:sz w:val="18"/>
                <w:szCs w:val="18"/>
              </w:rPr>
            </w:pPr>
          </w:p>
          <w:p w14:paraId="29802C36" w14:textId="77777777" w:rsidR="00252BC8" w:rsidRDefault="00252BC8" w:rsidP="00E23FEF">
            <w:pPr>
              <w:snapToGrid w:val="0"/>
              <w:spacing w:before="0" w:after="0"/>
              <w:ind w:left="80"/>
              <w:jc w:val="left"/>
              <w:rPr>
                <w:color w:val="000000"/>
                <w:sz w:val="18"/>
                <w:szCs w:val="18"/>
              </w:rPr>
            </w:pPr>
          </w:p>
          <w:p w14:paraId="352CE9C9" w14:textId="77777777" w:rsidR="00252BC8" w:rsidRDefault="00252BC8" w:rsidP="00E23FEF">
            <w:pPr>
              <w:snapToGrid w:val="0"/>
              <w:spacing w:before="0" w:after="0"/>
              <w:ind w:left="80"/>
              <w:jc w:val="left"/>
              <w:rPr>
                <w:color w:val="000000"/>
                <w:sz w:val="18"/>
                <w:szCs w:val="18"/>
              </w:rPr>
            </w:pPr>
          </w:p>
          <w:p w14:paraId="17119984" w14:textId="77777777" w:rsidR="00252BC8" w:rsidRDefault="00252BC8" w:rsidP="00E23FEF">
            <w:pPr>
              <w:snapToGrid w:val="0"/>
              <w:spacing w:before="0" w:after="0"/>
              <w:ind w:left="80"/>
              <w:jc w:val="left"/>
              <w:rPr>
                <w:color w:val="000000"/>
                <w:sz w:val="18"/>
                <w:szCs w:val="18"/>
              </w:rPr>
            </w:pPr>
          </w:p>
          <w:p w14:paraId="193B1A19" w14:textId="77777777" w:rsidR="00252BC8" w:rsidRDefault="00252BC8" w:rsidP="00E23FEF">
            <w:pPr>
              <w:snapToGrid w:val="0"/>
              <w:spacing w:before="0" w:after="0"/>
              <w:ind w:left="80"/>
              <w:jc w:val="left"/>
              <w:rPr>
                <w:color w:val="000000"/>
                <w:sz w:val="18"/>
                <w:szCs w:val="18"/>
              </w:rPr>
            </w:pPr>
          </w:p>
          <w:p w14:paraId="0B64ECF4" w14:textId="77777777" w:rsidR="00252BC8" w:rsidRDefault="00252BC8" w:rsidP="00E23FEF">
            <w:pPr>
              <w:snapToGrid w:val="0"/>
              <w:spacing w:before="0" w:after="0"/>
              <w:ind w:left="80"/>
              <w:jc w:val="left"/>
              <w:rPr>
                <w:color w:val="000000"/>
                <w:sz w:val="18"/>
                <w:szCs w:val="18"/>
              </w:rPr>
            </w:pPr>
          </w:p>
          <w:p w14:paraId="39E30523" w14:textId="77777777" w:rsidR="00252BC8" w:rsidRDefault="00252BC8" w:rsidP="00E23FEF">
            <w:pPr>
              <w:snapToGrid w:val="0"/>
              <w:spacing w:before="0" w:after="0"/>
              <w:ind w:left="80"/>
              <w:jc w:val="left"/>
              <w:rPr>
                <w:color w:val="000000"/>
                <w:sz w:val="18"/>
                <w:szCs w:val="18"/>
              </w:rPr>
            </w:pPr>
          </w:p>
          <w:p w14:paraId="5548E7E8" w14:textId="77777777" w:rsidR="00252BC8" w:rsidRDefault="00252BC8" w:rsidP="00E23FEF">
            <w:pPr>
              <w:snapToGrid w:val="0"/>
              <w:spacing w:before="0" w:after="0"/>
              <w:ind w:left="80"/>
              <w:jc w:val="left"/>
              <w:rPr>
                <w:color w:val="000000"/>
                <w:sz w:val="18"/>
                <w:szCs w:val="18"/>
              </w:rPr>
            </w:pPr>
          </w:p>
          <w:p w14:paraId="68F5811A" w14:textId="77777777" w:rsidR="00252BC8" w:rsidRDefault="00252BC8" w:rsidP="00E23FEF">
            <w:pPr>
              <w:snapToGrid w:val="0"/>
              <w:spacing w:before="0" w:after="0"/>
              <w:ind w:left="80"/>
              <w:jc w:val="left"/>
              <w:rPr>
                <w:color w:val="000000"/>
                <w:sz w:val="18"/>
                <w:szCs w:val="18"/>
              </w:rPr>
            </w:pPr>
          </w:p>
          <w:p w14:paraId="2D66A9C6" w14:textId="77777777" w:rsidR="00252BC8" w:rsidRDefault="00252BC8" w:rsidP="00E23FEF">
            <w:pPr>
              <w:snapToGrid w:val="0"/>
              <w:spacing w:before="0" w:after="0"/>
              <w:ind w:left="80"/>
              <w:jc w:val="left"/>
              <w:rPr>
                <w:color w:val="000000"/>
                <w:sz w:val="18"/>
                <w:szCs w:val="18"/>
              </w:rPr>
            </w:pPr>
          </w:p>
          <w:p w14:paraId="568BD6E9" w14:textId="77777777" w:rsidR="00252BC8" w:rsidRDefault="00252BC8" w:rsidP="00E23FEF">
            <w:pPr>
              <w:snapToGrid w:val="0"/>
              <w:spacing w:before="0" w:after="0"/>
              <w:ind w:left="80"/>
              <w:jc w:val="left"/>
              <w:rPr>
                <w:color w:val="000000"/>
                <w:sz w:val="18"/>
                <w:szCs w:val="18"/>
              </w:rPr>
            </w:pPr>
          </w:p>
          <w:p w14:paraId="4DC09B82" w14:textId="77777777" w:rsidR="00252BC8" w:rsidRDefault="00252BC8" w:rsidP="00E23FEF">
            <w:pPr>
              <w:snapToGrid w:val="0"/>
              <w:spacing w:before="0" w:after="0"/>
              <w:ind w:left="80"/>
              <w:jc w:val="left"/>
              <w:rPr>
                <w:color w:val="000000"/>
                <w:sz w:val="18"/>
                <w:szCs w:val="18"/>
              </w:rPr>
            </w:pPr>
          </w:p>
          <w:p w14:paraId="711AB585" w14:textId="77777777" w:rsidR="00252BC8" w:rsidRDefault="00252BC8" w:rsidP="00E23FEF">
            <w:pPr>
              <w:snapToGrid w:val="0"/>
              <w:spacing w:before="0" w:after="0"/>
              <w:ind w:left="80"/>
              <w:jc w:val="left"/>
              <w:rPr>
                <w:color w:val="000000"/>
                <w:sz w:val="18"/>
                <w:szCs w:val="18"/>
              </w:rPr>
            </w:pPr>
          </w:p>
          <w:p w14:paraId="28B2B3B7" w14:textId="77777777" w:rsidR="00252BC8" w:rsidRDefault="00252BC8" w:rsidP="00E23FEF">
            <w:pPr>
              <w:snapToGrid w:val="0"/>
              <w:spacing w:before="0" w:after="0"/>
              <w:ind w:left="80"/>
              <w:jc w:val="left"/>
              <w:rPr>
                <w:color w:val="000000"/>
                <w:sz w:val="18"/>
                <w:szCs w:val="18"/>
              </w:rPr>
            </w:pPr>
          </w:p>
          <w:p w14:paraId="6AA54BD2" w14:textId="77777777" w:rsidR="00252BC8" w:rsidRDefault="00252BC8" w:rsidP="00E23FEF">
            <w:pPr>
              <w:snapToGrid w:val="0"/>
              <w:spacing w:before="0" w:after="0"/>
              <w:ind w:left="80"/>
              <w:jc w:val="left"/>
              <w:rPr>
                <w:color w:val="000000"/>
                <w:sz w:val="18"/>
                <w:szCs w:val="18"/>
              </w:rPr>
            </w:pPr>
          </w:p>
          <w:p w14:paraId="625A970C" w14:textId="77777777" w:rsidR="00252BC8" w:rsidRDefault="00252BC8" w:rsidP="00E23FEF">
            <w:pPr>
              <w:snapToGrid w:val="0"/>
              <w:spacing w:before="0" w:after="0"/>
              <w:ind w:left="80"/>
              <w:jc w:val="left"/>
              <w:rPr>
                <w:color w:val="000000"/>
                <w:sz w:val="18"/>
                <w:szCs w:val="18"/>
              </w:rPr>
            </w:pPr>
          </w:p>
          <w:p w14:paraId="48618671" w14:textId="77777777" w:rsidR="00252BC8" w:rsidRDefault="00252BC8" w:rsidP="00E23FEF">
            <w:pPr>
              <w:snapToGrid w:val="0"/>
              <w:spacing w:before="0" w:after="0"/>
              <w:ind w:left="80"/>
              <w:jc w:val="left"/>
              <w:rPr>
                <w:color w:val="000000"/>
                <w:sz w:val="18"/>
                <w:szCs w:val="18"/>
              </w:rPr>
            </w:pPr>
          </w:p>
          <w:p w14:paraId="606F8A25" w14:textId="77777777" w:rsidR="00252BC8" w:rsidRDefault="00252BC8" w:rsidP="00E23FEF">
            <w:pPr>
              <w:snapToGrid w:val="0"/>
              <w:spacing w:before="0" w:after="0"/>
              <w:ind w:left="80"/>
              <w:jc w:val="left"/>
              <w:rPr>
                <w:color w:val="000000"/>
                <w:sz w:val="18"/>
                <w:szCs w:val="18"/>
              </w:rPr>
            </w:pPr>
            <w:r w:rsidRPr="00252BC8">
              <w:rPr>
                <w:color w:val="000000"/>
                <w:sz w:val="18"/>
                <w:szCs w:val="18"/>
              </w:rPr>
              <w:t>NO</w:t>
            </w:r>
          </w:p>
          <w:p w14:paraId="32139944" w14:textId="77777777" w:rsidR="00252BC8" w:rsidRDefault="00252BC8" w:rsidP="00E23FEF">
            <w:pPr>
              <w:snapToGrid w:val="0"/>
              <w:spacing w:before="0" w:after="0"/>
              <w:ind w:left="80"/>
              <w:jc w:val="left"/>
              <w:rPr>
                <w:color w:val="000000"/>
                <w:sz w:val="18"/>
                <w:szCs w:val="18"/>
              </w:rPr>
            </w:pPr>
          </w:p>
          <w:p w14:paraId="34EB87CA" w14:textId="77777777" w:rsidR="00252BC8" w:rsidRPr="008340BB" w:rsidRDefault="00252BC8" w:rsidP="00E23FEF">
            <w:pPr>
              <w:snapToGrid w:val="0"/>
              <w:spacing w:before="0" w:after="0"/>
              <w:ind w:left="80"/>
              <w:jc w:val="left"/>
              <w:rPr>
                <w:color w:val="000000"/>
                <w:sz w:val="18"/>
                <w:szCs w:val="18"/>
              </w:rPr>
            </w:pPr>
          </w:p>
        </w:tc>
        <w:tc>
          <w:tcPr>
            <w:tcW w:w="760" w:type="pct"/>
          </w:tcPr>
          <w:p w14:paraId="4AC5322A" w14:textId="77777777" w:rsidR="005A4265" w:rsidRDefault="00AD616A" w:rsidP="00E23FEF">
            <w:pPr>
              <w:snapToGrid w:val="0"/>
              <w:spacing w:before="0" w:after="0"/>
              <w:ind w:left="80"/>
              <w:jc w:val="left"/>
              <w:rPr>
                <w:color w:val="000000"/>
                <w:sz w:val="18"/>
                <w:szCs w:val="18"/>
              </w:rPr>
            </w:pPr>
            <w:r w:rsidRPr="00AD616A">
              <w:rPr>
                <w:color w:val="000000"/>
                <w:sz w:val="18"/>
                <w:szCs w:val="18"/>
              </w:rPr>
              <w:lastRenderedPageBreak/>
              <w:t>European statistics Code of Practice</w:t>
            </w:r>
          </w:p>
          <w:p w14:paraId="0A2250AD" w14:textId="77777777" w:rsidR="00AD616A" w:rsidRDefault="00AD616A" w:rsidP="00E23FEF">
            <w:pPr>
              <w:snapToGrid w:val="0"/>
              <w:spacing w:before="0" w:after="0"/>
              <w:ind w:left="80"/>
              <w:jc w:val="left"/>
              <w:rPr>
                <w:color w:val="000000"/>
                <w:sz w:val="18"/>
                <w:szCs w:val="18"/>
              </w:rPr>
            </w:pPr>
          </w:p>
          <w:p w14:paraId="617DA109" w14:textId="77777777" w:rsidR="00AD616A" w:rsidRDefault="00AD616A" w:rsidP="00E23FEF">
            <w:pPr>
              <w:snapToGrid w:val="0"/>
              <w:spacing w:before="0" w:after="0"/>
              <w:ind w:left="80"/>
              <w:jc w:val="left"/>
              <w:rPr>
                <w:color w:val="000000"/>
                <w:sz w:val="18"/>
                <w:szCs w:val="18"/>
              </w:rPr>
            </w:pPr>
            <w:r w:rsidRPr="00AD616A">
              <w:rPr>
                <w:color w:val="000000"/>
                <w:sz w:val="18"/>
                <w:szCs w:val="18"/>
              </w:rPr>
              <w:lastRenderedPageBreak/>
              <w:t>Declaration on the quality of the national statistical system of the Republic of Bulgaria</w:t>
            </w:r>
          </w:p>
          <w:p w14:paraId="2B97CC35" w14:textId="77777777" w:rsidR="00AD616A" w:rsidRDefault="00AD616A" w:rsidP="00E23FEF">
            <w:pPr>
              <w:snapToGrid w:val="0"/>
              <w:spacing w:before="0" w:after="0"/>
              <w:ind w:left="80"/>
              <w:jc w:val="left"/>
              <w:rPr>
                <w:color w:val="000000"/>
                <w:sz w:val="18"/>
                <w:szCs w:val="18"/>
              </w:rPr>
            </w:pPr>
          </w:p>
          <w:p w14:paraId="7981E358" w14:textId="77777777" w:rsidR="00AD616A" w:rsidRDefault="003B6369" w:rsidP="00E23FEF">
            <w:pPr>
              <w:snapToGrid w:val="0"/>
              <w:spacing w:before="0" w:after="0"/>
              <w:ind w:left="80"/>
              <w:jc w:val="left"/>
              <w:rPr>
                <w:color w:val="000000"/>
                <w:sz w:val="18"/>
                <w:szCs w:val="18"/>
              </w:rPr>
            </w:pPr>
            <w:r w:rsidRPr="003B6369">
              <w:rPr>
                <w:color w:val="000000"/>
                <w:sz w:val="18"/>
                <w:szCs w:val="18"/>
              </w:rPr>
              <w:t>Statistics Act</w:t>
            </w:r>
          </w:p>
          <w:p w14:paraId="06FB9BDC" w14:textId="77777777" w:rsidR="003B6369" w:rsidRDefault="003B6369" w:rsidP="00E23FEF">
            <w:pPr>
              <w:snapToGrid w:val="0"/>
              <w:spacing w:before="0" w:after="0"/>
              <w:ind w:left="80"/>
              <w:jc w:val="left"/>
              <w:rPr>
                <w:color w:val="000000"/>
                <w:sz w:val="18"/>
                <w:szCs w:val="18"/>
              </w:rPr>
            </w:pPr>
          </w:p>
          <w:p w14:paraId="7D97082E" w14:textId="77777777" w:rsidR="003B6369" w:rsidRDefault="003B6369" w:rsidP="00E23FEF">
            <w:pPr>
              <w:snapToGrid w:val="0"/>
              <w:spacing w:before="0" w:after="0"/>
              <w:ind w:left="80"/>
              <w:jc w:val="left"/>
              <w:rPr>
                <w:color w:val="000000"/>
                <w:sz w:val="18"/>
                <w:szCs w:val="18"/>
              </w:rPr>
            </w:pPr>
            <w:r w:rsidRPr="003B6369">
              <w:rPr>
                <w:color w:val="000000"/>
                <w:sz w:val="18"/>
                <w:szCs w:val="18"/>
              </w:rPr>
              <w:t>National Statistical Program for 2013</w:t>
            </w:r>
          </w:p>
          <w:p w14:paraId="2621D4EF" w14:textId="77777777" w:rsidR="003B6369" w:rsidRDefault="003B6369" w:rsidP="00E23FEF">
            <w:pPr>
              <w:snapToGrid w:val="0"/>
              <w:spacing w:before="0" w:after="0"/>
              <w:ind w:left="80"/>
              <w:jc w:val="left"/>
              <w:rPr>
                <w:color w:val="000000"/>
                <w:sz w:val="18"/>
                <w:szCs w:val="18"/>
              </w:rPr>
            </w:pPr>
          </w:p>
          <w:p w14:paraId="7AF290FD" w14:textId="77777777" w:rsidR="003B6369" w:rsidRDefault="003B6369" w:rsidP="00E23FEF">
            <w:pPr>
              <w:snapToGrid w:val="0"/>
              <w:spacing w:before="0" w:after="0"/>
              <w:ind w:left="80"/>
              <w:jc w:val="left"/>
              <w:rPr>
                <w:color w:val="000000"/>
                <w:sz w:val="18"/>
                <w:szCs w:val="18"/>
              </w:rPr>
            </w:pPr>
            <w:r w:rsidRPr="003B6369">
              <w:rPr>
                <w:color w:val="000000"/>
                <w:sz w:val="18"/>
                <w:szCs w:val="18"/>
              </w:rPr>
              <w:t>Rules for the dissemination of statistical products and services</w:t>
            </w:r>
          </w:p>
          <w:p w14:paraId="46B134A5" w14:textId="77777777" w:rsidR="00154FB3" w:rsidRDefault="00154FB3" w:rsidP="00E23FEF">
            <w:pPr>
              <w:snapToGrid w:val="0"/>
              <w:spacing w:before="0" w:after="0"/>
              <w:ind w:left="80"/>
              <w:jc w:val="left"/>
              <w:rPr>
                <w:color w:val="000000"/>
                <w:sz w:val="18"/>
                <w:szCs w:val="18"/>
              </w:rPr>
            </w:pPr>
          </w:p>
          <w:p w14:paraId="173D65CD" w14:textId="77777777" w:rsidR="00154FB3" w:rsidRDefault="00154FB3" w:rsidP="00E23FEF">
            <w:pPr>
              <w:snapToGrid w:val="0"/>
              <w:spacing w:before="0" w:after="0"/>
              <w:ind w:left="80"/>
              <w:jc w:val="left"/>
              <w:rPr>
                <w:color w:val="000000"/>
                <w:sz w:val="18"/>
                <w:szCs w:val="18"/>
              </w:rPr>
            </w:pPr>
          </w:p>
          <w:p w14:paraId="2977245E" w14:textId="77777777" w:rsidR="00154FB3" w:rsidRDefault="00154FB3" w:rsidP="00E23FEF">
            <w:pPr>
              <w:snapToGrid w:val="0"/>
              <w:spacing w:before="0" w:after="0"/>
              <w:ind w:left="80"/>
              <w:jc w:val="left"/>
              <w:rPr>
                <w:color w:val="000000"/>
                <w:sz w:val="18"/>
                <w:szCs w:val="18"/>
              </w:rPr>
            </w:pPr>
          </w:p>
          <w:p w14:paraId="5ABAFB25" w14:textId="77777777" w:rsidR="00154FB3" w:rsidRDefault="00154FB3" w:rsidP="00E23FEF">
            <w:pPr>
              <w:snapToGrid w:val="0"/>
              <w:spacing w:before="0" w:after="0"/>
              <w:ind w:left="80"/>
              <w:jc w:val="left"/>
              <w:rPr>
                <w:color w:val="000000"/>
                <w:sz w:val="18"/>
                <w:szCs w:val="18"/>
              </w:rPr>
            </w:pPr>
          </w:p>
          <w:p w14:paraId="5241A1D7" w14:textId="77777777" w:rsidR="00154FB3" w:rsidRDefault="00154FB3" w:rsidP="00E23FEF">
            <w:pPr>
              <w:snapToGrid w:val="0"/>
              <w:spacing w:before="0" w:after="0"/>
              <w:ind w:left="80"/>
              <w:jc w:val="left"/>
              <w:rPr>
                <w:color w:val="000000"/>
                <w:sz w:val="18"/>
                <w:szCs w:val="18"/>
              </w:rPr>
            </w:pPr>
          </w:p>
          <w:p w14:paraId="3AEAA86C" w14:textId="77777777" w:rsidR="00154FB3" w:rsidRDefault="00154FB3" w:rsidP="00E23FEF">
            <w:pPr>
              <w:snapToGrid w:val="0"/>
              <w:spacing w:before="0" w:after="0"/>
              <w:ind w:left="80"/>
              <w:jc w:val="left"/>
              <w:rPr>
                <w:color w:val="000000"/>
                <w:sz w:val="18"/>
                <w:szCs w:val="18"/>
              </w:rPr>
            </w:pPr>
          </w:p>
          <w:p w14:paraId="574BFF9D" w14:textId="77777777" w:rsidR="00154FB3" w:rsidRDefault="00154FB3" w:rsidP="00E23FEF">
            <w:pPr>
              <w:snapToGrid w:val="0"/>
              <w:spacing w:before="0" w:after="0"/>
              <w:ind w:left="80"/>
              <w:jc w:val="left"/>
              <w:rPr>
                <w:color w:val="000000"/>
                <w:sz w:val="18"/>
                <w:szCs w:val="18"/>
              </w:rPr>
            </w:pPr>
          </w:p>
          <w:p w14:paraId="199A15B6" w14:textId="77777777" w:rsidR="00154FB3" w:rsidRDefault="00154FB3" w:rsidP="00E23FEF">
            <w:pPr>
              <w:snapToGrid w:val="0"/>
              <w:spacing w:before="0" w:after="0"/>
              <w:ind w:left="80"/>
              <w:jc w:val="left"/>
              <w:rPr>
                <w:color w:val="000000"/>
                <w:sz w:val="18"/>
                <w:szCs w:val="18"/>
              </w:rPr>
            </w:pPr>
          </w:p>
          <w:p w14:paraId="473F9B44" w14:textId="77777777" w:rsidR="00154FB3" w:rsidRDefault="00154FB3" w:rsidP="00E23FEF">
            <w:pPr>
              <w:snapToGrid w:val="0"/>
              <w:spacing w:before="0" w:after="0"/>
              <w:ind w:left="80"/>
              <w:jc w:val="left"/>
              <w:rPr>
                <w:color w:val="000000"/>
                <w:sz w:val="18"/>
                <w:szCs w:val="18"/>
              </w:rPr>
            </w:pPr>
          </w:p>
          <w:p w14:paraId="6E3469B9" w14:textId="77777777" w:rsidR="00154FB3" w:rsidRDefault="00154FB3" w:rsidP="00E23FEF">
            <w:pPr>
              <w:snapToGrid w:val="0"/>
              <w:spacing w:before="0" w:after="0"/>
              <w:ind w:left="80"/>
              <w:jc w:val="left"/>
              <w:rPr>
                <w:color w:val="000000"/>
                <w:sz w:val="18"/>
                <w:szCs w:val="18"/>
              </w:rPr>
            </w:pPr>
          </w:p>
          <w:p w14:paraId="6BC8DF3B" w14:textId="77777777" w:rsidR="00154FB3" w:rsidRDefault="00154FB3" w:rsidP="00E23FEF">
            <w:pPr>
              <w:snapToGrid w:val="0"/>
              <w:spacing w:before="0" w:after="0"/>
              <w:ind w:left="80"/>
              <w:jc w:val="left"/>
              <w:rPr>
                <w:color w:val="000000"/>
                <w:sz w:val="18"/>
                <w:szCs w:val="18"/>
              </w:rPr>
            </w:pPr>
          </w:p>
          <w:p w14:paraId="1428D28C" w14:textId="77777777" w:rsidR="00154FB3" w:rsidRDefault="00154FB3" w:rsidP="00E23FEF">
            <w:pPr>
              <w:snapToGrid w:val="0"/>
              <w:spacing w:before="0" w:after="0"/>
              <w:ind w:left="80"/>
              <w:jc w:val="left"/>
              <w:rPr>
                <w:color w:val="000000"/>
                <w:sz w:val="18"/>
                <w:szCs w:val="18"/>
              </w:rPr>
            </w:pPr>
          </w:p>
          <w:p w14:paraId="7D21FEED" w14:textId="77777777" w:rsidR="00154FB3" w:rsidRDefault="00154FB3" w:rsidP="00E23FEF">
            <w:pPr>
              <w:snapToGrid w:val="0"/>
              <w:spacing w:before="0" w:after="0"/>
              <w:ind w:left="80"/>
              <w:jc w:val="left"/>
              <w:rPr>
                <w:color w:val="000000"/>
                <w:sz w:val="18"/>
                <w:szCs w:val="18"/>
              </w:rPr>
            </w:pPr>
          </w:p>
          <w:p w14:paraId="1C3DC189" w14:textId="77777777" w:rsidR="00154FB3" w:rsidRDefault="00154FB3" w:rsidP="00E23FEF">
            <w:pPr>
              <w:snapToGrid w:val="0"/>
              <w:spacing w:before="0" w:after="0"/>
              <w:ind w:left="80"/>
              <w:jc w:val="left"/>
              <w:rPr>
                <w:color w:val="000000"/>
                <w:sz w:val="18"/>
                <w:szCs w:val="18"/>
              </w:rPr>
            </w:pPr>
          </w:p>
          <w:p w14:paraId="08366CEE" w14:textId="77777777" w:rsidR="00154FB3" w:rsidRDefault="00154FB3" w:rsidP="00E23FEF">
            <w:pPr>
              <w:snapToGrid w:val="0"/>
              <w:spacing w:before="0" w:after="0"/>
              <w:ind w:left="80"/>
              <w:jc w:val="left"/>
              <w:rPr>
                <w:color w:val="000000"/>
                <w:sz w:val="18"/>
                <w:szCs w:val="18"/>
              </w:rPr>
            </w:pPr>
          </w:p>
          <w:p w14:paraId="2AFD96DE" w14:textId="77777777" w:rsidR="00154FB3" w:rsidRDefault="00154FB3" w:rsidP="00E23FEF">
            <w:pPr>
              <w:snapToGrid w:val="0"/>
              <w:spacing w:before="0" w:after="0"/>
              <w:ind w:left="80"/>
              <w:jc w:val="left"/>
              <w:rPr>
                <w:color w:val="000000"/>
                <w:sz w:val="18"/>
                <w:szCs w:val="18"/>
              </w:rPr>
            </w:pPr>
          </w:p>
          <w:p w14:paraId="5D918329" w14:textId="77777777" w:rsidR="00154FB3" w:rsidRDefault="00154FB3" w:rsidP="00E23FEF">
            <w:pPr>
              <w:snapToGrid w:val="0"/>
              <w:spacing w:before="0" w:after="0"/>
              <w:ind w:left="80"/>
              <w:jc w:val="left"/>
              <w:rPr>
                <w:color w:val="000000"/>
                <w:sz w:val="18"/>
                <w:szCs w:val="18"/>
              </w:rPr>
            </w:pPr>
          </w:p>
          <w:p w14:paraId="3261A4CC" w14:textId="77777777" w:rsidR="00154FB3" w:rsidRDefault="00154FB3" w:rsidP="00E23FEF">
            <w:pPr>
              <w:snapToGrid w:val="0"/>
              <w:spacing w:before="0" w:after="0"/>
              <w:ind w:left="80"/>
              <w:jc w:val="left"/>
              <w:rPr>
                <w:color w:val="000000"/>
                <w:sz w:val="18"/>
                <w:szCs w:val="18"/>
              </w:rPr>
            </w:pPr>
          </w:p>
          <w:p w14:paraId="66FBE4F9" w14:textId="77777777" w:rsidR="00154FB3" w:rsidRDefault="00154FB3" w:rsidP="00E23FEF">
            <w:pPr>
              <w:snapToGrid w:val="0"/>
              <w:spacing w:before="0" w:after="0"/>
              <w:ind w:left="80"/>
              <w:jc w:val="left"/>
              <w:rPr>
                <w:color w:val="000000"/>
                <w:sz w:val="18"/>
                <w:szCs w:val="18"/>
              </w:rPr>
            </w:pPr>
          </w:p>
          <w:p w14:paraId="688C0D81" w14:textId="77777777" w:rsidR="00154FB3" w:rsidRDefault="00154FB3" w:rsidP="00E23FEF">
            <w:pPr>
              <w:snapToGrid w:val="0"/>
              <w:spacing w:before="0" w:after="0"/>
              <w:ind w:left="80"/>
              <w:jc w:val="left"/>
              <w:rPr>
                <w:color w:val="000000"/>
                <w:sz w:val="18"/>
                <w:szCs w:val="18"/>
              </w:rPr>
            </w:pPr>
          </w:p>
          <w:p w14:paraId="5FEF0107" w14:textId="77777777" w:rsidR="00154FB3" w:rsidRDefault="00154FB3" w:rsidP="00E23FEF">
            <w:pPr>
              <w:snapToGrid w:val="0"/>
              <w:spacing w:before="0" w:after="0"/>
              <w:ind w:left="80"/>
              <w:jc w:val="left"/>
              <w:rPr>
                <w:color w:val="000000"/>
                <w:sz w:val="18"/>
                <w:szCs w:val="18"/>
              </w:rPr>
            </w:pPr>
          </w:p>
          <w:p w14:paraId="6F074A59" w14:textId="77777777" w:rsidR="00154FB3" w:rsidRDefault="00154FB3" w:rsidP="00E23FEF">
            <w:pPr>
              <w:snapToGrid w:val="0"/>
              <w:spacing w:before="0" w:after="0"/>
              <w:ind w:left="80"/>
              <w:jc w:val="left"/>
              <w:rPr>
                <w:color w:val="000000"/>
                <w:sz w:val="18"/>
                <w:szCs w:val="18"/>
              </w:rPr>
            </w:pPr>
          </w:p>
          <w:p w14:paraId="05BC2C40" w14:textId="77777777" w:rsidR="00154FB3" w:rsidRDefault="00154FB3" w:rsidP="00E23FEF">
            <w:pPr>
              <w:snapToGrid w:val="0"/>
              <w:spacing w:before="0" w:after="0"/>
              <w:ind w:left="80"/>
              <w:jc w:val="left"/>
              <w:rPr>
                <w:color w:val="000000"/>
                <w:sz w:val="18"/>
                <w:szCs w:val="18"/>
              </w:rPr>
            </w:pPr>
          </w:p>
          <w:p w14:paraId="1EFA46BA" w14:textId="77777777" w:rsidR="00154FB3" w:rsidRDefault="00154FB3" w:rsidP="00E23FEF">
            <w:pPr>
              <w:snapToGrid w:val="0"/>
              <w:spacing w:before="0" w:after="0"/>
              <w:ind w:left="80"/>
              <w:jc w:val="left"/>
              <w:rPr>
                <w:color w:val="000000"/>
                <w:sz w:val="18"/>
                <w:szCs w:val="18"/>
              </w:rPr>
            </w:pPr>
          </w:p>
          <w:p w14:paraId="02781F3F" w14:textId="77777777" w:rsidR="00154FB3" w:rsidRDefault="00154FB3" w:rsidP="00E23FEF">
            <w:pPr>
              <w:snapToGrid w:val="0"/>
              <w:spacing w:before="0" w:after="0"/>
              <w:ind w:left="80"/>
              <w:jc w:val="left"/>
              <w:rPr>
                <w:color w:val="000000"/>
                <w:sz w:val="18"/>
                <w:szCs w:val="18"/>
              </w:rPr>
            </w:pPr>
          </w:p>
          <w:p w14:paraId="555366E9" w14:textId="77777777" w:rsidR="00154FB3" w:rsidRDefault="00154FB3" w:rsidP="00E23FEF">
            <w:pPr>
              <w:snapToGrid w:val="0"/>
              <w:spacing w:before="0" w:after="0"/>
              <w:ind w:left="80"/>
              <w:jc w:val="left"/>
              <w:rPr>
                <w:color w:val="000000"/>
                <w:sz w:val="18"/>
                <w:szCs w:val="18"/>
              </w:rPr>
            </w:pPr>
          </w:p>
          <w:p w14:paraId="7B9FED3B" w14:textId="77777777" w:rsidR="00154FB3" w:rsidRDefault="00154FB3" w:rsidP="00E23FEF">
            <w:pPr>
              <w:snapToGrid w:val="0"/>
              <w:spacing w:before="0" w:after="0"/>
              <w:ind w:left="80"/>
              <w:jc w:val="left"/>
              <w:rPr>
                <w:color w:val="000000"/>
                <w:sz w:val="18"/>
                <w:szCs w:val="18"/>
              </w:rPr>
            </w:pPr>
          </w:p>
          <w:p w14:paraId="415CF98D" w14:textId="77777777" w:rsidR="00154FB3" w:rsidRDefault="00154FB3" w:rsidP="00E23FEF">
            <w:pPr>
              <w:snapToGrid w:val="0"/>
              <w:spacing w:before="0" w:after="0"/>
              <w:ind w:left="80"/>
              <w:jc w:val="left"/>
              <w:rPr>
                <w:color w:val="000000"/>
                <w:sz w:val="18"/>
                <w:szCs w:val="18"/>
              </w:rPr>
            </w:pPr>
          </w:p>
          <w:p w14:paraId="26DE7FA6" w14:textId="77777777" w:rsidR="00154FB3" w:rsidRDefault="00154FB3" w:rsidP="00E23FEF">
            <w:pPr>
              <w:snapToGrid w:val="0"/>
              <w:spacing w:before="0" w:after="0"/>
              <w:ind w:left="80"/>
              <w:jc w:val="left"/>
              <w:rPr>
                <w:color w:val="000000"/>
                <w:sz w:val="18"/>
                <w:szCs w:val="18"/>
              </w:rPr>
            </w:pPr>
          </w:p>
          <w:p w14:paraId="40D3CC96" w14:textId="77777777" w:rsidR="00154FB3" w:rsidRDefault="00154FB3" w:rsidP="00E23FEF">
            <w:pPr>
              <w:snapToGrid w:val="0"/>
              <w:spacing w:before="0" w:after="0"/>
              <w:ind w:left="80"/>
              <w:jc w:val="left"/>
              <w:rPr>
                <w:color w:val="000000"/>
                <w:sz w:val="18"/>
                <w:szCs w:val="18"/>
              </w:rPr>
            </w:pPr>
          </w:p>
          <w:p w14:paraId="185C62B2" w14:textId="77777777" w:rsidR="00154FB3" w:rsidRDefault="00154FB3" w:rsidP="00E23FEF">
            <w:pPr>
              <w:snapToGrid w:val="0"/>
              <w:spacing w:before="0" w:after="0"/>
              <w:ind w:left="80"/>
              <w:jc w:val="left"/>
              <w:rPr>
                <w:color w:val="000000"/>
                <w:sz w:val="18"/>
                <w:szCs w:val="18"/>
              </w:rPr>
            </w:pPr>
          </w:p>
          <w:p w14:paraId="2B431617" w14:textId="77777777" w:rsidR="00154FB3" w:rsidRDefault="00154FB3" w:rsidP="00E23FEF">
            <w:pPr>
              <w:snapToGrid w:val="0"/>
              <w:spacing w:before="0" w:after="0"/>
              <w:ind w:left="80"/>
              <w:jc w:val="left"/>
              <w:rPr>
                <w:color w:val="000000"/>
                <w:sz w:val="18"/>
                <w:szCs w:val="18"/>
              </w:rPr>
            </w:pPr>
          </w:p>
          <w:p w14:paraId="47B33883" w14:textId="77777777" w:rsidR="00154FB3" w:rsidRDefault="00154FB3" w:rsidP="00E23FEF">
            <w:pPr>
              <w:snapToGrid w:val="0"/>
              <w:spacing w:before="0" w:after="0"/>
              <w:ind w:left="80"/>
              <w:jc w:val="left"/>
              <w:rPr>
                <w:color w:val="000000"/>
                <w:sz w:val="18"/>
                <w:szCs w:val="18"/>
              </w:rPr>
            </w:pPr>
          </w:p>
          <w:p w14:paraId="418BD05B" w14:textId="77777777" w:rsidR="00154FB3" w:rsidRDefault="00154FB3" w:rsidP="00E23FEF">
            <w:pPr>
              <w:snapToGrid w:val="0"/>
              <w:spacing w:before="0" w:after="0"/>
              <w:ind w:left="80"/>
              <w:jc w:val="left"/>
              <w:rPr>
                <w:color w:val="000000"/>
                <w:sz w:val="18"/>
                <w:szCs w:val="18"/>
              </w:rPr>
            </w:pPr>
          </w:p>
          <w:p w14:paraId="2BC519F0" w14:textId="77777777" w:rsidR="00154FB3" w:rsidRDefault="00154FB3" w:rsidP="00E23FEF">
            <w:pPr>
              <w:snapToGrid w:val="0"/>
              <w:spacing w:before="0" w:after="0"/>
              <w:ind w:left="80"/>
              <w:jc w:val="left"/>
              <w:rPr>
                <w:color w:val="000000"/>
                <w:sz w:val="18"/>
                <w:szCs w:val="18"/>
              </w:rPr>
            </w:pPr>
          </w:p>
          <w:p w14:paraId="4380CEB9" w14:textId="77777777" w:rsidR="00154FB3" w:rsidRDefault="00154FB3" w:rsidP="00E23FEF">
            <w:pPr>
              <w:snapToGrid w:val="0"/>
              <w:spacing w:before="0" w:after="0"/>
              <w:ind w:left="80"/>
              <w:jc w:val="left"/>
              <w:rPr>
                <w:color w:val="000000"/>
                <w:sz w:val="18"/>
                <w:szCs w:val="18"/>
              </w:rPr>
            </w:pPr>
          </w:p>
          <w:p w14:paraId="3F87746F" w14:textId="77777777" w:rsidR="00154FB3" w:rsidRDefault="00154FB3" w:rsidP="00E23FEF">
            <w:pPr>
              <w:snapToGrid w:val="0"/>
              <w:spacing w:before="0" w:after="0"/>
              <w:ind w:left="80"/>
              <w:jc w:val="left"/>
              <w:rPr>
                <w:color w:val="000000"/>
                <w:sz w:val="18"/>
                <w:szCs w:val="18"/>
              </w:rPr>
            </w:pPr>
          </w:p>
          <w:p w14:paraId="4A8AAF60" w14:textId="77777777" w:rsidR="00154FB3" w:rsidRDefault="00154FB3" w:rsidP="00E23FEF">
            <w:pPr>
              <w:snapToGrid w:val="0"/>
              <w:spacing w:before="0" w:after="0"/>
              <w:ind w:left="80"/>
              <w:jc w:val="left"/>
              <w:rPr>
                <w:color w:val="000000"/>
                <w:sz w:val="18"/>
                <w:szCs w:val="18"/>
              </w:rPr>
            </w:pPr>
          </w:p>
          <w:p w14:paraId="4576C2AD" w14:textId="77777777" w:rsidR="00154FB3" w:rsidRDefault="00154FB3" w:rsidP="00E23FEF">
            <w:pPr>
              <w:snapToGrid w:val="0"/>
              <w:spacing w:before="0" w:after="0"/>
              <w:ind w:left="80"/>
              <w:jc w:val="left"/>
              <w:rPr>
                <w:color w:val="000000"/>
                <w:sz w:val="18"/>
                <w:szCs w:val="18"/>
              </w:rPr>
            </w:pPr>
          </w:p>
          <w:p w14:paraId="781747A7" w14:textId="77777777" w:rsidR="00154FB3" w:rsidRDefault="00154FB3" w:rsidP="00E23FEF">
            <w:pPr>
              <w:snapToGrid w:val="0"/>
              <w:spacing w:before="0" w:after="0"/>
              <w:ind w:left="80"/>
              <w:jc w:val="left"/>
              <w:rPr>
                <w:color w:val="000000"/>
                <w:sz w:val="18"/>
                <w:szCs w:val="18"/>
              </w:rPr>
            </w:pPr>
          </w:p>
          <w:p w14:paraId="3024C595" w14:textId="77777777" w:rsidR="00154FB3" w:rsidRDefault="00154FB3" w:rsidP="00E23FEF">
            <w:pPr>
              <w:snapToGrid w:val="0"/>
              <w:spacing w:before="0" w:after="0"/>
              <w:ind w:left="80"/>
              <w:jc w:val="left"/>
              <w:rPr>
                <w:color w:val="000000"/>
                <w:sz w:val="18"/>
                <w:szCs w:val="18"/>
              </w:rPr>
            </w:pPr>
          </w:p>
          <w:p w14:paraId="0DBCBEF9" w14:textId="77777777" w:rsidR="00154FB3" w:rsidRDefault="00154FB3" w:rsidP="00E23FEF">
            <w:pPr>
              <w:snapToGrid w:val="0"/>
              <w:spacing w:before="0" w:after="0"/>
              <w:ind w:left="80"/>
              <w:jc w:val="left"/>
              <w:rPr>
                <w:color w:val="000000"/>
                <w:sz w:val="18"/>
                <w:szCs w:val="18"/>
              </w:rPr>
            </w:pPr>
          </w:p>
          <w:p w14:paraId="1CF701C5" w14:textId="77777777" w:rsidR="00154FB3" w:rsidRDefault="00154FB3" w:rsidP="00E23FEF">
            <w:pPr>
              <w:snapToGrid w:val="0"/>
              <w:spacing w:before="0" w:after="0"/>
              <w:ind w:left="80"/>
              <w:jc w:val="left"/>
              <w:rPr>
                <w:color w:val="000000"/>
                <w:sz w:val="18"/>
                <w:szCs w:val="18"/>
              </w:rPr>
            </w:pPr>
          </w:p>
          <w:p w14:paraId="4B0B9598" w14:textId="77777777" w:rsidR="00154FB3" w:rsidRDefault="00154FB3" w:rsidP="00E23FEF">
            <w:pPr>
              <w:snapToGrid w:val="0"/>
              <w:spacing w:before="0" w:after="0"/>
              <w:ind w:left="80"/>
              <w:jc w:val="left"/>
              <w:rPr>
                <w:color w:val="000000"/>
                <w:sz w:val="18"/>
                <w:szCs w:val="18"/>
              </w:rPr>
            </w:pPr>
          </w:p>
          <w:p w14:paraId="1676B672" w14:textId="77777777" w:rsidR="00154FB3" w:rsidRDefault="00154FB3" w:rsidP="00E23FEF">
            <w:pPr>
              <w:snapToGrid w:val="0"/>
              <w:spacing w:before="0" w:after="0"/>
              <w:ind w:left="80"/>
              <w:jc w:val="left"/>
              <w:rPr>
                <w:color w:val="000000"/>
                <w:sz w:val="18"/>
                <w:szCs w:val="18"/>
              </w:rPr>
            </w:pPr>
          </w:p>
          <w:p w14:paraId="6341FF2A" w14:textId="77777777" w:rsidR="00154FB3" w:rsidRDefault="00154FB3" w:rsidP="00E23FEF">
            <w:pPr>
              <w:snapToGrid w:val="0"/>
              <w:spacing w:before="0" w:after="0"/>
              <w:ind w:left="80"/>
              <w:jc w:val="left"/>
              <w:rPr>
                <w:color w:val="000000"/>
                <w:sz w:val="18"/>
                <w:szCs w:val="18"/>
              </w:rPr>
            </w:pPr>
          </w:p>
          <w:p w14:paraId="75E6E098" w14:textId="77777777" w:rsidR="00154FB3" w:rsidRDefault="00154FB3" w:rsidP="00E23FEF">
            <w:pPr>
              <w:snapToGrid w:val="0"/>
              <w:spacing w:before="0" w:after="0"/>
              <w:ind w:left="80"/>
              <w:jc w:val="left"/>
              <w:rPr>
                <w:color w:val="000000"/>
                <w:sz w:val="18"/>
                <w:szCs w:val="18"/>
              </w:rPr>
            </w:pPr>
          </w:p>
          <w:p w14:paraId="35432E77" w14:textId="77777777" w:rsidR="00154FB3" w:rsidRDefault="00154FB3" w:rsidP="00E23FEF">
            <w:pPr>
              <w:snapToGrid w:val="0"/>
              <w:spacing w:before="0" w:after="0"/>
              <w:ind w:left="80"/>
              <w:jc w:val="left"/>
              <w:rPr>
                <w:color w:val="000000"/>
                <w:sz w:val="18"/>
                <w:szCs w:val="18"/>
              </w:rPr>
            </w:pPr>
          </w:p>
          <w:p w14:paraId="6D5A5FD2" w14:textId="77777777" w:rsidR="00154FB3" w:rsidRDefault="00154FB3" w:rsidP="00E23FEF">
            <w:pPr>
              <w:snapToGrid w:val="0"/>
              <w:spacing w:before="0" w:after="0"/>
              <w:ind w:left="80"/>
              <w:jc w:val="left"/>
              <w:rPr>
                <w:color w:val="000000"/>
                <w:sz w:val="18"/>
                <w:szCs w:val="18"/>
              </w:rPr>
            </w:pPr>
          </w:p>
          <w:p w14:paraId="3F1AFE44" w14:textId="77777777" w:rsidR="00154FB3" w:rsidRDefault="00154FB3" w:rsidP="00E23FEF">
            <w:pPr>
              <w:snapToGrid w:val="0"/>
              <w:spacing w:before="0" w:after="0"/>
              <w:ind w:left="80"/>
              <w:jc w:val="left"/>
              <w:rPr>
                <w:color w:val="000000"/>
                <w:sz w:val="18"/>
                <w:szCs w:val="18"/>
              </w:rPr>
            </w:pPr>
          </w:p>
          <w:p w14:paraId="09993DAA" w14:textId="77777777" w:rsidR="00154FB3" w:rsidRDefault="00154FB3" w:rsidP="00E23FEF">
            <w:pPr>
              <w:snapToGrid w:val="0"/>
              <w:spacing w:before="0" w:after="0"/>
              <w:ind w:left="80"/>
              <w:jc w:val="left"/>
              <w:rPr>
                <w:color w:val="000000"/>
                <w:sz w:val="18"/>
                <w:szCs w:val="18"/>
              </w:rPr>
            </w:pPr>
          </w:p>
          <w:p w14:paraId="56DF56C2" w14:textId="77777777" w:rsidR="00154FB3" w:rsidRDefault="00154FB3" w:rsidP="00E23FEF">
            <w:pPr>
              <w:snapToGrid w:val="0"/>
              <w:spacing w:before="0" w:after="0"/>
              <w:ind w:left="80"/>
              <w:jc w:val="left"/>
              <w:rPr>
                <w:color w:val="000000"/>
                <w:sz w:val="18"/>
                <w:szCs w:val="18"/>
              </w:rPr>
            </w:pPr>
          </w:p>
          <w:p w14:paraId="51102C90" w14:textId="77777777" w:rsidR="00154FB3" w:rsidRDefault="00154FB3" w:rsidP="00E23FEF">
            <w:pPr>
              <w:snapToGrid w:val="0"/>
              <w:spacing w:before="0" w:after="0"/>
              <w:ind w:left="80"/>
              <w:jc w:val="left"/>
              <w:rPr>
                <w:color w:val="000000"/>
                <w:sz w:val="18"/>
                <w:szCs w:val="18"/>
              </w:rPr>
            </w:pPr>
          </w:p>
          <w:p w14:paraId="748A7337" w14:textId="77777777" w:rsidR="00154FB3" w:rsidRDefault="00154FB3" w:rsidP="00E23FEF">
            <w:pPr>
              <w:snapToGrid w:val="0"/>
              <w:spacing w:before="0" w:after="0"/>
              <w:ind w:left="80"/>
              <w:jc w:val="left"/>
              <w:rPr>
                <w:color w:val="000000"/>
                <w:sz w:val="18"/>
                <w:szCs w:val="18"/>
              </w:rPr>
            </w:pPr>
          </w:p>
          <w:p w14:paraId="7E72FC30" w14:textId="77777777" w:rsidR="00154FB3" w:rsidRDefault="00154FB3" w:rsidP="00E23FEF">
            <w:pPr>
              <w:snapToGrid w:val="0"/>
              <w:spacing w:before="0" w:after="0"/>
              <w:ind w:left="80"/>
              <w:jc w:val="left"/>
              <w:rPr>
                <w:color w:val="000000"/>
                <w:sz w:val="18"/>
                <w:szCs w:val="18"/>
              </w:rPr>
            </w:pPr>
          </w:p>
          <w:p w14:paraId="1C41BD58" w14:textId="77777777" w:rsidR="00154FB3" w:rsidRDefault="00154FB3" w:rsidP="00E23FEF">
            <w:pPr>
              <w:snapToGrid w:val="0"/>
              <w:spacing w:before="0" w:after="0"/>
              <w:ind w:left="80"/>
              <w:jc w:val="left"/>
              <w:rPr>
                <w:color w:val="000000"/>
                <w:sz w:val="18"/>
                <w:szCs w:val="18"/>
              </w:rPr>
            </w:pPr>
          </w:p>
          <w:p w14:paraId="21098ED8" w14:textId="77777777" w:rsidR="00154FB3" w:rsidRDefault="00154FB3" w:rsidP="00E23FEF">
            <w:pPr>
              <w:snapToGrid w:val="0"/>
              <w:spacing w:before="0" w:after="0"/>
              <w:ind w:left="80"/>
              <w:jc w:val="left"/>
              <w:rPr>
                <w:color w:val="000000"/>
                <w:sz w:val="18"/>
                <w:szCs w:val="18"/>
              </w:rPr>
            </w:pPr>
          </w:p>
          <w:p w14:paraId="06B9BEF4" w14:textId="77777777" w:rsidR="00154FB3" w:rsidRDefault="00154FB3" w:rsidP="00E23FEF">
            <w:pPr>
              <w:snapToGrid w:val="0"/>
              <w:spacing w:before="0" w:after="0"/>
              <w:ind w:left="80"/>
              <w:jc w:val="left"/>
              <w:rPr>
                <w:color w:val="000000"/>
                <w:sz w:val="18"/>
                <w:szCs w:val="18"/>
              </w:rPr>
            </w:pPr>
          </w:p>
          <w:p w14:paraId="1EDF38E3" w14:textId="77777777" w:rsidR="00154FB3" w:rsidRDefault="00154FB3" w:rsidP="00E23FEF">
            <w:pPr>
              <w:snapToGrid w:val="0"/>
              <w:spacing w:before="0" w:after="0"/>
              <w:ind w:left="80"/>
              <w:jc w:val="left"/>
              <w:rPr>
                <w:color w:val="000000"/>
                <w:sz w:val="18"/>
                <w:szCs w:val="18"/>
              </w:rPr>
            </w:pPr>
          </w:p>
          <w:p w14:paraId="74961050" w14:textId="77777777" w:rsidR="00154FB3" w:rsidRDefault="00154FB3" w:rsidP="00E23FEF">
            <w:pPr>
              <w:snapToGrid w:val="0"/>
              <w:spacing w:before="0" w:after="0"/>
              <w:ind w:left="80"/>
              <w:jc w:val="left"/>
              <w:rPr>
                <w:color w:val="000000"/>
                <w:sz w:val="18"/>
                <w:szCs w:val="18"/>
              </w:rPr>
            </w:pPr>
          </w:p>
          <w:p w14:paraId="3BFCC194" w14:textId="77777777" w:rsidR="00154FB3" w:rsidRDefault="00154FB3" w:rsidP="00E23FEF">
            <w:pPr>
              <w:snapToGrid w:val="0"/>
              <w:spacing w:before="0" w:after="0"/>
              <w:ind w:left="80"/>
              <w:jc w:val="left"/>
              <w:rPr>
                <w:color w:val="000000"/>
                <w:sz w:val="18"/>
                <w:szCs w:val="18"/>
              </w:rPr>
            </w:pPr>
          </w:p>
          <w:p w14:paraId="6A9B0F9F" w14:textId="77777777" w:rsidR="00154FB3" w:rsidRDefault="00154FB3" w:rsidP="00E23FEF">
            <w:pPr>
              <w:snapToGrid w:val="0"/>
              <w:spacing w:before="0" w:after="0"/>
              <w:ind w:left="80"/>
              <w:jc w:val="left"/>
              <w:rPr>
                <w:color w:val="000000"/>
                <w:sz w:val="18"/>
                <w:szCs w:val="18"/>
              </w:rPr>
            </w:pPr>
          </w:p>
          <w:p w14:paraId="59B34431" w14:textId="77777777" w:rsidR="00154FB3" w:rsidRDefault="00154FB3" w:rsidP="00E23FEF">
            <w:pPr>
              <w:snapToGrid w:val="0"/>
              <w:spacing w:before="0" w:after="0"/>
              <w:ind w:left="80"/>
              <w:jc w:val="left"/>
              <w:rPr>
                <w:color w:val="000000"/>
                <w:sz w:val="18"/>
                <w:szCs w:val="18"/>
              </w:rPr>
            </w:pPr>
          </w:p>
          <w:p w14:paraId="4D4BE830" w14:textId="77777777" w:rsidR="00154FB3" w:rsidRDefault="00154FB3" w:rsidP="00E23FEF">
            <w:pPr>
              <w:snapToGrid w:val="0"/>
              <w:spacing w:before="0" w:after="0"/>
              <w:ind w:left="80"/>
              <w:jc w:val="left"/>
              <w:rPr>
                <w:color w:val="000000"/>
                <w:sz w:val="18"/>
                <w:szCs w:val="18"/>
              </w:rPr>
            </w:pPr>
          </w:p>
          <w:p w14:paraId="741751DA" w14:textId="77777777" w:rsidR="00154FB3" w:rsidRDefault="00154FB3" w:rsidP="00E23FEF">
            <w:pPr>
              <w:snapToGrid w:val="0"/>
              <w:spacing w:before="0" w:after="0"/>
              <w:ind w:left="80"/>
              <w:jc w:val="left"/>
              <w:rPr>
                <w:color w:val="000000"/>
                <w:sz w:val="18"/>
                <w:szCs w:val="18"/>
              </w:rPr>
            </w:pPr>
          </w:p>
          <w:p w14:paraId="3DABFEEC" w14:textId="77777777" w:rsidR="00154FB3" w:rsidRDefault="00154FB3" w:rsidP="00E23FEF">
            <w:pPr>
              <w:snapToGrid w:val="0"/>
              <w:spacing w:before="0" w:after="0"/>
              <w:ind w:left="80"/>
              <w:jc w:val="left"/>
              <w:rPr>
                <w:color w:val="000000"/>
                <w:sz w:val="18"/>
                <w:szCs w:val="18"/>
              </w:rPr>
            </w:pPr>
          </w:p>
          <w:p w14:paraId="0A5F7EC7" w14:textId="77777777" w:rsidR="00154FB3" w:rsidRDefault="00154FB3" w:rsidP="00E23FEF">
            <w:pPr>
              <w:snapToGrid w:val="0"/>
              <w:spacing w:before="0" w:after="0"/>
              <w:ind w:left="80"/>
              <w:jc w:val="left"/>
              <w:rPr>
                <w:color w:val="000000"/>
                <w:sz w:val="18"/>
                <w:szCs w:val="18"/>
              </w:rPr>
            </w:pPr>
          </w:p>
          <w:p w14:paraId="0C8F4002" w14:textId="77777777" w:rsidR="00154FB3" w:rsidRDefault="00154FB3" w:rsidP="00E23FEF">
            <w:pPr>
              <w:snapToGrid w:val="0"/>
              <w:spacing w:before="0" w:after="0"/>
              <w:ind w:left="80"/>
              <w:jc w:val="left"/>
              <w:rPr>
                <w:color w:val="000000"/>
                <w:sz w:val="18"/>
                <w:szCs w:val="18"/>
              </w:rPr>
            </w:pPr>
          </w:p>
          <w:p w14:paraId="6E974A8A" w14:textId="77777777" w:rsidR="00154FB3" w:rsidRDefault="00154FB3" w:rsidP="00E23FEF">
            <w:pPr>
              <w:snapToGrid w:val="0"/>
              <w:spacing w:before="0" w:after="0"/>
              <w:ind w:left="80"/>
              <w:jc w:val="left"/>
              <w:rPr>
                <w:color w:val="000000"/>
                <w:sz w:val="18"/>
                <w:szCs w:val="18"/>
              </w:rPr>
            </w:pPr>
          </w:p>
          <w:p w14:paraId="3D138AB7" w14:textId="77777777" w:rsidR="00154FB3" w:rsidRDefault="00154FB3" w:rsidP="00E23FEF">
            <w:pPr>
              <w:snapToGrid w:val="0"/>
              <w:spacing w:before="0" w:after="0"/>
              <w:ind w:left="80"/>
              <w:jc w:val="left"/>
              <w:rPr>
                <w:color w:val="000000"/>
                <w:sz w:val="18"/>
                <w:szCs w:val="18"/>
              </w:rPr>
            </w:pPr>
          </w:p>
          <w:p w14:paraId="31BD6E9D" w14:textId="77777777" w:rsidR="00154FB3" w:rsidRDefault="00154FB3" w:rsidP="00E23FEF">
            <w:pPr>
              <w:snapToGrid w:val="0"/>
              <w:spacing w:before="0" w:after="0"/>
              <w:ind w:left="80"/>
              <w:jc w:val="left"/>
              <w:rPr>
                <w:color w:val="000000"/>
                <w:sz w:val="18"/>
                <w:szCs w:val="18"/>
              </w:rPr>
            </w:pPr>
          </w:p>
          <w:p w14:paraId="4B495899" w14:textId="77777777" w:rsidR="00154FB3" w:rsidRDefault="00154FB3" w:rsidP="00E23FEF">
            <w:pPr>
              <w:snapToGrid w:val="0"/>
              <w:spacing w:before="0" w:after="0"/>
              <w:ind w:left="80"/>
              <w:jc w:val="left"/>
              <w:rPr>
                <w:color w:val="000000"/>
                <w:sz w:val="18"/>
                <w:szCs w:val="18"/>
              </w:rPr>
            </w:pPr>
          </w:p>
          <w:p w14:paraId="57D8BE12" w14:textId="77777777" w:rsidR="00154FB3" w:rsidRDefault="00154FB3" w:rsidP="00E23FEF">
            <w:pPr>
              <w:snapToGrid w:val="0"/>
              <w:spacing w:before="0" w:after="0"/>
              <w:ind w:left="80"/>
              <w:jc w:val="left"/>
              <w:rPr>
                <w:color w:val="000000"/>
                <w:sz w:val="18"/>
                <w:szCs w:val="18"/>
              </w:rPr>
            </w:pPr>
          </w:p>
          <w:p w14:paraId="3100A63C" w14:textId="77777777" w:rsidR="00154FB3" w:rsidRDefault="00154FB3" w:rsidP="00E23FEF">
            <w:pPr>
              <w:snapToGrid w:val="0"/>
              <w:spacing w:before="0" w:after="0"/>
              <w:ind w:left="80"/>
              <w:jc w:val="left"/>
              <w:rPr>
                <w:color w:val="000000"/>
                <w:sz w:val="18"/>
                <w:szCs w:val="18"/>
              </w:rPr>
            </w:pPr>
          </w:p>
          <w:p w14:paraId="00F622A5" w14:textId="77777777" w:rsidR="00154FB3" w:rsidRDefault="00154FB3" w:rsidP="00E23FEF">
            <w:pPr>
              <w:snapToGrid w:val="0"/>
              <w:spacing w:before="0" w:after="0"/>
              <w:ind w:left="80"/>
              <w:jc w:val="left"/>
              <w:rPr>
                <w:color w:val="000000"/>
                <w:sz w:val="18"/>
                <w:szCs w:val="18"/>
              </w:rPr>
            </w:pPr>
          </w:p>
          <w:p w14:paraId="7D9BB50E" w14:textId="77777777" w:rsidR="00154FB3" w:rsidRDefault="00154FB3" w:rsidP="00E23FEF">
            <w:pPr>
              <w:snapToGrid w:val="0"/>
              <w:spacing w:before="0" w:after="0"/>
              <w:ind w:left="80"/>
              <w:jc w:val="left"/>
              <w:rPr>
                <w:color w:val="000000"/>
                <w:sz w:val="18"/>
                <w:szCs w:val="18"/>
              </w:rPr>
            </w:pPr>
          </w:p>
          <w:p w14:paraId="597DE53A" w14:textId="77777777" w:rsidR="00154FB3" w:rsidRDefault="00154FB3" w:rsidP="00E23FEF">
            <w:pPr>
              <w:snapToGrid w:val="0"/>
              <w:spacing w:before="0" w:after="0"/>
              <w:ind w:left="80"/>
              <w:jc w:val="left"/>
              <w:rPr>
                <w:color w:val="000000"/>
                <w:sz w:val="18"/>
                <w:szCs w:val="18"/>
              </w:rPr>
            </w:pPr>
          </w:p>
          <w:p w14:paraId="4DCFD349" w14:textId="77777777" w:rsidR="00154FB3" w:rsidRDefault="00154FB3" w:rsidP="00E23FEF">
            <w:pPr>
              <w:snapToGrid w:val="0"/>
              <w:spacing w:before="0" w:after="0"/>
              <w:ind w:left="80"/>
              <w:jc w:val="left"/>
              <w:rPr>
                <w:color w:val="000000"/>
                <w:sz w:val="18"/>
                <w:szCs w:val="18"/>
              </w:rPr>
            </w:pPr>
          </w:p>
          <w:p w14:paraId="38E982F8" w14:textId="77777777" w:rsidR="00154FB3" w:rsidRDefault="00154FB3" w:rsidP="00E23FEF">
            <w:pPr>
              <w:snapToGrid w:val="0"/>
              <w:spacing w:before="0" w:after="0"/>
              <w:ind w:left="80"/>
              <w:jc w:val="left"/>
              <w:rPr>
                <w:color w:val="000000"/>
                <w:sz w:val="18"/>
                <w:szCs w:val="18"/>
              </w:rPr>
            </w:pPr>
          </w:p>
          <w:p w14:paraId="715229B3" w14:textId="77777777" w:rsidR="00154FB3" w:rsidRDefault="00154FB3" w:rsidP="00E23FEF">
            <w:pPr>
              <w:snapToGrid w:val="0"/>
              <w:spacing w:before="0" w:after="0"/>
              <w:ind w:left="80"/>
              <w:jc w:val="left"/>
              <w:rPr>
                <w:color w:val="000000"/>
                <w:sz w:val="18"/>
                <w:szCs w:val="18"/>
              </w:rPr>
            </w:pPr>
          </w:p>
          <w:p w14:paraId="7816AE69" w14:textId="77777777" w:rsidR="00154FB3" w:rsidRDefault="00154FB3" w:rsidP="00E23FEF">
            <w:pPr>
              <w:snapToGrid w:val="0"/>
              <w:spacing w:before="0" w:after="0"/>
              <w:ind w:left="80"/>
              <w:jc w:val="left"/>
              <w:rPr>
                <w:color w:val="000000"/>
                <w:sz w:val="18"/>
                <w:szCs w:val="18"/>
              </w:rPr>
            </w:pPr>
          </w:p>
          <w:p w14:paraId="192DF20D" w14:textId="77777777" w:rsidR="00154FB3" w:rsidRDefault="00154FB3" w:rsidP="00E23FEF">
            <w:pPr>
              <w:snapToGrid w:val="0"/>
              <w:spacing w:before="0" w:after="0"/>
              <w:ind w:left="80"/>
              <w:jc w:val="left"/>
              <w:rPr>
                <w:color w:val="000000"/>
                <w:sz w:val="18"/>
                <w:szCs w:val="18"/>
              </w:rPr>
            </w:pPr>
          </w:p>
          <w:p w14:paraId="12AB9299" w14:textId="77777777" w:rsidR="00154FB3" w:rsidRDefault="00154FB3" w:rsidP="00E23FEF">
            <w:pPr>
              <w:snapToGrid w:val="0"/>
              <w:spacing w:before="0" w:after="0"/>
              <w:ind w:left="80"/>
              <w:jc w:val="left"/>
              <w:rPr>
                <w:color w:val="000000"/>
                <w:sz w:val="18"/>
                <w:szCs w:val="18"/>
              </w:rPr>
            </w:pPr>
          </w:p>
          <w:p w14:paraId="5B23C20F" w14:textId="77777777" w:rsidR="00154FB3" w:rsidRDefault="00154FB3" w:rsidP="00E23FEF">
            <w:pPr>
              <w:snapToGrid w:val="0"/>
              <w:spacing w:before="0" w:after="0"/>
              <w:ind w:left="80"/>
              <w:jc w:val="left"/>
              <w:rPr>
                <w:color w:val="000000"/>
                <w:sz w:val="18"/>
                <w:szCs w:val="18"/>
              </w:rPr>
            </w:pPr>
          </w:p>
          <w:p w14:paraId="05D8A86C" w14:textId="77777777" w:rsidR="00154FB3" w:rsidRDefault="00154FB3" w:rsidP="00E23FEF">
            <w:pPr>
              <w:snapToGrid w:val="0"/>
              <w:spacing w:before="0" w:after="0"/>
              <w:ind w:left="80"/>
              <w:jc w:val="left"/>
              <w:rPr>
                <w:color w:val="000000"/>
                <w:sz w:val="18"/>
                <w:szCs w:val="18"/>
              </w:rPr>
            </w:pPr>
          </w:p>
          <w:p w14:paraId="63C1EB15" w14:textId="77777777" w:rsidR="00154FB3" w:rsidRDefault="00154FB3" w:rsidP="00E23FEF">
            <w:pPr>
              <w:snapToGrid w:val="0"/>
              <w:spacing w:before="0" w:after="0"/>
              <w:ind w:left="80"/>
              <w:jc w:val="left"/>
              <w:rPr>
                <w:color w:val="000000"/>
                <w:sz w:val="18"/>
                <w:szCs w:val="18"/>
              </w:rPr>
            </w:pPr>
          </w:p>
          <w:p w14:paraId="21647925" w14:textId="77777777" w:rsidR="00154FB3" w:rsidRDefault="00154FB3" w:rsidP="00E23FEF">
            <w:pPr>
              <w:snapToGrid w:val="0"/>
              <w:spacing w:before="0" w:after="0"/>
              <w:ind w:left="80"/>
              <w:jc w:val="left"/>
              <w:rPr>
                <w:color w:val="000000"/>
                <w:sz w:val="18"/>
                <w:szCs w:val="18"/>
              </w:rPr>
            </w:pPr>
          </w:p>
          <w:p w14:paraId="2688453A" w14:textId="77777777" w:rsidR="00154FB3" w:rsidRDefault="00154FB3" w:rsidP="00E23FEF">
            <w:pPr>
              <w:snapToGrid w:val="0"/>
              <w:spacing w:before="0" w:after="0"/>
              <w:ind w:left="80"/>
              <w:jc w:val="left"/>
              <w:rPr>
                <w:color w:val="000000"/>
                <w:sz w:val="18"/>
                <w:szCs w:val="18"/>
              </w:rPr>
            </w:pPr>
          </w:p>
          <w:p w14:paraId="54D4922B" w14:textId="77777777" w:rsidR="00154FB3" w:rsidRDefault="00154FB3" w:rsidP="00E23FEF">
            <w:pPr>
              <w:snapToGrid w:val="0"/>
              <w:spacing w:before="0" w:after="0"/>
              <w:ind w:left="80"/>
              <w:jc w:val="left"/>
              <w:rPr>
                <w:color w:val="000000"/>
                <w:sz w:val="18"/>
                <w:szCs w:val="18"/>
              </w:rPr>
            </w:pPr>
          </w:p>
          <w:p w14:paraId="79F85C20" w14:textId="77777777" w:rsidR="00154FB3" w:rsidRDefault="00154FB3" w:rsidP="00E23FEF">
            <w:pPr>
              <w:snapToGrid w:val="0"/>
              <w:spacing w:before="0" w:after="0"/>
              <w:ind w:left="80"/>
              <w:jc w:val="left"/>
              <w:rPr>
                <w:color w:val="000000"/>
                <w:sz w:val="18"/>
                <w:szCs w:val="18"/>
              </w:rPr>
            </w:pPr>
          </w:p>
          <w:p w14:paraId="47F33607" w14:textId="77777777" w:rsidR="00154FB3" w:rsidRDefault="00154FB3" w:rsidP="00E23FEF">
            <w:pPr>
              <w:snapToGrid w:val="0"/>
              <w:spacing w:before="0" w:after="0"/>
              <w:ind w:left="80"/>
              <w:jc w:val="left"/>
              <w:rPr>
                <w:color w:val="000000"/>
                <w:sz w:val="18"/>
                <w:szCs w:val="18"/>
              </w:rPr>
            </w:pPr>
          </w:p>
          <w:p w14:paraId="586C94DD" w14:textId="77777777" w:rsidR="00154FB3" w:rsidRDefault="00154FB3" w:rsidP="00E23FEF">
            <w:pPr>
              <w:snapToGrid w:val="0"/>
              <w:spacing w:before="0" w:after="0"/>
              <w:ind w:left="80"/>
              <w:jc w:val="left"/>
              <w:rPr>
                <w:color w:val="000000"/>
                <w:sz w:val="18"/>
                <w:szCs w:val="18"/>
              </w:rPr>
            </w:pPr>
          </w:p>
          <w:p w14:paraId="5897D8D2" w14:textId="77777777" w:rsidR="00154FB3" w:rsidRDefault="00154FB3" w:rsidP="00E23FEF">
            <w:pPr>
              <w:snapToGrid w:val="0"/>
              <w:spacing w:before="0" w:after="0"/>
              <w:ind w:left="80"/>
              <w:jc w:val="left"/>
              <w:rPr>
                <w:color w:val="000000"/>
                <w:sz w:val="18"/>
                <w:szCs w:val="18"/>
              </w:rPr>
            </w:pPr>
          </w:p>
          <w:p w14:paraId="5465D7C4" w14:textId="77777777" w:rsidR="00154FB3" w:rsidRDefault="00154FB3" w:rsidP="00E23FEF">
            <w:pPr>
              <w:snapToGrid w:val="0"/>
              <w:spacing w:before="0" w:after="0"/>
              <w:ind w:left="80"/>
              <w:jc w:val="left"/>
              <w:rPr>
                <w:color w:val="000000"/>
                <w:sz w:val="18"/>
                <w:szCs w:val="18"/>
              </w:rPr>
            </w:pPr>
          </w:p>
          <w:p w14:paraId="62134E1F" w14:textId="77777777" w:rsidR="00154FB3" w:rsidRDefault="00154FB3" w:rsidP="00E23FEF">
            <w:pPr>
              <w:snapToGrid w:val="0"/>
              <w:spacing w:before="0" w:after="0"/>
              <w:ind w:left="80"/>
              <w:jc w:val="left"/>
              <w:rPr>
                <w:color w:val="000000"/>
                <w:sz w:val="18"/>
                <w:szCs w:val="18"/>
              </w:rPr>
            </w:pPr>
          </w:p>
          <w:p w14:paraId="19A8E5E3" w14:textId="77777777" w:rsidR="00154FB3" w:rsidRDefault="00154FB3" w:rsidP="00E23FEF">
            <w:pPr>
              <w:snapToGrid w:val="0"/>
              <w:spacing w:before="0" w:after="0"/>
              <w:ind w:left="80"/>
              <w:jc w:val="left"/>
              <w:rPr>
                <w:color w:val="000000"/>
                <w:sz w:val="18"/>
                <w:szCs w:val="18"/>
              </w:rPr>
            </w:pPr>
          </w:p>
          <w:p w14:paraId="7F87FB25" w14:textId="77777777" w:rsidR="00154FB3" w:rsidRDefault="00154FB3" w:rsidP="00E23FEF">
            <w:pPr>
              <w:snapToGrid w:val="0"/>
              <w:spacing w:before="0" w:after="0"/>
              <w:ind w:left="80"/>
              <w:jc w:val="left"/>
              <w:rPr>
                <w:color w:val="000000"/>
                <w:sz w:val="18"/>
                <w:szCs w:val="18"/>
              </w:rPr>
            </w:pPr>
          </w:p>
          <w:p w14:paraId="1EBAB7CC" w14:textId="77777777" w:rsidR="00154FB3" w:rsidRDefault="00154FB3" w:rsidP="00E23FEF">
            <w:pPr>
              <w:snapToGrid w:val="0"/>
              <w:spacing w:before="0" w:after="0"/>
              <w:ind w:left="80"/>
              <w:jc w:val="left"/>
              <w:rPr>
                <w:color w:val="000000"/>
                <w:sz w:val="18"/>
                <w:szCs w:val="18"/>
              </w:rPr>
            </w:pPr>
          </w:p>
          <w:p w14:paraId="7C29E299" w14:textId="77777777" w:rsidR="00154FB3" w:rsidRDefault="00154FB3" w:rsidP="00E23FEF">
            <w:pPr>
              <w:snapToGrid w:val="0"/>
              <w:spacing w:before="0" w:after="0"/>
              <w:ind w:left="80"/>
              <w:jc w:val="left"/>
              <w:rPr>
                <w:color w:val="000000"/>
                <w:sz w:val="18"/>
                <w:szCs w:val="18"/>
              </w:rPr>
            </w:pPr>
          </w:p>
          <w:p w14:paraId="6DE71173" w14:textId="77777777" w:rsidR="00154FB3" w:rsidRDefault="00154FB3" w:rsidP="00E23FEF">
            <w:pPr>
              <w:snapToGrid w:val="0"/>
              <w:spacing w:before="0" w:after="0"/>
              <w:ind w:left="80"/>
              <w:jc w:val="left"/>
              <w:rPr>
                <w:color w:val="000000"/>
                <w:sz w:val="18"/>
                <w:szCs w:val="18"/>
              </w:rPr>
            </w:pPr>
          </w:p>
          <w:p w14:paraId="54954B02" w14:textId="77777777" w:rsidR="00154FB3" w:rsidRDefault="00154FB3" w:rsidP="00E23FEF">
            <w:pPr>
              <w:snapToGrid w:val="0"/>
              <w:spacing w:before="0" w:after="0"/>
              <w:ind w:left="80"/>
              <w:jc w:val="left"/>
              <w:rPr>
                <w:color w:val="000000"/>
                <w:sz w:val="18"/>
                <w:szCs w:val="18"/>
              </w:rPr>
            </w:pPr>
          </w:p>
          <w:p w14:paraId="7E6B6AA8" w14:textId="77777777" w:rsidR="00154FB3" w:rsidRDefault="00154FB3" w:rsidP="00E23FEF">
            <w:pPr>
              <w:snapToGrid w:val="0"/>
              <w:spacing w:before="0" w:after="0"/>
              <w:ind w:left="80"/>
              <w:jc w:val="left"/>
              <w:rPr>
                <w:color w:val="000000"/>
                <w:sz w:val="18"/>
                <w:szCs w:val="18"/>
              </w:rPr>
            </w:pPr>
          </w:p>
          <w:p w14:paraId="79E7B48D" w14:textId="77777777" w:rsidR="00154FB3" w:rsidRDefault="00154FB3" w:rsidP="00E23FEF">
            <w:pPr>
              <w:snapToGrid w:val="0"/>
              <w:spacing w:before="0" w:after="0"/>
              <w:ind w:left="80"/>
              <w:jc w:val="left"/>
              <w:rPr>
                <w:color w:val="000000"/>
                <w:sz w:val="18"/>
                <w:szCs w:val="18"/>
              </w:rPr>
            </w:pPr>
          </w:p>
          <w:p w14:paraId="49067970" w14:textId="77777777" w:rsidR="00154FB3" w:rsidRDefault="00154FB3" w:rsidP="00E23FEF">
            <w:pPr>
              <w:snapToGrid w:val="0"/>
              <w:spacing w:before="0" w:after="0"/>
              <w:ind w:left="80"/>
              <w:jc w:val="left"/>
              <w:rPr>
                <w:color w:val="000000"/>
                <w:sz w:val="18"/>
                <w:szCs w:val="18"/>
              </w:rPr>
            </w:pPr>
          </w:p>
          <w:p w14:paraId="186D8D0A" w14:textId="77777777" w:rsidR="00154FB3" w:rsidRDefault="00154FB3" w:rsidP="00E23FEF">
            <w:pPr>
              <w:snapToGrid w:val="0"/>
              <w:spacing w:before="0" w:after="0"/>
              <w:ind w:left="80"/>
              <w:jc w:val="left"/>
              <w:rPr>
                <w:color w:val="000000"/>
                <w:sz w:val="18"/>
                <w:szCs w:val="18"/>
              </w:rPr>
            </w:pPr>
          </w:p>
          <w:p w14:paraId="3DC879D2" w14:textId="77777777" w:rsidR="00154FB3" w:rsidRDefault="00154FB3" w:rsidP="00E23FEF">
            <w:pPr>
              <w:snapToGrid w:val="0"/>
              <w:spacing w:before="0" w:after="0"/>
              <w:ind w:left="80"/>
              <w:jc w:val="left"/>
              <w:rPr>
                <w:color w:val="000000"/>
                <w:sz w:val="18"/>
                <w:szCs w:val="18"/>
              </w:rPr>
            </w:pPr>
          </w:p>
          <w:p w14:paraId="4EF6482D" w14:textId="77777777" w:rsidR="00154FB3" w:rsidRDefault="00154FB3" w:rsidP="00E23FEF">
            <w:pPr>
              <w:snapToGrid w:val="0"/>
              <w:spacing w:before="0" w:after="0"/>
              <w:ind w:left="80"/>
              <w:jc w:val="left"/>
              <w:rPr>
                <w:color w:val="000000"/>
                <w:sz w:val="18"/>
                <w:szCs w:val="18"/>
              </w:rPr>
            </w:pPr>
          </w:p>
          <w:p w14:paraId="593BCCD9" w14:textId="77777777" w:rsidR="00154FB3" w:rsidRDefault="00154FB3" w:rsidP="00E23FEF">
            <w:pPr>
              <w:snapToGrid w:val="0"/>
              <w:spacing w:before="0" w:after="0"/>
              <w:ind w:left="80"/>
              <w:jc w:val="left"/>
              <w:rPr>
                <w:color w:val="000000"/>
                <w:sz w:val="18"/>
                <w:szCs w:val="18"/>
              </w:rPr>
            </w:pPr>
          </w:p>
          <w:p w14:paraId="662E8D40" w14:textId="77777777" w:rsidR="00154FB3" w:rsidRDefault="00154FB3" w:rsidP="00E23FEF">
            <w:pPr>
              <w:snapToGrid w:val="0"/>
              <w:spacing w:before="0" w:after="0"/>
              <w:ind w:left="80"/>
              <w:jc w:val="left"/>
              <w:rPr>
                <w:color w:val="000000"/>
                <w:sz w:val="18"/>
                <w:szCs w:val="18"/>
              </w:rPr>
            </w:pPr>
          </w:p>
          <w:p w14:paraId="22EDCA16" w14:textId="77777777" w:rsidR="00154FB3" w:rsidRDefault="00154FB3" w:rsidP="00E23FEF">
            <w:pPr>
              <w:snapToGrid w:val="0"/>
              <w:spacing w:before="0" w:after="0"/>
              <w:ind w:left="80"/>
              <w:jc w:val="left"/>
              <w:rPr>
                <w:color w:val="000000"/>
                <w:sz w:val="18"/>
                <w:szCs w:val="18"/>
              </w:rPr>
            </w:pPr>
          </w:p>
          <w:p w14:paraId="176E6ECF" w14:textId="77777777" w:rsidR="00154FB3" w:rsidRDefault="00154FB3" w:rsidP="00E23FEF">
            <w:pPr>
              <w:snapToGrid w:val="0"/>
              <w:spacing w:before="0" w:after="0"/>
              <w:ind w:left="80"/>
              <w:jc w:val="left"/>
              <w:rPr>
                <w:color w:val="000000"/>
                <w:sz w:val="18"/>
                <w:szCs w:val="18"/>
              </w:rPr>
            </w:pPr>
          </w:p>
          <w:p w14:paraId="029DB340" w14:textId="77777777" w:rsidR="00154FB3" w:rsidRDefault="00154FB3" w:rsidP="00E23FEF">
            <w:pPr>
              <w:snapToGrid w:val="0"/>
              <w:spacing w:before="0" w:after="0"/>
              <w:ind w:left="80"/>
              <w:jc w:val="left"/>
              <w:rPr>
                <w:color w:val="000000"/>
                <w:sz w:val="18"/>
                <w:szCs w:val="18"/>
              </w:rPr>
            </w:pPr>
          </w:p>
          <w:p w14:paraId="76F24CA1" w14:textId="77777777" w:rsidR="00154FB3" w:rsidRDefault="00154FB3" w:rsidP="00E23FEF">
            <w:pPr>
              <w:snapToGrid w:val="0"/>
              <w:spacing w:before="0" w:after="0"/>
              <w:ind w:left="80"/>
              <w:jc w:val="left"/>
              <w:rPr>
                <w:color w:val="000000"/>
                <w:sz w:val="18"/>
                <w:szCs w:val="18"/>
              </w:rPr>
            </w:pPr>
          </w:p>
          <w:p w14:paraId="4872A70A" w14:textId="77777777" w:rsidR="00154FB3" w:rsidRDefault="00154FB3" w:rsidP="00E23FEF">
            <w:pPr>
              <w:snapToGrid w:val="0"/>
              <w:spacing w:before="0" w:after="0"/>
              <w:ind w:left="80"/>
              <w:jc w:val="left"/>
              <w:rPr>
                <w:color w:val="000000"/>
                <w:sz w:val="18"/>
                <w:szCs w:val="18"/>
              </w:rPr>
            </w:pPr>
          </w:p>
          <w:p w14:paraId="717F006C" w14:textId="77777777" w:rsidR="00154FB3" w:rsidRDefault="00154FB3" w:rsidP="00E23FEF">
            <w:pPr>
              <w:snapToGrid w:val="0"/>
              <w:spacing w:before="0" w:after="0"/>
              <w:ind w:left="80"/>
              <w:jc w:val="left"/>
              <w:rPr>
                <w:color w:val="000000"/>
                <w:sz w:val="18"/>
                <w:szCs w:val="18"/>
              </w:rPr>
            </w:pPr>
          </w:p>
          <w:p w14:paraId="30402E9D" w14:textId="77777777" w:rsidR="00154FB3" w:rsidRDefault="00154FB3" w:rsidP="00E23FEF">
            <w:pPr>
              <w:snapToGrid w:val="0"/>
              <w:spacing w:before="0" w:after="0"/>
              <w:ind w:left="80"/>
              <w:jc w:val="left"/>
              <w:rPr>
                <w:color w:val="000000"/>
                <w:sz w:val="18"/>
                <w:szCs w:val="18"/>
              </w:rPr>
            </w:pPr>
          </w:p>
          <w:p w14:paraId="29490EC9" w14:textId="77777777" w:rsidR="00154FB3" w:rsidRDefault="00154FB3" w:rsidP="00E23FEF">
            <w:pPr>
              <w:snapToGrid w:val="0"/>
              <w:spacing w:before="0" w:after="0"/>
              <w:ind w:left="80"/>
              <w:jc w:val="left"/>
              <w:rPr>
                <w:color w:val="000000"/>
                <w:sz w:val="18"/>
                <w:szCs w:val="18"/>
              </w:rPr>
            </w:pPr>
          </w:p>
          <w:p w14:paraId="72C8EF03" w14:textId="77777777" w:rsidR="00154FB3" w:rsidRDefault="00154FB3" w:rsidP="00E23FEF">
            <w:pPr>
              <w:snapToGrid w:val="0"/>
              <w:spacing w:before="0" w:after="0"/>
              <w:ind w:left="80"/>
              <w:jc w:val="left"/>
              <w:rPr>
                <w:color w:val="000000"/>
                <w:sz w:val="18"/>
                <w:szCs w:val="18"/>
              </w:rPr>
            </w:pPr>
          </w:p>
          <w:p w14:paraId="2186368F" w14:textId="77777777" w:rsidR="00154FB3" w:rsidRDefault="00154FB3" w:rsidP="00E23FEF">
            <w:pPr>
              <w:snapToGrid w:val="0"/>
              <w:spacing w:before="0" w:after="0"/>
              <w:ind w:left="80"/>
              <w:jc w:val="left"/>
              <w:rPr>
                <w:color w:val="000000"/>
                <w:sz w:val="18"/>
                <w:szCs w:val="18"/>
              </w:rPr>
            </w:pPr>
          </w:p>
          <w:p w14:paraId="34E7D827" w14:textId="77777777" w:rsidR="00154FB3" w:rsidRDefault="00154FB3" w:rsidP="00E23FEF">
            <w:pPr>
              <w:snapToGrid w:val="0"/>
              <w:spacing w:before="0" w:after="0"/>
              <w:ind w:left="80"/>
              <w:jc w:val="left"/>
              <w:rPr>
                <w:color w:val="000000"/>
                <w:sz w:val="18"/>
                <w:szCs w:val="18"/>
              </w:rPr>
            </w:pPr>
          </w:p>
          <w:p w14:paraId="3D5C1F98" w14:textId="77777777" w:rsidR="00154FB3" w:rsidRDefault="00154FB3" w:rsidP="00E23FEF">
            <w:pPr>
              <w:snapToGrid w:val="0"/>
              <w:spacing w:before="0" w:after="0"/>
              <w:ind w:left="80"/>
              <w:jc w:val="left"/>
              <w:rPr>
                <w:color w:val="000000"/>
                <w:sz w:val="18"/>
                <w:szCs w:val="18"/>
              </w:rPr>
            </w:pPr>
          </w:p>
          <w:p w14:paraId="1234D261" w14:textId="77777777" w:rsidR="00154FB3" w:rsidRDefault="00154FB3" w:rsidP="00E23FEF">
            <w:pPr>
              <w:snapToGrid w:val="0"/>
              <w:spacing w:before="0" w:after="0"/>
              <w:ind w:left="80"/>
              <w:jc w:val="left"/>
              <w:rPr>
                <w:color w:val="000000"/>
                <w:sz w:val="18"/>
                <w:szCs w:val="18"/>
              </w:rPr>
            </w:pPr>
          </w:p>
          <w:p w14:paraId="0F7783A5" w14:textId="77777777" w:rsidR="00154FB3" w:rsidRDefault="00154FB3" w:rsidP="00E23FEF">
            <w:pPr>
              <w:snapToGrid w:val="0"/>
              <w:spacing w:before="0" w:after="0"/>
              <w:ind w:left="80"/>
              <w:jc w:val="left"/>
              <w:rPr>
                <w:color w:val="000000"/>
                <w:sz w:val="18"/>
                <w:szCs w:val="18"/>
              </w:rPr>
            </w:pPr>
          </w:p>
          <w:p w14:paraId="77021174" w14:textId="77777777" w:rsidR="00A079FD" w:rsidRDefault="00A079FD" w:rsidP="00E23FEF">
            <w:pPr>
              <w:snapToGrid w:val="0"/>
              <w:spacing w:before="0" w:after="0"/>
              <w:ind w:left="80"/>
              <w:jc w:val="left"/>
              <w:rPr>
                <w:color w:val="000000"/>
                <w:sz w:val="18"/>
                <w:szCs w:val="18"/>
              </w:rPr>
            </w:pPr>
          </w:p>
          <w:p w14:paraId="2564780B" w14:textId="77777777" w:rsidR="00A079FD" w:rsidRDefault="00A079FD" w:rsidP="00E23FEF">
            <w:pPr>
              <w:snapToGrid w:val="0"/>
              <w:spacing w:before="0" w:after="0"/>
              <w:ind w:left="80"/>
              <w:jc w:val="left"/>
              <w:rPr>
                <w:color w:val="000000"/>
                <w:sz w:val="18"/>
                <w:szCs w:val="18"/>
              </w:rPr>
            </w:pPr>
          </w:p>
          <w:p w14:paraId="1A5DFCDD" w14:textId="77777777" w:rsidR="00A079FD" w:rsidRDefault="00A079FD" w:rsidP="00E23FEF">
            <w:pPr>
              <w:snapToGrid w:val="0"/>
              <w:spacing w:before="0" w:after="0"/>
              <w:ind w:left="80"/>
              <w:jc w:val="left"/>
              <w:rPr>
                <w:color w:val="000000"/>
                <w:sz w:val="18"/>
                <w:szCs w:val="18"/>
              </w:rPr>
            </w:pPr>
          </w:p>
          <w:p w14:paraId="22BA6CF9" w14:textId="77777777" w:rsidR="00A079FD" w:rsidRDefault="00A079FD" w:rsidP="00E23FEF">
            <w:pPr>
              <w:snapToGrid w:val="0"/>
              <w:spacing w:before="0" w:after="0"/>
              <w:ind w:left="80"/>
              <w:jc w:val="left"/>
              <w:rPr>
                <w:color w:val="000000"/>
                <w:sz w:val="18"/>
                <w:szCs w:val="18"/>
              </w:rPr>
            </w:pPr>
          </w:p>
          <w:p w14:paraId="64F35942" w14:textId="77777777" w:rsidR="00A079FD" w:rsidRDefault="00A079FD" w:rsidP="00E23FEF">
            <w:pPr>
              <w:snapToGrid w:val="0"/>
              <w:spacing w:before="0" w:after="0"/>
              <w:ind w:left="80"/>
              <w:jc w:val="left"/>
              <w:rPr>
                <w:color w:val="000000"/>
                <w:sz w:val="18"/>
                <w:szCs w:val="18"/>
              </w:rPr>
            </w:pPr>
          </w:p>
          <w:p w14:paraId="66B419C8" w14:textId="77777777" w:rsidR="00A079FD" w:rsidRDefault="00A079FD" w:rsidP="00E23FEF">
            <w:pPr>
              <w:snapToGrid w:val="0"/>
              <w:spacing w:before="0" w:after="0"/>
              <w:ind w:left="80"/>
              <w:jc w:val="left"/>
              <w:rPr>
                <w:color w:val="000000"/>
                <w:sz w:val="18"/>
                <w:szCs w:val="18"/>
              </w:rPr>
            </w:pPr>
          </w:p>
          <w:p w14:paraId="264E0192" w14:textId="77777777" w:rsidR="00154FB3" w:rsidRPr="008340BB" w:rsidRDefault="00154FB3" w:rsidP="00E23FEF">
            <w:pPr>
              <w:snapToGrid w:val="0"/>
              <w:spacing w:before="0" w:after="0"/>
              <w:ind w:left="80"/>
              <w:jc w:val="left"/>
              <w:rPr>
                <w:color w:val="000000"/>
                <w:sz w:val="18"/>
                <w:szCs w:val="18"/>
              </w:rPr>
            </w:pPr>
            <w:r w:rsidRPr="00154FB3">
              <w:rPr>
                <w:color w:val="000000"/>
                <w:sz w:val="18"/>
                <w:szCs w:val="18"/>
              </w:rPr>
              <w:t>List of standard statistical indicators</w:t>
            </w:r>
          </w:p>
        </w:tc>
        <w:tc>
          <w:tcPr>
            <w:tcW w:w="725" w:type="pct"/>
          </w:tcPr>
          <w:p w14:paraId="199F17CE" w14:textId="77777777" w:rsidR="006F6AF6" w:rsidRPr="006F6AF6" w:rsidRDefault="006F6AF6" w:rsidP="006F6AF6">
            <w:pPr>
              <w:snapToGrid w:val="0"/>
              <w:spacing w:before="0" w:after="0"/>
              <w:ind w:left="80"/>
              <w:jc w:val="left"/>
              <w:rPr>
                <w:color w:val="000000"/>
                <w:sz w:val="18"/>
                <w:szCs w:val="18"/>
              </w:rPr>
            </w:pPr>
            <w:r w:rsidRPr="006F6AF6">
              <w:rPr>
                <w:color w:val="000000"/>
                <w:sz w:val="18"/>
                <w:szCs w:val="18"/>
              </w:rPr>
              <w:lastRenderedPageBreak/>
              <w:t xml:space="preserve">To ensure the quality of results, harmonized </w:t>
            </w:r>
            <w:r w:rsidRPr="006F6AF6">
              <w:rPr>
                <w:color w:val="000000"/>
                <w:sz w:val="18"/>
                <w:szCs w:val="18"/>
              </w:rPr>
              <w:lastRenderedPageBreak/>
              <w:t>national statistics are developed, produced and disseminated on the basis of harmonized standards and methods. The following quality criteria are applied:</w:t>
            </w:r>
          </w:p>
          <w:p w14:paraId="0761048B" w14:textId="77777777" w:rsidR="006F6AF6" w:rsidRPr="006F6AF6" w:rsidRDefault="006F6AF6" w:rsidP="006F6AF6">
            <w:pPr>
              <w:snapToGrid w:val="0"/>
              <w:spacing w:before="0" w:after="0"/>
              <w:ind w:left="80"/>
              <w:jc w:val="left"/>
              <w:rPr>
                <w:color w:val="000000"/>
                <w:sz w:val="18"/>
                <w:szCs w:val="18"/>
              </w:rPr>
            </w:pPr>
            <w:r w:rsidRPr="006F6AF6">
              <w:rPr>
                <w:color w:val="000000"/>
                <w:sz w:val="18"/>
                <w:szCs w:val="18"/>
              </w:rPr>
              <w:t>a) "relevance", which refers to the degree to which statistics meet current and potential needs of the users;</w:t>
            </w:r>
          </w:p>
          <w:p w14:paraId="2FF7FFA5" w14:textId="77777777" w:rsidR="006F6AF6" w:rsidRPr="006F6AF6" w:rsidRDefault="006F6AF6" w:rsidP="006F6AF6">
            <w:pPr>
              <w:snapToGrid w:val="0"/>
              <w:spacing w:before="0" w:after="0"/>
              <w:ind w:left="80"/>
              <w:jc w:val="left"/>
              <w:rPr>
                <w:color w:val="000000"/>
                <w:sz w:val="18"/>
                <w:szCs w:val="18"/>
              </w:rPr>
            </w:pPr>
            <w:r w:rsidRPr="006F6AF6">
              <w:rPr>
                <w:color w:val="000000"/>
                <w:sz w:val="18"/>
                <w:szCs w:val="18"/>
              </w:rPr>
              <w:t>b) "Accuracy", which refers to the closeness of estimates to the unknown true values;</w:t>
            </w:r>
          </w:p>
          <w:p w14:paraId="58172ACA" w14:textId="77777777" w:rsidR="006F6AF6" w:rsidRPr="006F6AF6" w:rsidRDefault="006F6AF6" w:rsidP="006F6AF6">
            <w:pPr>
              <w:snapToGrid w:val="0"/>
              <w:spacing w:before="0" w:after="0"/>
              <w:ind w:left="80"/>
              <w:jc w:val="left"/>
              <w:rPr>
                <w:color w:val="000000"/>
                <w:sz w:val="18"/>
                <w:szCs w:val="18"/>
              </w:rPr>
            </w:pPr>
            <w:r w:rsidRPr="006F6AF6">
              <w:rPr>
                <w:color w:val="000000"/>
                <w:sz w:val="18"/>
                <w:szCs w:val="18"/>
              </w:rPr>
              <w:t>c) "Timeliness": refers to the period between the availability of the information and the event or phenomenon it describes;</w:t>
            </w:r>
          </w:p>
          <w:p w14:paraId="0BD17D06" w14:textId="77777777" w:rsidR="006F6AF6" w:rsidRPr="006F6AF6" w:rsidRDefault="006F6AF6" w:rsidP="006F6AF6">
            <w:pPr>
              <w:snapToGrid w:val="0"/>
              <w:spacing w:before="0" w:after="0"/>
              <w:ind w:left="80"/>
              <w:jc w:val="left"/>
              <w:rPr>
                <w:color w:val="000000"/>
                <w:sz w:val="18"/>
                <w:szCs w:val="18"/>
              </w:rPr>
            </w:pPr>
            <w:r w:rsidRPr="006F6AF6">
              <w:rPr>
                <w:color w:val="000000"/>
                <w:sz w:val="18"/>
                <w:szCs w:val="18"/>
              </w:rPr>
              <w:t>d) "Punctuality", which refers to the period of time between the date of the release of the data and the target date (the date by which the data should have been delivered);</w:t>
            </w:r>
          </w:p>
          <w:p w14:paraId="7EB60965" w14:textId="77777777" w:rsidR="006F6AF6" w:rsidRPr="006F6AF6" w:rsidRDefault="006F6AF6" w:rsidP="006F6AF6">
            <w:pPr>
              <w:snapToGrid w:val="0"/>
              <w:spacing w:before="0" w:after="0"/>
              <w:ind w:left="80"/>
              <w:jc w:val="left"/>
              <w:rPr>
                <w:color w:val="000000"/>
                <w:sz w:val="18"/>
                <w:szCs w:val="18"/>
              </w:rPr>
            </w:pPr>
            <w:r w:rsidRPr="006F6AF6">
              <w:rPr>
                <w:color w:val="000000"/>
                <w:sz w:val="18"/>
                <w:szCs w:val="18"/>
              </w:rPr>
              <w:t>e) "Accessibility" and "clarity": refer to the conditions and modalities by which users can obtain, use and interpret data;</w:t>
            </w:r>
          </w:p>
          <w:p w14:paraId="28936D11" w14:textId="77777777" w:rsidR="006F6AF6" w:rsidRPr="006F6AF6" w:rsidRDefault="006F6AF6" w:rsidP="006F6AF6">
            <w:pPr>
              <w:snapToGrid w:val="0"/>
              <w:spacing w:before="0" w:after="0"/>
              <w:ind w:left="80"/>
              <w:jc w:val="left"/>
              <w:rPr>
                <w:color w:val="000000"/>
                <w:sz w:val="18"/>
                <w:szCs w:val="18"/>
              </w:rPr>
            </w:pPr>
            <w:r w:rsidRPr="006F6AF6">
              <w:rPr>
                <w:color w:val="000000"/>
                <w:sz w:val="18"/>
                <w:szCs w:val="18"/>
              </w:rPr>
              <w:t xml:space="preserve">f) "comparability", which refers to the measurement of the impact of differences in applied statistical concepts, </w:t>
            </w:r>
            <w:r w:rsidRPr="006F6AF6">
              <w:rPr>
                <w:color w:val="000000"/>
                <w:sz w:val="18"/>
                <w:szCs w:val="18"/>
              </w:rPr>
              <w:lastRenderedPageBreak/>
              <w:t>measurement tools and procedures where statistics are compared between geographical areas, sectoral domains or over time;</w:t>
            </w:r>
          </w:p>
          <w:p w14:paraId="3ACBE4F1" w14:textId="77777777" w:rsidR="005A4265" w:rsidRDefault="006F6AF6" w:rsidP="006F6AF6">
            <w:pPr>
              <w:snapToGrid w:val="0"/>
              <w:spacing w:before="0" w:after="0"/>
              <w:ind w:left="80"/>
              <w:jc w:val="left"/>
              <w:rPr>
                <w:color w:val="000000"/>
                <w:sz w:val="18"/>
                <w:szCs w:val="18"/>
              </w:rPr>
            </w:pPr>
            <w:r w:rsidRPr="006F6AF6">
              <w:rPr>
                <w:color w:val="000000"/>
                <w:sz w:val="18"/>
                <w:szCs w:val="18"/>
              </w:rPr>
              <w:t>j) "coherence", which refers to the adequacy of the data to be reliably combined in different ways and for various uses.</w:t>
            </w:r>
          </w:p>
          <w:p w14:paraId="3B1ABB22" w14:textId="77777777" w:rsidR="006F6AF6" w:rsidRDefault="006F6AF6" w:rsidP="006F6AF6">
            <w:pPr>
              <w:snapToGrid w:val="0"/>
              <w:spacing w:before="0" w:after="0"/>
              <w:ind w:left="80"/>
              <w:jc w:val="left"/>
              <w:rPr>
                <w:color w:val="000000"/>
                <w:sz w:val="18"/>
                <w:szCs w:val="18"/>
              </w:rPr>
            </w:pPr>
          </w:p>
          <w:p w14:paraId="0B89C911" w14:textId="77777777" w:rsidR="001E1575" w:rsidRPr="001E1575" w:rsidRDefault="001E1575" w:rsidP="001E1575">
            <w:pPr>
              <w:snapToGrid w:val="0"/>
              <w:spacing w:before="0" w:after="0"/>
              <w:ind w:left="80"/>
              <w:jc w:val="left"/>
              <w:rPr>
                <w:color w:val="000000"/>
                <w:sz w:val="18"/>
                <w:szCs w:val="18"/>
              </w:rPr>
            </w:pPr>
            <w:r w:rsidRPr="001E1575">
              <w:rPr>
                <w:color w:val="000000"/>
                <w:sz w:val="18"/>
                <w:szCs w:val="18"/>
              </w:rPr>
              <w:t xml:space="preserve">NSI - leading to the provision of general for the programs performance indicators and mechanisms to ensure statistical validation. </w:t>
            </w:r>
          </w:p>
          <w:p w14:paraId="3FF3501E" w14:textId="77777777" w:rsidR="001E1575" w:rsidRPr="001E1575" w:rsidRDefault="001E1575" w:rsidP="001E1575">
            <w:pPr>
              <w:snapToGrid w:val="0"/>
              <w:spacing w:before="0" w:after="0"/>
              <w:ind w:left="80"/>
              <w:jc w:val="left"/>
              <w:rPr>
                <w:color w:val="000000"/>
                <w:sz w:val="18"/>
                <w:szCs w:val="18"/>
              </w:rPr>
            </w:pPr>
            <w:r w:rsidRPr="001E1575">
              <w:rPr>
                <w:color w:val="000000"/>
                <w:sz w:val="18"/>
                <w:szCs w:val="18"/>
              </w:rPr>
              <w:t xml:space="preserve">OPs Managing Authorities - leading to the development and maintenance of an effective system of indicators. </w:t>
            </w:r>
          </w:p>
          <w:p w14:paraId="7455588D" w14:textId="77777777" w:rsidR="001E1575" w:rsidRPr="001E1575" w:rsidRDefault="001E1575" w:rsidP="001E1575">
            <w:pPr>
              <w:snapToGrid w:val="0"/>
              <w:spacing w:before="0" w:after="0"/>
              <w:ind w:left="80"/>
              <w:jc w:val="left"/>
              <w:rPr>
                <w:color w:val="000000"/>
                <w:sz w:val="18"/>
                <w:szCs w:val="18"/>
              </w:rPr>
            </w:pPr>
          </w:p>
          <w:p w14:paraId="09330845" w14:textId="77777777" w:rsidR="001E1575" w:rsidRDefault="001E1575" w:rsidP="001E1575">
            <w:pPr>
              <w:snapToGrid w:val="0"/>
              <w:spacing w:before="0" w:after="0"/>
              <w:ind w:left="80"/>
              <w:jc w:val="left"/>
              <w:rPr>
                <w:color w:val="000000"/>
                <w:sz w:val="18"/>
                <w:szCs w:val="18"/>
              </w:rPr>
            </w:pPr>
            <w:r w:rsidRPr="001E1575">
              <w:rPr>
                <w:color w:val="000000"/>
                <w:sz w:val="18"/>
                <w:szCs w:val="18"/>
              </w:rPr>
              <w:t>For the systems developed to date, the information concerning indicators of individual programs will be available in the public UMIS, on the websites of the Managing Authorities of the respective programs.</w:t>
            </w:r>
          </w:p>
          <w:p w14:paraId="05D0FA0A" w14:textId="77777777" w:rsidR="00385D72" w:rsidRDefault="00385D72" w:rsidP="001E1575">
            <w:pPr>
              <w:snapToGrid w:val="0"/>
              <w:spacing w:before="0" w:after="0"/>
              <w:ind w:left="80"/>
              <w:jc w:val="left"/>
              <w:rPr>
                <w:color w:val="000000"/>
                <w:sz w:val="18"/>
                <w:szCs w:val="18"/>
                <w:lang w:val="bg-BG"/>
              </w:rPr>
            </w:pPr>
          </w:p>
          <w:p w14:paraId="3D15033C" w14:textId="77777777" w:rsidR="0071603F" w:rsidRDefault="0071603F" w:rsidP="001E1575">
            <w:pPr>
              <w:snapToGrid w:val="0"/>
              <w:spacing w:before="0" w:after="0"/>
              <w:ind w:left="80"/>
              <w:jc w:val="left"/>
              <w:rPr>
                <w:color w:val="000000"/>
                <w:sz w:val="18"/>
                <w:szCs w:val="18"/>
                <w:lang w:val="bg-BG"/>
              </w:rPr>
            </w:pPr>
          </w:p>
          <w:p w14:paraId="6A29F813" w14:textId="77777777" w:rsidR="0071603F" w:rsidRDefault="0071603F" w:rsidP="001E1575">
            <w:pPr>
              <w:snapToGrid w:val="0"/>
              <w:spacing w:before="0" w:after="0"/>
              <w:ind w:left="80"/>
              <w:jc w:val="left"/>
              <w:rPr>
                <w:color w:val="000000"/>
                <w:sz w:val="18"/>
                <w:szCs w:val="18"/>
                <w:lang w:val="bg-BG"/>
              </w:rPr>
            </w:pPr>
          </w:p>
          <w:p w14:paraId="671EE497" w14:textId="77777777" w:rsidR="0071603F" w:rsidRDefault="0071603F" w:rsidP="001E1575">
            <w:pPr>
              <w:snapToGrid w:val="0"/>
              <w:spacing w:before="0" w:after="0"/>
              <w:ind w:left="80"/>
              <w:jc w:val="left"/>
              <w:rPr>
                <w:color w:val="000000"/>
                <w:sz w:val="18"/>
                <w:szCs w:val="18"/>
                <w:lang w:val="bg-BG"/>
              </w:rPr>
            </w:pPr>
          </w:p>
          <w:p w14:paraId="27346014" w14:textId="77777777" w:rsidR="0071603F" w:rsidRDefault="0071603F" w:rsidP="001E1575">
            <w:pPr>
              <w:snapToGrid w:val="0"/>
              <w:spacing w:before="0" w:after="0"/>
              <w:ind w:left="80"/>
              <w:jc w:val="left"/>
              <w:rPr>
                <w:color w:val="000000"/>
                <w:sz w:val="18"/>
                <w:szCs w:val="18"/>
                <w:lang w:val="bg-BG"/>
              </w:rPr>
            </w:pPr>
          </w:p>
          <w:p w14:paraId="1F56B656" w14:textId="77777777" w:rsidR="0071603F" w:rsidRDefault="0071603F" w:rsidP="001E1575">
            <w:pPr>
              <w:snapToGrid w:val="0"/>
              <w:spacing w:before="0" w:after="0"/>
              <w:ind w:left="80"/>
              <w:jc w:val="left"/>
              <w:rPr>
                <w:color w:val="000000"/>
                <w:sz w:val="18"/>
                <w:szCs w:val="18"/>
                <w:lang w:val="bg-BG"/>
              </w:rPr>
            </w:pPr>
          </w:p>
          <w:p w14:paraId="5C9DB744" w14:textId="77777777" w:rsidR="0071603F" w:rsidRDefault="0071603F" w:rsidP="001E1575">
            <w:pPr>
              <w:snapToGrid w:val="0"/>
              <w:spacing w:before="0" w:after="0"/>
              <w:ind w:left="80"/>
              <w:jc w:val="left"/>
              <w:rPr>
                <w:color w:val="000000"/>
                <w:sz w:val="18"/>
                <w:szCs w:val="18"/>
                <w:lang w:val="bg-BG"/>
              </w:rPr>
            </w:pPr>
          </w:p>
          <w:p w14:paraId="298C841F" w14:textId="77777777" w:rsidR="0071603F" w:rsidRDefault="0071603F" w:rsidP="001E1575">
            <w:pPr>
              <w:snapToGrid w:val="0"/>
              <w:spacing w:before="0" w:after="0"/>
              <w:ind w:left="80"/>
              <w:jc w:val="left"/>
              <w:rPr>
                <w:color w:val="000000"/>
                <w:sz w:val="18"/>
                <w:szCs w:val="18"/>
                <w:lang w:val="bg-BG"/>
              </w:rPr>
            </w:pPr>
          </w:p>
          <w:p w14:paraId="0EB559A1" w14:textId="77777777" w:rsidR="0071603F" w:rsidRDefault="0071603F" w:rsidP="001E1575">
            <w:pPr>
              <w:snapToGrid w:val="0"/>
              <w:spacing w:before="0" w:after="0"/>
              <w:ind w:left="80"/>
              <w:jc w:val="left"/>
              <w:rPr>
                <w:color w:val="000000"/>
                <w:sz w:val="18"/>
                <w:szCs w:val="18"/>
                <w:lang w:val="bg-BG"/>
              </w:rPr>
            </w:pPr>
          </w:p>
          <w:p w14:paraId="5E3C2A16" w14:textId="77777777" w:rsidR="0071603F" w:rsidRDefault="0071603F" w:rsidP="001E1575">
            <w:pPr>
              <w:snapToGrid w:val="0"/>
              <w:spacing w:before="0" w:after="0"/>
              <w:ind w:left="80"/>
              <w:jc w:val="left"/>
              <w:rPr>
                <w:color w:val="000000"/>
                <w:sz w:val="18"/>
                <w:szCs w:val="18"/>
                <w:lang w:val="bg-BG"/>
              </w:rPr>
            </w:pPr>
          </w:p>
          <w:p w14:paraId="45277B76" w14:textId="77777777" w:rsidR="0071603F" w:rsidRDefault="0071603F" w:rsidP="001E1575">
            <w:pPr>
              <w:snapToGrid w:val="0"/>
              <w:spacing w:before="0" w:after="0"/>
              <w:ind w:left="80"/>
              <w:jc w:val="left"/>
              <w:rPr>
                <w:color w:val="000000"/>
                <w:sz w:val="18"/>
                <w:szCs w:val="18"/>
                <w:lang w:val="bg-BG"/>
              </w:rPr>
            </w:pPr>
          </w:p>
          <w:p w14:paraId="16B8462C" w14:textId="77777777" w:rsidR="0071603F" w:rsidRDefault="0071603F" w:rsidP="001E1575">
            <w:pPr>
              <w:snapToGrid w:val="0"/>
              <w:spacing w:before="0" w:after="0"/>
              <w:ind w:left="80"/>
              <w:jc w:val="left"/>
              <w:rPr>
                <w:color w:val="000000"/>
                <w:sz w:val="18"/>
                <w:szCs w:val="18"/>
                <w:lang w:val="bg-BG"/>
              </w:rPr>
            </w:pPr>
          </w:p>
          <w:p w14:paraId="3668B377" w14:textId="77777777" w:rsidR="0071603F" w:rsidRDefault="0071603F" w:rsidP="001E1575">
            <w:pPr>
              <w:snapToGrid w:val="0"/>
              <w:spacing w:before="0" w:after="0"/>
              <w:ind w:left="80"/>
              <w:jc w:val="left"/>
              <w:rPr>
                <w:color w:val="000000"/>
                <w:sz w:val="18"/>
                <w:szCs w:val="18"/>
                <w:lang w:val="bg-BG"/>
              </w:rPr>
            </w:pPr>
          </w:p>
          <w:p w14:paraId="69B9BFE2" w14:textId="77777777" w:rsidR="0071603F" w:rsidRDefault="0071603F" w:rsidP="001E1575">
            <w:pPr>
              <w:snapToGrid w:val="0"/>
              <w:spacing w:before="0" w:after="0"/>
              <w:ind w:left="80"/>
              <w:jc w:val="left"/>
              <w:rPr>
                <w:color w:val="000000"/>
                <w:sz w:val="18"/>
                <w:szCs w:val="18"/>
                <w:lang w:val="bg-BG"/>
              </w:rPr>
            </w:pPr>
          </w:p>
          <w:p w14:paraId="16033146" w14:textId="77777777" w:rsidR="0071603F" w:rsidRDefault="0071603F" w:rsidP="001E1575">
            <w:pPr>
              <w:snapToGrid w:val="0"/>
              <w:spacing w:before="0" w:after="0"/>
              <w:ind w:left="80"/>
              <w:jc w:val="left"/>
              <w:rPr>
                <w:color w:val="000000"/>
                <w:sz w:val="18"/>
                <w:szCs w:val="18"/>
                <w:lang w:val="bg-BG"/>
              </w:rPr>
            </w:pPr>
          </w:p>
          <w:p w14:paraId="1385FAB0" w14:textId="77777777" w:rsidR="0071603F" w:rsidRDefault="0071603F" w:rsidP="001E1575">
            <w:pPr>
              <w:snapToGrid w:val="0"/>
              <w:spacing w:before="0" w:after="0"/>
              <w:ind w:left="80"/>
              <w:jc w:val="left"/>
              <w:rPr>
                <w:color w:val="000000"/>
                <w:sz w:val="18"/>
                <w:szCs w:val="18"/>
                <w:lang w:val="bg-BG"/>
              </w:rPr>
            </w:pPr>
          </w:p>
          <w:p w14:paraId="15EEE484" w14:textId="77777777" w:rsidR="0071603F" w:rsidRDefault="0071603F" w:rsidP="001E1575">
            <w:pPr>
              <w:snapToGrid w:val="0"/>
              <w:spacing w:before="0" w:after="0"/>
              <w:ind w:left="80"/>
              <w:jc w:val="left"/>
              <w:rPr>
                <w:color w:val="000000"/>
                <w:sz w:val="18"/>
                <w:szCs w:val="18"/>
                <w:lang w:val="bg-BG"/>
              </w:rPr>
            </w:pPr>
          </w:p>
          <w:p w14:paraId="08C166BC" w14:textId="77777777" w:rsidR="0071603F" w:rsidRDefault="0071603F" w:rsidP="001E1575">
            <w:pPr>
              <w:snapToGrid w:val="0"/>
              <w:spacing w:before="0" w:after="0"/>
              <w:ind w:left="80"/>
              <w:jc w:val="left"/>
              <w:rPr>
                <w:color w:val="000000"/>
                <w:sz w:val="18"/>
                <w:szCs w:val="18"/>
                <w:lang w:val="bg-BG"/>
              </w:rPr>
            </w:pPr>
          </w:p>
          <w:p w14:paraId="7E8EF869" w14:textId="77777777" w:rsidR="0071603F" w:rsidRPr="00276ED1" w:rsidRDefault="0071603F" w:rsidP="001E1575">
            <w:pPr>
              <w:snapToGrid w:val="0"/>
              <w:spacing w:before="0" w:after="0"/>
              <w:ind w:left="80"/>
              <w:jc w:val="left"/>
              <w:rPr>
                <w:color w:val="000000"/>
                <w:sz w:val="18"/>
                <w:szCs w:val="18"/>
                <w:lang w:val="bg-BG"/>
              </w:rPr>
            </w:pPr>
          </w:p>
          <w:p w14:paraId="4DDCC43D" w14:textId="77777777" w:rsidR="00154FB3" w:rsidRDefault="00154FB3" w:rsidP="001E1575">
            <w:pPr>
              <w:snapToGrid w:val="0"/>
              <w:spacing w:before="0" w:after="0"/>
              <w:ind w:left="80"/>
              <w:jc w:val="left"/>
              <w:rPr>
                <w:color w:val="000000"/>
                <w:sz w:val="18"/>
                <w:szCs w:val="18"/>
              </w:rPr>
            </w:pPr>
          </w:p>
          <w:p w14:paraId="296127D0" w14:textId="77777777" w:rsidR="00D9253E" w:rsidRPr="00D9253E" w:rsidRDefault="00D9253E" w:rsidP="00D9253E">
            <w:pPr>
              <w:snapToGrid w:val="0"/>
              <w:spacing w:before="0" w:after="0"/>
              <w:ind w:left="80"/>
              <w:jc w:val="left"/>
              <w:rPr>
                <w:color w:val="000000"/>
                <w:sz w:val="18"/>
                <w:szCs w:val="18"/>
              </w:rPr>
            </w:pPr>
            <w:r w:rsidRPr="00D9253E">
              <w:rPr>
                <w:color w:val="000000"/>
                <w:sz w:val="18"/>
                <w:szCs w:val="18"/>
              </w:rPr>
              <w:t xml:space="preserve">Performance of the criterion is linked to the complete development of the OPs. </w:t>
            </w:r>
          </w:p>
          <w:p w14:paraId="0F410D43" w14:textId="77777777" w:rsidR="00D9253E" w:rsidRPr="00D9253E" w:rsidRDefault="00D9253E" w:rsidP="00D9253E">
            <w:pPr>
              <w:snapToGrid w:val="0"/>
              <w:spacing w:before="0" w:after="0"/>
              <w:ind w:left="80"/>
              <w:jc w:val="left"/>
              <w:rPr>
                <w:color w:val="000000"/>
                <w:sz w:val="18"/>
                <w:szCs w:val="18"/>
              </w:rPr>
            </w:pPr>
            <w:r w:rsidRPr="00D9253E">
              <w:rPr>
                <w:color w:val="000000"/>
                <w:sz w:val="18"/>
                <w:szCs w:val="18"/>
              </w:rPr>
              <w:t xml:space="preserve">Indicators that will be developed during the implementation of OPs by MA or the beneficiaries must undergo statistical validation in accordance with the following procedures: </w:t>
            </w:r>
          </w:p>
          <w:p w14:paraId="4DA68DBE" w14:textId="77777777" w:rsidR="00D9253E" w:rsidRPr="00D9253E" w:rsidRDefault="00D9253E" w:rsidP="00D9253E">
            <w:pPr>
              <w:snapToGrid w:val="0"/>
              <w:spacing w:before="0" w:after="0"/>
              <w:ind w:left="80"/>
              <w:jc w:val="left"/>
              <w:rPr>
                <w:color w:val="000000"/>
                <w:sz w:val="18"/>
                <w:szCs w:val="18"/>
              </w:rPr>
            </w:pPr>
            <w:r w:rsidRPr="00D9253E">
              <w:rPr>
                <w:color w:val="000000"/>
                <w:sz w:val="18"/>
                <w:szCs w:val="18"/>
              </w:rPr>
              <w:t>1. When the indicators are based on administrative data, the definitions and concepts used for administrative purposes should be close enough to those required for statistical purposes.</w:t>
            </w:r>
          </w:p>
          <w:p w14:paraId="09989A07" w14:textId="77777777" w:rsidR="00D9253E" w:rsidRPr="00D9253E" w:rsidRDefault="00D9253E" w:rsidP="00D9253E">
            <w:pPr>
              <w:snapToGrid w:val="0"/>
              <w:spacing w:before="0" w:after="0"/>
              <w:ind w:left="80"/>
              <w:jc w:val="left"/>
              <w:rPr>
                <w:color w:val="000000"/>
                <w:sz w:val="18"/>
                <w:szCs w:val="18"/>
              </w:rPr>
            </w:pPr>
            <w:r w:rsidRPr="00D9253E">
              <w:rPr>
                <w:color w:val="000000"/>
                <w:sz w:val="18"/>
                <w:szCs w:val="18"/>
              </w:rPr>
              <w:t>2. Sampling and assessment methods should be well justified.</w:t>
            </w:r>
          </w:p>
          <w:p w14:paraId="3E59B684" w14:textId="77777777" w:rsidR="00D9253E" w:rsidRPr="00D9253E" w:rsidRDefault="00D9253E" w:rsidP="00D9253E">
            <w:pPr>
              <w:snapToGrid w:val="0"/>
              <w:spacing w:before="0" w:after="0"/>
              <w:ind w:left="80"/>
              <w:jc w:val="left"/>
              <w:rPr>
                <w:color w:val="000000"/>
                <w:sz w:val="18"/>
                <w:szCs w:val="18"/>
              </w:rPr>
            </w:pPr>
            <w:r w:rsidRPr="00D9253E">
              <w:rPr>
                <w:color w:val="000000"/>
                <w:sz w:val="18"/>
                <w:szCs w:val="18"/>
              </w:rPr>
              <w:t>3. Methods of data collection should be coordinated with NSI, and their application is observed in terms of compliance with the methodology.</w:t>
            </w:r>
          </w:p>
          <w:p w14:paraId="12BBB3BB" w14:textId="77777777" w:rsidR="00D9253E" w:rsidRPr="00D9253E" w:rsidRDefault="00D9253E" w:rsidP="00D9253E">
            <w:pPr>
              <w:snapToGrid w:val="0"/>
              <w:spacing w:before="0" w:after="0"/>
              <w:ind w:left="80"/>
              <w:jc w:val="left"/>
              <w:rPr>
                <w:color w:val="000000"/>
                <w:sz w:val="18"/>
                <w:szCs w:val="18"/>
              </w:rPr>
            </w:pPr>
            <w:r w:rsidRPr="00D9253E">
              <w:rPr>
                <w:color w:val="000000"/>
                <w:sz w:val="18"/>
                <w:szCs w:val="18"/>
              </w:rPr>
              <w:t>4. Beneficiaries and MA cooperate with NSI to ensure data quality.</w:t>
            </w:r>
          </w:p>
          <w:p w14:paraId="45EAD53D" w14:textId="77777777" w:rsidR="00154FB3" w:rsidRDefault="002202A9" w:rsidP="00D9253E">
            <w:pPr>
              <w:snapToGrid w:val="0"/>
              <w:spacing w:before="0" w:after="0"/>
              <w:ind w:left="80"/>
              <w:jc w:val="left"/>
              <w:rPr>
                <w:color w:val="000000"/>
                <w:sz w:val="18"/>
                <w:szCs w:val="18"/>
                <w:lang w:val="en-US"/>
              </w:rPr>
            </w:pPr>
            <w:r>
              <w:rPr>
                <w:color w:val="000000"/>
                <w:sz w:val="18"/>
                <w:szCs w:val="18"/>
                <w:lang w:val="en-US"/>
              </w:rPr>
              <w:t xml:space="preserve">Defined are quantity and </w:t>
            </w:r>
            <w:r>
              <w:rPr>
                <w:color w:val="000000"/>
                <w:sz w:val="18"/>
                <w:szCs w:val="18"/>
                <w:lang w:val="en-US"/>
              </w:rPr>
              <w:lastRenderedPageBreak/>
              <w:t>quality goals for result indicators, which content is coordinated between the EU programmes and other donors.</w:t>
            </w:r>
          </w:p>
          <w:p w14:paraId="5D0369DD" w14:textId="77777777" w:rsidR="002202A9" w:rsidRDefault="002202A9" w:rsidP="00D9253E">
            <w:pPr>
              <w:snapToGrid w:val="0"/>
              <w:spacing w:before="0" w:after="0"/>
              <w:ind w:left="80"/>
              <w:jc w:val="left"/>
              <w:rPr>
                <w:color w:val="000000"/>
                <w:sz w:val="18"/>
                <w:szCs w:val="18"/>
                <w:lang w:val="en-US"/>
              </w:rPr>
            </w:pPr>
            <w:r>
              <w:rPr>
                <w:color w:val="000000"/>
                <w:sz w:val="18"/>
                <w:szCs w:val="18"/>
                <w:lang w:val="en-US"/>
              </w:rPr>
              <w:t>For the indicators are defined quantity and quality goals that are in conformity with Europe 2020.</w:t>
            </w:r>
          </w:p>
          <w:p w14:paraId="670121EB" w14:textId="77777777" w:rsidR="005C4095" w:rsidRDefault="005C4095" w:rsidP="00D9253E">
            <w:pPr>
              <w:snapToGrid w:val="0"/>
              <w:spacing w:before="0" w:after="0"/>
              <w:ind w:left="80"/>
              <w:jc w:val="left"/>
              <w:rPr>
                <w:color w:val="000000"/>
                <w:sz w:val="18"/>
                <w:szCs w:val="18"/>
                <w:lang w:val="en-US"/>
              </w:rPr>
            </w:pPr>
          </w:p>
          <w:p w14:paraId="317F1E05" w14:textId="77777777" w:rsidR="005C4095" w:rsidRDefault="005C4095" w:rsidP="00D9253E">
            <w:pPr>
              <w:snapToGrid w:val="0"/>
              <w:spacing w:before="0" w:after="0"/>
              <w:ind w:left="80"/>
              <w:jc w:val="left"/>
              <w:rPr>
                <w:color w:val="000000"/>
                <w:sz w:val="18"/>
                <w:szCs w:val="18"/>
                <w:lang w:val="en-US"/>
              </w:rPr>
            </w:pPr>
          </w:p>
          <w:p w14:paraId="74AF8400" w14:textId="77777777" w:rsidR="005C4095" w:rsidRDefault="005C4095" w:rsidP="00D9253E">
            <w:pPr>
              <w:snapToGrid w:val="0"/>
              <w:spacing w:before="0" w:after="0"/>
              <w:ind w:left="80"/>
              <w:jc w:val="left"/>
              <w:rPr>
                <w:color w:val="000000"/>
                <w:sz w:val="18"/>
                <w:szCs w:val="18"/>
                <w:lang w:val="en-US"/>
              </w:rPr>
            </w:pPr>
          </w:p>
          <w:p w14:paraId="0C67DA35" w14:textId="77777777" w:rsidR="005C4095" w:rsidRDefault="005C4095" w:rsidP="00D9253E">
            <w:pPr>
              <w:snapToGrid w:val="0"/>
              <w:spacing w:before="0" w:after="0"/>
              <w:ind w:left="80"/>
              <w:jc w:val="left"/>
              <w:rPr>
                <w:color w:val="000000"/>
                <w:sz w:val="18"/>
                <w:szCs w:val="18"/>
                <w:lang w:val="en-US"/>
              </w:rPr>
            </w:pPr>
          </w:p>
          <w:p w14:paraId="072ACD71" w14:textId="77777777" w:rsidR="005C4095" w:rsidRDefault="005C4095" w:rsidP="00D9253E">
            <w:pPr>
              <w:snapToGrid w:val="0"/>
              <w:spacing w:before="0" w:after="0"/>
              <w:ind w:left="80"/>
              <w:jc w:val="left"/>
              <w:rPr>
                <w:color w:val="000000"/>
                <w:sz w:val="18"/>
                <w:szCs w:val="18"/>
                <w:lang w:val="en-US"/>
              </w:rPr>
            </w:pPr>
          </w:p>
          <w:p w14:paraId="101825A5" w14:textId="77777777" w:rsidR="005C4095" w:rsidRDefault="005C4095" w:rsidP="00D9253E">
            <w:pPr>
              <w:snapToGrid w:val="0"/>
              <w:spacing w:before="0" w:after="0"/>
              <w:ind w:left="80"/>
              <w:jc w:val="left"/>
              <w:rPr>
                <w:color w:val="000000"/>
                <w:sz w:val="18"/>
                <w:szCs w:val="18"/>
                <w:lang w:val="en-US"/>
              </w:rPr>
            </w:pPr>
          </w:p>
          <w:p w14:paraId="0968EA42" w14:textId="77777777" w:rsidR="005C4095" w:rsidRDefault="005C4095" w:rsidP="00D9253E">
            <w:pPr>
              <w:snapToGrid w:val="0"/>
              <w:spacing w:before="0" w:after="0"/>
              <w:ind w:left="80"/>
              <w:jc w:val="left"/>
              <w:rPr>
                <w:color w:val="000000"/>
                <w:sz w:val="18"/>
                <w:szCs w:val="18"/>
                <w:lang w:val="en-US"/>
              </w:rPr>
            </w:pPr>
          </w:p>
          <w:p w14:paraId="18EFAC1D" w14:textId="77777777" w:rsidR="005C4095" w:rsidRDefault="005C4095" w:rsidP="00D9253E">
            <w:pPr>
              <w:snapToGrid w:val="0"/>
              <w:spacing w:before="0" w:after="0"/>
              <w:ind w:left="80"/>
              <w:jc w:val="left"/>
              <w:rPr>
                <w:color w:val="000000"/>
                <w:sz w:val="18"/>
                <w:szCs w:val="18"/>
                <w:lang w:val="en-US"/>
              </w:rPr>
            </w:pPr>
          </w:p>
          <w:p w14:paraId="3DAA889C" w14:textId="77777777" w:rsidR="005C4095" w:rsidRDefault="005C4095" w:rsidP="00D9253E">
            <w:pPr>
              <w:snapToGrid w:val="0"/>
              <w:spacing w:before="0" w:after="0"/>
              <w:ind w:left="80"/>
              <w:jc w:val="left"/>
              <w:rPr>
                <w:color w:val="000000"/>
                <w:sz w:val="18"/>
                <w:szCs w:val="18"/>
                <w:lang w:val="en-US"/>
              </w:rPr>
            </w:pPr>
          </w:p>
          <w:p w14:paraId="5247ABBA" w14:textId="77777777" w:rsidR="005C4095" w:rsidRDefault="005C4095" w:rsidP="00D9253E">
            <w:pPr>
              <w:snapToGrid w:val="0"/>
              <w:spacing w:before="0" w:after="0"/>
              <w:ind w:left="80"/>
              <w:jc w:val="left"/>
              <w:rPr>
                <w:color w:val="000000"/>
                <w:sz w:val="18"/>
                <w:szCs w:val="18"/>
                <w:lang w:val="en-US"/>
              </w:rPr>
            </w:pPr>
          </w:p>
          <w:p w14:paraId="2293DD5B" w14:textId="77777777" w:rsidR="005C4095" w:rsidRDefault="005C4095" w:rsidP="00D9253E">
            <w:pPr>
              <w:snapToGrid w:val="0"/>
              <w:spacing w:before="0" w:after="0"/>
              <w:ind w:left="80"/>
              <w:jc w:val="left"/>
              <w:rPr>
                <w:color w:val="000000"/>
                <w:sz w:val="18"/>
                <w:szCs w:val="18"/>
                <w:lang w:val="en-US"/>
              </w:rPr>
            </w:pPr>
          </w:p>
          <w:p w14:paraId="1D9FBD49" w14:textId="77777777" w:rsidR="005C4095" w:rsidRDefault="005C4095" w:rsidP="00D9253E">
            <w:pPr>
              <w:snapToGrid w:val="0"/>
              <w:spacing w:before="0" w:after="0"/>
              <w:ind w:left="80"/>
              <w:jc w:val="left"/>
              <w:rPr>
                <w:color w:val="000000"/>
                <w:sz w:val="18"/>
                <w:szCs w:val="18"/>
                <w:lang w:val="en-US"/>
              </w:rPr>
            </w:pPr>
          </w:p>
          <w:p w14:paraId="142D491A" w14:textId="77777777" w:rsidR="005C4095" w:rsidRDefault="005C4095" w:rsidP="00D9253E">
            <w:pPr>
              <w:snapToGrid w:val="0"/>
              <w:spacing w:before="0" w:after="0"/>
              <w:ind w:left="80"/>
              <w:jc w:val="left"/>
              <w:rPr>
                <w:color w:val="000000"/>
                <w:sz w:val="18"/>
                <w:szCs w:val="18"/>
                <w:lang w:val="en-US"/>
              </w:rPr>
            </w:pPr>
          </w:p>
          <w:p w14:paraId="285A2B09" w14:textId="77777777" w:rsidR="005C4095" w:rsidRDefault="005C4095" w:rsidP="00D9253E">
            <w:pPr>
              <w:snapToGrid w:val="0"/>
              <w:spacing w:before="0" w:after="0"/>
              <w:ind w:left="80"/>
              <w:jc w:val="left"/>
              <w:rPr>
                <w:color w:val="000000"/>
                <w:sz w:val="18"/>
                <w:szCs w:val="18"/>
                <w:lang w:val="en-US"/>
              </w:rPr>
            </w:pPr>
          </w:p>
          <w:p w14:paraId="2631C1C7" w14:textId="77777777" w:rsidR="005C4095" w:rsidRDefault="005C4095" w:rsidP="00D9253E">
            <w:pPr>
              <w:snapToGrid w:val="0"/>
              <w:spacing w:before="0" w:after="0"/>
              <w:ind w:left="80"/>
              <w:jc w:val="left"/>
              <w:rPr>
                <w:color w:val="000000"/>
                <w:sz w:val="18"/>
                <w:szCs w:val="18"/>
                <w:lang w:val="en-US"/>
              </w:rPr>
            </w:pPr>
          </w:p>
          <w:p w14:paraId="5DE3AA09" w14:textId="77777777" w:rsidR="005C4095" w:rsidRDefault="005C4095" w:rsidP="00D9253E">
            <w:pPr>
              <w:snapToGrid w:val="0"/>
              <w:spacing w:before="0" w:after="0"/>
              <w:ind w:left="80"/>
              <w:jc w:val="left"/>
              <w:rPr>
                <w:color w:val="000000"/>
                <w:sz w:val="18"/>
                <w:szCs w:val="18"/>
                <w:lang w:val="en-US"/>
              </w:rPr>
            </w:pPr>
          </w:p>
          <w:p w14:paraId="01FF04B3" w14:textId="77777777" w:rsidR="005C4095" w:rsidRDefault="005C4095" w:rsidP="00D9253E">
            <w:pPr>
              <w:snapToGrid w:val="0"/>
              <w:spacing w:before="0" w:after="0"/>
              <w:ind w:left="80"/>
              <w:jc w:val="left"/>
              <w:rPr>
                <w:color w:val="000000"/>
                <w:sz w:val="18"/>
                <w:szCs w:val="18"/>
                <w:lang w:val="en-US"/>
              </w:rPr>
            </w:pPr>
          </w:p>
          <w:p w14:paraId="2F63E9F2" w14:textId="77777777" w:rsidR="005C4095" w:rsidRDefault="005C4095" w:rsidP="00D9253E">
            <w:pPr>
              <w:snapToGrid w:val="0"/>
              <w:spacing w:before="0" w:after="0"/>
              <w:ind w:left="80"/>
              <w:jc w:val="left"/>
              <w:rPr>
                <w:color w:val="000000"/>
                <w:sz w:val="18"/>
                <w:szCs w:val="18"/>
                <w:lang w:val="en-US"/>
              </w:rPr>
            </w:pPr>
          </w:p>
          <w:p w14:paraId="2712B51F" w14:textId="77777777" w:rsidR="005C4095" w:rsidRDefault="005C4095" w:rsidP="00D9253E">
            <w:pPr>
              <w:snapToGrid w:val="0"/>
              <w:spacing w:before="0" w:after="0"/>
              <w:ind w:left="80"/>
              <w:jc w:val="left"/>
              <w:rPr>
                <w:color w:val="000000"/>
                <w:sz w:val="18"/>
                <w:szCs w:val="18"/>
                <w:lang w:val="en-US"/>
              </w:rPr>
            </w:pPr>
          </w:p>
          <w:p w14:paraId="13BB2654" w14:textId="77777777" w:rsidR="005C4095" w:rsidRDefault="005C4095" w:rsidP="00D9253E">
            <w:pPr>
              <w:snapToGrid w:val="0"/>
              <w:spacing w:before="0" w:after="0"/>
              <w:ind w:left="80"/>
              <w:jc w:val="left"/>
              <w:rPr>
                <w:color w:val="000000"/>
                <w:sz w:val="18"/>
                <w:szCs w:val="18"/>
                <w:lang w:val="en-US"/>
              </w:rPr>
            </w:pPr>
          </w:p>
          <w:p w14:paraId="0DBA239C" w14:textId="77777777" w:rsidR="005C4095" w:rsidRDefault="005C4095" w:rsidP="00D9253E">
            <w:pPr>
              <w:snapToGrid w:val="0"/>
              <w:spacing w:before="0" w:after="0"/>
              <w:ind w:left="80"/>
              <w:jc w:val="left"/>
              <w:rPr>
                <w:color w:val="000000"/>
                <w:sz w:val="18"/>
                <w:szCs w:val="18"/>
                <w:lang w:val="en-US"/>
              </w:rPr>
            </w:pPr>
          </w:p>
          <w:p w14:paraId="38F4C8E7" w14:textId="77777777" w:rsidR="005C4095" w:rsidRDefault="005C4095" w:rsidP="00D9253E">
            <w:pPr>
              <w:snapToGrid w:val="0"/>
              <w:spacing w:before="0" w:after="0"/>
              <w:ind w:left="80"/>
              <w:jc w:val="left"/>
              <w:rPr>
                <w:color w:val="000000"/>
                <w:sz w:val="18"/>
                <w:szCs w:val="18"/>
                <w:lang w:val="en-US"/>
              </w:rPr>
            </w:pPr>
          </w:p>
          <w:p w14:paraId="21CC065C" w14:textId="77777777" w:rsidR="005C4095" w:rsidRDefault="005C4095" w:rsidP="00D9253E">
            <w:pPr>
              <w:snapToGrid w:val="0"/>
              <w:spacing w:before="0" w:after="0"/>
              <w:ind w:left="80"/>
              <w:jc w:val="left"/>
              <w:rPr>
                <w:color w:val="000000"/>
                <w:sz w:val="18"/>
                <w:szCs w:val="18"/>
                <w:lang w:val="en-US"/>
              </w:rPr>
            </w:pPr>
          </w:p>
          <w:p w14:paraId="2B1CB2FE" w14:textId="77777777" w:rsidR="005C4095" w:rsidRDefault="005C4095" w:rsidP="00D9253E">
            <w:pPr>
              <w:snapToGrid w:val="0"/>
              <w:spacing w:before="0" w:after="0"/>
              <w:ind w:left="80"/>
              <w:jc w:val="left"/>
              <w:rPr>
                <w:color w:val="000000"/>
                <w:sz w:val="18"/>
                <w:szCs w:val="18"/>
                <w:lang w:val="en-US"/>
              </w:rPr>
            </w:pPr>
          </w:p>
          <w:p w14:paraId="070B7D43" w14:textId="77777777" w:rsidR="005C4095" w:rsidRDefault="005C4095" w:rsidP="00D9253E">
            <w:pPr>
              <w:snapToGrid w:val="0"/>
              <w:spacing w:before="0" w:after="0"/>
              <w:ind w:left="80"/>
              <w:jc w:val="left"/>
              <w:rPr>
                <w:color w:val="000000"/>
                <w:sz w:val="18"/>
                <w:szCs w:val="18"/>
                <w:lang w:val="en-US"/>
              </w:rPr>
            </w:pPr>
          </w:p>
          <w:p w14:paraId="5ED135A6" w14:textId="77777777" w:rsidR="005C4095" w:rsidRDefault="005C4095" w:rsidP="00D9253E">
            <w:pPr>
              <w:snapToGrid w:val="0"/>
              <w:spacing w:before="0" w:after="0"/>
              <w:ind w:left="80"/>
              <w:jc w:val="left"/>
              <w:rPr>
                <w:color w:val="000000"/>
                <w:sz w:val="18"/>
                <w:szCs w:val="18"/>
                <w:lang w:val="en-US"/>
              </w:rPr>
            </w:pPr>
            <w:r>
              <w:rPr>
                <w:color w:val="000000"/>
                <w:sz w:val="18"/>
                <w:szCs w:val="18"/>
                <w:lang w:val="en-US"/>
              </w:rPr>
              <w:t xml:space="preserve">For the ESF is provided collecting information on an individual level for each participant in accordance with the provisions of Regulation 1304/2013 as well as at project level and priority level. Reporting will be accomplished through performance and result indicators set at the appropriate level of the OP for which the reporting and impact </w:t>
            </w:r>
            <w:r>
              <w:rPr>
                <w:color w:val="000000"/>
                <w:sz w:val="18"/>
                <w:szCs w:val="18"/>
                <w:lang w:val="en-US"/>
              </w:rPr>
              <w:lastRenderedPageBreak/>
              <w:t>assessment are held.</w:t>
            </w:r>
          </w:p>
          <w:p w14:paraId="1B0417FE" w14:textId="77777777" w:rsidR="008F0992" w:rsidRDefault="001910AE" w:rsidP="00D9253E">
            <w:pPr>
              <w:snapToGrid w:val="0"/>
              <w:spacing w:before="0" w:after="0"/>
              <w:ind w:left="80"/>
              <w:jc w:val="left"/>
              <w:rPr>
                <w:color w:val="000000"/>
                <w:sz w:val="18"/>
                <w:szCs w:val="18"/>
                <w:lang w:val="en-US"/>
              </w:rPr>
            </w:pPr>
            <w:r>
              <w:rPr>
                <w:color w:val="000000"/>
                <w:sz w:val="18"/>
                <w:szCs w:val="18"/>
                <w:lang w:val="en-US"/>
              </w:rPr>
              <w:t xml:space="preserve">Monitoring data will be presented at each meeting of the Monitoring Committee so that MC members can discuss issues that could hinder the prper information of the programme. Activities carried out in relation to the timely collection of microdata </w:t>
            </w:r>
            <w:r w:rsidR="004258D8">
              <w:rPr>
                <w:color w:val="000000"/>
                <w:sz w:val="18"/>
                <w:szCs w:val="18"/>
                <w:lang w:val="en-US"/>
              </w:rPr>
              <w:t>for participants will be reported in the annual implementation reports, as well as in the progress reports submitted to the MC.</w:t>
            </w:r>
          </w:p>
          <w:p w14:paraId="07193A54" w14:textId="77777777" w:rsidR="008F0992" w:rsidRDefault="008F0992" w:rsidP="00D9253E">
            <w:pPr>
              <w:snapToGrid w:val="0"/>
              <w:spacing w:before="0" w:after="0"/>
              <w:ind w:left="80"/>
              <w:jc w:val="left"/>
              <w:rPr>
                <w:color w:val="000000"/>
                <w:sz w:val="18"/>
                <w:szCs w:val="18"/>
                <w:lang w:val="en-US"/>
              </w:rPr>
            </w:pPr>
            <w:r>
              <w:rPr>
                <w:color w:val="000000"/>
                <w:sz w:val="18"/>
                <w:szCs w:val="18"/>
                <w:lang w:val="en-US"/>
              </w:rPr>
              <w:t>The data itself reflects all participants that directly used or benefit of ESF support, as in case of doubled participation in the same operation, the individual participant is counted only once.</w:t>
            </w:r>
            <w:r w:rsidR="00542BEC">
              <w:rPr>
                <w:color w:val="000000"/>
                <w:sz w:val="18"/>
                <w:szCs w:val="18"/>
                <w:lang w:val="en-US"/>
              </w:rPr>
              <w:t xml:space="preserve"> For reporting purposes (despite the fact that to the EC will be provided only aggregated data) personal data will be used for each participant (eg, gender, status on the labour market, education level, etc) including “sensitive” one (eg, disability, minority status, etc.). Under the provisions of the Directive on the protection of personal data, </w:t>
            </w:r>
            <w:r w:rsidR="00542BEC">
              <w:rPr>
                <w:color w:val="000000"/>
                <w:sz w:val="18"/>
                <w:szCs w:val="18"/>
                <w:lang w:val="en-US"/>
              </w:rPr>
              <w:lastRenderedPageBreak/>
              <w:t xml:space="preserve">each participant may refuse to give </w:t>
            </w:r>
            <w:r w:rsidR="00500FD5">
              <w:rPr>
                <w:color w:val="000000"/>
                <w:sz w:val="18"/>
                <w:szCs w:val="18"/>
                <w:lang w:val="en-US"/>
              </w:rPr>
              <w:t>“</w:t>
            </w:r>
            <w:r w:rsidR="00C05DA0">
              <w:rPr>
                <w:color w:val="000000"/>
                <w:sz w:val="18"/>
                <w:szCs w:val="18"/>
                <w:lang w:val="en-US"/>
              </w:rPr>
              <w:t>sensitive</w:t>
            </w:r>
            <w:r w:rsidR="00500FD5">
              <w:rPr>
                <w:color w:val="000000"/>
                <w:sz w:val="18"/>
                <w:szCs w:val="18"/>
                <w:lang w:val="en-US"/>
              </w:rPr>
              <w:t>”</w:t>
            </w:r>
            <w:r w:rsidR="00C05DA0">
              <w:rPr>
                <w:color w:val="000000"/>
                <w:sz w:val="18"/>
                <w:szCs w:val="18"/>
                <w:lang w:val="en-US"/>
              </w:rPr>
              <w:t xml:space="preserve"> information, in which case the relevant management bodies of documentary programmes must establish that they have attempted to collect such data, and that was refused. Much like the common indicators in Regulation 1304/2013, the Managing Authorities will provide clear and understandable definitions of specific indicators of individual programmes with which to achieve a common understanding of them and to facilitate their </w:t>
            </w:r>
            <w:r w:rsidR="001D6DC4">
              <w:rPr>
                <w:color w:val="000000"/>
                <w:sz w:val="18"/>
                <w:szCs w:val="18"/>
                <w:lang w:val="en-US"/>
              </w:rPr>
              <w:t>subsequent reporting.</w:t>
            </w:r>
          </w:p>
          <w:p w14:paraId="6DDF4DD4" w14:textId="77777777" w:rsidR="001D6DC4" w:rsidRDefault="001D6DC4" w:rsidP="00D9253E">
            <w:pPr>
              <w:snapToGrid w:val="0"/>
              <w:spacing w:before="0" w:after="0"/>
              <w:ind w:left="80"/>
              <w:jc w:val="left"/>
              <w:rPr>
                <w:color w:val="000000"/>
                <w:sz w:val="18"/>
                <w:szCs w:val="18"/>
                <w:lang w:val="en-US"/>
              </w:rPr>
            </w:pPr>
            <w:r>
              <w:rPr>
                <w:color w:val="000000"/>
                <w:sz w:val="18"/>
                <w:szCs w:val="18"/>
                <w:lang w:val="en-US"/>
              </w:rPr>
              <w:t>MAs build their systems for storage and reporting data on individual participants in electronic form, with regard not only to the formal implementation of the provisions of Article 56 of Regulation 1303/2013 and Article 5 and Article 19 of Regulation 1304/2013</w:t>
            </w:r>
            <w:r w:rsidR="002D0A1E">
              <w:rPr>
                <w:color w:val="000000"/>
                <w:sz w:val="18"/>
                <w:szCs w:val="18"/>
                <w:lang w:val="en-US"/>
              </w:rPr>
              <w:t xml:space="preserve">, but in order to effectively fulfill the obligations of the monitored and </w:t>
            </w:r>
            <w:r w:rsidR="00EB7222">
              <w:rPr>
                <w:color w:val="000000"/>
                <w:sz w:val="18"/>
                <w:szCs w:val="18"/>
                <w:lang w:val="en-US"/>
              </w:rPr>
              <w:t xml:space="preserve">evaluation. For this purpose, they </w:t>
            </w:r>
            <w:r w:rsidR="00EB7222">
              <w:rPr>
                <w:color w:val="000000"/>
                <w:sz w:val="18"/>
                <w:szCs w:val="18"/>
                <w:lang w:val="en-US"/>
              </w:rPr>
              <w:lastRenderedPageBreak/>
              <w:t xml:space="preserve">were built systems and procedures for monitoring the ESF in the 2007-2013 programming period, which, however, need additional settings and clarification as to comply with the requirements applicable to the programming period 2014-2020 and also to reporting indicators for immediate and long-term result, incl. on a sample basis.   </w:t>
            </w:r>
            <w:r w:rsidR="002D0A1E">
              <w:rPr>
                <w:color w:val="000000"/>
                <w:sz w:val="18"/>
                <w:szCs w:val="18"/>
                <w:lang w:val="en-US"/>
              </w:rPr>
              <w:t xml:space="preserve"> </w:t>
            </w:r>
          </w:p>
          <w:p w14:paraId="2AB9A964" w14:textId="77777777" w:rsidR="005C4095" w:rsidRPr="00276ED1" w:rsidRDefault="008F0992" w:rsidP="00D9253E">
            <w:pPr>
              <w:snapToGrid w:val="0"/>
              <w:spacing w:before="0" w:after="0"/>
              <w:ind w:left="80"/>
              <w:jc w:val="left"/>
              <w:rPr>
                <w:color w:val="000000"/>
                <w:sz w:val="18"/>
                <w:szCs w:val="18"/>
                <w:lang w:val="en-US"/>
              </w:rPr>
            </w:pPr>
            <w:r>
              <w:rPr>
                <w:color w:val="000000"/>
                <w:sz w:val="18"/>
                <w:szCs w:val="18"/>
                <w:lang w:val="en-US"/>
              </w:rPr>
              <w:t xml:space="preserve"> </w:t>
            </w:r>
            <w:r w:rsidR="005C4095">
              <w:rPr>
                <w:color w:val="000000"/>
                <w:sz w:val="18"/>
                <w:szCs w:val="18"/>
                <w:lang w:val="en-US"/>
              </w:rPr>
              <w:t xml:space="preserve"> </w:t>
            </w:r>
          </w:p>
          <w:p w14:paraId="2FA4200B" w14:textId="77777777" w:rsidR="00385D72" w:rsidRDefault="00385D72" w:rsidP="001E1575">
            <w:pPr>
              <w:snapToGrid w:val="0"/>
              <w:spacing w:before="0" w:after="0"/>
              <w:ind w:left="80"/>
              <w:jc w:val="left"/>
              <w:rPr>
                <w:color w:val="000000"/>
                <w:sz w:val="18"/>
                <w:szCs w:val="18"/>
              </w:rPr>
            </w:pPr>
          </w:p>
          <w:p w14:paraId="466E211C" w14:textId="77777777" w:rsidR="00385D72" w:rsidRPr="008340BB" w:rsidRDefault="00385D72" w:rsidP="001E1575">
            <w:pPr>
              <w:snapToGrid w:val="0"/>
              <w:spacing w:before="0" w:after="0"/>
              <w:ind w:left="80"/>
              <w:jc w:val="left"/>
              <w:rPr>
                <w:color w:val="000000"/>
                <w:sz w:val="18"/>
                <w:szCs w:val="18"/>
              </w:rPr>
            </w:pPr>
          </w:p>
        </w:tc>
      </w:tr>
    </w:tbl>
    <w:p w14:paraId="3123920A" w14:textId="77777777" w:rsidR="00F1341F" w:rsidRPr="008340BB" w:rsidRDefault="00F1341F" w:rsidP="00F03C1E">
      <w:pPr>
        <w:ind w:left="720"/>
      </w:pPr>
    </w:p>
    <w:p w14:paraId="3CA65E3A" w14:textId="77777777" w:rsidR="00F1341F" w:rsidRPr="008340BB" w:rsidRDefault="00F1341F" w:rsidP="00BF3391">
      <w:pPr>
        <w:pStyle w:val="ManualHeading2"/>
      </w:pPr>
      <w:r w:rsidRPr="008340BB">
        <w:t xml:space="preserve">9.2 </w:t>
      </w:r>
      <w:r w:rsidRPr="008340BB">
        <w:tab/>
        <w:t xml:space="preserve">Description of actions to fulfil ex-ante conditionalities, responsible bodies and timetable </w:t>
      </w:r>
      <w:r w:rsidRPr="008340BB">
        <w:rPr>
          <w:rStyle w:val="FootnoteReference"/>
        </w:rPr>
        <w:footnoteReference w:id="90"/>
      </w:r>
    </w:p>
    <w:p w14:paraId="5579B3AE" w14:textId="77777777" w:rsidR="00F1341F" w:rsidRPr="008340BB" w:rsidRDefault="00F1341F" w:rsidP="00F03C1E">
      <w:pPr>
        <w:rPr>
          <w:b/>
        </w:rPr>
      </w:pPr>
    </w:p>
    <w:p w14:paraId="38EF0788" w14:textId="77777777" w:rsidR="00F1341F" w:rsidRPr="008340BB" w:rsidRDefault="00F1341F" w:rsidP="00F03C1E">
      <w:pPr>
        <w:pStyle w:val="Text3"/>
        <w:ind w:left="0"/>
        <w:rPr>
          <w:b/>
        </w:rPr>
      </w:pPr>
      <w:r w:rsidRPr="008340BB">
        <w:rPr>
          <w:b/>
        </w:rPr>
        <w:t xml:space="preserve">Table 25: </w:t>
      </w:r>
      <w:r w:rsidRPr="008340BB">
        <w:rPr>
          <w:b/>
        </w:rPr>
        <w:tab/>
        <w:t>Actions to fulfil applicable general ex-ante conditionalities (ExAC)</w:t>
      </w:r>
    </w:p>
    <w:p w14:paraId="4500C6C5" w14:textId="77777777" w:rsidR="00F1341F" w:rsidRPr="008340BB" w:rsidRDefault="00F1341F" w:rsidP="00F03C1E">
      <w:pPr>
        <w:pStyle w:val="Text3"/>
        <w:ind w:left="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1236"/>
        <w:gridCol w:w="1555"/>
        <w:gridCol w:w="2300"/>
        <w:gridCol w:w="1970"/>
      </w:tblGrid>
      <w:tr w:rsidR="00F1341F" w:rsidRPr="008340BB" w14:paraId="1A45D57B" w14:textId="77777777" w:rsidTr="00F03C1E">
        <w:trPr>
          <w:trHeight w:val="493"/>
        </w:trPr>
        <w:tc>
          <w:tcPr>
            <w:tcW w:w="1104" w:type="pct"/>
          </w:tcPr>
          <w:p w14:paraId="49D64FA7" w14:textId="77777777" w:rsidR="00F1341F" w:rsidRPr="008340BB" w:rsidRDefault="00F1341F" w:rsidP="00BF3391">
            <w:pPr>
              <w:snapToGrid w:val="0"/>
              <w:rPr>
                <w:b/>
              </w:rPr>
            </w:pPr>
            <w:r w:rsidRPr="008340BB">
              <w:rPr>
                <w:b/>
                <w:sz w:val="22"/>
              </w:rPr>
              <w:t xml:space="preserve">General ex-ante conditionality </w:t>
            </w:r>
            <w:r w:rsidRPr="008340BB">
              <w:rPr>
                <w:b/>
              </w:rPr>
              <w:t>(ExAC)</w:t>
            </w:r>
          </w:p>
        </w:tc>
        <w:tc>
          <w:tcPr>
            <w:tcW w:w="682" w:type="pct"/>
          </w:tcPr>
          <w:p w14:paraId="3DBA9C93" w14:textId="77777777" w:rsidR="00F1341F" w:rsidRPr="008340BB" w:rsidRDefault="00F1341F" w:rsidP="00BF3391">
            <w:pPr>
              <w:snapToGrid w:val="0"/>
              <w:rPr>
                <w:b/>
              </w:rPr>
            </w:pPr>
            <w:r w:rsidRPr="008340BB">
              <w:rPr>
                <w:b/>
                <w:sz w:val="22"/>
              </w:rPr>
              <w:t>Criteria not fulfilled</w:t>
            </w:r>
          </w:p>
        </w:tc>
        <w:tc>
          <w:tcPr>
            <w:tcW w:w="858" w:type="pct"/>
          </w:tcPr>
          <w:p w14:paraId="3B158440" w14:textId="77777777" w:rsidR="00F1341F" w:rsidRPr="008340BB" w:rsidRDefault="00F1341F" w:rsidP="00BF3391">
            <w:pPr>
              <w:snapToGrid w:val="0"/>
              <w:rPr>
                <w:b/>
              </w:rPr>
            </w:pPr>
            <w:r w:rsidRPr="008340BB">
              <w:rPr>
                <w:b/>
                <w:sz w:val="22"/>
              </w:rPr>
              <w:t>Actions to be taken</w:t>
            </w:r>
          </w:p>
        </w:tc>
        <w:tc>
          <w:tcPr>
            <w:tcW w:w="1269" w:type="pct"/>
          </w:tcPr>
          <w:p w14:paraId="437F64B7" w14:textId="77777777" w:rsidR="00F1341F" w:rsidRPr="008340BB" w:rsidRDefault="00F1341F" w:rsidP="00BF3391">
            <w:pPr>
              <w:snapToGrid w:val="0"/>
              <w:rPr>
                <w:b/>
              </w:rPr>
            </w:pPr>
            <w:r w:rsidRPr="008340BB">
              <w:rPr>
                <w:b/>
                <w:sz w:val="22"/>
              </w:rPr>
              <w:t>Deadline (date)</w:t>
            </w:r>
          </w:p>
        </w:tc>
        <w:tc>
          <w:tcPr>
            <w:tcW w:w="1087" w:type="pct"/>
          </w:tcPr>
          <w:p w14:paraId="094795AD" w14:textId="77777777" w:rsidR="00F1341F" w:rsidRPr="008340BB" w:rsidRDefault="00F1341F" w:rsidP="00BF3391">
            <w:pPr>
              <w:snapToGrid w:val="0"/>
              <w:rPr>
                <w:b/>
              </w:rPr>
            </w:pPr>
            <w:r w:rsidRPr="008340BB">
              <w:rPr>
                <w:b/>
                <w:sz w:val="22"/>
              </w:rPr>
              <w:t xml:space="preserve">Bodies responsible </w:t>
            </w:r>
          </w:p>
        </w:tc>
      </w:tr>
      <w:tr w:rsidR="00F1341F" w:rsidRPr="008340BB" w14:paraId="446D6878" w14:textId="77777777" w:rsidTr="00FE2D93">
        <w:trPr>
          <w:trHeight w:val="259"/>
        </w:trPr>
        <w:tc>
          <w:tcPr>
            <w:tcW w:w="1104" w:type="pct"/>
          </w:tcPr>
          <w:p w14:paraId="041B9C0A" w14:textId="77777777" w:rsidR="001250BE" w:rsidRDefault="001250BE" w:rsidP="00525EA2">
            <w:pPr>
              <w:snapToGrid w:val="0"/>
              <w:spacing w:before="0" w:after="0"/>
              <w:jc w:val="left"/>
              <w:rPr>
                <w:color w:val="000000"/>
                <w:sz w:val="16"/>
                <w:szCs w:val="16"/>
              </w:rPr>
            </w:pPr>
          </w:p>
          <w:p w14:paraId="323DE2A2" w14:textId="77777777" w:rsidR="00F1341F" w:rsidRPr="008340BB" w:rsidRDefault="00F1341F" w:rsidP="00525EA2">
            <w:pPr>
              <w:snapToGrid w:val="0"/>
              <w:spacing w:before="0" w:after="0"/>
              <w:jc w:val="left"/>
              <w:rPr>
                <w:color w:val="000000"/>
                <w:sz w:val="16"/>
                <w:szCs w:val="16"/>
              </w:rPr>
            </w:pPr>
            <w:r w:rsidRPr="008340BB">
              <w:rPr>
                <w:color w:val="000000"/>
                <w:sz w:val="16"/>
                <w:szCs w:val="16"/>
              </w:rPr>
              <w:t>4. Existence of framework for the effective implementation of EU legislation on public procurement in the field of EU structural and investment funds.</w:t>
            </w:r>
          </w:p>
          <w:p w14:paraId="0B2C20C5" w14:textId="77777777" w:rsidR="00F1341F" w:rsidRPr="008340BB" w:rsidRDefault="00F1341F" w:rsidP="00525EA2">
            <w:pPr>
              <w:snapToGrid w:val="0"/>
              <w:spacing w:before="0" w:after="0"/>
              <w:jc w:val="left"/>
              <w:rPr>
                <w:sz w:val="16"/>
                <w:szCs w:val="16"/>
              </w:rPr>
            </w:pPr>
          </w:p>
        </w:tc>
        <w:tc>
          <w:tcPr>
            <w:tcW w:w="682" w:type="pct"/>
          </w:tcPr>
          <w:p w14:paraId="36F1D6B8" w14:textId="77777777" w:rsidR="001250BE" w:rsidRDefault="001250BE" w:rsidP="00525EA2">
            <w:pPr>
              <w:snapToGrid w:val="0"/>
              <w:spacing w:before="0" w:after="0"/>
              <w:jc w:val="left"/>
              <w:rPr>
                <w:color w:val="000000"/>
                <w:sz w:val="16"/>
                <w:szCs w:val="16"/>
              </w:rPr>
            </w:pPr>
          </w:p>
          <w:p w14:paraId="76C730AD" w14:textId="77777777" w:rsidR="00F1341F" w:rsidRPr="008340BB" w:rsidRDefault="00F1341F" w:rsidP="00525EA2">
            <w:pPr>
              <w:snapToGrid w:val="0"/>
              <w:spacing w:before="0" w:after="0"/>
              <w:jc w:val="left"/>
              <w:rPr>
                <w:sz w:val="16"/>
                <w:szCs w:val="16"/>
              </w:rPr>
            </w:pPr>
            <w:r w:rsidRPr="008340BB">
              <w:rPr>
                <w:color w:val="000000"/>
                <w:sz w:val="16"/>
                <w:szCs w:val="16"/>
              </w:rPr>
              <w:t>Framework for the effective implementation of EU legislation on public procurement in the field of ESIF.</w:t>
            </w:r>
          </w:p>
        </w:tc>
        <w:tc>
          <w:tcPr>
            <w:tcW w:w="858" w:type="pct"/>
          </w:tcPr>
          <w:p w14:paraId="52A342E6" w14:textId="77777777" w:rsidR="001250BE" w:rsidRDefault="001250BE" w:rsidP="00243777">
            <w:pPr>
              <w:spacing w:before="0" w:after="0"/>
              <w:rPr>
                <w:sz w:val="16"/>
                <w:szCs w:val="16"/>
              </w:rPr>
            </w:pPr>
          </w:p>
          <w:p w14:paraId="5C4A5AAD" w14:textId="77777777" w:rsidR="00F1341F" w:rsidRPr="008340BB" w:rsidRDefault="00F1341F" w:rsidP="00243777">
            <w:pPr>
              <w:spacing w:before="0" w:after="0"/>
              <w:rPr>
                <w:sz w:val="16"/>
                <w:szCs w:val="16"/>
                <w:lang w:eastAsia="bg-BG"/>
              </w:rPr>
            </w:pPr>
            <w:r w:rsidRPr="008340BB">
              <w:rPr>
                <w:sz w:val="16"/>
                <w:szCs w:val="16"/>
              </w:rPr>
              <w:t xml:space="preserve">Action </w:t>
            </w:r>
            <w:r w:rsidRPr="008340BB">
              <w:rPr>
                <w:sz w:val="16"/>
                <w:szCs w:val="16"/>
                <w:lang w:eastAsia="bg-BG"/>
              </w:rPr>
              <w:t>1.</w:t>
            </w:r>
          </w:p>
          <w:p w14:paraId="2B8598FB" w14:textId="77777777" w:rsidR="00F1341F" w:rsidRPr="008340BB" w:rsidRDefault="00F1341F" w:rsidP="00525EA2">
            <w:pPr>
              <w:keepNext/>
              <w:widowControl w:val="0"/>
              <w:spacing w:before="0" w:after="0"/>
              <w:jc w:val="left"/>
              <w:rPr>
                <w:color w:val="000000"/>
                <w:sz w:val="16"/>
                <w:szCs w:val="16"/>
                <w:lang w:eastAsia="en-US"/>
              </w:rPr>
            </w:pPr>
            <w:r w:rsidRPr="008340BB">
              <w:rPr>
                <w:color w:val="000000"/>
                <w:sz w:val="16"/>
                <w:szCs w:val="16"/>
                <w:lang w:eastAsia="en-US"/>
              </w:rPr>
              <w:t xml:space="preserve">Adoption of National strategy for development of the public procurement sector in Bulgaria for the period 2014 - 2020. </w:t>
            </w:r>
          </w:p>
          <w:p w14:paraId="2F9685F0" w14:textId="77777777" w:rsidR="00805AA2" w:rsidRDefault="000D54A0" w:rsidP="00525EA2">
            <w:pPr>
              <w:keepNext/>
              <w:widowControl w:val="0"/>
              <w:spacing w:before="0" w:after="0"/>
              <w:jc w:val="left"/>
              <w:rPr>
                <w:sz w:val="16"/>
                <w:szCs w:val="16"/>
                <w:lang w:val="bg-BG" w:eastAsia="bg-BG"/>
              </w:rPr>
            </w:pPr>
            <w:r w:rsidRPr="00EA04DF">
              <w:rPr>
                <w:sz w:val="16"/>
                <w:szCs w:val="16"/>
                <w:lang w:val="bg-BG" w:eastAsia="bg-BG"/>
              </w:rPr>
              <w:t>The draft Strategy envisages measures to raise effectiveness in public procurement and creation of guarantees for conformity with EU law in the field.</w:t>
            </w:r>
          </w:p>
          <w:p w14:paraId="3C9D1E6E" w14:textId="77777777" w:rsidR="00805AA2" w:rsidRPr="00EA04DF" w:rsidRDefault="00805AA2" w:rsidP="00525EA2">
            <w:pPr>
              <w:keepNext/>
              <w:widowControl w:val="0"/>
              <w:spacing w:before="0" w:after="0"/>
              <w:jc w:val="left"/>
              <w:rPr>
                <w:sz w:val="16"/>
                <w:szCs w:val="16"/>
              </w:rPr>
            </w:pPr>
          </w:p>
          <w:p w14:paraId="72A53E6B" w14:textId="77777777" w:rsidR="00F1341F" w:rsidRPr="008340BB" w:rsidRDefault="00F1341F" w:rsidP="00247E58">
            <w:pPr>
              <w:spacing w:before="0" w:after="0"/>
              <w:rPr>
                <w:sz w:val="16"/>
                <w:szCs w:val="16"/>
                <w:lang w:eastAsia="bg-BG"/>
              </w:rPr>
            </w:pPr>
            <w:r w:rsidRPr="008340BB">
              <w:rPr>
                <w:sz w:val="16"/>
                <w:szCs w:val="16"/>
              </w:rPr>
              <w:t xml:space="preserve">Action </w:t>
            </w:r>
            <w:r w:rsidRPr="008340BB">
              <w:rPr>
                <w:sz w:val="16"/>
                <w:szCs w:val="16"/>
                <w:lang w:eastAsia="bg-BG"/>
              </w:rPr>
              <w:t>2.</w:t>
            </w:r>
          </w:p>
          <w:p w14:paraId="4858949E" w14:textId="77777777" w:rsidR="00F1341F" w:rsidRPr="008340BB" w:rsidRDefault="00F1341F" w:rsidP="00525EA2">
            <w:pPr>
              <w:keepNext/>
              <w:widowControl w:val="0"/>
              <w:spacing w:before="0" w:after="0"/>
              <w:jc w:val="left"/>
              <w:rPr>
                <w:sz w:val="16"/>
                <w:szCs w:val="16"/>
              </w:rPr>
            </w:pPr>
            <w:r w:rsidRPr="008340BB">
              <w:rPr>
                <w:sz w:val="16"/>
                <w:szCs w:val="16"/>
              </w:rPr>
              <w:t xml:space="preserve">Establishment of codified, sustainable </w:t>
            </w:r>
            <w:r w:rsidRPr="008340BB">
              <w:rPr>
                <w:sz w:val="16"/>
                <w:szCs w:val="16"/>
              </w:rPr>
              <w:lastRenderedPageBreak/>
              <w:t>and simplified legislation in the field of public procurement through adoption of new Public Procurement Act (PPA) and subordinate legislation on its implementation.</w:t>
            </w:r>
          </w:p>
          <w:p w14:paraId="03886593" w14:textId="77777777" w:rsidR="00F1341F" w:rsidRPr="008340BB" w:rsidRDefault="00F1341F" w:rsidP="00525EA2">
            <w:pPr>
              <w:keepNext/>
              <w:widowControl w:val="0"/>
              <w:spacing w:before="0" w:after="0"/>
              <w:jc w:val="left"/>
              <w:rPr>
                <w:sz w:val="16"/>
                <w:szCs w:val="16"/>
              </w:rPr>
            </w:pPr>
            <w:r w:rsidRPr="008340BB">
              <w:rPr>
                <w:sz w:val="16"/>
                <w:szCs w:val="16"/>
              </w:rPr>
              <w:t>Action 3.</w:t>
            </w:r>
          </w:p>
          <w:p w14:paraId="22AD77DE" w14:textId="77777777" w:rsidR="00F1341F" w:rsidRPr="008340BB" w:rsidRDefault="00F1341F" w:rsidP="00525EA2">
            <w:pPr>
              <w:keepNext/>
              <w:widowControl w:val="0"/>
              <w:spacing w:before="0" w:after="0"/>
              <w:jc w:val="left"/>
              <w:rPr>
                <w:sz w:val="16"/>
                <w:szCs w:val="16"/>
              </w:rPr>
            </w:pPr>
            <w:r w:rsidRPr="008340BB">
              <w:rPr>
                <w:sz w:val="16"/>
                <w:szCs w:val="16"/>
              </w:rPr>
              <w:t>Introduction of measures for strengthening the systems for management and control of European funds, including effective cooperation aimed at guaranteeing the coordination of activities under ex-ante and ex-post control.</w:t>
            </w:r>
          </w:p>
          <w:p w14:paraId="66848C0A" w14:textId="77777777" w:rsidR="00F1341F" w:rsidRPr="008340BB" w:rsidRDefault="00F1341F" w:rsidP="0078733E">
            <w:pPr>
              <w:keepNext/>
              <w:widowControl w:val="0"/>
              <w:spacing w:before="0" w:after="0"/>
              <w:jc w:val="left"/>
              <w:rPr>
                <w:sz w:val="16"/>
                <w:szCs w:val="16"/>
              </w:rPr>
            </w:pPr>
            <w:r w:rsidRPr="008340BB">
              <w:rPr>
                <w:sz w:val="16"/>
                <w:szCs w:val="16"/>
              </w:rPr>
              <w:t>Action 4.</w:t>
            </w:r>
          </w:p>
          <w:p w14:paraId="05FD3F84" w14:textId="77777777" w:rsidR="00F1341F" w:rsidRPr="008340BB" w:rsidRDefault="00F1341F" w:rsidP="00525EA2">
            <w:pPr>
              <w:keepNext/>
              <w:widowControl w:val="0"/>
              <w:spacing w:before="0" w:after="0"/>
              <w:jc w:val="left"/>
              <w:rPr>
                <w:sz w:val="16"/>
                <w:szCs w:val="16"/>
              </w:rPr>
            </w:pPr>
            <w:r w:rsidRPr="008340BB">
              <w:rPr>
                <w:sz w:val="16"/>
                <w:szCs w:val="16"/>
              </w:rPr>
              <w:t xml:space="preserve">Review of the system for appeals and suggestions in view of its optimisation (e.g. guarantees against abuse of the right of appeal, etc.) </w:t>
            </w:r>
          </w:p>
          <w:p w14:paraId="3E92CA22" w14:textId="77777777" w:rsidR="00F1341F" w:rsidRPr="008340BB" w:rsidRDefault="00F1341F" w:rsidP="00525EA2">
            <w:pPr>
              <w:keepNext/>
              <w:widowControl w:val="0"/>
              <w:spacing w:before="0" w:after="0"/>
              <w:jc w:val="left"/>
              <w:rPr>
                <w:sz w:val="16"/>
                <w:szCs w:val="16"/>
              </w:rPr>
            </w:pPr>
          </w:p>
        </w:tc>
        <w:tc>
          <w:tcPr>
            <w:tcW w:w="1269" w:type="pct"/>
          </w:tcPr>
          <w:p w14:paraId="20616115" w14:textId="77777777" w:rsidR="001250BE" w:rsidRDefault="001250BE" w:rsidP="00525EA2">
            <w:pPr>
              <w:keepNext/>
              <w:widowControl w:val="0"/>
              <w:spacing w:before="0" w:after="0"/>
              <w:jc w:val="left"/>
              <w:rPr>
                <w:color w:val="000000"/>
                <w:sz w:val="16"/>
                <w:szCs w:val="16"/>
                <w:lang w:val="en-US" w:eastAsia="en-US"/>
              </w:rPr>
            </w:pPr>
          </w:p>
          <w:p w14:paraId="52D6173A" w14:textId="77777777" w:rsidR="00F1341F" w:rsidRPr="00EA04DF" w:rsidRDefault="00F57DCD" w:rsidP="00525EA2">
            <w:pPr>
              <w:keepNext/>
              <w:widowControl w:val="0"/>
              <w:spacing w:before="0" w:after="0"/>
              <w:jc w:val="left"/>
              <w:rPr>
                <w:color w:val="000000"/>
                <w:sz w:val="16"/>
                <w:szCs w:val="16"/>
                <w:lang w:val="en-US" w:eastAsia="en-US"/>
              </w:rPr>
            </w:pPr>
            <w:r w:rsidRPr="00EA04DF">
              <w:rPr>
                <w:color w:val="000000"/>
                <w:sz w:val="16"/>
                <w:szCs w:val="16"/>
                <w:lang w:val="en-US" w:eastAsia="en-US"/>
              </w:rPr>
              <w:t xml:space="preserve">31 July 2014 </w:t>
            </w:r>
          </w:p>
          <w:p w14:paraId="5DBFFEF2" w14:textId="77777777" w:rsidR="00F1341F" w:rsidRPr="008340BB" w:rsidRDefault="00EC5007" w:rsidP="00247E58">
            <w:pPr>
              <w:keepNext/>
              <w:widowControl w:val="0"/>
              <w:spacing w:before="0" w:after="0"/>
              <w:jc w:val="left"/>
              <w:rPr>
                <w:color w:val="000000"/>
                <w:sz w:val="16"/>
                <w:szCs w:val="16"/>
                <w:lang w:eastAsia="en-US"/>
              </w:rPr>
            </w:pPr>
            <w:r w:rsidRPr="00EA04DF">
              <w:rPr>
                <w:color w:val="000000"/>
                <w:sz w:val="16"/>
                <w:szCs w:val="16"/>
                <w:lang w:eastAsia="en-US"/>
              </w:rPr>
              <w:t>31</w:t>
            </w:r>
            <w:r>
              <w:rPr>
                <w:color w:val="000000"/>
                <w:sz w:val="16"/>
                <w:szCs w:val="16"/>
                <w:lang w:eastAsia="en-US"/>
              </w:rPr>
              <w:t xml:space="preserve"> </w:t>
            </w:r>
            <w:r w:rsidR="00F1341F" w:rsidRPr="008340BB">
              <w:rPr>
                <w:color w:val="000000"/>
                <w:sz w:val="16"/>
                <w:szCs w:val="16"/>
                <w:lang w:eastAsia="en-US"/>
              </w:rPr>
              <w:t>January 2016</w:t>
            </w:r>
          </w:p>
          <w:p w14:paraId="5A822578" w14:textId="77777777" w:rsidR="00F1341F" w:rsidRPr="008340BB" w:rsidRDefault="00F327CC" w:rsidP="006915B3">
            <w:pPr>
              <w:keepNext/>
              <w:widowControl w:val="0"/>
              <w:spacing w:before="0" w:after="0"/>
              <w:jc w:val="left"/>
              <w:rPr>
                <w:color w:val="000000"/>
                <w:sz w:val="16"/>
                <w:szCs w:val="16"/>
                <w:lang w:eastAsia="en-US"/>
              </w:rPr>
            </w:pPr>
            <w:r w:rsidRPr="00EA04DF">
              <w:rPr>
                <w:color w:val="000000"/>
                <w:sz w:val="16"/>
                <w:szCs w:val="16"/>
                <w:lang w:eastAsia="en-US"/>
              </w:rPr>
              <w:t>31</w:t>
            </w:r>
            <w:r>
              <w:rPr>
                <w:color w:val="000000"/>
                <w:sz w:val="16"/>
                <w:szCs w:val="16"/>
                <w:lang w:eastAsia="en-US"/>
              </w:rPr>
              <w:t xml:space="preserve"> </w:t>
            </w:r>
            <w:r w:rsidR="00F1341F" w:rsidRPr="008340BB">
              <w:rPr>
                <w:color w:val="000000"/>
                <w:sz w:val="16"/>
                <w:szCs w:val="16"/>
                <w:lang w:eastAsia="en-US"/>
              </w:rPr>
              <w:t>January 2016</w:t>
            </w:r>
          </w:p>
          <w:p w14:paraId="5819ECCB" w14:textId="77777777" w:rsidR="00F1341F" w:rsidRPr="008340BB" w:rsidRDefault="009037CE" w:rsidP="00525EA2">
            <w:pPr>
              <w:snapToGrid w:val="0"/>
              <w:spacing w:before="0" w:after="0"/>
              <w:jc w:val="left"/>
              <w:rPr>
                <w:sz w:val="16"/>
                <w:szCs w:val="16"/>
              </w:rPr>
            </w:pPr>
            <w:r w:rsidRPr="00EA04DF">
              <w:rPr>
                <w:sz w:val="16"/>
                <w:szCs w:val="16"/>
              </w:rPr>
              <w:t>31</w:t>
            </w:r>
            <w:r>
              <w:rPr>
                <w:sz w:val="16"/>
                <w:szCs w:val="16"/>
              </w:rPr>
              <w:t xml:space="preserve"> </w:t>
            </w:r>
            <w:r w:rsidR="00F1341F" w:rsidRPr="008340BB">
              <w:rPr>
                <w:sz w:val="16"/>
                <w:szCs w:val="16"/>
              </w:rPr>
              <w:t>October 2014</w:t>
            </w:r>
          </w:p>
          <w:p w14:paraId="57EACE6A" w14:textId="77777777" w:rsidR="00F1341F" w:rsidRPr="008340BB" w:rsidRDefault="00F1341F" w:rsidP="00525EA2">
            <w:pPr>
              <w:snapToGrid w:val="0"/>
              <w:spacing w:before="0" w:after="0"/>
              <w:jc w:val="left"/>
              <w:rPr>
                <w:sz w:val="16"/>
                <w:szCs w:val="16"/>
              </w:rPr>
            </w:pPr>
          </w:p>
        </w:tc>
        <w:tc>
          <w:tcPr>
            <w:tcW w:w="1087" w:type="pct"/>
          </w:tcPr>
          <w:p w14:paraId="65FD9E69" w14:textId="77777777" w:rsidR="001250BE" w:rsidRDefault="001250BE" w:rsidP="00AF7D65">
            <w:pPr>
              <w:snapToGrid w:val="0"/>
              <w:spacing w:before="0" w:after="0"/>
              <w:jc w:val="left"/>
              <w:rPr>
                <w:sz w:val="16"/>
                <w:szCs w:val="16"/>
              </w:rPr>
            </w:pPr>
          </w:p>
          <w:p w14:paraId="4DB2FD2F" w14:textId="77777777" w:rsidR="00F1341F" w:rsidRPr="008340BB" w:rsidRDefault="00F1341F" w:rsidP="00AF7D65">
            <w:pPr>
              <w:snapToGrid w:val="0"/>
              <w:spacing w:before="0" w:after="0"/>
              <w:jc w:val="left"/>
              <w:rPr>
                <w:sz w:val="16"/>
                <w:szCs w:val="16"/>
              </w:rPr>
            </w:pPr>
            <w:r w:rsidRPr="008340BB">
              <w:rPr>
                <w:sz w:val="16"/>
                <w:szCs w:val="16"/>
              </w:rPr>
              <w:t>MEE,  PPA</w:t>
            </w:r>
          </w:p>
          <w:p w14:paraId="78C3D9ED" w14:textId="77777777" w:rsidR="00F1341F" w:rsidRPr="008340BB" w:rsidRDefault="00F1341F" w:rsidP="00D80067">
            <w:pPr>
              <w:snapToGrid w:val="0"/>
              <w:spacing w:before="0" w:after="0"/>
              <w:jc w:val="left"/>
              <w:rPr>
                <w:sz w:val="16"/>
                <w:szCs w:val="16"/>
              </w:rPr>
            </w:pPr>
            <w:r w:rsidRPr="008340BB">
              <w:rPr>
                <w:sz w:val="16"/>
                <w:szCs w:val="16"/>
              </w:rPr>
              <w:t>MEE, PPA</w:t>
            </w:r>
          </w:p>
          <w:p w14:paraId="2BDE758E" w14:textId="77777777" w:rsidR="00F1341F" w:rsidRPr="00C47900" w:rsidRDefault="00F1341F" w:rsidP="00D80067">
            <w:pPr>
              <w:snapToGrid w:val="0"/>
              <w:spacing w:before="0" w:after="0"/>
              <w:jc w:val="left"/>
              <w:rPr>
                <w:sz w:val="16"/>
                <w:szCs w:val="16"/>
                <w:lang w:val="it-IT"/>
              </w:rPr>
            </w:pPr>
            <w:r w:rsidRPr="00C47900">
              <w:rPr>
                <w:sz w:val="16"/>
                <w:szCs w:val="16"/>
                <w:lang w:val="it-IT"/>
              </w:rPr>
              <w:t>MA</w:t>
            </w:r>
          </w:p>
          <w:p w14:paraId="10508F19" w14:textId="77777777" w:rsidR="00F1341F" w:rsidRPr="00C47900" w:rsidRDefault="00F1341F" w:rsidP="00D80067">
            <w:pPr>
              <w:snapToGrid w:val="0"/>
              <w:spacing w:before="0" w:after="0"/>
              <w:jc w:val="left"/>
              <w:rPr>
                <w:sz w:val="16"/>
                <w:szCs w:val="16"/>
                <w:lang w:val="it-IT"/>
              </w:rPr>
            </w:pPr>
            <w:r w:rsidRPr="00C47900">
              <w:rPr>
                <w:sz w:val="16"/>
                <w:szCs w:val="16"/>
                <w:lang w:val="it-IT"/>
              </w:rPr>
              <w:t>CCU</w:t>
            </w:r>
          </w:p>
          <w:p w14:paraId="7D8E62A2" w14:textId="77777777" w:rsidR="00F1341F" w:rsidRPr="00C47900" w:rsidRDefault="00F1341F" w:rsidP="00D80067">
            <w:pPr>
              <w:snapToGrid w:val="0"/>
              <w:spacing w:before="0" w:after="0"/>
              <w:jc w:val="left"/>
              <w:rPr>
                <w:sz w:val="16"/>
                <w:szCs w:val="16"/>
                <w:lang w:val="it-IT"/>
              </w:rPr>
            </w:pPr>
            <w:r w:rsidRPr="00C47900">
              <w:rPr>
                <w:sz w:val="16"/>
                <w:szCs w:val="16"/>
                <w:lang w:val="it-IT"/>
              </w:rPr>
              <w:t>AEUFEA</w:t>
            </w:r>
          </w:p>
          <w:p w14:paraId="5A6AD5AA" w14:textId="77777777" w:rsidR="00F1341F" w:rsidRPr="00C47900" w:rsidRDefault="00F1341F" w:rsidP="00D80067">
            <w:pPr>
              <w:snapToGrid w:val="0"/>
              <w:spacing w:before="0" w:after="0"/>
              <w:jc w:val="left"/>
              <w:rPr>
                <w:sz w:val="16"/>
                <w:szCs w:val="16"/>
                <w:lang w:val="it-IT"/>
              </w:rPr>
            </w:pPr>
            <w:r w:rsidRPr="00C47900">
              <w:rPr>
                <w:sz w:val="16"/>
                <w:szCs w:val="16"/>
                <w:lang w:val="it-IT"/>
              </w:rPr>
              <w:t>PPA</w:t>
            </w:r>
          </w:p>
          <w:p w14:paraId="4F93BB7D" w14:textId="77777777" w:rsidR="00F1341F" w:rsidRPr="00C47900" w:rsidRDefault="00F1341F" w:rsidP="00D80067">
            <w:pPr>
              <w:snapToGrid w:val="0"/>
              <w:spacing w:before="0" w:after="0"/>
              <w:jc w:val="left"/>
              <w:rPr>
                <w:sz w:val="16"/>
                <w:szCs w:val="16"/>
                <w:lang w:val="it-IT"/>
              </w:rPr>
            </w:pPr>
            <w:r w:rsidRPr="00C47900">
              <w:rPr>
                <w:sz w:val="16"/>
                <w:szCs w:val="16"/>
                <w:lang w:val="it-IT"/>
              </w:rPr>
              <w:t>SE</w:t>
            </w:r>
          </w:p>
          <w:p w14:paraId="718C975A" w14:textId="77777777" w:rsidR="00F1341F" w:rsidRPr="00C47900" w:rsidRDefault="00F1341F" w:rsidP="00154269">
            <w:pPr>
              <w:snapToGrid w:val="0"/>
              <w:spacing w:before="0" w:after="0"/>
              <w:jc w:val="left"/>
              <w:rPr>
                <w:sz w:val="16"/>
                <w:szCs w:val="16"/>
                <w:lang w:val="it-IT"/>
              </w:rPr>
            </w:pPr>
            <w:r w:rsidRPr="00C47900">
              <w:rPr>
                <w:sz w:val="16"/>
                <w:szCs w:val="16"/>
                <w:lang w:val="it-IT"/>
              </w:rPr>
              <w:t>ASFI</w:t>
            </w:r>
          </w:p>
          <w:p w14:paraId="2E07145A" w14:textId="77777777" w:rsidR="00F1341F" w:rsidRPr="008340BB" w:rsidRDefault="00F1341F" w:rsidP="00154269">
            <w:pPr>
              <w:snapToGrid w:val="0"/>
              <w:spacing w:before="0" w:after="0"/>
              <w:jc w:val="left"/>
              <w:rPr>
                <w:sz w:val="16"/>
                <w:szCs w:val="16"/>
              </w:rPr>
            </w:pPr>
            <w:r w:rsidRPr="008340BB">
              <w:rPr>
                <w:sz w:val="16"/>
                <w:szCs w:val="16"/>
              </w:rPr>
              <w:t>CPC, SAC</w:t>
            </w:r>
          </w:p>
          <w:p w14:paraId="42514FC1" w14:textId="77777777" w:rsidR="00F1341F" w:rsidRPr="008340BB" w:rsidRDefault="00F1341F">
            <w:pPr>
              <w:snapToGrid w:val="0"/>
              <w:spacing w:before="0" w:after="0"/>
              <w:jc w:val="left"/>
              <w:rPr>
                <w:sz w:val="16"/>
                <w:szCs w:val="16"/>
              </w:rPr>
            </w:pPr>
          </w:p>
        </w:tc>
      </w:tr>
      <w:tr w:rsidR="00F1341F" w:rsidRPr="0046569A" w14:paraId="54CDB8B9" w14:textId="77777777" w:rsidTr="00FE2D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45"/>
        </w:trPr>
        <w:tc>
          <w:tcPr>
            <w:tcW w:w="1104" w:type="pct"/>
            <w:tcBorders>
              <w:top w:val="single" w:sz="4" w:space="0" w:color="auto"/>
              <w:left w:val="single" w:sz="4" w:space="0" w:color="auto"/>
              <w:bottom w:val="single" w:sz="4" w:space="0" w:color="auto"/>
              <w:right w:val="single" w:sz="4" w:space="0" w:color="auto"/>
            </w:tcBorders>
          </w:tcPr>
          <w:p w14:paraId="344D96C4" w14:textId="77777777" w:rsidR="00F1341F" w:rsidRPr="008340BB" w:rsidRDefault="00F1341F" w:rsidP="00F03C1E">
            <w:pPr>
              <w:snapToGrid w:val="0"/>
            </w:pPr>
          </w:p>
        </w:tc>
        <w:tc>
          <w:tcPr>
            <w:tcW w:w="682" w:type="pct"/>
            <w:tcBorders>
              <w:top w:val="single" w:sz="4" w:space="0" w:color="auto"/>
              <w:left w:val="single" w:sz="4" w:space="0" w:color="auto"/>
              <w:bottom w:val="single" w:sz="4" w:space="0" w:color="auto"/>
              <w:right w:val="single" w:sz="4" w:space="0" w:color="auto"/>
            </w:tcBorders>
          </w:tcPr>
          <w:p w14:paraId="7E564BC1" w14:textId="77777777" w:rsidR="00F1341F" w:rsidRPr="008340BB" w:rsidRDefault="00F1341F" w:rsidP="002726A0">
            <w:pPr>
              <w:snapToGrid w:val="0"/>
              <w:jc w:val="left"/>
              <w:rPr>
                <w:color w:val="000000"/>
                <w:sz w:val="16"/>
                <w:szCs w:val="16"/>
              </w:rPr>
            </w:pPr>
            <w:r w:rsidRPr="008340BB">
              <w:rPr>
                <w:color w:val="000000"/>
                <w:sz w:val="16"/>
                <w:szCs w:val="16"/>
              </w:rPr>
              <w:t>Framework for the training and communicating information to the staff, involved in management of resources from ESIF</w:t>
            </w:r>
          </w:p>
        </w:tc>
        <w:tc>
          <w:tcPr>
            <w:tcW w:w="858" w:type="pct"/>
            <w:tcBorders>
              <w:top w:val="single" w:sz="4" w:space="0" w:color="auto"/>
              <w:left w:val="single" w:sz="4" w:space="0" w:color="auto"/>
              <w:bottom w:val="single" w:sz="4" w:space="0" w:color="auto"/>
              <w:right w:val="single" w:sz="4" w:space="0" w:color="auto"/>
            </w:tcBorders>
          </w:tcPr>
          <w:p w14:paraId="4FA524B9" w14:textId="77777777" w:rsidR="00F1341F" w:rsidRPr="008340BB" w:rsidRDefault="00F1341F" w:rsidP="00B75F66">
            <w:pPr>
              <w:tabs>
                <w:tab w:val="left" w:pos="1417"/>
              </w:tabs>
              <w:spacing w:before="0" w:after="0"/>
              <w:jc w:val="left"/>
              <w:rPr>
                <w:color w:val="000000"/>
                <w:sz w:val="16"/>
                <w:szCs w:val="16"/>
                <w:lang w:eastAsia="en-US"/>
              </w:rPr>
            </w:pPr>
            <w:r w:rsidRPr="008340BB">
              <w:rPr>
                <w:color w:val="000000"/>
                <w:sz w:val="16"/>
                <w:szCs w:val="16"/>
                <w:lang w:eastAsia="en-US"/>
              </w:rPr>
              <w:t>Action 1.</w:t>
            </w:r>
          </w:p>
          <w:p w14:paraId="0D7E9F8E" w14:textId="77777777" w:rsidR="00F1341F" w:rsidRPr="008340BB" w:rsidRDefault="00F1341F" w:rsidP="00243777">
            <w:pPr>
              <w:tabs>
                <w:tab w:val="left" w:pos="1417"/>
              </w:tabs>
              <w:spacing w:before="0" w:after="0"/>
              <w:jc w:val="left"/>
              <w:rPr>
                <w:color w:val="000000"/>
                <w:sz w:val="16"/>
                <w:szCs w:val="16"/>
              </w:rPr>
            </w:pPr>
            <w:r w:rsidRPr="008340BB">
              <w:rPr>
                <w:color w:val="000000"/>
                <w:sz w:val="16"/>
                <w:szCs w:val="16"/>
                <w:lang w:eastAsia="en-US"/>
              </w:rPr>
              <w:t xml:space="preserve">Elaboration and implementation of training program for persons involved in </w:t>
            </w:r>
            <w:r w:rsidRPr="008340BB">
              <w:rPr>
                <w:color w:val="000000"/>
                <w:sz w:val="16"/>
                <w:szCs w:val="16"/>
              </w:rPr>
              <w:t xml:space="preserve">in management of resources from European funds (including trainings on </w:t>
            </w:r>
            <w:r w:rsidRPr="008340BB">
              <w:rPr>
                <w:color w:val="000000"/>
                <w:sz w:val="16"/>
                <w:szCs w:val="16"/>
                <w:lang w:eastAsia="en-US"/>
              </w:rPr>
              <w:t xml:space="preserve">public procurement within the framework of Training Academy under </w:t>
            </w:r>
            <w:r w:rsidRPr="008340BB">
              <w:rPr>
                <w:color w:val="000000"/>
                <w:sz w:val="16"/>
                <w:szCs w:val="16"/>
              </w:rPr>
              <w:t>ESIF)</w:t>
            </w:r>
          </w:p>
          <w:p w14:paraId="3A0C343B" w14:textId="77777777" w:rsidR="00F1341F" w:rsidRPr="008340BB" w:rsidRDefault="00F1341F" w:rsidP="008A2EE0">
            <w:pPr>
              <w:tabs>
                <w:tab w:val="left" w:pos="1417"/>
              </w:tabs>
              <w:spacing w:before="0" w:after="0"/>
              <w:jc w:val="left"/>
              <w:rPr>
                <w:color w:val="000000"/>
                <w:sz w:val="16"/>
                <w:szCs w:val="16"/>
                <w:lang w:eastAsia="en-US"/>
              </w:rPr>
            </w:pPr>
            <w:r w:rsidRPr="008340BB">
              <w:rPr>
                <w:color w:val="000000"/>
                <w:sz w:val="16"/>
                <w:szCs w:val="16"/>
                <w:lang w:eastAsia="en-US"/>
              </w:rPr>
              <w:t>Action 2.</w:t>
            </w:r>
          </w:p>
          <w:p w14:paraId="013C8A90" w14:textId="77777777" w:rsidR="00F1341F" w:rsidRPr="008340BB" w:rsidRDefault="00F1341F" w:rsidP="00243777">
            <w:pPr>
              <w:tabs>
                <w:tab w:val="left" w:pos="1417"/>
              </w:tabs>
              <w:spacing w:before="0" w:after="0"/>
              <w:jc w:val="left"/>
              <w:rPr>
                <w:color w:val="000000"/>
                <w:sz w:val="16"/>
                <w:szCs w:val="16"/>
                <w:lang w:eastAsia="en-US"/>
              </w:rPr>
            </w:pPr>
            <w:r w:rsidRPr="008340BB">
              <w:rPr>
                <w:color w:val="000000"/>
                <w:sz w:val="16"/>
                <w:szCs w:val="16"/>
                <w:lang w:eastAsia="en-US"/>
              </w:rPr>
              <w:t>Review and updating of existing systems for communication and exchange of information between the staff of the Managing Authorities and beneficiaries and other stakeholders with regard to public procurement, in order to import a uniform practice.</w:t>
            </w:r>
          </w:p>
        </w:tc>
        <w:tc>
          <w:tcPr>
            <w:tcW w:w="1269" w:type="pct"/>
            <w:tcBorders>
              <w:top w:val="single" w:sz="4" w:space="0" w:color="auto"/>
              <w:left w:val="single" w:sz="4" w:space="0" w:color="auto"/>
              <w:bottom w:val="single" w:sz="4" w:space="0" w:color="auto"/>
              <w:right w:val="single" w:sz="4" w:space="0" w:color="auto"/>
            </w:tcBorders>
          </w:tcPr>
          <w:p w14:paraId="2C7F4879" w14:textId="77777777" w:rsidR="00F1341F" w:rsidRPr="008340BB" w:rsidRDefault="007377A8" w:rsidP="00521B08">
            <w:pPr>
              <w:keepNext/>
              <w:widowControl w:val="0"/>
              <w:spacing w:before="0" w:after="0"/>
              <w:jc w:val="left"/>
              <w:rPr>
                <w:color w:val="000000"/>
                <w:sz w:val="16"/>
                <w:szCs w:val="16"/>
                <w:lang w:eastAsia="en-US"/>
              </w:rPr>
            </w:pPr>
            <w:r w:rsidRPr="00EA04DF">
              <w:rPr>
                <w:color w:val="000000"/>
                <w:sz w:val="16"/>
                <w:szCs w:val="16"/>
                <w:lang w:eastAsia="en-US"/>
              </w:rPr>
              <w:t>31</w:t>
            </w:r>
            <w:r>
              <w:rPr>
                <w:color w:val="000000"/>
                <w:sz w:val="16"/>
                <w:szCs w:val="16"/>
                <w:lang w:eastAsia="en-US"/>
              </w:rPr>
              <w:t xml:space="preserve"> </w:t>
            </w:r>
            <w:r w:rsidR="00F1341F" w:rsidRPr="008340BB">
              <w:rPr>
                <w:color w:val="000000"/>
                <w:sz w:val="16"/>
                <w:szCs w:val="16"/>
                <w:lang w:eastAsia="en-US"/>
              </w:rPr>
              <w:t>December 2016</w:t>
            </w:r>
          </w:p>
          <w:p w14:paraId="04A3E0A2" w14:textId="77777777" w:rsidR="00F1341F" w:rsidRPr="008340BB" w:rsidRDefault="007377A8" w:rsidP="008316D0">
            <w:pPr>
              <w:keepNext/>
              <w:widowControl w:val="0"/>
              <w:spacing w:before="0" w:after="0"/>
              <w:jc w:val="left"/>
              <w:rPr>
                <w:color w:val="000000"/>
                <w:sz w:val="16"/>
                <w:szCs w:val="16"/>
                <w:lang w:eastAsia="en-US"/>
              </w:rPr>
            </w:pPr>
            <w:r w:rsidRPr="00EA04DF">
              <w:rPr>
                <w:color w:val="000000"/>
                <w:sz w:val="16"/>
                <w:szCs w:val="16"/>
                <w:lang w:eastAsia="en-US"/>
              </w:rPr>
              <w:t>31</w:t>
            </w:r>
            <w:r>
              <w:rPr>
                <w:color w:val="000000"/>
                <w:sz w:val="16"/>
                <w:szCs w:val="16"/>
                <w:lang w:eastAsia="en-US"/>
              </w:rPr>
              <w:t xml:space="preserve"> </w:t>
            </w:r>
            <w:r w:rsidR="00F1341F" w:rsidRPr="008340BB">
              <w:rPr>
                <w:color w:val="000000"/>
                <w:sz w:val="16"/>
                <w:szCs w:val="16"/>
                <w:lang w:eastAsia="en-US"/>
              </w:rPr>
              <w:t>December 2016</w:t>
            </w:r>
          </w:p>
          <w:p w14:paraId="27592DB4" w14:textId="77777777" w:rsidR="00F1341F" w:rsidRPr="008340BB" w:rsidRDefault="00F1341F" w:rsidP="00F03C1E">
            <w:pPr>
              <w:snapToGrid w:val="0"/>
            </w:pPr>
          </w:p>
        </w:tc>
        <w:tc>
          <w:tcPr>
            <w:tcW w:w="1087" w:type="pct"/>
            <w:tcBorders>
              <w:top w:val="single" w:sz="4" w:space="0" w:color="auto"/>
              <w:left w:val="single" w:sz="4" w:space="0" w:color="auto"/>
              <w:bottom w:val="single" w:sz="4" w:space="0" w:color="auto"/>
              <w:right w:val="single" w:sz="4" w:space="0" w:color="auto"/>
            </w:tcBorders>
          </w:tcPr>
          <w:p w14:paraId="233B1D9F" w14:textId="77777777" w:rsidR="00F1341F" w:rsidRPr="00435AC3" w:rsidRDefault="00F1341F" w:rsidP="00525EA2">
            <w:pPr>
              <w:snapToGrid w:val="0"/>
              <w:spacing w:before="0" w:after="0"/>
              <w:jc w:val="left"/>
              <w:rPr>
                <w:sz w:val="16"/>
                <w:szCs w:val="16"/>
                <w:lang w:val="it-IT"/>
              </w:rPr>
            </w:pPr>
            <w:r w:rsidRPr="00435AC3">
              <w:rPr>
                <w:sz w:val="16"/>
                <w:szCs w:val="16"/>
                <w:lang w:val="it-IT"/>
              </w:rPr>
              <w:t xml:space="preserve">IPA, MA of OP, PPA </w:t>
            </w:r>
          </w:p>
          <w:p w14:paraId="26E57E70" w14:textId="77777777" w:rsidR="00F1341F" w:rsidRPr="00435AC3" w:rsidRDefault="00F1341F" w:rsidP="008316D0">
            <w:pPr>
              <w:snapToGrid w:val="0"/>
              <w:spacing w:before="0" w:after="0"/>
              <w:jc w:val="left"/>
              <w:rPr>
                <w:sz w:val="16"/>
                <w:szCs w:val="16"/>
                <w:lang w:val="it-IT"/>
              </w:rPr>
            </w:pPr>
            <w:r w:rsidRPr="00435AC3">
              <w:rPr>
                <w:sz w:val="16"/>
                <w:szCs w:val="16"/>
                <w:lang w:val="it-IT"/>
              </w:rPr>
              <w:t>MA, CCU, AEUFEA, PPA, SE, ASFI</w:t>
            </w:r>
          </w:p>
          <w:p w14:paraId="4D306634" w14:textId="77777777" w:rsidR="00F1341F" w:rsidRPr="00435AC3" w:rsidRDefault="00F1341F" w:rsidP="00D04266">
            <w:pPr>
              <w:snapToGrid w:val="0"/>
              <w:rPr>
                <w:lang w:val="it-IT"/>
              </w:rPr>
            </w:pPr>
          </w:p>
        </w:tc>
      </w:tr>
      <w:tr w:rsidR="00F1341F" w:rsidRPr="008340BB" w14:paraId="70295745" w14:textId="77777777" w:rsidTr="00FE2D93">
        <w:trPr>
          <w:trHeight w:val="258"/>
        </w:trPr>
        <w:tc>
          <w:tcPr>
            <w:tcW w:w="1104" w:type="pct"/>
          </w:tcPr>
          <w:p w14:paraId="73347742" w14:textId="77777777" w:rsidR="00F1341F" w:rsidRPr="00435AC3" w:rsidRDefault="00F1341F" w:rsidP="00525EA2">
            <w:pPr>
              <w:snapToGrid w:val="0"/>
              <w:rPr>
                <w:sz w:val="16"/>
                <w:szCs w:val="16"/>
                <w:lang w:val="it-IT"/>
              </w:rPr>
            </w:pPr>
          </w:p>
        </w:tc>
        <w:tc>
          <w:tcPr>
            <w:tcW w:w="682" w:type="pct"/>
          </w:tcPr>
          <w:p w14:paraId="3ED007F4" w14:textId="77777777" w:rsidR="00F1341F" w:rsidRPr="008340BB" w:rsidRDefault="00F1341F" w:rsidP="00525EA2">
            <w:pPr>
              <w:snapToGrid w:val="0"/>
              <w:spacing w:before="0" w:after="0"/>
              <w:jc w:val="left"/>
              <w:rPr>
                <w:sz w:val="16"/>
                <w:szCs w:val="16"/>
              </w:rPr>
            </w:pPr>
            <w:r w:rsidRPr="008340BB">
              <w:rPr>
                <w:color w:val="000000"/>
                <w:sz w:val="16"/>
                <w:szCs w:val="16"/>
              </w:rPr>
              <w:t>Framework guaranteeing the administrative capacity to implement and enforce EU rules on public procurement.</w:t>
            </w:r>
          </w:p>
        </w:tc>
        <w:tc>
          <w:tcPr>
            <w:tcW w:w="858" w:type="pct"/>
          </w:tcPr>
          <w:p w14:paraId="4DCDE18C" w14:textId="77777777" w:rsidR="00F1341F" w:rsidRPr="008340BB" w:rsidRDefault="00F1341F" w:rsidP="00944486">
            <w:pPr>
              <w:keepNext/>
              <w:snapToGrid w:val="0"/>
              <w:spacing w:before="0" w:after="0"/>
              <w:jc w:val="left"/>
              <w:rPr>
                <w:color w:val="000000"/>
                <w:sz w:val="16"/>
                <w:szCs w:val="16"/>
                <w:lang w:eastAsia="en-US"/>
              </w:rPr>
            </w:pPr>
            <w:r w:rsidRPr="008340BB">
              <w:rPr>
                <w:color w:val="000000"/>
                <w:sz w:val="16"/>
                <w:szCs w:val="16"/>
                <w:lang w:eastAsia="en-US"/>
              </w:rPr>
              <w:t>Action 1.</w:t>
            </w:r>
          </w:p>
          <w:p w14:paraId="6E52A3C1" w14:textId="77777777" w:rsidR="00F1341F" w:rsidRPr="008340BB" w:rsidRDefault="00F1341F" w:rsidP="00944486">
            <w:pPr>
              <w:keepNext/>
              <w:snapToGrid w:val="0"/>
              <w:spacing w:before="0" w:after="0"/>
              <w:jc w:val="left"/>
              <w:rPr>
                <w:color w:val="000000"/>
                <w:sz w:val="16"/>
                <w:szCs w:val="16"/>
                <w:lang w:eastAsia="en-US"/>
              </w:rPr>
            </w:pPr>
            <w:r w:rsidRPr="008340BB">
              <w:rPr>
                <w:color w:val="000000"/>
                <w:sz w:val="16"/>
                <w:szCs w:val="16"/>
                <w:lang w:eastAsia="en-US"/>
              </w:rPr>
              <w:t xml:space="preserve">Strengthening and stabilisation of administrative capacity of PPA through increasing staff number and conducting </w:t>
            </w:r>
            <w:r w:rsidRPr="008340BB">
              <w:rPr>
                <w:color w:val="000000"/>
                <w:sz w:val="16"/>
                <w:szCs w:val="16"/>
                <w:lang w:eastAsia="en-US"/>
              </w:rPr>
              <w:lastRenderedPageBreak/>
              <w:t>specialised trainings.</w:t>
            </w:r>
          </w:p>
          <w:p w14:paraId="6E10C924" w14:textId="77777777" w:rsidR="00F1341F" w:rsidRPr="008340BB" w:rsidRDefault="00F1341F" w:rsidP="00944486">
            <w:pPr>
              <w:snapToGrid w:val="0"/>
              <w:spacing w:before="0" w:after="0"/>
              <w:jc w:val="left"/>
              <w:rPr>
                <w:sz w:val="16"/>
                <w:szCs w:val="16"/>
              </w:rPr>
            </w:pPr>
            <w:r w:rsidRPr="008340BB">
              <w:rPr>
                <w:sz w:val="16"/>
                <w:szCs w:val="16"/>
              </w:rPr>
              <w:t>Action 2.</w:t>
            </w:r>
          </w:p>
          <w:p w14:paraId="15014CE9" w14:textId="77777777" w:rsidR="00F1341F" w:rsidRPr="008340BB" w:rsidRDefault="00F1341F" w:rsidP="00944486">
            <w:pPr>
              <w:snapToGrid w:val="0"/>
              <w:spacing w:before="0" w:after="0"/>
              <w:jc w:val="left"/>
              <w:rPr>
                <w:sz w:val="16"/>
                <w:szCs w:val="16"/>
              </w:rPr>
            </w:pPr>
            <w:r w:rsidRPr="008340BB">
              <w:rPr>
                <w:sz w:val="16"/>
                <w:szCs w:val="16"/>
              </w:rPr>
              <w:t>Providing technical assistance to the persons who apply the rules on public procurement through organisation and holding of ongoing trainings and other necessary measures/actions, defined on results of conducted studies and consultations with relevant target groups.</w:t>
            </w:r>
          </w:p>
          <w:p w14:paraId="3750E223" w14:textId="77777777" w:rsidR="00F1341F" w:rsidRPr="008340BB" w:rsidRDefault="00F1341F" w:rsidP="00944486">
            <w:pPr>
              <w:snapToGrid w:val="0"/>
              <w:spacing w:before="0" w:after="0"/>
              <w:jc w:val="left"/>
              <w:rPr>
                <w:sz w:val="16"/>
                <w:szCs w:val="16"/>
              </w:rPr>
            </w:pPr>
          </w:p>
        </w:tc>
        <w:tc>
          <w:tcPr>
            <w:tcW w:w="1269" w:type="pct"/>
          </w:tcPr>
          <w:p w14:paraId="35002990" w14:textId="77777777" w:rsidR="00F1341F" w:rsidRPr="008340BB" w:rsidRDefault="007377A8" w:rsidP="00E42509">
            <w:pPr>
              <w:keepNext/>
              <w:widowControl w:val="0"/>
              <w:spacing w:before="0" w:after="0"/>
              <w:jc w:val="left"/>
              <w:rPr>
                <w:color w:val="000000"/>
                <w:sz w:val="16"/>
                <w:szCs w:val="16"/>
                <w:lang w:eastAsia="en-US"/>
              </w:rPr>
            </w:pPr>
            <w:r w:rsidRPr="00EA04DF">
              <w:rPr>
                <w:color w:val="000000"/>
                <w:sz w:val="16"/>
                <w:szCs w:val="16"/>
                <w:lang w:eastAsia="en-US"/>
              </w:rPr>
              <w:lastRenderedPageBreak/>
              <w:t>31</w:t>
            </w:r>
            <w:r>
              <w:rPr>
                <w:color w:val="000000"/>
                <w:sz w:val="16"/>
                <w:szCs w:val="16"/>
                <w:lang w:eastAsia="en-US"/>
              </w:rPr>
              <w:t xml:space="preserve"> </w:t>
            </w:r>
            <w:r w:rsidR="00F1341F" w:rsidRPr="008340BB">
              <w:rPr>
                <w:color w:val="000000"/>
                <w:sz w:val="16"/>
                <w:szCs w:val="16"/>
                <w:lang w:eastAsia="en-US"/>
              </w:rPr>
              <w:t>December 2015</w:t>
            </w:r>
          </w:p>
          <w:p w14:paraId="6FF31857" w14:textId="77777777" w:rsidR="00F1341F" w:rsidRPr="00EA04DF" w:rsidRDefault="007377A8" w:rsidP="00E42509">
            <w:pPr>
              <w:keepNext/>
              <w:widowControl w:val="0"/>
              <w:spacing w:before="0" w:after="0"/>
              <w:jc w:val="left"/>
              <w:rPr>
                <w:color w:val="000000"/>
                <w:sz w:val="16"/>
                <w:szCs w:val="16"/>
                <w:lang w:val="bg-BG" w:eastAsia="en-US"/>
              </w:rPr>
            </w:pPr>
            <w:r w:rsidRPr="00EA04DF">
              <w:rPr>
                <w:color w:val="000000"/>
                <w:sz w:val="16"/>
                <w:szCs w:val="16"/>
                <w:lang w:eastAsia="en-US"/>
              </w:rPr>
              <w:t>31</w:t>
            </w:r>
            <w:r>
              <w:rPr>
                <w:color w:val="000000"/>
                <w:sz w:val="16"/>
                <w:szCs w:val="16"/>
                <w:lang w:eastAsia="en-US"/>
              </w:rPr>
              <w:t xml:space="preserve"> </w:t>
            </w:r>
            <w:r w:rsidR="00F1341F" w:rsidRPr="008340BB">
              <w:rPr>
                <w:color w:val="000000"/>
                <w:sz w:val="16"/>
                <w:szCs w:val="16"/>
                <w:lang w:eastAsia="en-US"/>
              </w:rPr>
              <w:t>December 201</w:t>
            </w:r>
            <w:r w:rsidR="004F4E93" w:rsidRPr="00EA04DF">
              <w:rPr>
                <w:color w:val="000000"/>
                <w:sz w:val="16"/>
                <w:szCs w:val="16"/>
                <w:lang w:val="bg-BG" w:eastAsia="en-US"/>
              </w:rPr>
              <w:t>5</w:t>
            </w:r>
          </w:p>
          <w:p w14:paraId="148D7667" w14:textId="77777777" w:rsidR="00F1341F" w:rsidRPr="008340BB" w:rsidRDefault="00F1341F" w:rsidP="00525EA2">
            <w:pPr>
              <w:snapToGrid w:val="0"/>
              <w:spacing w:before="0" w:after="0"/>
              <w:jc w:val="left"/>
              <w:rPr>
                <w:sz w:val="16"/>
                <w:szCs w:val="16"/>
              </w:rPr>
            </w:pPr>
          </w:p>
        </w:tc>
        <w:tc>
          <w:tcPr>
            <w:tcW w:w="1087" w:type="pct"/>
          </w:tcPr>
          <w:p w14:paraId="12041A99" w14:textId="77777777" w:rsidR="00F1341F" w:rsidRPr="008340BB" w:rsidRDefault="00F1341F" w:rsidP="00EA04DF">
            <w:pPr>
              <w:snapToGrid w:val="0"/>
              <w:spacing w:before="0" w:after="0"/>
              <w:jc w:val="left"/>
              <w:rPr>
                <w:sz w:val="16"/>
                <w:szCs w:val="16"/>
              </w:rPr>
            </w:pPr>
            <w:r w:rsidRPr="008340BB">
              <w:rPr>
                <w:sz w:val="16"/>
                <w:szCs w:val="16"/>
              </w:rPr>
              <w:t>MEE, PPA</w:t>
            </w:r>
          </w:p>
          <w:p w14:paraId="4DE548DE" w14:textId="77777777" w:rsidR="00F1341F" w:rsidRPr="008340BB" w:rsidRDefault="00F1341F" w:rsidP="00525EA2">
            <w:pPr>
              <w:snapToGrid w:val="0"/>
              <w:spacing w:before="0" w:after="0"/>
              <w:jc w:val="left"/>
              <w:rPr>
                <w:sz w:val="16"/>
                <w:szCs w:val="16"/>
              </w:rPr>
            </w:pPr>
            <w:r w:rsidRPr="008340BB">
              <w:rPr>
                <w:sz w:val="16"/>
                <w:szCs w:val="16"/>
              </w:rPr>
              <w:t>IPA, MA, PPA</w:t>
            </w:r>
          </w:p>
        </w:tc>
      </w:tr>
      <w:tr w:rsidR="00F1341F" w:rsidRPr="0046569A" w14:paraId="7DD3983B" w14:textId="77777777" w:rsidTr="00F03C1E">
        <w:trPr>
          <w:trHeight w:val="258"/>
        </w:trPr>
        <w:tc>
          <w:tcPr>
            <w:tcW w:w="1104" w:type="pct"/>
          </w:tcPr>
          <w:p w14:paraId="7D05DE1C" w14:textId="77777777" w:rsidR="00F1341F" w:rsidRPr="008340BB" w:rsidRDefault="00F1341F" w:rsidP="007004CD">
            <w:pPr>
              <w:widowControl w:val="0"/>
              <w:spacing w:before="0" w:after="0"/>
              <w:jc w:val="left"/>
              <w:rPr>
                <w:color w:val="000000"/>
                <w:sz w:val="16"/>
                <w:szCs w:val="16"/>
              </w:rPr>
            </w:pPr>
            <w:r w:rsidRPr="008340BB">
              <w:rPr>
                <w:color w:val="000000"/>
                <w:sz w:val="16"/>
                <w:szCs w:val="16"/>
              </w:rPr>
              <w:t>7. Availability of a statistical base needed to perform assessments on the effectiveness and impact of programmes.</w:t>
            </w:r>
          </w:p>
          <w:p w14:paraId="6526D5AD" w14:textId="77777777" w:rsidR="00F1341F" w:rsidRPr="008340BB" w:rsidRDefault="00F1341F" w:rsidP="007004CD">
            <w:pPr>
              <w:widowControl w:val="0"/>
              <w:spacing w:before="0" w:after="0"/>
              <w:jc w:val="left"/>
              <w:rPr>
                <w:color w:val="000000"/>
                <w:sz w:val="16"/>
                <w:szCs w:val="16"/>
              </w:rPr>
            </w:pPr>
          </w:p>
        </w:tc>
        <w:tc>
          <w:tcPr>
            <w:tcW w:w="682" w:type="pct"/>
          </w:tcPr>
          <w:p w14:paraId="1DE03148" w14:textId="77777777" w:rsidR="00F1341F" w:rsidRPr="008340BB" w:rsidRDefault="00F1341F" w:rsidP="00FE2D93">
            <w:pPr>
              <w:widowControl w:val="0"/>
              <w:spacing w:before="0" w:after="0"/>
              <w:jc w:val="left"/>
              <w:rPr>
                <w:color w:val="000000"/>
                <w:sz w:val="16"/>
                <w:szCs w:val="16"/>
              </w:rPr>
            </w:pPr>
            <w:r w:rsidRPr="008340BB">
              <w:rPr>
                <w:color w:val="000000"/>
                <w:sz w:val="16"/>
                <w:szCs w:val="16"/>
              </w:rPr>
              <w:t>Effective system of outcome indicators, including:</w:t>
            </w:r>
          </w:p>
          <w:p w14:paraId="3CCF4C0E" w14:textId="77777777" w:rsidR="00F1341F" w:rsidRPr="008340BB" w:rsidRDefault="00F1341F" w:rsidP="00D824BD">
            <w:pPr>
              <w:widowControl w:val="0"/>
              <w:spacing w:before="0" w:after="0"/>
              <w:jc w:val="left"/>
              <w:rPr>
                <w:color w:val="000000"/>
                <w:sz w:val="16"/>
                <w:szCs w:val="16"/>
              </w:rPr>
            </w:pPr>
            <w:r w:rsidRPr="008340BB">
              <w:rPr>
                <w:color w:val="000000"/>
                <w:sz w:val="16"/>
                <w:szCs w:val="16"/>
              </w:rPr>
              <w:t xml:space="preserve"> - selection of outcome indicators for each programme, which provide information on the rationale of the selection of policy-related activities funded by the programme;</w:t>
            </w:r>
          </w:p>
          <w:p w14:paraId="77A59810" w14:textId="77777777" w:rsidR="00F1341F" w:rsidRPr="008340BB" w:rsidRDefault="00F1341F" w:rsidP="00D824BD">
            <w:pPr>
              <w:widowControl w:val="0"/>
              <w:spacing w:before="0" w:after="0"/>
              <w:jc w:val="left"/>
              <w:rPr>
                <w:color w:val="000000"/>
                <w:sz w:val="16"/>
                <w:szCs w:val="16"/>
              </w:rPr>
            </w:pPr>
            <w:r w:rsidRPr="008340BB">
              <w:rPr>
                <w:color w:val="000000"/>
                <w:sz w:val="16"/>
                <w:szCs w:val="16"/>
              </w:rPr>
              <w:t xml:space="preserve">-  setting quantitative targets for these indicators; </w:t>
            </w:r>
          </w:p>
          <w:p w14:paraId="26C79BFE" w14:textId="77777777" w:rsidR="00F1341F" w:rsidRPr="008340BB" w:rsidRDefault="00F1341F" w:rsidP="00D824BD">
            <w:pPr>
              <w:snapToGrid w:val="0"/>
              <w:spacing w:before="0" w:after="0"/>
              <w:jc w:val="left"/>
              <w:rPr>
                <w:color w:val="000000"/>
                <w:sz w:val="16"/>
                <w:szCs w:val="16"/>
              </w:rPr>
            </w:pPr>
            <w:r w:rsidRPr="008340BB">
              <w:rPr>
                <w:color w:val="000000"/>
                <w:sz w:val="16"/>
                <w:szCs w:val="16"/>
              </w:rPr>
              <w:t>- consistency of each item with the following requisites: robustness and statistical validation, clarity of normative interpretation, responsiveness to measures taken on policy level, timely data collection.</w:t>
            </w:r>
          </w:p>
          <w:p w14:paraId="52B8349E" w14:textId="77777777" w:rsidR="00F1341F" w:rsidRPr="008340BB" w:rsidRDefault="00F1341F" w:rsidP="00243777">
            <w:pPr>
              <w:widowControl w:val="0"/>
              <w:spacing w:before="0" w:after="0"/>
              <w:jc w:val="left"/>
              <w:rPr>
                <w:sz w:val="16"/>
                <w:szCs w:val="16"/>
              </w:rPr>
            </w:pPr>
          </w:p>
        </w:tc>
        <w:tc>
          <w:tcPr>
            <w:tcW w:w="858" w:type="pct"/>
          </w:tcPr>
          <w:p w14:paraId="7FC766F7" w14:textId="77777777" w:rsidR="00F1341F" w:rsidRPr="008340BB" w:rsidRDefault="00F1341F" w:rsidP="00FE2D93">
            <w:pPr>
              <w:snapToGrid w:val="0"/>
              <w:spacing w:before="0" w:after="0"/>
              <w:ind w:left="566" w:hanging="566"/>
              <w:jc w:val="left"/>
              <w:rPr>
                <w:sz w:val="16"/>
              </w:rPr>
            </w:pPr>
            <w:r w:rsidRPr="008340BB">
              <w:t xml:space="preserve"> </w:t>
            </w:r>
            <w:r w:rsidRPr="008340BB">
              <w:rPr>
                <w:rStyle w:val="hps"/>
                <w:sz w:val="16"/>
              </w:rPr>
              <w:t>Action 1</w:t>
            </w:r>
            <w:r w:rsidRPr="008340BB">
              <w:rPr>
                <w:sz w:val="16"/>
              </w:rPr>
              <w:t xml:space="preserve"> </w:t>
            </w:r>
          </w:p>
          <w:p w14:paraId="1FC5FC35" w14:textId="77777777" w:rsidR="00F1341F" w:rsidRPr="008340BB" w:rsidRDefault="00F1341F" w:rsidP="0043765A">
            <w:pPr>
              <w:snapToGrid w:val="0"/>
              <w:spacing w:before="0" w:after="0"/>
              <w:jc w:val="left"/>
              <w:rPr>
                <w:sz w:val="16"/>
              </w:rPr>
            </w:pPr>
            <w:r w:rsidRPr="008340BB">
              <w:rPr>
                <w:rStyle w:val="hps"/>
                <w:sz w:val="16"/>
              </w:rPr>
              <w:t>Selection of</w:t>
            </w:r>
            <w:r w:rsidRPr="008340BB">
              <w:rPr>
                <w:sz w:val="16"/>
              </w:rPr>
              <w:t xml:space="preserve"> </w:t>
            </w:r>
            <w:r w:rsidRPr="008340BB">
              <w:rPr>
                <w:rStyle w:val="hps"/>
                <w:sz w:val="16"/>
              </w:rPr>
              <w:t>outcome indicators for</w:t>
            </w:r>
            <w:r w:rsidRPr="008340BB">
              <w:rPr>
                <w:sz w:val="16"/>
              </w:rPr>
              <w:t xml:space="preserve"> </w:t>
            </w:r>
            <w:r w:rsidRPr="008340BB">
              <w:rPr>
                <w:rStyle w:val="hps"/>
                <w:sz w:val="16"/>
              </w:rPr>
              <w:t>each operational programme.</w:t>
            </w:r>
            <w:r w:rsidRPr="008340BB">
              <w:rPr>
                <w:sz w:val="16"/>
              </w:rPr>
              <w:t xml:space="preserve"> </w:t>
            </w:r>
          </w:p>
          <w:p w14:paraId="09693514" w14:textId="77777777" w:rsidR="00F1341F" w:rsidRPr="008340BB" w:rsidRDefault="00F1341F" w:rsidP="0043765A">
            <w:pPr>
              <w:snapToGrid w:val="0"/>
              <w:spacing w:before="0" w:after="0"/>
              <w:jc w:val="left"/>
              <w:rPr>
                <w:sz w:val="16"/>
              </w:rPr>
            </w:pPr>
            <w:r w:rsidRPr="008340BB">
              <w:rPr>
                <w:rStyle w:val="hps"/>
                <w:sz w:val="16"/>
              </w:rPr>
              <w:t>The output and outcome</w:t>
            </w:r>
            <w:r w:rsidRPr="008340BB">
              <w:rPr>
                <w:sz w:val="16"/>
              </w:rPr>
              <w:t xml:space="preserve"> </w:t>
            </w:r>
            <w:r w:rsidRPr="008340BB">
              <w:rPr>
                <w:rStyle w:val="hps"/>
                <w:sz w:val="16"/>
              </w:rPr>
              <w:t>indicators</w:t>
            </w:r>
            <w:r w:rsidRPr="008340BB">
              <w:rPr>
                <w:sz w:val="16"/>
              </w:rPr>
              <w:t xml:space="preserve"> </w:t>
            </w:r>
            <w:r w:rsidRPr="008340BB">
              <w:rPr>
                <w:rStyle w:val="hps"/>
                <w:sz w:val="16"/>
              </w:rPr>
              <w:t>are</w:t>
            </w:r>
            <w:r w:rsidRPr="008340BB">
              <w:rPr>
                <w:sz w:val="16"/>
              </w:rPr>
              <w:t xml:space="preserve"> </w:t>
            </w:r>
            <w:r w:rsidRPr="008340BB">
              <w:rPr>
                <w:rStyle w:val="hps"/>
                <w:sz w:val="16"/>
              </w:rPr>
              <w:t>relevant and</w:t>
            </w:r>
            <w:r w:rsidRPr="008340BB">
              <w:rPr>
                <w:sz w:val="16"/>
              </w:rPr>
              <w:t xml:space="preserve"> </w:t>
            </w:r>
            <w:r w:rsidRPr="008340BB">
              <w:rPr>
                <w:rStyle w:val="hps"/>
                <w:sz w:val="16"/>
              </w:rPr>
              <w:t>linked to the</w:t>
            </w:r>
            <w:r w:rsidRPr="008340BB">
              <w:rPr>
                <w:sz w:val="16"/>
              </w:rPr>
              <w:t xml:space="preserve"> </w:t>
            </w:r>
            <w:r w:rsidRPr="008340BB">
              <w:rPr>
                <w:rStyle w:val="hps"/>
                <w:sz w:val="16"/>
              </w:rPr>
              <w:t>thematic axes</w:t>
            </w:r>
            <w:r w:rsidRPr="008340BB">
              <w:rPr>
                <w:sz w:val="16"/>
              </w:rPr>
              <w:t xml:space="preserve">, objectives and measures </w:t>
            </w:r>
            <w:r w:rsidRPr="008340BB">
              <w:rPr>
                <w:rStyle w:val="hps"/>
                <w:sz w:val="16"/>
              </w:rPr>
              <w:t>of the OP.</w:t>
            </w:r>
            <w:r w:rsidRPr="008340BB">
              <w:rPr>
                <w:sz w:val="16"/>
              </w:rPr>
              <w:t xml:space="preserve"> </w:t>
            </w:r>
            <w:r w:rsidRPr="008340BB">
              <w:rPr>
                <w:rStyle w:val="hps"/>
                <w:sz w:val="16"/>
              </w:rPr>
              <w:t>For</w:t>
            </w:r>
            <w:r w:rsidRPr="008340BB">
              <w:rPr>
                <w:sz w:val="16"/>
              </w:rPr>
              <w:t xml:space="preserve"> </w:t>
            </w:r>
            <w:r w:rsidRPr="008340BB">
              <w:rPr>
                <w:rStyle w:val="hps"/>
                <w:sz w:val="16"/>
              </w:rPr>
              <w:t>purposes of statistical</w:t>
            </w:r>
            <w:r w:rsidRPr="008340BB">
              <w:rPr>
                <w:sz w:val="16"/>
              </w:rPr>
              <w:t xml:space="preserve"> </w:t>
            </w:r>
            <w:r w:rsidRPr="008340BB">
              <w:rPr>
                <w:rStyle w:val="hps"/>
                <w:sz w:val="16"/>
              </w:rPr>
              <w:t>validation</w:t>
            </w:r>
            <w:r w:rsidRPr="008340BB">
              <w:rPr>
                <w:sz w:val="16"/>
              </w:rPr>
              <w:t xml:space="preserve"> </w:t>
            </w:r>
            <w:r w:rsidRPr="008340BB">
              <w:rPr>
                <w:rStyle w:val="hps"/>
                <w:sz w:val="16"/>
              </w:rPr>
              <w:t>will apply</w:t>
            </w:r>
            <w:r w:rsidRPr="008340BB">
              <w:rPr>
                <w:sz w:val="16"/>
              </w:rPr>
              <w:t xml:space="preserve"> </w:t>
            </w:r>
            <w:r w:rsidRPr="008340BB">
              <w:rPr>
                <w:rStyle w:val="hps"/>
                <w:sz w:val="16"/>
              </w:rPr>
              <w:t>unified</w:t>
            </w:r>
            <w:r w:rsidRPr="008340BB">
              <w:rPr>
                <w:sz w:val="16"/>
              </w:rPr>
              <w:t xml:space="preserve"> system of </w:t>
            </w:r>
            <w:r w:rsidRPr="008340BB">
              <w:rPr>
                <w:rStyle w:val="hps"/>
                <w:sz w:val="16"/>
              </w:rPr>
              <w:t>requirements</w:t>
            </w:r>
            <w:r w:rsidRPr="008340BB">
              <w:rPr>
                <w:sz w:val="16"/>
              </w:rPr>
              <w:t xml:space="preserve"> </w:t>
            </w:r>
            <w:r w:rsidRPr="008340BB">
              <w:rPr>
                <w:rStyle w:val="hps"/>
                <w:sz w:val="16"/>
              </w:rPr>
              <w:t>for collection of</w:t>
            </w:r>
            <w:r w:rsidRPr="008340BB">
              <w:rPr>
                <w:sz w:val="16"/>
              </w:rPr>
              <w:t xml:space="preserve"> </w:t>
            </w:r>
            <w:r w:rsidRPr="008340BB">
              <w:rPr>
                <w:rStyle w:val="hps"/>
                <w:sz w:val="16"/>
              </w:rPr>
              <w:t>microdata</w:t>
            </w:r>
            <w:r w:rsidRPr="008340BB">
              <w:rPr>
                <w:sz w:val="16"/>
              </w:rPr>
              <w:t xml:space="preserve"> </w:t>
            </w:r>
            <w:r w:rsidRPr="008340BB">
              <w:rPr>
                <w:rStyle w:val="hps"/>
                <w:sz w:val="16"/>
              </w:rPr>
              <w:t>on applicable</w:t>
            </w:r>
            <w:r w:rsidRPr="008340BB">
              <w:rPr>
                <w:sz w:val="16"/>
              </w:rPr>
              <w:t xml:space="preserve"> </w:t>
            </w:r>
            <w:r w:rsidRPr="008340BB">
              <w:rPr>
                <w:rStyle w:val="hps"/>
                <w:sz w:val="16"/>
              </w:rPr>
              <w:t>methodologies and</w:t>
            </w:r>
            <w:r w:rsidRPr="008340BB">
              <w:rPr>
                <w:sz w:val="16"/>
              </w:rPr>
              <w:t xml:space="preserve"> </w:t>
            </w:r>
            <w:r w:rsidRPr="008340BB">
              <w:rPr>
                <w:rStyle w:val="hps"/>
                <w:sz w:val="16"/>
              </w:rPr>
              <w:t>definitions of</w:t>
            </w:r>
            <w:r w:rsidRPr="008340BB">
              <w:rPr>
                <w:sz w:val="16"/>
              </w:rPr>
              <w:t xml:space="preserve"> </w:t>
            </w:r>
            <w:r w:rsidRPr="008340BB">
              <w:rPr>
                <w:rStyle w:val="hps"/>
                <w:sz w:val="16"/>
              </w:rPr>
              <w:t>their scope</w:t>
            </w:r>
            <w:r w:rsidRPr="008340BB">
              <w:rPr>
                <w:sz w:val="16"/>
              </w:rPr>
              <w:t xml:space="preserve"> </w:t>
            </w:r>
            <w:r w:rsidRPr="008340BB">
              <w:rPr>
                <w:rStyle w:val="hps"/>
                <w:sz w:val="16"/>
              </w:rPr>
              <w:t>and</w:t>
            </w:r>
            <w:r w:rsidRPr="008340BB">
              <w:rPr>
                <w:sz w:val="16"/>
              </w:rPr>
              <w:t xml:space="preserve"> </w:t>
            </w:r>
            <w:r w:rsidRPr="008340BB">
              <w:rPr>
                <w:rStyle w:val="hps"/>
                <w:sz w:val="16"/>
              </w:rPr>
              <w:t>procedure applicable to</w:t>
            </w:r>
            <w:r w:rsidRPr="008340BB">
              <w:rPr>
                <w:sz w:val="16"/>
              </w:rPr>
              <w:t xml:space="preserve"> </w:t>
            </w:r>
            <w:r w:rsidRPr="008340BB">
              <w:rPr>
                <w:rStyle w:val="hps"/>
                <w:sz w:val="16"/>
              </w:rPr>
              <w:t>processing</w:t>
            </w:r>
            <w:r w:rsidRPr="008340BB">
              <w:rPr>
                <w:sz w:val="16"/>
              </w:rPr>
              <w:t xml:space="preserve"> </w:t>
            </w:r>
            <w:r w:rsidRPr="008340BB">
              <w:rPr>
                <w:rStyle w:val="hps"/>
                <w:sz w:val="16"/>
              </w:rPr>
              <w:t>and summarising</w:t>
            </w:r>
            <w:r w:rsidRPr="008340BB">
              <w:rPr>
                <w:sz w:val="16"/>
              </w:rPr>
              <w:t xml:space="preserve"> </w:t>
            </w:r>
            <w:r w:rsidRPr="008340BB">
              <w:rPr>
                <w:rStyle w:val="hps"/>
                <w:sz w:val="16"/>
              </w:rPr>
              <w:t>the data.</w:t>
            </w:r>
            <w:r w:rsidRPr="008340BB">
              <w:rPr>
                <w:sz w:val="16"/>
              </w:rPr>
              <w:t xml:space="preserve"> The </w:t>
            </w:r>
            <w:r w:rsidRPr="008340BB">
              <w:rPr>
                <w:rStyle w:val="hps"/>
                <w:sz w:val="16"/>
              </w:rPr>
              <w:t>framework for</w:t>
            </w:r>
            <w:r w:rsidRPr="008340BB">
              <w:rPr>
                <w:sz w:val="16"/>
              </w:rPr>
              <w:t xml:space="preserve"> </w:t>
            </w:r>
            <w:r w:rsidRPr="008340BB">
              <w:rPr>
                <w:rStyle w:val="hps"/>
                <w:sz w:val="16"/>
              </w:rPr>
              <w:t>statistical validation</w:t>
            </w:r>
            <w:r w:rsidRPr="008340BB">
              <w:rPr>
                <w:sz w:val="16"/>
              </w:rPr>
              <w:t xml:space="preserve"> </w:t>
            </w:r>
            <w:r w:rsidRPr="008340BB">
              <w:rPr>
                <w:rStyle w:val="hps"/>
                <w:sz w:val="16"/>
              </w:rPr>
              <w:t>will be developed</w:t>
            </w:r>
            <w:r w:rsidRPr="008340BB">
              <w:rPr>
                <w:sz w:val="16"/>
              </w:rPr>
              <w:t xml:space="preserve"> </w:t>
            </w:r>
            <w:r w:rsidRPr="008340BB">
              <w:rPr>
                <w:rStyle w:val="hps"/>
                <w:sz w:val="16"/>
              </w:rPr>
              <w:t>in accordance with the</w:t>
            </w:r>
            <w:r w:rsidRPr="008340BB">
              <w:rPr>
                <w:sz w:val="16"/>
              </w:rPr>
              <w:t xml:space="preserve"> </w:t>
            </w:r>
            <w:r w:rsidRPr="008340BB">
              <w:rPr>
                <w:rStyle w:val="hps"/>
                <w:sz w:val="16"/>
              </w:rPr>
              <w:t>European Code of Practice</w:t>
            </w:r>
            <w:r w:rsidRPr="008340BB">
              <w:rPr>
                <w:sz w:val="16"/>
              </w:rPr>
              <w:t xml:space="preserve"> </w:t>
            </w:r>
            <w:r w:rsidRPr="008340BB">
              <w:rPr>
                <w:rStyle w:val="hps"/>
                <w:sz w:val="16"/>
              </w:rPr>
              <w:t>and</w:t>
            </w:r>
            <w:r w:rsidRPr="008340BB">
              <w:rPr>
                <w:sz w:val="16"/>
              </w:rPr>
              <w:t xml:space="preserve"> </w:t>
            </w:r>
            <w:r w:rsidRPr="008340BB">
              <w:rPr>
                <w:rStyle w:val="hps"/>
                <w:sz w:val="16"/>
              </w:rPr>
              <w:t>methodological requirements</w:t>
            </w:r>
            <w:r w:rsidRPr="008340BB">
              <w:rPr>
                <w:sz w:val="16"/>
              </w:rPr>
              <w:t xml:space="preserve"> </w:t>
            </w:r>
            <w:r w:rsidRPr="008340BB">
              <w:rPr>
                <w:rStyle w:val="hps"/>
                <w:sz w:val="16"/>
              </w:rPr>
              <w:t>of the statistical</w:t>
            </w:r>
            <w:r w:rsidRPr="008340BB">
              <w:rPr>
                <w:sz w:val="16"/>
              </w:rPr>
              <w:t xml:space="preserve"> </w:t>
            </w:r>
            <w:r w:rsidRPr="008340BB">
              <w:rPr>
                <w:rStyle w:val="hps"/>
                <w:sz w:val="16"/>
              </w:rPr>
              <w:t>regulations</w:t>
            </w:r>
            <w:r w:rsidRPr="008340BB">
              <w:rPr>
                <w:sz w:val="16"/>
              </w:rPr>
              <w:t xml:space="preserve"> </w:t>
            </w:r>
            <w:r w:rsidRPr="008340BB">
              <w:rPr>
                <w:rStyle w:val="hps"/>
                <w:sz w:val="16"/>
              </w:rPr>
              <w:t>of the European Commission</w:t>
            </w:r>
            <w:r w:rsidRPr="008340BB">
              <w:rPr>
                <w:sz w:val="16"/>
              </w:rPr>
              <w:t xml:space="preserve"> </w:t>
            </w:r>
            <w:r w:rsidRPr="008340BB">
              <w:rPr>
                <w:rStyle w:val="hps"/>
                <w:sz w:val="16"/>
              </w:rPr>
              <w:t>and the Parliament.</w:t>
            </w:r>
          </w:p>
          <w:p w14:paraId="2426001B" w14:textId="77777777" w:rsidR="00F1341F" w:rsidRPr="008340BB" w:rsidRDefault="00F1341F" w:rsidP="0043765A">
            <w:pPr>
              <w:snapToGrid w:val="0"/>
              <w:spacing w:before="0" w:after="0"/>
              <w:jc w:val="left"/>
              <w:rPr>
                <w:sz w:val="16"/>
              </w:rPr>
            </w:pPr>
          </w:p>
          <w:p w14:paraId="60DEDC5B" w14:textId="77777777" w:rsidR="00F1341F" w:rsidRPr="008340BB" w:rsidRDefault="00F1341F" w:rsidP="0043765A">
            <w:pPr>
              <w:snapToGrid w:val="0"/>
              <w:spacing w:before="0" w:after="0"/>
              <w:jc w:val="left"/>
              <w:rPr>
                <w:sz w:val="16"/>
              </w:rPr>
            </w:pPr>
            <w:r w:rsidRPr="008340BB">
              <w:rPr>
                <w:rStyle w:val="hps"/>
                <w:sz w:val="16"/>
              </w:rPr>
              <w:t>Action 2</w:t>
            </w:r>
            <w:r w:rsidRPr="008340BB">
              <w:rPr>
                <w:sz w:val="16"/>
              </w:rPr>
              <w:t xml:space="preserve"> </w:t>
            </w:r>
          </w:p>
          <w:p w14:paraId="1F211FC5" w14:textId="4ACE4019" w:rsidR="00F1341F" w:rsidRPr="008340BB" w:rsidRDefault="00F1341F" w:rsidP="0043765A">
            <w:pPr>
              <w:snapToGrid w:val="0"/>
              <w:spacing w:before="0" w:after="0"/>
              <w:jc w:val="left"/>
              <w:rPr>
                <w:sz w:val="16"/>
                <w:szCs w:val="16"/>
              </w:rPr>
            </w:pPr>
            <w:r w:rsidRPr="008340BB">
              <w:rPr>
                <w:rStyle w:val="hps"/>
                <w:sz w:val="16"/>
              </w:rPr>
              <w:t>Inspection on</w:t>
            </w:r>
            <w:r w:rsidRPr="008340BB">
              <w:rPr>
                <w:sz w:val="16"/>
              </w:rPr>
              <w:t xml:space="preserve"> </w:t>
            </w:r>
            <w:r w:rsidRPr="008340BB">
              <w:rPr>
                <w:rStyle w:val="hps"/>
                <w:sz w:val="16"/>
              </w:rPr>
              <w:t>meeting the requirements</w:t>
            </w:r>
            <w:r w:rsidRPr="008340BB">
              <w:rPr>
                <w:sz w:val="16"/>
              </w:rPr>
              <w:t xml:space="preserve"> </w:t>
            </w:r>
            <w:r w:rsidRPr="008340BB">
              <w:rPr>
                <w:rStyle w:val="hps"/>
                <w:sz w:val="16"/>
              </w:rPr>
              <w:t>for each indicator</w:t>
            </w:r>
            <w:r w:rsidRPr="008340BB">
              <w:rPr>
                <w:sz w:val="16"/>
              </w:rPr>
              <w:t xml:space="preserve"> </w:t>
            </w:r>
            <w:r w:rsidRPr="008340BB">
              <w:rPr>
                <w:rStyle w:val="hps"/>
                <w:sz w:val="16"/>
              </w:rPr>
              <w:t>in terms of</w:t>
            </w:r>
            <w:r w:rsidRPr="008340BB">
              <w:rPr>
                <w:sz w:val="16"/>
              </w:rPr>
              <w:t xml:space="preserve"> </w:t>
            </w:r>
            <w:r w:rsidRPr="008340BB">
              <w:rPr>
                <w:rStyle w:val="hps"/>
                <w:sz w:val="16"/>
              </w:rPr>
              <w:t>its stability</w:t>
            </w:r>
            <w:r w:rsidRPr="008340BB">
              <w:rPr>
                <w:sz w:val="16"/>
              </w:rPr>
              <w:t xml:space="preserve">, clarity </w:t>
            </w:r>
            <w:r w:rsidRPr="008340BB">
              <w:rPr>
                <w:rStyle w:val="hps"/>
                <w:sz w:val="16"/>
              </w:rPr>
              <w:t>of</w:t>
            </w:r>
            <w:r w:rsidRPr="008340BB">
              <w:rPr>
                <w:sz w:val="16"/>
              </w:rPr>
              <w:t xml:space="preserve"> </w:t>
            </w:r>
            <w:r w:rsidRPr="008340BB">
              <w:rPr>
                <w:rStyle w:val="hps"/>
                <w:sz w:val="16"/>
              </w:rPr>
              <w:t>interpretation</w:t>
            </w:r>
            <w:r w:rsidRPr="008340BB">
              <w:rPr>
                <w:sz w:val="16"/>
              </w:rPr>
              <w:t xml:space="preserve">, timeliness </w:t>
            </w:r>
            <w:r w:rsidRPr="008340BB">
              <w:rPr>
                <w:rStyle w:val="hps"/>
                <w:sz w:val="16"/>
              </w:rPr>
              <w:t>of data collection</w:t>
            </w:r>
            <w:r w:rsidRPr="008340BB">
              <w:rPr>
                <w:sz w:val="16"/>
              </w:rPr>
              <w:t xml:space="preserve"> </w:t>
            </w:r>
            <w:r w:rsidRPr="008340BB">
              <w:rPr>
                <w:rStyle w:val="hps"/>
                <w:sz w:val="16"/>
              </w:rPr>
              <w:t>and responsiveness to</w:t>
            </w:r>
            <w:r w:rsidRPr="008340BB">
              <w:rPr>
                <w:sz w:val="16"/>
              </w:rPr>
              <w:t xml:space="preserve"> the </w:t>
            </w:r>
            <w:r w:rsidRPr="008340BB">
              <w:rPr>
                <w:rStyle w:val="hps"/>
                <w:sz w:val="16"/>
              </w:rPr>
              <w:t>policy</w:t>
            </w:r>
            <w:r w:rsidRPr="008340BB">
              <w:rPr>
                <w:sz w:val="16"/>
              </w:rPr>
              <w:t>.</w:t>
            </w:r>
          </w:p>
        </w:tc>
        <w:tc>
          <w:tcPr>
            <w:tcW w:w="1269" w:type="pct"/>
          </w:tcPr>
          <w:p w14:paraId="54CC8EB3" w14:textId="77777777" w:rsidR="00F1341F" w:rsidRPr="008340BB" w:rsidRDefault="00F1341F" w:rsidP="00525EA2">
            <w:pPr>
              <w:snapToGrid w:val="0"/>
              <w:spacing w:before="0" w:after="0"/>
              <w:rPr>
                <w:sz w:val="16"/>
                <w:szCs w:val="16"/>
              </w:rPr>
            </w:pPr>
            <w:r w:rsidRPr="008340BB">
              <w:rPr>
                <w:sz w:val="16"/>
                <w:szCs w:val="16"/>
              </w:rPr>
              <w:t>In two-month period after the adoption of OPTTI</w:t>
            </w:r>
          </w:p>
          <w:p w14:paraId="468B4377" w14:textId="77777777" w:rsidR="00F1341F" w:rsidRPr="008340BB" w:rsidRDefault="00F1341F" w:rsidP="00525EA2">
            <w:pPr>
              <w:snapToGrid w:val="0"/>
              <w:spacing w:before="0" w:after="0"/>
              <w:rPr>
                <w:sz w:val="16"/>
                <w:szCs w:val="16"/>
              </w:rPr>
            </w:pPr>
          </w:p>
          <w:p w14:paraId="67A80F49" w14:textId="77777777" w:rsidR="00F1341F" w:rsidRPr="008340BB" w:rsidRDefault="00F1341F" w:rsidP="00525EA2">
            <w:pPr>
              <w:snapToGrid w:val="0"/>
              <w:spacing w:before="0" w:after="0"/>
              <w:rPr>
                <w:sz w:val="16"/>
                <w:szCs w:val="16"/>
              </w:rPr>
            </w:pPr>
          </w:p>
          <w:p w14:paraId="355F424E" w14:textId="77777777" w:rsidR="00F1341F" w:rsidRPr="008340BB" w:rsidRDefault="00F1341F" w:rsidP="00525EA2">
            <w:pPr>
              <w:snapToGrid w:val="0"/>
              <w:spacing w:before="0" w:after="0"/>
              <w:rPr>
                <w:sz w:val="16"/>
                <w:szCs w:val="16"/>
              </w:rPr>
            </w:pPr>
          </w:p>
          <w:p w14:paraId="227F7B8F" w14:textId="77777777" w:rsidR="00F1341F" w:rsidRPr="008340BB" w:rsidRDefault="00F1341F" w:rsidP="00525EA2">
            <w:pPr>
              <w:snapToGrid w:val="0"/>
              <w:spacing w:before="0" w:after="0"/>
              <w:rPr>
                <w:sz w:val="16"/>
                <w:szCs w:val="16"/>
              </w:rPr>
            </w:pPr>
          </w:p>
          <w:p w14:paraId="0FB3F2E5" w14:textId="77777777" w:rsidR="00F1341F" w:rsidRPr="008340BB" w:rsidRDefault="00F1341F" w:rsidP="00525EA2">
            <w:pPr>
              <w:snapToGrid w:val="0"/>
              <w:spacing w:before="0" w:after="0"/>
              <w:rPr>
                <w:sz w:val="16"/>
                <w:szCs w:val="16"/>
              </w:rPr>
            </w:pPr>
          </w:p>
          <w:p w14:paraId="0579FBC9" w14:textId="77777777" w:rsidR="00F1341F" w:rsidRPr="008340BB" w:rsidRDefault="00F1341F" w:rsidP="00525EA2">
            <w:pPr>
              <w:snapToGrid w:val="0"/>
              <w:spacing w:before="0" w:after="0"/>
              <w:rPr>
                <w:sz w:val="16"/>
                <w:szCs w:val="16"/>
              </w:rPr>
            </w:pPr>
          </w:p>
          <w:p w14:paraId="33BCF129" w14:textId="77777777" w:rsidR="00F1341F" w:rsidRPr="008340BB" w:rsidRDefault="00F1341F" w:rsidP="00525EA2">
            <w:pPr>
              <w:snapToGrid w:val="0"/>
              <w:spacing w:before="0" w:after="0"/>
              <w:rPr>
                <w:sz w:val="16"/>
                <w:szCs w:val="16"/>
              </w:rPr>
            </w:pPr>
          </w:p>
          <w:p w14:paraId="727C9300" w14:textId="77777777" w:rsidR="00F1341F" w:rsidRPr="008340BB" w:rsidRDefault="00F1341F" w:rsidP="00525EA2">
            <w:pPr>
              <w:snapToGrid w:val="0"/>
              <w:spacing w:before="0" w:after="0"/>
              <w:rPr>
                <w:sz w:val="16"/>
                <w:szCs w:val="16"/>
              </w:rPr>
            </w:pPr>
          </w:p>
          <w:p w14:paraId="3020506D" w14:textId="77777777" w:rsidR="00F1341F" w:rsidRPr="008340BB" w:rsidRDefault="00F1341F" w:rsidP="00525EA2">
            <w:pPr>
              <w:snapToGrid w:val="0"/>
              <w:spacing w:before="0" w:after="0"/>
              <w:rPr>
                <w:sz w:val="16"/>
                <w:szCs w:val="16"/>
              </w:rPr>
            </w:pPr>
          </w:p>
          <w:p w14:paraId="62BA2EF3" w14:textId="77777777" w:rsidR="00F1341F" w:rsidRPr="008340BB" w:rsidRDefault="00F1341F" w:rsidP="00525EA2">
            <w:pPr>
              <w:snapToGrid w:val="0"/>
              <w:spacing w:before="0" w:after="0"/>
              <w:rPr>
                <w:sz w:val="16"/>
                <w:szCs w:val="16"/>
              </w:rPr>
            </w:pPr>
          </w:p>
          <w:p w14:paraId="1BA819D0" w14:textId="77777777" w:rsidR="00F1341F" w:rsidRPr="008340BB" w:rsidRDefault="00F1341F" w:rsidP="00525EA2">
            <w:pPr>
              <w:snapToGrid w:val="0"/>
              <w:spacing w:before="0" w:after="0"/>
              <w:rPr>
                <w:sz w:val="16"/>
                <w:szCs w:val="16"/>
              </w:rPr>
            </w:pPr>
          </w:p>
          <w:p w14:paraId="1AF30BDE" w14:textId="77777777" w:rsidR="00F1341F" w:rsidRPr="008340BB" w:rsidRDefault="00F1341F" w:rsidP="00525EA2">
            <w:pPr>
              <w:snapToGrid w:val="0"/>
              <w:spacing w:before="0" w:after="0"/>
              <w:rPr>
                <w:sz w:val="16"/>
                <w:szCs w:val="16"/>
              </w:rPr>
            </w:pPr>
          </w:p>
          <w:p w14:paraId="791B0C2D" w14:textId="77777777" w:rsidR="00F1341F" w:rsidRPr="008340BB" w:rsidRDefault="00F1341F" w:rsidP="00525EA2">
            <w:pPr>
              <w:snapToGrid w:val="0"/>
              <w:spacing w:before="0" w:after="0"/>
              <w:rPr>
                <w:sz w:val="16"/>
                <w:szCs w:val="16"/>
              </w:rPr>
            </w:pPr>
          </w:p>
          <w:p w14:paraId="1DAF13F5" w14:textId="77777777" w:rsidR="00F1341F" w:rsidRPr="008340BB" w:rsidRDefault="00F1341F" w:rsidP="00525EA2">
            <w:pPr>
              <w:snapToGrid w:val="0"/>
              <w:spacing w:before="0" w:after="0"/>
              <w:rPr>
                <w:sz w:val="16"/>
                <w:szCs w:val="16"/>
              </w:rPr>
            </w:pPr>
          </w:p>
          <w:p w14:paraId="609D7059" w14:textId="77777777" w:rsidR="00F1341F" w:rsidRPr="008340BB" w:rsidRDefault="00F1341F" w:rsidP="00525EA2">
            <w:pPr>
              <w:snapToGrid w:val="0"/>
              <w:spacing w:before="0" w:after="0"/>
              <w:rPr>
                <w:sz w:val="16"/>
                <w:szCs w:val="16"/>
              </w:rPr>
            </w:pPr>
          </w:p>
          <w:p w14:paraId="12EBF814" w14:textId="77777777" w:rsidR="00F1341F" w:rsidRPr="008340BB" w:rsidRDefault="00F1341F" w:rsidP="00525EA2">
            <w:pPr>
              <w:snapToGrid w:val="0"/>
              <w:spacing w:before="0" w:after="0"/>
              <w:rPr>
                <w:sz w:val="16"/>
                <w:szCs w:val="16"/>
              </w:rPr>
            </w:pPr>
          </w:p>
          <w:p w14:paraId="0198C068" w14:textId="77777777" w:rsidR="00F1341F" w:rsidRPr="008340BB" w:rsidRDefault="00F1341F" w:rsidP="00525EA2">
            <w:pPr>
              <w:snapToGrid w:val="0"/>
              <w:spacing w:before="0" w:after="0"/>
              <w:rPr>
                <w:sz w:val="16"/>
                <w:szCs w:val="16"/>
              </w:rPr>
            </w:pPr>
          </w:p>
          <w:p w14:paraId="5C19FE8A" w14:textId="77777777" w:rsidR="00F1341F" w:rsidRPr="008340BB" w:rsidRDefault="00F1341F" w:rsidP="00525EA2">
            <w:pPr>
              <w:snapToGrid w:val="0"/>
              <w:spacing w:before="0" w:after="0"/>
              <w:rPr>
                <w:sz w:val="16"/>
                <w:szCs w:val="16"/>
              </w:rPr>
            </w:pPr>
          </w:p>
          <w:p w14:paraId="6C46ED24" w14:textId="77777777" w:rsidR="00F1341F" w:rsidRPr="008340BB" w:rsidRDefault="00F1341F" w:rsidP="00525EA2">
            <w:pPr>
              <w:snapToGrid w:val="0"/>
              <w:spacing w:before="0" w:after="0"/>
              <w:rPr>
                <w:sz w:val="16"/>
                <w:szCs w:val="16"/>
              </w:rPr>
            </w:pPr>
          </w:p>
          <w:p w14:paraId="780470CA" w14:textId="77777777" w:rsidR="00F1341F" w:rsidRPr="008340BB" w:rsidRDefault="00F1341F" w:rsidP="00525EA2">
            <w:pPr>
              <w:snapToGrid w:val="0"/>
              <w:spacing w:before="0" w:after="0"/>
              <w:rPr>
                <w:sz w:val="16"/>
                <w:szCs w:val="16"/>
              </w:rPr>
            </w:pPr>
          </w:p>
          <w:p w14:paraId="5D67F92E" w14:textId="77777777" w:rsidR="00F1341F" w:rsidRPr="008340BB" w:rsidRDefault="00F1341F" w:rsidP="00525EA2">
            <w:pPr>
              <w:snapToGrid w:val="0"/>
              <w:spacing w:before="0" w:after="0"/>
              <w:rPr>
                <w:sz w:val="16"/>
                <w:szCs w:val="16"/>
              </w:rPr>
            </w:pPr>
          </w:p>
          <w:p w14:paraId="78CF4707" w14:textId="77777777" w:rsidR="00F1341F" w:rsidRPr="008340BB" w:rsidRDefault="00F1341F" w:rsidP="00525EA2">
            <w:pPr>
              <w:snapToGrid w:val="0"/>
              <w:spacing w:before="0" w:after="0"/>
              <w:rPr>
                <w:sz w:val="16"/>
                <w:szCs w:val="16"/>
              </w:rPr>
            </w:pPr>
          </w:p>
          <w:p w14:paraId="42E4D845" w14:textId="77777777" w:rsidR="00F1341F" w:rsidRPr="008340BB" w:rsidRDefault="00F1341F" w:rsidP="00525EA2">
            <w:pPr>
              <w:snapToGrid w:val="0"/>
              <w:spacing w:before="0" w:after="0"/>
              <w:rPr>
                <w:sz w:val="16"/>
                <w:szCs w:val="16"/>
              </w:rPr>
            </w:pPr>
          </w:p>
          <w:p w14:paraId="6049AB4D" w14:textId="77777777" w:rsidR="00F1341F" w:rsidRPr="008340BB" w:rsidRDefault="00F1341F" w:rsidP="00525EA2">
            <w:pPr>
              <w:snapToGrid w:val="0"/>
              <w:spacing w:before="0" w:after="0"/>
              <w:rPr>
                <w:sz w:val="16"/>
                <w:szCs w:val="16"/>
              </w:rPr>
            </w:pPr>
          </w:p>
          <w:p w14:paraId="053D99D2" w14:textId="77777777" w:rsidR="00F1341F" w:rsidRPr="008340BB" w:rsidRDefault="00F1341F" w:rsidP="00525EA2">
            <w:pPr>
              <w:snapToGrid w:val="0"/>
              <w:spacing w:before="0" w:after="0"/>
              <w:rPr>
                <w:sz w:val="16"/>
                <w:szCs w:val="16"/>
              </w:rPr>
            </w:pPr>
          </w:p>
          <w:p w14:paraId="2742AF88" w14:textId="77777777" w:rsidR="00F1341F" w:rsidRPr="008340BB" w:rsidRDefault="00F1341F" w:rsidP="00525EA2">
            <w:pPr>
              <w:snapToGrid w:val="0"/>
              <w:spacing w:before="0" w:after="0"/>
              <w:rPr>
                <w:sz w:val="16"/>
                <w:szCs w:val="16"/>
              </w:rPr>
            </w:pPr>
          </w:p>
          <w:p w14:paraId="4454CE9F" w14:textId="77777777" w:rsidR="00F1341F" w:rsidRPr="008340BB" w:rsidRDefault="00F1341F" w:rsidP="00525EA2">
            <w:pPr>
              <w:snapToGrid w:val="0"/>
              <w:spacing w:before="0" w:after="0"/>
              <w:rPr>
                <w:sz w:val="16"/>
                <w:szCs w:val="16"/>
              </w:rPr>
            </w:pPr>
          </w:p>
          <w:p w14:paraId="048777EA" w14:textId="77777777" w:rsidR="00F1341F" w:rsidRPr="008340BB" w:rsidRDefault="00F1341F" w:rsidP="00525EA2">
            <w:pPr>
              <w:snapToGrid w:val="0"/>
              <w:spacing w:before="0" w:after="0"/>
              <w:rPr>
                <w:sz w:val="16"/>
                <w:szCs w:val="16"/>
              </w:rPr>
            </w:pPr>
          </w:p>
          <w:p w14:paraId="5C1010CA" w14:textId="77777777" w:rsidR="00F1341F" w:rsidRPr="008340BB" w:rsidRDefault="00F1341F" w:rsidP="00525EA2">
            <w:pPr>
              <w:snapToGrid w:val="0"/>
              <w:spacing w:before="0" w:after="0"/>
              <w:rPr>
                <w:sz w:val="16"/>
                <w:szCs w:val="16"/>
              </w:rPr>
            </w:pPr>
          </w:p>
          <w:p w14:paraId="6F610BD8" w14:textId="77777777" w:rsidR="00F1341F" w:rsidRPr="008340BB" w:rsidRDefault="00F1341F" w:rsidP="00525EA2">
            <w:pPr>
              <w:snapToGrid w:val="0"/>
              <w:spacing w:before="0" w:after="0"/>
              <w:rPr>
                <w:sz w:val="16"/>
                <w:szCs w:val="16"/>
              </w:rPr>
            </w:pPr>
          </w:p>
          <w:p w14:paraId="79103DF9" w14:textId="77777777" w:rsidR="00F1341F" w:rsidRPr="008340BB" w:rsidRDefault="00F1341F" w:rsidP="00525EA2">
            <w:pPr>
              <w:snapToGrid w:val="0"/>
              <w:spacing w:before="0" w:after="0"/>
              <w:rPr>
                <w:sz w:val="16"/>
                <w:szCs w:val="16"/>
              </w:rPr>
            </w:pPr>
          </w:p>
          <w:p w14:paraId="7F2677DC" w14:textId="77777777" w:rsidR="00F1341F" w:rsidRPr="008340BB" w:rsidRDefault="00F1341F" w:rsidP="00525EA2">
            <w:pPr>
              <w:snapToGrid w:val="0"/>
              <w:spacing w:before="0" w:after="0"/>
              <w:rPr>
                <w:sz w:val="16"/>
                <w:szCs w:val="16"/>
              </w:rPr>
            </w:pPr>
          </w:p>
          <w:p w14:paraId="01D11D40" w14:textId="77777777" w:rsidR="00F1341F" w:rsidRPr="008340BB" w:rsidRDefault="00F1341F" w:rsidP="00525EA2">
            <w:pPr>
              <w:snapToGrid w:val="0"/>
              <w:spacing w:before="0" w:after="0"/>
              <w:rPr>
                <w:sz w:val="16"/>
                <w:szCs w:val="16"/>
              </w:rPr>
            </w:pPr>
          </w:p>
          <w:p w14:paraId="4E5BCA22" w14:textId="77777777" w:rsidR="00F1341F" w:rsidRPr="008340BB" w:rsidRDefault="00F1341F" w:rsidP="00525EA2">
            <w:pPr>
              <w:snapToGrid w:val="0"/>
              <w:spacing w:before="0" w:after="0"/>
              <w:rPr>
                <w:sz w:val="16"/>
                <w:szCs w:val="16"/>
              </w:rPr>
            </w:pPr>
          </w:p>
          <w:p w14:paraId="326668CD" w14:textId="77777777" w:rsidR="00F1341F" w:rsidRPr="008340BB" w:rsidRDefault="00F1341F" w:rsidP="00525EA2">
            <w:pPr>
              <w:snapToGrid w:val="0"/>
              <w:spacing w:before="0" w:after="0"/>
              <w:rPr>
                <w:sz w:val="16"/>
                <w:szCs w:val="16"/>
              </w:rPr>
            </w:pPr>
          </w:p>
          <w:p w14:paraId="1DCF40EA" w14:textId="77777777" w:rsidR="00F1341F" w:rsidRPr="008340BB" w:rsidRDefault="00F1341F" w:rsidP="00525EA2">
            <w:pPr>
              <w:snapToGrid w:val="0"/>
              <w:spacing w:before="0" w:after="0"/>
              <w:rPr>
                <w:sz w:val="16"/>
                <w:szCs w:val="16"/>
              </w:rPr>
            </w:pPr>
          </w:p>
          <w:p w14:paraId="32FA0C94" w14:textId="77777777" w:rsidR="00F1341F" w:rsidRPr="008340BB" w:rsidRDefault="00F1341F" w:rsidP="00525EA2">
            <w:pPr>
              <w:snapToGrid w:val="0"/>
              <w:spacing w:before="0" w:after="0"/>
              <w:rPr>
                <w:sz w:val="16"/>
                <w:szCs w:val="16"/>
              </w:rPr>
            </w:pPr>
          </w:p>
          <w:p w14:paraId="3DC14CC1" w14:textId="77777777" w:rsidR="00F1341F" w:rsidRPr="008340BB" w:rsidRDefault="00F1341F" w:rsidP="00525EA2">
            <w:pPr>
              <w:snapToGrid w:val="0"/>
              <w:spacing w:before="0" w:after="0"/>
              <w:rPr>
                <w:sz w:val="16"/>
                <w:szCs w:val="16"/>
              </w:rPr>
            </w:pPr>
          </w:p>
          <w:p w14:paraId="3BAA4A6D" w14:textId="77777777" w:rsidR="00F1341F" w:rsidRPr="00652638" w:rsidRDefault="007377A8" w:rsidP="007377A8">
            <w:pPr>
              <w:snapToGrid w:val="0"/>
              <w:spacing w:before="0" w:after="0"/>
              <w:rPr>
                <w:sz w:val="16"/>
                <w:szCs w:val="16"/>
              </w:rPr>
            </w:pPr>
            <w:r>
              <w:rPr>
                <w:sz w:val="16"/>
                <w:szCs w:val="16"/>
              </w:rPr>
              <w:t xml:space="preserve">30 September </w:t>
            </w:r>
            <w:r w:rsidR="00F1341F" w:rsidRPr="00652638">
              <w:rPr>
                <w:sz w:val="16"/>
                <w:szCs w:val="16"/>
              </w:rPr>
              <w:t>2014</w:t>
            </w:r>
          </w:p>
        </w:tc>
        <w:tc>
          <w:tcPr>
            <w:tcW w:w="1087" w:type="pct"/>
          </w:tcPr>
          <w:p w14:paraId="0EF607ED" w14:textId="77777777" w:rsidR="00F1341F" w:rsidRPr="00435AC3" w:rsidRDefault="00F1341F" w:rsidP="00525EA2">
            <w:pPr>
              <w:snapToGrid w:val="0"/>
              <w:spacing w:before="0" w:after="0"/>
              <w:rPr>
                <w:sz w:val="16"/>
                <w:szCs w:val="16"/>
                <w:lang w:val="it-IT"/>
              </w:rPr>
            </w:pPr>
            <w:r w:rsidRPr="00435AC3">
              <w:rPr>
                <w:sz w:val="16"/>
                <w:szCs w:val="16"/>
                <w:lang w:val="it-IT"/>
              </w:rPr>
              <w:t>NSI, MA of OPTTI</w:t>
            </w:r>
          </w:p>
          <w:p w14:paraId="0F9AB7C9" w14:textId="77777777" w:rsidR="00F1341F" w:rsidRPr="00435AC3" w:rsidRDefault="00F1341F" w:rsidP="00525EA2">
            <w:pPr>
              <w:snapToGrid w:val="0"/>
              <w:spacing w:before="0" w:after="0"/>
              <w:rPr>
                <w:sz w:val="16"/>
                <w:szCs w:val="16"/>
                <w:lang w:val="it-IT"/>
              </w:rPr>
            </w:pPr>
          </w:p>
          <w:p w14:paraId="3D8965B3" w14:textId="77777777" w:rsidR="00F1341F" w:rsidRPr="00435AC3" w:rsidRDefault="00F1341F" w:rsidP="00525EA2">
            <w:pPr>
              <w:snapToGrid w:val="0"/>
              <w:spacing w:before="0" w:after="0"/>
              <w:rPr>
                <w:sz w:val="16"/>
                <w:szCs w:val="16"/>
                <w:lang w:val="it-IT"/>
              </w:rPr>
            </w:pPr>
          </w:p>
          <w:p w14:paraId="5B0F4909" w14:textId="77777777" w:rsidR="00F1341F" w:rsidRPr="00435AC3" w:rsidRDefault="00F1341F" w:rsidP="00525EA2">
            <w:pPr>
              <w:snapToGrid w:val="0"/>
              <w:spacing w:before="0" w:after="0"/>
              <w:rPr>
                <w:sz w:val="16"/>
                <w:szCs w:val="16"/>
                <w:lang w:val="it-IT"/>
              </w:rPr>
            </w:pPr>
          </w:p>
          <w:p w14:paraId="7471C345" w14:textId="77777777" w:rsidR="00F1341F" w:rsidRPr="00435AC3" w:rsidRDefault="00F1341F" w:rsidP="00525EA2">
            <w:pPr>
              <w:snapToGrid w:val="0"/>
              <w:spacing w:before="0" w:after="0"/>
              <w:rPr>
                <w:sz w:val="16"/>
                <w:szCs w:val="16"/>
                <w:lang w:val="it-IT"/>
              </w:rPr>
            </w:pPr>
          </w:p>
          <w:p w14:paraId="4B5D2893" w14:textId="77777777" w:rsidR="00F1341F" w:rsidRPr="00435AC3" w:rsidRDefault="00F1341F" w:rsidP="00525EA2">
            <w:pPr>
              <w:snapToGrid w:val="0"/>
              <w:spacing w:before="0" w:after="0"/>
              <w:rPr>
                <w:sz w:val="16"/>
                <w:szCs w:val="16"/>
                <w:lang w:val="it-IT"/>
              </w:rPr>
            </w:pPr>
          </w:p>
          <w:p w14:paraId="4FEA68A4" w14:textId="77777777" w:rsidR="00F1341F" w:rsidRPr="00435AC3" w:rsidRDefault="00F1341F" w:rsidP="00525EA2">
            <w:pPr>
              <w:snapToGrid w:val="0"/>
              <w:spacing w:before="0" w:after="0"/>
              <w:rPr>
                <w:sz w:val="16"/>
                <w:szCs w:val="16"/>
                <w:lang w:val="it-IT"/>
              </w:rPr>
            </w:pPr>
          </w:p>
          <w:p w14:paraId="6EBD423A" w14:textId="77777777" w:rsidR="00F1341F" w:rsidRPr="00435AC3" w:rsidRDefault="00F1341F" w:rsidP="00525EA2">
            <w:pPr>
              <w:snapToGrid w:val="0"/>
              <w:spacing w:before="0" w:after="0"/>
              <w:rPr>
                <w:sz w:val="16"/>
                <w:szCs w:val="16"/>
                <w:lang w:val="it-IT"/>
              </w:rPr>
            </w:pPr>
          </w:p>
          <w:p w14:paraId="6DA2A56D" w14:textId="77777777" w:rsidR="00F1341F" w:rsidRPr="00435AC3" w:rsidRDefault="00F1341F" w:rsidP="00525EA2">
            <w:pPr>
              <w:snapToGrid w:val="0"/>
              <w:spacing w:before="0" w:after="0"/>
              <w:rPr>
                <w:sz w:val="16"/>
                <w:szCs w:val="16"/>
                <w:lang w:val="it-IT"/>
              </w:rPr>
            </w:pPr>
          </w:p>
          <w:p w14:paraId="13B13844" w14:textId="77777777" w:rsidR="00F1341F" w:rsidRPr="00435AC3" w:rsidRDefault="00F1341F" w:rsidP="00525EA2">
            <w:pPr>
              <w:snapToGrid w:val="0"/>
              <w:spacing w:before="0" w:after="0"/>
              <w:rPr>
                <w:sz w:val="16"/>
                <w:szCs w:val="16"/>
                <w:lang w:val="it-IT"/>
              </w:rPr>
            </w:pPr>
          </w:p>
          <w:p w14:paraId="10C85150" w14:textId="77777777" w:rsidR="00F1341F" w:rsidRPr="00435AC3" w:rsidRDefault="00F1341F" w:rsidP="00525EA2">
            <w:pPr>
              <w:snapToGrid w:val="0"/>
              <w:spacing w:before="0" w:after="0"/>
              <w:rPr>
                <w:sz w:val="16"/>
                <w:szCs w:val="16"/>
                <w:lang w:val="it-IT"/>
              </w:rPr>
            </w:pPr>
          </w:p>
          <w:p w14:paraId="6FE41DE9" w14:textId="77777777" w:rsidR="00F1341F" w:rsidRPr="00435AC3" w:rsidRDefault="00F1341F" w:rsidP="00525EA2">
            <w:pPr>
              <w:snapToGrid w:val="0"/>
              <w:spacing w:before="0" w:after="0"/>
              <w:rPr>
                <w:sz w:val="16"/>
                <w:szCs w:val="16"/>
                <w:lang w:val="it-IT"/>
              </w:rPr>
            </w:pPr>
          </w:p>
          <w:p w14:paraId="1D5C6829" w14:textId="77777777" w:rsidR="00F1341F" w:rsidRPr="00435AC3" w:rsidRDefault="00F1341F" w:rsidP="00525EA2">
            <w:pPr>
              <w:snapToGrid w:val="0"/>
              <w:spacing w:before="0" w:after="0"/>
              <w:rPr>
                <w:sz w:val="16"/>
                <w:szCs w:val="16"/>
                <w:lang w:val="it-IT"/>
              </w:rPr>
            </w:pPr>
          </w:p>
          <w:p w14:paraId="7D14B1C0" w14:textId="77777777" w:rsidR="00F1341F" w:rsidRPr="00435AC3" w:rsidRDefault="00F1341F" w:rsidP="00525EA2">
            <w:pPr>
              <w:snapToGrid w:val="0"/>
              <w:spacing w:before="0" w:after="0"/>
              <w:rPr>
                <w:sz w:val="16"/>
                <w:szCs w:val="16"/>
                <w:lang w:val="it-IT"/>
              </w:rPr>
            </w:pPr>
          </w:p>
          <w:p w14:paraId="1DF4102F" w14:textId="77777777" w:rsidR="00F1341F" w:rsidRPr="00435AC3" w:rsidRDefault="00F1341F" w:rsidP="00525EA2">
            <w:pPr>
              <w:snapToGrid w:val="0"/>
              <w:spacing w:before="0" w:after="0"/>
              <w:rPr>
                <w:sz w:val="16"/>
                <w:szCs w:val="16"/>
                <w:lang w:val="it-IT"/>
              </w:rPr>
            </w:pPr>
          </w:p>
          <w:p w14:paraId="371D9140" w14:textId="77777777" w:rsidR="00F1341F" w:rsidRPr="00435AC3" w:rsidRDefault="00F1341F" w:rsidP="00525EA2">
            <w:pPr>
              <w:snapToGrid w:val="0"/>
              <w:spacing w:before="0" w:after="0"/>
              <w:rPr>
                <w:sz w:val="16"/>
                <w:szCs w:val="16"/>
                <w:lang w:val="it-IT"/>
              </w:rPr>
            </w:pPr>
          </w:p>
          <w:p w14:paraId="045A043E" w14:textId="77777777" w:rsidR="00F1341F" w:rsidRPr="00435AC3" w:rsidRDefault="00F1341F" w:rsidP="00525EA2">
            <w:pPr>
              <w:snapToGrid w:val="0"/>
              <w:spacing w:before="0" w:after="0"/>
              <w:rPr>
                <w:sz w:val="16"/>
                <w:szCs w:val="16"/>
                <w:lang w:val="it-IT"/>
              </w:rPr>
            </w:pPr>
          </w:p>
          <w:p w14:paraId="0C6176A6" w14:textId="77777777" w:rsidR="00F1341F" w:rsidRPr="00435AC3" w:rsidRDefault="00F1341F" w:rsidP="00525EA2">
            <w:pPr>
              <w:snapToGrid w:val="0"/>
              <w:spacing w:before="0" w:after="0"/>
              <w:rPr>
                <w:sz w:val="16"/>
                <w:szCs w:val="16"/>
                <w:lang w:val="it-IT"/>
              </w:rPr>
            </w:pPr>
          </w:p>
          <w:p w14:paraId="121173A8" w14:textId="77777777" w:rsidR="00F1341F" w:rsidRPr="00435AC3" w:rsidRDefault="00F1341F" w:rsidP="00525EA2">
            <w:pPr>
              <w:snapToGrid w:val="0"/>
              <w:spacing w:before="0" w:after="0"/>
              <w:rPr>
                <w:sz w:val="16"/>
                <w:szCs w:val="16"/>
                <w:lang w:val="it-IT"/>
              </w:rPr>
            </w:pPr>
          </w:p>
          <w:p w14:paraId="428EB418" w14:textId="77777777" w:rsidR="00F1341F" w:rsidRPr="00435AC3" w:rsidRDefault="00F1341F" w:rsidP="00525EA2">
            <w:pPr>
              <w:snapToGrid w:val="0"/>
              <w:spacing w:before="0" w:after="0"/>
              <w:rPr>
                <w:sz w:val="16"/>
                <w:szCs w:val="16"/>
                <w:lang w:val="it-IT"/>
              </w:rPr>
            </w:pPr>
          </w:p>
          <w:p w14:paraId="779FE22B" w14:textId="77777777" w:rsidR="00F1341F" w:rsidRPr="00435AC3" w:rsidRDefault="00F1341F" w:rsidP="00525EA2">
            <w:pPr>
              <w:snapToGrid w:val="0"/>
              <w:spacing w:before="0" w:after="0"/>
              <w:rPr>
                <w:sz w:val="16"/>
                <w:szCs w:val="16"/>
                <w:lang w:val="it-IT"/>
              </w:rPr>
            </w:pPr>
          </w:p>
          <w:p w14:paraId="4BB48993" w14:textId="77777777" w:rsidR="00F1341F" w:rsidRPr="00435AC3" w:rsidRDefault="00F1341F" w:rsidP="00525EA2">
            <w:pPr>
              <w:snapToGrid w:val="0"/>
              <w:spacing w:before="0" w:after="0"/>
              <w:rPr>
                <w:sz w:val="16"/>
                <w:szCs w:val="16"/>
                <w:lang w:val="it-IT"/>
              </w:rPr>
            </w:pPr>
          </w:p>
          <w:p w14:paraId="680EB347" w14:textId="77777777" w:rsidR="00F1341F" w:rsidRPr="00435AC3" w:rsidRDefault="00F1341F" w:rsidP="00525EA2">
            <w:pPr>
              <w:snapToGrid w:val="0"/>
              <w:spacing w:before="0" w:after="0"/>
              <w:rPr>
                <w:sz w:val="16"/>
                <w:szCs w:val="16"/>
                <w:lang w:val="it-IT"/>
              </w:rPr>
            </w:pPr>
          </w:p>
          <w:p w14:paraId="170093B2" w14:textId="77777777" w:rsidR="00F1341F" w:rsidRPr="00435AC3" w:rsidRDefault="00F1341F" w:rsidP="00525EA2">
            <w:pPr>
              <w:snapToGrid w:val="0"/>
              <w:spacing w:before="0" w:after="0"/>
              <w:rPr>
                <w:sz w:val="16"/>
                <w:szCs w:val="16"/>
                <w:lang w:val="it-IT"/>
              </w:rPr>
            </w:pPr>
          </w:p>
          <w:p w14:paraId="0C2ED288" w14:textId="77777777" w:rsidR="00F1341F" w:rsidRPr="00435AC3" w:rsidRDefault="00F1341F" w:rsidP="00525EA2">
            <w:pPr>
              <w:snapToGrid w:val="0"/>
              <w:spacing w:before="0" w:after="0"/>
              <w:rPr>
                <w:sz w:val="16"/>
                <w:szCs w:val="16"/>
                <w:lang w:val="it-IT"/>
              </w:rPr>
            </w:pPr>
          </w:p>
          <w:p w14:paraId="7B4F6E17" w14:textId="77777777" w:rsidR="00F1341F" w:rsidRPr="00435AC3" w:rsidRDefault="00F1341F" w:rsidP="00525EA2">
            <w:pPr>
              <w:snapToGrid w:val="0"/>
              <w:spacing w:before="0" w:after="0"/>
              <w:rPr>
                <w:sz w:val="16"/>
                <w:szCs w:val="16"/>
                <w:lang w:val="it-IT"/>
              </w:rPr>
            </w:pPr>
          </w:p>
          <w:p w14:paraId="313F5B86" w14:textId="77777777" w:rsidR="00F1341F" w:rsidRPr="00435AC3" w:rsidRDefault="00F1341F" w:rsidP="00525EA2">
            <w:pPr>
              <w:snapToGrid w:val="0"/>
              <w:spacing w:before="0" w:after="0"/>
              <w:rPr>
                <w:sz w:val="16"/>
                <w:szCs w:val="16"/>
                <w:lang w:val="it-IT"/>
              </w:rPr>
            </w:pPr>
          </w:p>
          <w:p w14:paraId="66A6DE32" w14:textId="77777777" w:rsidR="00F1341F" w:rsidRPr="00435AC3" w:rsidRDefault="00F1341F" w:rsidP="00525EA2">
            <w:pPr>
              <w:snapToGrid w:val="0"/>
              <w:spacing w:before="0" w:after="0"/>
              <w:rPr>
                <w:sz w:val="16"/>
                <w:szCs w:val="16"/>
                <w:lang w:val="it-IT"/>
              </w:rPr>
            </w:pPr>
          </w:p>
          <w:p w14:paraId="2AA71F0C" w14:textId="77777777" w:rsidR="00F1341F" w:rsidRPr="00435AC3" w:rsidRDefault="00F1341F" w:rsidP="00525EA2">
            <w:pPr>
              <w:snapToGrid w:val="0"/>
              <w:spacing w:before="0" w:after="0"/>
              <w:rPr>
                <w:sz w:val="16"/>
                <w:szCs w:val="16"/>
                <w:lang w:val="it-IT"/>
              </w:rPr>
            </w:pPr>
          </w:p>
          <w:p w14:paraId="685EE500" w14:textId="77777777" w:rsidR="00F1341F" w:rsidRPr="00435AC3" w:rsidRDefault="00F1341F" w:rsidP="00525EA2">
            <w:pPr>
              <w:snapToGrid w:val="0"/>
              <w:spacing w:before="0" w:after="0"/>
              <w:rPr>
                <w:sz w:val="16"/>
                <w:szCs w:val="16"/>
                <w:lang w:val="it-IT"/>
              </w:rPr>
            </w:pPr>
          </w:p>
          <w:p w14:paraId="1B842272" w14:textId="77777777" w:rsidR="00F1341F" w:rsidRPr="00435AC3" w:rsidRDefault="00F1341F" w:rsidP="00525EA2">
            <w:pPr>
              <w:snapToGrid w:val="0"/>
              <w:spacing w:before="0" w:after="0"/>
              <w:rPr>
                <w:sz w:val="16"/>
                <w:szCs w:val="16"/>
                <w:lang w:val="it-IT"/>
              </w:rPr>
            </w:pPr>
          </w:p>
          <w:p w14:paraId="372A230A" w14:textId="77777777" w:rsidR="00F1341F" w:rsidRPr="00435AC3" w:rsidRDefault="00F1341F" w:rsidP="00525EA2">
            <w:pPr>
              <w:snapToGrid w:val="0"/>
              <w:spacing w:before="0" w:after="0"/>
              <w:rPr>
                <w:sz w:val="16"/>
                <w:szCs w:val="16"/>
                <w:lang w:val="it-IT"/>
              </w:rPr>
            </w:pPr>
          </w:p>
          <w:p w14:paraId="668F163D" w14:textId="77777777" w:rsidR="00F1341F" w:rsidRPr="00435AC3" w:rsidRDefault="00F1341F" w:rsidP="00525EA2">
            <w:pPr>
              <w:snapToGrid w:val="0"/>
              <w:spacing w:before="0" w:after="0"/>
              <w:rPr>
                <w:sz w:val="16"/>
                <w:szCs w:val="16"/>
                <w:lang w:val="it-IT"/>
              </w:rPr>
            </w:pPr>
          </w:p>
          <w:p w14:paraId="1A5519AC" w14:textId="77777777" w:rsidR="00F1341F" w:rsidRPr="00435AC3" w:rsidRDefault="00F1341F" w:rsidP="00525EA2">
            <w:pPr>
              <w:snapToGrid w:val="0"/>
              <w:spacing w:before="0" w:after="0"/>
              <w:rPr>
                <w:sz w:val="16"/>
                <w:szCs w:val="16"/>
                <w:lang w:val="it-IT"/>
              </w:rPr>
            </w:pPr>
          </w:p>
          <w:p w14:paraId="4DC6AA75" w14:textId="77777777" w:rsidR="00F1341F" w:rsidRPr="00435AC3" w:rsidRDefault="00F1341F" w:rsidP="00525EA2">
            <w:pPr>
              <w:snapToGrid w:val="0"/>
              <w:spacing w:before="0" w:after="0"/>
              <w:rPr>
                <w:sz w:val="16"/>
                <w:szCs w:val="16"/>
                <w:lang w:val="it-IT"/>
              </w:rPr>
            </w:pPr>
          </w:p>
          <w:p w14:paraId="59863593" w14:textId="77777777" w:rsidR="00F1341F" w:rsidRPr="00435AC3" w:rsidRDefault="00F1341F" w:rsidP="00525EA2">
            <w:pPr>
              <w:snapToGrid w:val="0"/>
              <w:spacing w:before="0" w:after="0"/>
              <w:rPr>
                <w:sz w:val="16"/>
                <w:szCs w:val="16"/>
                <w:lang w:val="it-IT"/>
              </w:rPr>
            </w:pPr>
          </w:p>
          <w:p w14:paraId="0CC237E6" w14:textId="77777777" w:rsidR="00F1341F" w:rsidRPr="00435AC3" w:rsidRDefault="00F1341F" w:rsidP="00525EA2">
            <w:pPr>
              <w:snapToGrid w:val="0"/>
              <w:spacing w:before="0" w:after="0"/>
              <w:rPr>
                <w:sz w:val="16"/>
                <w:szCs w:val="16"/>
                <w:lang w:val="it-IT"/>
              </w:rPr>
            </w:pPr>
          </w:p>
          <w:p w14:paraId="11E730D3" w14:textId="77777777" w:rsidR="00F1341F" w:rsidRPr="00435AC3" w:rsidRDefault="00F1341F" w:rsidP="00525EA2">
            <w:pPr>
              <w:snapToGrid w:val="0"/>
              <w:spacing w:before="0" w:after="0"/>
              <w:rPr>
                <w:sz w:val="16"/>
                <w:szCs w:val="16"/>
                <w:lang w:val="it-IT"/>
              </w:rPr>
            </w:pPr>
          </w:p>
          <w:p w14:paraId="6D48BFF4" w14:textId="77777777" w:rsidR="00F1341F" w:rsidRPr="00435AC3" w:rsidRDefault="00F1341F" w:rsidP="00525EA2">
            <w:pPr>
              <w:snapToGrid w:val="0"/>
              <w:spacing w:before="0" w:after="0"/>
              <w:rPr>
                <w:sz w:val="16"/>
                <w:szCs w:val="16"/>
                <w:lang w:val="it-IT"/>
              </w:rPr>
            </w:pPr>
          </w:p>
          <w:p w14:paraId="1AF8E16A" w14:textId="77777777" w:rsidR="00F1341F" w:rsidRPr="00435AC3" w:rsidRDefault="00F1341F" w:rsidP="00525EA2">
            <w:pPr>
              <w:snapToGrid w:val="0"/>
              <w:spacing w:before="0" w:after="0"/>
              <w:rPr>
                <w:sz w:val="16"/>
                <w:szCs w:val="16"/>
                <w:lang w:val="it-IT"/>
              </w:rPr>
            </w:pPr>
          </w:p>
          <w:p w14:paraId="58EC5707" w14:textId="77777777" w:rsidR="00F1341F" w:rsidRPr="00435AC3" w:rsidRDefault="00F1341F" w:rsidP="00525EA2">
            <w:pPr>
              <w:snapToGrid w:val="0"/>
              <w:spacing w:before="0" w:after="0"/>
              <w:rPr>
                <w:sz w:val="16"/>
                <w:szCs w:val="16"/>
                <w:lang w:val="it-IT"/>
              </w:rPr>
            </w:pPr>
            <w:r w:rsidRPr="00435AC3">
              <w:rPr>
                <w:sz w:val="16"/>
                <w:szCs w:val="16"/>
                <w:lang w:val="it-IT"/>
              </w:rPr>
              <w:t>NSI, MA of OPTTI</w:t>
            </w:r>
          </w:p>
        </w:tc>
      </w:tr>
      <w:tr w:rsidR="00F1341F" w:rsidRPr="008340BB" w14:paraId="275FD660" w14:textId="77777777" w:rsidTr="00F03C1E">
        <w:trPr>
          <w:trHeight w:val="258"/>
        </w:trPr>
        <w:tc>
          <w:tcPr>
            <w:tcW w:w="1104" w:type="pct"/>
          </w:tcPr>
          <w:p w14:paraId="398416D4" w14:textId="77777777" w:rsidR="00F1341F" w:rsidRPr="00435AC3" w:rsidRDefault="00F1341F" w:rsidP="00525EA2">
            <w:pPr>
              <w:widowControl w:val="0"/>
              <w:spacing w:before="0" w:after="0"/>
              <w:jc w:val="left"/>
              <w:rPr>
                <w:color w:val="000000"/>
                <w:sz w:val="16"/>
                <w:szCs w:val="16"/>
                <w:lang w:val="it-IT"/>
              </w:rPr>
            </w:pPr>
          </w:p>
        </w:tc>
        <w:tc>
          <w:tcPr>
            <w:tcW w:w="682" w:type="pct"/>
          </w:tcPr>
          <w:p w14:paraId="1B6CA58D" w14:textId="77777777" w:rsidR="00F1341F" w:rsidRPr="008340BB" w:rsidRDefault="00F1341F" w:rsidP="00FE2D93">
            <w:pPr>
              <w:snapToGrid w:val="0"/>
              <w:spacing w:before="0" w:after="0"/>
              <w:jc w:val="left"/>
              <w:rPr>
                <w:color w:val="000000"/>
                <w:sz w:val="16"/>
                <w:szCs w:val="16"/>
              </w:rPr>
            </w:pPr>
            <w:r w:rsidRPr="008340BB">
              <w:rPr>
                <w:color w:val="000000"/>
                <w:sz w:val="16"/>
                <w:szCs w:val="16"/>
              </w:rPr>
              <w:t xml:space="preserve">Procedures which should guarantee that all operations </w:t>
            </w:r>
            <w:r w:rsidRPr="008340BB">
              <w:rPr>
                <w:color w:val="000000"/>
                <w:sz w:val="16"/>
                <w:szCs w:val="16"/>
              </w:rPr>
              <w:lastRenderedPageBreak/>
              <w:t>funded under the programme have adopted an effective system of indicators</w:t>
            </w:r>
          </w:p>
          <w:p w14:paraId="3217C03B" w14:textId="77777777" w:rsidR="00F1341F" w:rsidRPr="008340BB" w:rsidRDefault="00F1341F" w:rsidP="00525EA2">
            <w:pPr>
              <w:snapToGrid w:val="0"/>
              <w:spacing w:before="0" w:after="0"/>
              <w:jc w:val="left"/>
              <w:rPr>
                <w:sz w:val="16"/>
                <w:szCs w:val="16"/>
              </w:rPr>
            </w:pPr>
          </w:p>
        </w:tc>
        <w:tc>
          <w:tcPr>
            <w:tcW w:w="858" w:type="pct"/>
          </w:tcPr>
          <w:p w14:paraId="54365F24" w14:textId="77777777" w:rsidR="00F1341F" w:rsidRPr="008340BB" w:rsidRDefault="00F1341F" w:rsidP="00831C00">
            <w:pPr>
              <w:pStyle w:val="Default"/>
              <w:rPr>
                <w:sz w:val="16"/>
                <w:szCs w:val="16"/>
                <w:lang w:val="en-GB"/>
              </w:rPr>
            </w:pPr>
            <w:r w:rsidRPr="008340BB">
              <w:rPr>
                <w:sz w:val="16"/>
                <w:szCs w:val="16"/>
                <w:lang w:val="en-GB"/>
              </w:rPr>
              <w:lastRenderedPageBreak/>
              <w:t>Action 1.</w:t>
            </w:r>
          </w:p>
          <w:p w14:paraId="44ECBB66" w14:textId="77777777" w:rsidR="00F1341F" w:rsidRPr="008340BB" w:rsidRDefault="00F1341F" w:rsidP="00831C00">
            <w:pPr>
              <w:pStyle w:val="Default"/>
              <w:rPr>
                <w:sz w:val="16"/>
                <w:szCs w:val="16"/>
                <w:lang w:val="en-GB"/>
              </w:rPr>
            </w:pPr>
            <w:r w:rsidRPr="008340BB">
              <w:rPr>
                <w:sz w:val="16"/>
                <w:szCs w:val="16"/>
                <w:lang w:val="en-GB"/>
              </w:rPr>
              <w:t xml:space="preserve">Development of the procedures for </w:t>
            </w:r>
            <w:r w:rsidRPr="008340BB">
              <w:rPr>
                <w:rStyle w:val="hps"/>
                <w:sz w:val="16"/>
                <w:lang w:val="en-GB"/>
              </w:rPr>
              <w:t>collection of</w:t>
            </w:r>
            <w:r w:rsidRPr="008340BB">
              <w:rPr>
                <w:sz w:val="16"/>
                <w:lang w:val="en-GB"/>
              </w:rPr>
              <w:t xml:space="preserve"> </w:t>
            </w:r>
            <w:r w:rsidRPr="008340BB">
              <w:rPr>
                <w:rStyle w:val="hps"/>
                <w:sz w:val="16"/>
                <w:lang w:val="en-GB"/>
              </w:rPr>
              <w:lastRenderedPageBreak/>
              <w:t>microdata, required for assessment of contribution of the operations to specific objectives of each OP.</w:t>
            </w:r>
          </w:p>
          <w:p w14:paraId="48DE114B" w14:textId="77777777" w:rsidR="00F1341F" w:rsidRPr="008340BB" w:rsidRDefault="00F1341F" w:rsidP="00831C00">
            <w:pPr>
              <w:pStyle w:val="Default"/>
              <w:spacing w:before="120" w:after="120"/>
              <w:jc w:val="both"/>
              <w:rPr>
                <w:sz w:val="16"/>
                <w:szCs w:val="16"/>
                <w:lang w:val="en-GB"/>
              </w:rPr>
            </w:pPr>
          </w:p>
        </w:tc>
        <w:tc>
          <w:tcPr>
            <w:tcW w:w="1269" w:type="pct"/>
          </w:tcPr>
          <w:p w14:paraId="0A4A50E7" w14:textId="77777777" w:rsidR="00F1341F" w:rsidRPr="008340BB" w:rsidRDefault="00F1341F" w:rsidP="00525EA2">
            <w:pPr>
              <w:snapToGrid w:val="0"/>
              <w:spacing w:before="0" w:after="0"/>
              <w:jc w:val="left"/>
              <w:rPr>
                <w:sz w:val="16"/>
                <w:szCs w:val="16"/>
              </w:rPr>
            </w:pPr>
          </w:p>
          <w:p w14:paraId="600E5B8C" w14:textId="77777777" w:rsidR="00F1341F" w:rsidRPr="008340BB" w:rsidRDefault="00F1341F" w:rsidP="00DB5273">
            <w:pPr>
              <w:snapToGrid w:val="0"/>
              <w:spacing w:before="0" w:after="0"/>
              <w:rPr>
                <w:sz w:val="16"/>
                <w:szCs w:val="16"/>
              </w:rPr>
            </w:pPr>
            <w:r w:rsidRPr="008340BB">
              <w:rPr>
                <w:sz w:val="16"/>
                <w:szCs w:val="16"/>
              </w:rPr>
              <w:t>In two-month period after the adoption of OPTTI</w:t>
            </w:r>
          </w:p>
          <w:p w14:paraId="21DAFB74" w14:textId="77777777" w:rsidR="00F1341F" w:rsidRPr="008340BB" w:rsidRDefault="00F1341F" w:rsidP="00525EA2">
            <w:pPr>
              <w:snapToGrid w:val="0"/>
              <w:spacing w:before="0" w:after="0"/>
              <w:jc w:val="left"/>
              <w:rPr>
                <w:sz w:val="16"/>
                <w:szCs w:val="16"/>
              </w:rPr>
            </w:pPr>
          </w:p>
        </w:tc>
        <w:tc>
          <w:tcPr>
            <w:tcW w:w="1087" w:type="pct"/>
          </w:tcPr>
          <w:p w14:paraId="68ED52B3" w14:textId="77777777" w:rsidR="00F1341F" w:rsidRPr="008340BB" w:rsidRDefault="00F1341F" w:rsidP="00B15403">
            <w:pPr>
              <w:snapToGrid w:val="0"/>
              <w:spacing w:before="0" w:after="0"/>
              <w:jc w:val="left"/>
              <w:rPr>
                <w:sz w:val="16"/>
                <w:szCs w:val="16"/>
              </w:rPr>
            </w:pPr>
          </w:p>
          <w:p w14:paraId="738A9AC1" w14:textId="77777777" w:rsidR="00F1341F" w:rsidRPr="008340BB" w:rsidRDefault="00F1341F" w:rsidP="00B15403">
            <w:pPr>
              <w:snapToGrid w:val="0"/>
              <w:spacing w:before="0" w:after="0"/>
              <w:jc w:val="left"/>
              <w:rPr>
                <w:sz w:val="16"/>
                <w:szCs w:val="16"/>
              </w:rPr>
            </w:pPr>
            <w:r w:rsidRPr="008340BB">
              <w:rPr>
                <w:sz w:val="16"/>
                <w:szCs w:val="16"/>
              </w:rPr>
              <w:t>NSI, MA of OPTTI</w:t>
            </w:r>
          </w:p>
        </w:tc>
      </w:tr>
    </w:tbl>
    <w:p w14:paraId="22AFE8E2" w14:textId="77777777" w:rsidR="00F1341F" w:rsidRPr="008340BB" w:rsidRDefault="00F1341F" w:rsidP="00F03C1E">
      <w:pPr>
        <w:rPr>
          <w:b/>
        </w:rPr>
      </w:pPr>
    </w:p>
    <w:p w14:paraId="5185EEEE" w14:textId="77777777" w:rsidR="00F1341F" w:rsidRPr="008340BB" w:rsidRDefault="00F1341F" w:rsidP="00F03C1E">
      <w:pPr>
        <w:rPr>
          <w:b/>
        </w:rPr>
      </w:pPr>
    </w:p>
    <w:p w14:paraId="1A2C0F95" w14:textId="77777777" w:rsidR="00F1341F" w:rsidRPr="008340BB" w:rsidRDefault="00F1341F" w:rsidP="00F03C1E">
      <w:pPr>
        <w:rPr>
          <w:b/>
        </w:rPr>
      </w:pPr>
      <w:r w:rsidRPr="008340BB">
        <w:rPr>
          <w:b/>
        </w:rPr>
        <w:t xml:space="preserve">Table 26: </w:t>
      </w:r>
      <w:r w:rsidRPr="008340BB">
        <w:rPr>
          <w:b/>
        </w:rPr>
        <w:tab/>
        <w:t xml:space="preserve">Actions to fulfil applicable thematic ex-ante conditionalities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3"/>
        <w:gridCol w:w="1347"/>
        <w:gridCol w:w="1548"/>
        <w:gridCol w:w="2195"/>
        <w:gridCol w:w="1970"/>
      </w:tblGrid>
      <w:tr w:rsidR="00F1341F" w:rsidRPr="008340BB" w14:paraId="668335A1" w14:textId="77777777" w:rsidTr="009B26B6">
        <w:trPr>
          <w:trHeight w:val="493"/>
        </w:trPr>
        <w:tc>
          <w:tcPr>
            <w:tcW w:w="1105" w:type="pct"/>
          </w:tcPr>
          <w:p w14:paraId="275E88EB" w14:textId="77777777" w:rsidR="00F1341F" w:rsidRPr="008340BB" w:rsidRDefault="00F1341F" w:rsidP="00BF3391">
            <w:pPr>
              <w:snapToGrid w:val="0"/>
              <w:rPr>
                <w:b/>
              </w:rPr>
            </w:pPr>
            <w:r w:rsidRPr="008340BB">
              <w:rPr>
                <w:b/>
                <w:sz w:val="22"/>
              </w:rPr>
              <w:t xml:space="preserve">Thematic ex-ante conditionality </w:t>
            </w:r>
          </w:p>
        </w:tc>
        <w:tc>
          <w:tcPr>
            <w:tcW w:w="743" w:type="pct"/>
          </w:tcPr>
          <w:p w14:paraId="70B76547" w14:textId="77777777" w:rsidR="00F1341F" w:rsidRPr="008340BB" w:rsidRDefault="00F1341F" w:rsidP="00BF3391">
            <w:pPr>
              <w:snapToGrid w:val="0"/>
              <w:rPr>
                <w:b/>
              </w:rPr>
            </w:pPr>
            <w:r w:rsidRPr="008340BB">
              <w:rPr>
                <w:b/>
                <w:sz w:val="22"/>
              </w:rPr>
              <w:t>Criteria not fulfilled</w:t>
            </w:r>
          </w:p>
        </w:tc>
        <w:tc>
          <w:tcPr>
            <w:tcW w:w="854" w:type="pct"/>
          </w:tcPr>
          <w:p w14:paraId="46B540B1" w14:textId="77777777" w:rsidR="00F1341F" w:rsidRPr="008340BB" w:rsidRDefault="00F1341F" w:rsidP="00BF3391">
            <w:pPr>
              <w:snapToGrid w:val="0"/>
              <w:rPr>
                <w:b/>
              </w:rPr>
            </w:pPr>
            <w:r w:rsidRPr="008340BB">
              <w:rPr>
                <w:b/>
                <w:sz w:val="22"/>
              </w:rPr>
              <w:t>Actions to be taken</w:t>
            </w:r>
          </w:p>
        </w:tc>
        <w:tc>
          <w:tcPr>
            <w:tcW w:w="1211" w:type="pct"/>
          </w:tcPr>
          <w:p w14:paraId="327F8F5B" w14:textId="77777777" w:rsidR="00F1341F" w:rsidRPr="008340BB" w:rsidRDefault="00F1341F" w:rsidP="00BF3391">
            <w:pPr>
              <w:snapToGrid w:val="0"/>
              <w:rPr>
                <w:b/>
              </w:rPr>
            </w:pPr>
            <w:r w:rsidRPr="008340BB">
              <w:rPr>
                <w:b/>
                <w:sz w:val="22"/>
              </w:rPr>
              <w:t>Deadline (date)</w:t>
            </w:r>
          </w:p>
        </w:tc>
        <w:tc>
          <w:tcPr>
            <w:tcW w:w="1087" w:type="pct"/>
          </w:tcPr>
          <w:p w14:paraId="62AB73B8" w14:textId="77777777" w:rsidR="00F1341F" w:rsidRPr="008340BB" w:rsidRDefault="00F1341F" w:rsidP="00BF3391">
            <w:pPr>
              <w:snapToGrid w:val="0"/>
              <w:rPr>
                <w:b/>
              </w:rPr>
            </w:pPr>
            <w:r w:rsidRPr="008340BB">
              <w:rPr>
                <w:b/>
                <w:sz w:val="22"/>
              </w:rPr>
              <w:t xml:space="preserve">Bodies responsible </w:t>
            </w:r>
          </w:p>
        </w:tc>
      </w:tr>
      <w:tr w:rsidR="00F1341F" w:rsidRPr="008340BB" w14:paraId="614D1207" w14:textId="77777777" w:rsidTr="009B26B6">
        <w:trPr>
          <w:trHeight w:val="259"/>
        </w:trPr>
        <w:tc>
          <w:tcPr>
            <w:tcW w:w="1105" w:type="pct"/>
            <w:vMerge w:val="restart"/>
          </w:tcPr>
          <w:p w14:paraId="52AD4EE2" w14:textId="77777777" w:rsidR="00F1341F" w:rsidRPr="008340BB" w:rsidRDefault="00F1341F" w:rsidP="007E06FB">
            <w:pPr>
              <w:jc w:val="left"/>
              <w:rPr>
                <w:sz w:val="18"/>
                <w:szCs w:val="18"/>
                <w:lang w:eastAsia="en-US"/>
              </w:rPr>
            </w:pPr>
            <w:r w:rsidRPr="008340BB">
              <w:rPr>
                <w:sz w:val="18"/>
                <w:szCs w:val="18"/>
                <w:lang w:eastAsia="en-US"/>
              </w:rPr>
              <w:t>7.1. Road transport: The existence of a comprehensive plan(s) or framework(s) for transport investment in accordance with the Member States’ institutional set-up (including public transport at regional and local level) which supports infrastructure development and improves connectivity to the TEN-T comprehensive and core networks.</w:t>
            </w:r>
          </w:p>
          <w:p w14:paraId="5DB8156F" w14:textId="77777777" w:rsidR="00F1341F" w:rsidRPr="008340BB" w:rsidRDefault="00F1341F" w:rsidP="00F03C1E">
            <w:pPr>
              <w:snapToGrid w:val="0"/>
            </w:pPr>
            <w:r w:rsidRPr="008340BB">
              <w:rPr>
                <w:sz w:val="22"/>
              </w:rPr>
              <w:t>*</w:t>
            </w:r>
          </w:p>
        </w:tc>
        <w:tc>
          <w:tcPr>
            <w:tcW w:w="743" w:type="pct"/>
            <w:vMerge w:val="restart"/>
          </w:tcPr>
          <w:p w14:paraId="7A1B1B49" w14:textId="77777777" w:rsidR="00F1341F" w:rsidRPr="008340BB" w:rsidRDefault="00F1341F" w:rsidP="009B26B6">
            <w:pPr>
              <w:widowControl w:val="0"/>
              <w:jc w:val="left"/>
              <w:rPr>
                <w:sz w:val="18"/>
                <w:szCs w:val="18"/>
              </w:rPr>
            </w:pPr>
            <w:r w:rsidRPr="008340BB">
              <w:rPr>
                <w:sz w:val="18"/>
                <w:szCs w:val="18"/>
              </w:rPr>
              <w:t>The existence of a comprehensive transport plan(s) or framework(s) for transport investment which fulfils legal requirements for strategic environmental assessment and sets out:</w:t>
            </w:r>
          </w:p>
          <w:p w14:paraId="7CF2C929" w14:textId="77777777" w:rsidR="00F1341F" w:rsidRPr="008340BB" w:rsidRDefault="00F1341F" w:rsidP="00D5594C">
            <w:pPr>
              <w:widowControl w:val="0"/>
              <w:tabs>
                <w:tab w:val="left" w:pos="317"/>
              </w:tabs>
              <w:spacing w:before="0" w:after="0"/>
              <w:ind w:left="34"/>
              <w:jc w:val="left"/>
              <w:rPr>
                <w:sz w:val="18"/>
                <w:szCs w:val="18"/>
              </w:rPr>
            </w:pPr>
            <w:r w:rsidRPr="008340BB">
              <w:rPr>
                <w:sz w:val="18"/>
                <w:szCs w:val="18"/>
              </w:rPr>
              <w:t xml:space="preserve">- the contribution to the single European Transport Area consistent with Article 10 of Regulation </w:t>
            </w:r>
            <w:r w:rsidR="00B70D85">
              <w:rPr>
                <w:sz w:val="18"/>
                <w:szCs w:val="18"/>
              </w:rPr>
              <w:t xml:space="preserve">(EU) </w:t>
            </w:r>
            <w:r w:rsidRPr="008340BB">
              <w:rPr>
                <w:sz w:val="18"/>
                <w:szCs w:val="18"/>
              </w:rPr>
              <w:t>No</w:t>
            </w:r>
            <w:r w:rsidR="00B70D85">
              <w:rPr>
                <w:sz w:val="18"/>
                <w:szCs w:val="18"/>
              </w:rPr>
              <w:t xml:space="preserve"> 1315/2013 of the European Parliament and of the Council</w:t>
            </w:r>
            <w:r w:rsidRPr="008340BB">
              <w:rPr>
                <w:sz w:val="18"/>
                <w:szCs w:val="18"/>
              </w:rPr>
              <w:t xml:space="preserve">, including priorities for investments in: </w:t>
            </w:r>
          </w:p>
          <w:p w14:paraId="091C1DAA" w14:textId="77777777" w:rsidR="00F1341F" w:rsidRPr="008340BB" w:rsidRDefault="00F1341F" w:rsidP="00D5594C">
            <w:pPr>
              <w:widowControl w:val="0"/>
              <w:tabs>
                <w:tab w:val="left" w:pos="317"/>
              </w:tabs>
              <w:spacing w:before="0" w:after="0"/>
              <w:ind w:left="34"/>
              <w:jc w:val="left"/>
              <w:rPr>
                <w:sz w:val="18"/>
                <w:szCs w:val="18"/>
              </w:rPr>
            </w:pPr>
            <w:r w:rsidRPr="008340BB">
              <w:rPr>
                <w:sz w:val="18"/>
                <w:szCs w:val="18"/>
              </w:rPr>
              <w:t>- the core TEN-T network and the comprehensive network where investment from the ERDF and CF is envisaged; and</w:t>
            </w:r>
          </w:p>
          <w:p w14:paraId="16AAA84D" w14:textId="77777777" w:rsidR="00F1341F" w:rsidRPr="008340BB" w:rsidRDefault="00F1341F" w:rsidP="00D5594C">
            <w:pPr>
              <w:widowControl w:val="0"/>
              <w:tabs>
                <w:tab w:val="left" w:pos="317"/>
              </w:tabs>
              <w:spacing w:before="0" w:after="0"/>
              <w:ind w:left="34"/>
              <w:jc w:val="left"/>
              <w:rPr>
                <w:sz w:val="18"/>
                <w:szCs w:val="18"/>
              </w:rPr>
            </w:pPr>
            <w:r w:rsidRPr="008340BB">
              <w:rPr>
                <w:sz w:val="18"/>
                <w:szCs w:val="18"/>
              </w:rPr>
              <w:t>- secondary connectivity.</w:t>
            </w:r>
          </w:p>
          <w:p w14:paraId="2C074586" w14:textId="77777777" w:rsidR="00285813" w:rsidRPr="00EA04DF" w:rsidRDefault="00F1341F" w:rsidP="00D5594C">
            <w:pPr>
              <w:widowControl w:val="0"/>
              <w:tabs>
                <w:tab w:val="left" w:pos="317"/>
              </w:tabs>
              <w:spacing w:before="0" w:after="0"/>
              <w:ind w:left="34"/>
              <w:jc w:val="left"/>
              <w:rPr>
                <w:sz w:val="18"/>
                <w:szCs w:val="18"/>
                <w:lang w:val="bg-BG"/>
              </w:rPr>
            </w:pPr>
            <w:r w:rsidRPr="008340BB">
              <w:rPr>
                <w:sz w:val="18"/>
                <w:szCs w:val="18"/>
              </w:rPr>
              <w:t xml:space="preserve">- a realistic and mature pipeline for projects envisaged for </w:t>
            </w:r>
            <w:r w:rsidRPr="008340BB">
              <w:rPr>
                <w:sz w:val="18"/>
                <w:szCs w:val="18"/>
              </w:rPr>
              <w:lastRenderedPageBreak/>
              <w:t>support from the ERDF and CF.</w:t>
            </w:r>
          </w:p>
        </w:tc>
        <w:tc>
          <w:tcPr>
            <w:tcW w:w="854" w:type="pct"/>
          </w:tcPr>
          <w:p w14:paraId="2E02FE52" w14:textId="77777777" w:rsidR="00B92A7A" w:rsidRPr="008340BB" w:rsidRDefault="00B92A7A" w:rsidP="00B92A7A">
            <w:pPr>
              <w:rPr>
                <w:sz w:val="18"/>
                <w:szCs w:val="18"/>
                <w:lang w:eastAsia="bg-BG"/>
              </w:rPr>
            </w:pPr>
            <w:r w:rsidRPr="008340BB">
              <w:rPr>
                <w:sz w:val="18"/>
                <w:szCs w:val="18"/>
              </w:rPr>
              <w:lastRenderedPageBreak/>
              <w:t xml:space="preserve">Action </w:t>
            </w:r>
            <w:r w:rsidRPr="008340BB">
              <w:rPr>
                <w:sz w:val="18"/>
                <w:szCs w:val="18"/>
                <w:lang w:eastAsia="bg-BG"/>
              </w:rPr>
              <w:t>1</w:t>
            </w:r>
          </w:p>
          <w:p w14:paraId="43E3650F" w14:textId="77777777" w:rsidR="00B92A7A" w:rsidRPr="008340BB" w:rsidRDefault="00B92A7A" w:rsidP="00B92A7A">
            <w:pPr>
              <w:jc w:val="left"/>
              <w:rPr>
                <w:sz w:val="18"/>
                <w:szCs w:val="18"/>
              </w:rPr>
            </w:pPr>
            <w:r w:rsidRPr="008340BB">
              <w:rPr>
                <w:sz w:val="18"/>
                <w:szCs w:val="18"/>
              </w:rPr>
              <w:t>Preparation of National multimodal transport strategy</w:t>
            </w:r>
            <w:r w:rsidR="006F1543">
              <w:rPr>
                <w:sz w:val="18"/>
                <w:szCs w:val="18"/>
              </w:rPr>
              <w:t>/Intagrated transport Strategy</w:t>
            </w:r>
            <w:r w:rsidRPr="008340BB">
              <w:rPr>
                <w:sz w:val="18"/>
                <w:szCs w:val="18"/>
              </w:rPr>
              <w:t>.</w:t>
            </w:r>
          </w:p>
          <w:p w14:paraId="05A8BF0E" w14:textId="77777777" w:rsidR="003856EA" w:rsidRDefault="003856EA" w:rsidP="00B92A7A">
            <w:pPr>
              <w:snapToGrid w:val="0"/>
              <w:jc w:val="left"/>
              <w:rPr>
                <w:sz w:val="18"/>
                <w:szCs w:val="18"/>
              </w:rPr>
            </w:pPr>
          </w:p>
          <w:p w14:paraId="35B61DF4" w14:textId="77777777" w:rsidR="003856EA" w:rsidRDefault="003856EA" w:rsidP="003856EA">
            <w:pPr>
              <w:snapToGrid w:val="0"/>
              <w:jc w:val="left"/>
              <w:rPr>
                <w:sz w:val="18"/>
                <w:szCs w:val="18"/>
              </w:rPr>
            </w:pPr>
            <w:r w:rsidRPr="00EA04DF">
              <w:rPr>
                <w:sz w:val="18"/>
                <w:szCs w:val="18"/>
              </w:rPr>
              <w:t>By the end of December 2016, a National Multimodal Transport Strategy / Integrated Transport Strategy is to be drawn up</w:t>
            </w:r>
            <w:r w:rsidR="006734C8" w:rsidRPr="00EA04DF">
              <w:rPr>
                <w:sz w:val="18"/>
                <w:szCs w:val="18"/>
              </w:rPr>
              <w:t xml:space="preserve"> -</w:t>
            </w:r>
            <w:r w:rsidRPr="00EA04DF">
              <w:rPr>
                <w:sz w:val="18"/>
                <w:szCs w:val="18"/>
              </w:rPr>
              <w:t xml:space="preserve"> </w:t>
            </w:r>
            <w:r w:rsidR="000725DC" w:rsidRPr="00EA04DF">
              <w:rPr>
                <w:sz w:val="18"/>
                <w:szCs w:val="18"/>
              </w:rPr>
              <w:t>where</w:t>
            </w:r>
            <w:r w:rsidRPr="00EA04DF">
              <w:rPr>
                <w:sz w:val="18"/>
                <w:szCs w:val="18"/>
              </w:rPr>
              <w:t xml:space="preserve"> the contribution of the investments in the transport sector to the Common European Transport Area</w:t>
            </w:r>
            <w:r w:rsidR="000725DC" w:rsidRPr="00EA04DF">
              <w:rPr>
                <w:sz w:val="18"/>
                <w:szCs w:val="18"/>
              </w:rPr>
              <w:t xml:space="preserve"> will be described</w:t>
            </w:r>
            <w:r w:rsidRPr="00EA04DF">
              <w:rPr>
                <w:sz w:val="18"/>
                <w:szCs w:val="18"/>
              </w:rPr>
              <w:t xml:space="preserve">, where the priority investments </w:t>
            </w:r>
            <w:r w:rsidR="00815AAF" w:rsidRPr="00EA04DF">
              <w:rPr>
                <w:sz w:val="18"/>
                <w:szCs w:val="18"/>
              </w:rPr>
              <w:t>will be benchmarked in the “core</w:t>
            </w:r>
            <w:r w:rsidRPr="00EA04DF">
              <w:rPr>
                <w:sz w:val="18"/>
                <w:szCs w:val="18"/>
              </w:rPr>
              <w:t>” and “</w:t>
            </w:r>
            <w:r w:rsidR="00815AAF" w:rsidRPr="00EA04DF">
              <w:rPr>
                <w:sz w:val="18"/>
                <w:szCs w:val="18"/>
              </w:rPr>
              <w:t>comprehensive</w:t>
            </w:r>
            <w:r w:rsidRPr="00EA04DF">
              <w:rPr>
                <w:sz w:val="18"/>
                <w:szCs w:val="18"/>
              </w:rPr>
              <w:t xml:space="preserve">” TEN-T network as co-financed by the CF and ERDF and in the secondary connectivity, where a realistic list of projects will be drafted to be co-financed by the CF and ERDF (coupled with the relevant time schedule and budget), where the infrastructure </w:t>
            </w:r>
            <w:r w:rsidRPr="00EA04DF">
              <w:rPr>
                <w:sz w:val="18"/>
                <w:szCs w:val="18"/>
              </w:rPr>
              <w:lastRenderedPageBreak/>
              <w:t>projects will be planned to be financed from the State budget, as well as the projects to be financed by other international financing institutions and funds, PPPs, private investments, etc., where a strategy asset maintenance will be developed, and so will a financing and implementation strategy, a human resources development strategy coupled with measures for development of the administrative capacity of beneficiaries for preparation and implementation of the projects foreseen, and where the standard requirements for strategic ecological assessment will be met.</w:t>
            </w:r>
          </w:p>
          <w:p w14:paraId="26A7F761" w14:textId="77777777" w:rsidR="00B92A7A" w:rsidRPr="008340BB" w:rsidRDefault="00B92A7A" w:rsidP="00B92A7A">
            <w:pPr>
              <w:snapToGrid w:val="0"/>
              <w:jc w:val="left"/>
              <w:rPr>
                <w:sz w:val="18"/>
                <w:szCs w:val="18"/>
              </w:rPr>
            </w:pPr>
          </w:p>
          <w:p w14:paraId="14CA00A2" w14:textId="77777777" w:rsidR="00F1341F" w:rsidRPr="008340BB" w:rsidRDefault="00F1341F" w:rsidP="00EA04DF">
            <w:pPr>
              <w:jc w:val="left"/>
            </w:pPr>
          </w:p>
        </w:tc>
        <w:tc>
          <w:tcPr>
            <w:tcW w:w="1211" w:type="pct"/>
          </w:tcPr>
          <w:p w14:paraId="248709C4" w14:textId="77777777" w:rsidR="00B92A7A" w:rsidRDefault="006044E9" w:rsidP="00B92A7A">
            <w:pPr>
              <w:snapToGrid w:val="0"/>
              <w:jc w:val="left"/>
              <w:rPr>
                <w:color w:val="000000"/>
                <w:sz w:val="18"/>
                <w:szCs w:val="18"/>
                <w:lang w:eastAsia="en-US"/>
              </w:rPr>
            </w:pPr>
            <w:r w:rsidRPr="00EA04DF">
              <w:rPr>
                <w:sz w:val="18"/>
                <w:szCs w:val="18"/>
              </w:rPr>
              <w:lastRenderedPageBreak/>
              <w:t>30 September 2016</w:t>
            </w:r>
            <w:r>
              <w:rPr>
                <w:sz w:val="18"/>
                <w:szCs w:val="18"/>
              </w:rPr>
              <w:t xml:space="preserve"> </w:t>
            </w:r>
          </w:p>
          <w:p w14:paraId="6B8E5F8B" w14:textId="77777777" w:rsidR="00B92A7A" w:rsidRDefault="00B92A7A" w:rsidP="00B92A7A">
            <w:pPr>
              <w:snapToGrid w:val="0"/>
              <w:jc w:val="left"/>
              <w:rPr>
                <w:color w:val="000000"/>
                <w:sz w:val="18"/>
                <w:szCs w:val="18"/>
                <w:lang w:eastAsia="en-US"/>
              </w:rPr>
            </w:pPr>
          </w:p>
          <w:p w14:paraId="4FF4524E" w14:textId="77777777" w:rsidR="00B92A7A" w:rsidRDefault="00B92A7A" w:rsidP="00B92A7A">
            <w:pPr>
              <w:snapToGrid w:val="0"/>
              <w:jc w:val="left"/>
              <w:rPr>
                <w:color w:val="000000"/>
                <w:sz w:val="18"/>
                <w:szCs w:val="18"/>
                <w:lang w:eastAsia="en-US"/>
              </w:rPr>
            </w:pPr>
          </w:p>
          <w:p w14:paraId="6B064915" w14:textId="77777777" w:rsidR="00B92A7A" w:rsidRDefault="00B92A7A" w:rsidP="00B92A7A">
            <w:pPr>
              <w:snapToGrid w:val="0"/>
              <w:jc w:val="left"/>
              <w:rPr>
                <w:color w:val="000000"/>
                <w:sz w:val="18"/>
                <w:szCs w:val="18"/>
                <w:lang w:eastAsia="en-US"/>
              </w:rPr>
            </w:pPr>
          </w:p>
          <w:p w14:paraId="6B2EA728" w14:textId="77777777" w:rsidR="00B92A7A" w:rsidRDefault="00B92A7A" w:rsidP="00B92A7A">
            <w:pPr>
              <w:snapToGrid w:val="0"/>
              <w:jc w:val="left"/>
              <w:rPr>
                <w:color w:val="000000"/>
                <w:sz w:val="18"/>
                <w:szCs w:val="18"/>
                <w:lang w:eastAsia="en-US"/>
              </w:rPr>
            </w:pPr>
          </w:p>
          <w:p w14:paraId="77CFA589" w14:textId="77777777" w:rsidR="00B92A7A" w:rsidRDefault="00B92A7A" w:rsidP="00B92A7A">
            <w:pPr>
              <w:snapToGrid w:val="0"/>
              <w:jc w:val="left"/>
              <w:rPr>
                <w:color w:val="000000"/>
                <w:sz w:val="18"/>
                <w:szCs w:val="18"/>
                <w:lang w:eastAsia="en-US"/>
              </w:rPr>
            </w:pPr>
          </w:p>
          <w:p w14:paraId="740E6A48" w14:textId="77777777" w:rsidR="00B92A7A" w:rsidRPr="008340BB" w:rsidRDefault="00B92A7A" w:rsidP="00B92A7A">
            <w:pPr>
              <w:snapToGrid w:val="0"/>
              <w:jc w:val="left"/>
              <w:rPr>
                <w:color w:val="000000"/>
                <w:sz w:val="18"/>
                <w:szCs w:val="18"/>
                <w:lang w:eastAsia="en-US"/>
              </w:rPr>
            </w:pPr>
          </w:p>
          <w:p w14:paraId="6810538D" w14:textId="77777777" w:rsidR="003856EA" w:rsidRDefault="003856EA" w:rsidP="00B92A7A">
            <w:pPr>
              <w:rPr>
                <w:sz w:val="18"/>
                <w:szCs w:val="18"/>
              </w:rPr>
            </w:pPr>
          </w:p>
          <w:p w14:paraId="55622AC1" w14:textId="77777777" w:rsidR="003856EA" w:rsidRDefault="003856EA" w:rsidP="00B92A7A">
            <w:pPr>
              <w:rPr>
                <w:sz w:val="18"/>
                <w:szCs w:val="18"/>
              </w:rPr>
            </w:pPr>
          </w:p>
          <w:p w14:paraId="320F027C" w14:textId="77777777" w:rsidR="003856EA" w:rsidRDefault="003856EA" w:rsidP="00B92A7A">
            <w:pPr>
              <w:rPr>
                <w:sz w:val="18"/>
                <w:szCs w:val="18"/>
              </w:rPr>
            </w:pPr>
          </w:p>
          <w:p w14:paraId="04DF16C2" w14:textId="77777777" w:rsidR="003856EA" w:rsidRDefault="003856EA" w:rsidP="00B92A7A">
            <w:pPr>
              <w:rPr>
                <w:sz w:val="18"/>
                <w:szCs w:val="18"/>
              </w:rPr>
            </w:pPr>
          </w:p>
          <w:p w14:paraId="7D78BD6E" w14:textId="77777777" w:rsidR="003856EA" w:rsidRDefault="003856EA" w:rsidP="00B92A7A">
            <w:pPr>
              <w:rPr>
                <w:sz w:val="18"/>
                <w:szCs w:val="18"/>
              </w:rPr>
            </w:pPr>
          </w:p>
          <w:p w14:paraId="1C082491" w14:textId="77777777" w:rsidR="003856EA" w:rsidRDefault="003856EA" w:rsidP="00B92A7A">
            <w:pPr>
              <w:rPr>
                <w:sz w:val="18"/>
                <w:szCs w:val="18"/>
              </w:rPr>
            </w:pPr>
          </w:p>
          <w:p w14:paraId="7F6F8F09" w14:textId="77777777" w:rsidR="003856EA" w:rsidRDefault="003856EA" w:rsidP="00B92A7A">
            <w:pPr>
              <w:rPr>
                <w:sz w:val="18"/>
                <w:szCs w:val="18"/>
              </w:rPr>
            </w:pPr>
          </w:p>
          <w:p w14:paraId="75CF4D98" w14:textId="77777777" w:rsidR="003856EA" w:rsidRDefault="003856EA" w:rsidP="00B92A7A">
            <w:pPr>
              <w:rPr>
                <w:sz w:val="18"/>
                <w:szCs w:val="18"/>
              </w:rPr>
            </w:pPr>
          </w:p>
          <w:p w14:paraId="2CE0ADD7" w14:textId="77777777" w:rsidR="003856EA" w:rsidRDefault="003856EA" w:rsidP="00B92A7A">
            <w:pPr>
              <w:rPr>
                <w:sz w:val="18"/>
                <w:szCs w:val="18"/>
              </w:rPr>
            </w:pPr>
          </w:p>
          <w:p w14:paraId="4279E10E" w14:textId="77777777" w:rsidR="003856EA" w:rsidRDefault="003856EA" w:rsidP="00B92A7A">
            <w:pPr>
              <w:rPr>
                <w:sz w:val="18"/>
                <w:szCs w:val="18"/>
              </w:rPr>
            </w:pPr>
          </w:p>
          <w:p w14:paraId="58BBA8A8" w14:textId="77777777" w:rsidR="003856EA" w:rsidRDefault="003856EA" w:rsidP="00B92A7A">
            <w:pPr>
              <w:rPr>
                <w:sz w:val="18"/>
                <w:szCs w:val="18"/>
              </w:rPr>
            </w:pPr>
          </w:p>
          <w:p w14:paraId="32421551" w14:textId="77777777" w:rsidR="003856EA" w:rsidRDefault="003856EA" w:rsidP="00B92A7A">
            <w:pPr>
              <w:rPr>
                <w:sz w:val="18"/>
                <w:szCs w:val="18"/>
              </w:rPr>
            </w:pPr>
          </w:p>
          <w:p w14:paraId="2C388790" w14:textId="77777777" w:rsidR="003856EA" w:rsidRDefault="003856EA" w:rsidP="00B92A7A">
            <w:pPr>
              <w:rPr>
                <w:sz w:val="18"/>
                <w:szCs w:val="18"/>
              </w:rPr>
            </w:pPr>
          </w:p>
          <w:p w14:paraId="0FB56F90" w14:textId="77777777" w:rsidR="003856EA" w:rsidRDefault="003856EA" w:rsidP="00B92A7A">
            <w:pPr>
              <w:rPr>
                <w:sz w:val="18"/>
                <w:szCs w:val="18"/>
              </w:rPr>
            </w:pPr>
          </w:p>
          <w:p w14:paraId="3E85AF65" w14:textId="77777777" w:rsidR="003856EA" w:rsidRDefault="003856EA" w:rsidP="00B92A7A">
            <w:pPr>
              <w:rPr>
                <w:sz w:val="18"/>
                <w:szCs w:val="18"/>
              </w:rPr>
            </w:pPr>
          </w:p>
          <w:p w14:paraId="29A6857E" w14:textId="77777777" w:rsidR="003856EA" w:rsidRDefault="003856EA" w:rsidP="00B92A7A">
            <w:pPr>
              <w:rPr>
                <w:sz w:val="18"/>
                <w:szCs w:val="18"/>
              </w:rPr>
            </w:pPr>
          </w:p>
          <w:p w14:paraId="745BF768" w14:textId="77777777" w:rsidR="003856EA" w:rsidRDefault="003856EA" w:rsidP="00B92A7A">
            <w:pPr>
              <w:rPr>
                <w:sz w:val="18"/>
                <w:szCs w:val="18"/>
              </w:rPr>
            </w:pPr>
          </w:p>
          <w:p w14:paraId="072F394F" w14:textId="77777777" w:rsidR="003856EA" w:rsidRDefault="003856EA" w:rsidP="00B92A7A">
            <w:pPr>
              <w:rPr>
                <w:sz w:val="18"/>
                <w:szCs w:val="18"/>
              </w:rPr>
            </w:pPr>
          </w:p>
          <w:p w14:paraId="39B64E29" w14:textId="77777777" w:rsidR="003856EA" w:rsidRDefault="003856EA" w:rsidP="00B92A7A">
            <w:pPr>
              <w:rPr>
                <w:sz w:val="18"/>
                <w:szCs w:val="18"/>
              </w:rPr>
            </w:pPr>
          </w:p>
          <w:p w14:paraId="21E15928" w14:textId="77777777" w:rsidR="003856EA" w:rsidRDefault="003856EA" w:rsidP="00B92A7A">
            <w:pPr>
              <w:rPr>
                <w:sz w:val="18"/>
                <w:szCs w:val="18"/>
              </w:rPr>
            </w:pPr>
          </w:p>
          <w:p w14:paraId="5D261A56" w14:textId="77777777" w:rsidR="003856EA" w:rsidRDefault="003856EA" w:rsidP="00B92A7A">
            <w:pPr>
              <w:rPr>
                <w:sz w:val="18"/>
                <w:szCs w:val="18"/>
              </w:rPr>
            </w:pPr>
          </w:p>
          <w:p w14:paraId="19CD4809" w14:textId="77777777" w:rsidR="003856EA" w:rsidRDefault="003856EA" w:rsidP="00B92A7A">
            <w:pPr>
              <w:rPr>
                <w:sz w:val="18"/>
                <w:szCs w:val="18"/>
              </w:rPr>
            </w:pPr>
          </w:p>
          <w:p w14:paraId="73513F3C" w14:textId="77777777" w:rsidR="003856EA" w:rsidRDefault="003856EA" w:rsidP="00B92A7A">
            <w:pPr>
              <w:rPr>
                <w:sz w:val="18"/>
                <w:szCs w:val="18"/>
              </w:rPr>
            </w:pPr>
          </w:p>
          <w:p w14:paraId="0EF3C2F5" w14:textId="77777777" w:rsidR="003856EA" w:rsidRDefault="003856EA" w:rsidP="00B92A7A">
            <w:pPr>
              <w:rPr>
                <w:sz w:val="18"/>
                <w:szCs w:val="18"/>
              </w:rPr>
            </w:pPr>
          </w:p>
          <w:p w14:paraId="388AE2AF" w14:textId="77777777" w:rsidR="003856EA" w:rsidRDefault="003856EA" w:rsidP="00B92A7A">
            <w:pPr>
              <w:rPr>
                <w:sz w:val="18"/>
                <w:szCs w:val="18"/>
              </w:rPr>
            </w:pPr>
          </w:p>
          <w:p w14:paraId="43271776" w14:textId="77777777" w:rsidR="003856EA" w:rsidRDefault="003856EA" w:rsidP="00B92A7A">
            <w:pPr>
              <w:rPr>
                <w:sz w:val="18"/>
                <w:szCs w:val="18"/>
              </w:rPr>
            </w:pPr>
          </w:p>
          <w:p w14:paraId="4DBBD312" w14:textId="77777777" w:rsidR="003856EA" w:rsidRDefault="003856EA" w:rsidP="00B92A7A">
            <w:pPr>
              <w:rPr>
                <w:sz w:val="18"/>
                <w:szCs w:val="18"/>
              </w:rPr>
            </w:pPr>
          </w:p>
          <w:p w14:paraId="399D4523" w14:textId="77777777" w:rsidR="003856EA" w:rsidRDefault="003856EA" w:rsidP="00B92A7A">
            <w:pPr>
              <w:rPr>
                <w:sz w:val="18"/>
                <w:szCs w:val="18"/>
              </w:rPr>
            </w:pPr>
          </w:p>
          <w:p w14:paraId="61722342" w14:textId="77777777" w:rsidR="003856EA" w:rsidRDefault="003856EA" w:rsidP="00B92A7A">
            <w:pPr>
              <w:rPr>
                <w:sz w:val="18"/>
                <w:szCs w:val="18"/>
              </w:rPr>
            </w:pPr>
          </w:p>
          <w:p w14:paraId="72BF891E" w14:textId="77777777" w:rsidR="003856EA" w:rsidRDefault="003856EA" w:rsidP="00B92A7A">
            <w:pPr>
              <w:rPr>
                <w:sz w:val="18"/>
                <w:szCs w:val="18"/>
              </w:rPr>
            </w:pPr>
          </w:p>
          <w:p w14:paraId="38FC448D" w14:textId="77777777" w:rsidR="003856EA" w:rsidRDefault="003856EA" w:rsidP="00B92A7A">
            <w:pPr>
              <w:rPr>
                <w:sz w:val="18"/>
                <w:szCs w:val="18"/>
              </w:rPr>
            </w:pPr>
          </w:p>
          <w:p w14:paraId="40DEAA6B" w14:textId="77777777" w:rsidR="003856EA" w:rsidRDefault="003856EA" w:rsidP="00B92A7A">
            <w:pPr>
              <w:rPr>
                <w:sz w:val="18"/>
                <w:szCs w:val="18"/>
              </w:rPr>
            </w:pPr>
          </w:p>
          <w:p w14:paraId="393C9281" w14:textId="77777777" w:rsidR="003856EA" w:rsidRDefault="003856EA" w:rsidP="00B92A7A">
            <w:pPr>
              <w:rPr>
                <w:sz w:val="18"/>
                <w:szCs w:val="18"/>
              </w:rPr>
            </w:pPr>
          </w:p>
          <w:p w14:paraId="63CD2B37" w14:textId="77777777" w:rsidR="003856EA" w:rsidRDefault="003856EA" w:rsidP="00B92A7A">
            <w:pPr>
              <w:rPr>
                <w:sz w:val="18"/>
                <w:szCs w:val="18"/>
              </w:rPr>
            </w:pPr>
          </w:p>
          <w:p w14:paraId="50FFBA57" w14:textId="77777777" w:rsidR="003856EA" w:rsidRDefault="003856EA" w:rsidP="00B92A7A">
            <w:pPr>
              <w:rPr>
                <w:sz w:val="18"/>
                <w:szCs w:val="18"/>
              </w:rPr>
            </w:pPr>
          </w:p>
          <w:p w14:paraId="7D9C81E1" w14:textId="77777777" w:rsidR="003856EA" w:rsidRDefault="003856EA" w:rsidP="00B92A7A">
            <w:pPr>
              <w:rPr>
                <w:sz w:val="18"/>
                <w:szCs w:val="18"/>
              </w:rPr>
            </w:pPr>
          </w:p>
          <w:p w14:paraId="782F929D" w14:textId="77777777" w:rsidR="003856EA" w:rsidRDefault="003856EA" w:rsidP="00B92A7A">
            <w:pPr>
              <w:rPr>
                <w:sz w:val="18"/>
                <w:szCs w:val="18"/>
              </w:rPr>
            </w:pPr>
          </w:p>
          <w:p w14:paraId="5418973B" w14:textId="77777777" w:rsidR="003856EA" w:rsidRDefault="003856EA" w:rsidP="00B92A7A">
            <w:pPr>
              <w:rPr>
                <w:sz w:val="18"/>
                <w:szCs w:val="18"/>
              </w:rPr>
            </w:pPr>
          </w:p>
          <w:p w14:paraId="4E6E988F" w14:textId="77777777" w:rsidR="003856EA" w:rsidRDefault="003856EA" w:rsidP="00B92A7A">
            <w:pPr>
              <w:rPr>
                <w:sz w:val="18"/>
                <w:szCs w:val="18"/>
              </w:rPr>
            </w:pPr>
          </w:p>
          <w:p w14:paraId="03DF95E5" w14:textId="77777777" w:rsidR="003856EA" w:rsidRDefault="003856EA" w:rsidP="00B92A7A">
            <w:pPr>
              <w:rPr>
                <w:sz w:val="18"/>
                <w:szCs w:val="18"/>
              </w:rPr>
            </w:pPr>
          </w:p>
          <w:p w14:paraId="338633E8" w14:textId="77777777" w:rsidR="003856EA" w:rsidRDefault="003856EA" w:rsidP="00B92A7A">
            <w:pPr>
              <w:rPr>
                <w:sz w:val="18"/>
                <w:szCs w:val="18"/>
              </w:rPr>
            </w:pPr>
          </w:p>
          <w:p w14:paraId="3E820A39" w14:textId="77777777" w:rsidR="003856EA" w:rsidRDefault="003856EA" w:rsidP="00B92A7A">
            <w:pPr>
              <w:rPr>
                <w:sz w:val="18"/>
                <w:szCs w:val="18"/>
              </w:rPr>
            </w:pPr>
          </w:p>
          <w:p w14:paraId="1DCEF65D" w14:textId="77777777" w:rsidR="003856EA" w:rsidRDefault="003856EA" w:rsidP="00B92A7A">
            <w:pPr>
              <w:rPr>
                <w:sz w:val="18"/>
                <w:szCs w:val="18"/>
              </w:rPr>
            </w:pPr>
          </w:p>
          <w:p w14:paraId="27CE1678" w14:textId="77777777" w:rsidR="003856EA" w:rsidRDefault="003856EA" w:rsidP="00B92A7A">
            <w:pPr>
              <w:rPr>
                <w:sz w:val="18"/>
                <w:szCs w:val="18"/>
              </w:rPr>
            </w:pPr>
          </w:p>
          <w:p w14:paraId="2840B46A" w14:textId="77777777" w:rsidR="003856EA" w:rsidRDefault="003856EA" w:rsidP="00B92A7A">
            <w:pPr>
              <w:rPr>
                <w:sz w:val="18"/>
                <w:szCs w:val="18"/>
              </w:rPr>
            </w:pPr>
          </w:p>
          <w:p w14:paraId="55561089" w14:textId="77777777" w:rsidR="003856EA" w:rsidRDefault="003856EA" w:rsidP="00B92A7A">
            <w:pPr>
              <w:rPr>
                <w:sz w:val="18"/>
                <w:szCs w:val="18"/>
              </w:rPr>
            </w:pPr>
          </w:p>
          <w:p w14:paraId="61C5434A" w14:textId="77777777" w:rsidR="003856EA" w:rsidRDefault="003856EA" w:rsidP="00B92A7A">
            <w:pPr>
              <w:rPr>
                <w:sz w:val="18"/>
                <w:szCs w:val="18"/>
              </w:rPr>
            </w:pPr>
          </w:p>
          <w:p w14:paraId="67B360D2" w14:textId="77777777" w:rsidR="003856EA" w:rsidRDefault="003856EA" w:rsidP="00B92A7A">
            <w:pPr>
              <w:rPr>
                <w:sz w:val="18"/>
                <w:szCs w:val="18"/>
              </w:rPr>
            </w:pPr>
          </w:p>
          <w:p w14:paraId="67964A8D" w14:textId="77777777" w:rsidR="003856EA" w:rsidRDefault="003856EA" w:rsidP="00B92A7A">
            <w:pPr>
              <w:rPr>
                <w:sz w:val="18"/>
                <w:szCs w:val="18"/>
              </w:rPr>
            </w:pPr>
          </w:p>
          <w:p w14:paraId="0BB70381" w14:textId="77777777" w:rsidR="003856EA" w:rsidRDefault="003856EA" w:rsidP="00B92A7A">
            <w:pPr>
              <w:rPr>
                <w:sz w:val="18"/>
                <w:szCs w:val="18"/>
              </w:rPr>
            </w:pPr>
          </w:p>
          <w:p w14:paraId="070E1E25" w14:textId="77777777" w:rsidR="003856EA" w:rsidRDefault="003856EA" w:rsidP="00B92A7A">
            <w:pPr>
              <w:rPr>
                <w:sz w:val="18"/>
                <w:szCs w:val="18"/>
              </w:rPr>
            </w:pPr>
          </w:p>
          <w:p w14:paraId="43A72059" w14:textId="77777777" w:rsidR="003856EA" w:rsidRDefault="003856EA" w:rsidP="00B92A7A">
            <w:pPr>
              <w:rPr>
                <w:sz w:val="18"/>
                <w:szCs w:val="18"/>
              </w:rPr>
            </w:pPr>
          </w:p>
          <w:p w14:paraId="7D90C4EE" w14:textId="77777777" w:rsidR="003856EA" w:rsidRDefault="003856EA" w:rsidP="00B92A7A">
            <w:pPr>
              <w:rPr>
                <w:sz w:val="18"/>
                <w:szCs w:val="18"/>
              </w:rPr>
            </w:pPr>
          </w:p>
          <w:p w14:paraId="35DFCD0E" w14:textId="77777777" w:rsidR="003856EA" w:rsidRDefault="003856EA" w:rsidP="00B92A7A">
            <w:pPr>
              <w:rPr>
                <w:sz w:val="18"/>
                <w:szCs w:val="18"/>
              </w:rPr>
            </w:pPr>
          </w:p>
          <w:p w14:paraId="65CA6FD2" w14:textId="77777777" w:rsidR="003856EA" w:rsidRDefault="003856EA" w:rsidP="00B92A7A">
            <w:pPr>
              <w:rPr>
                <w:sz w:val="18"/>
                <w:szCs w:val="18"/>
              </w:rPr>
            </w:pPr>
          </w:p>
          <w:p w14:paraId="2230AE0C" w14:textId="77777777" w:rsidR="003856EA" w:rsidRDefault="003856EA" w:rsidP="00B92A7A">
            <w:pPr>
              <w:rPr>
                <w:sz w:val="18"/>
                <w:szCs w:val="18"/>
              </w:rPr>
            </w:pPr>
          </w:p>
          <w:p w14:paraId="4091C545" w14:textId="77777777" w:rsidR="003856EA" w:rsidRDefault="003856EA" w:rsidP="00B92A7A">
            <w:pPr>
              <w:rPr>
                <w:sz w:val="18"/>
                <w:szCs w:val="18"/>
              </w:rPr>
            </w:pPr>
          </w:p>
          <w:p w14:paraId="3349C9C6" w14:textId="77777777" w:rsidR="003856EA" w:rsidRDefault="003856EA" w:rsidP="00B92A7A">
            <w:pPr>
              <w:rPr>
                <w:sz w:val="18"/>
                <w:szCs w:val="18"/>
              </w:rPr>
            </w:pPr>
          </w:p>
          <w:p w14:paraId="30CE8560" w14:textId="77777777" w:rsidR="003856EA" w:rsidRDefault="003856EA" w:rsidP="00B92A7A">
            <w:pPr>
              <w:rPr>
                <w:sz w:val="18"/>
                <w:szCs w:val="18"/>
              </w:rPr>
            </w:pPr>
          </w:p>
          <w:p w14:paraId="7DDF828C" w14:textId="77777777" w:rsidR="003856EA" w:rsidRDefault="003856EA" w:rsidP="00B92A7A">
            <w:pPr>
              <w:rPr>
                <w:sz w:val="18"/>
                <w:szCs w:val="18"/>
              </w:rPr>
            </w:pPr>
          </w:p>
          <w:p w14:paraId="02A02A6D" w14:textId="77777777" w:rsidR="008D63AD" w:rsidRDefault="008D63AD" w:rsidP="00B92A7A">
            <w:pPr>
              <w:rPr>
                <w:sz w:val="18"/>
                <w:szCs w:val="18"/>
              </w:rPr>
            </w:pPr>
          </w:p>
          <w:p w14:paraId="55884AEC" w14:textId="77777777" w:rsidR="003856EA" w:rsidRDefault="003856EA" w:rsidP="00B92A7A">
            <w:pPr>
              <w:rPr>
                <w:sz w:val="18"/>
                <w:szCs w:val="18"/>
              </w:rPr>
            </w:pPr>
          </w:p>
          <w:p w14:paraId="68AF29D5" w14:textId="77777777" w:rsidR="003856EA" w:rsidRDefault="003856EA" w:rsidP="00B92A7A">
            <w:pPr>
              <w:rPr>
                <w:sz w:val="18"/>
                <w:szCs w:val="18"/>
              </w:rPr>
            </w:pPr>
          </w:p>
          <w:p w14:paraId="22E4C904" w14:textId="77777777" w:rsidR="003856EA" w:rsidRDefault="003856EA" w:rsidP="00B92A7A">
            <w:pPr>
              <w:rPr>
                <w:sz w:val="18"/>
                <w:szCs w:val="18"/>
              </w:rPr>
            </w:pPr>
          </w:p>
          <w:p w14:paraId="3E0062DD" w14:textId="77777777" w:rsidR="00F1341F" w:rsidRPr="00EA04DF" w:rsidRDefault="00F1341F" w:rsidP="00EA04DF">
            <w:pPr>
              <w:rPr>
                <w:sz w:val="18"/>
                <w:szCs w:val="18"/>
              </w:rPr>
            </w:pPr>
          </w:p>
        </w:tc>
        <w:tc>
          <w:tcPr>
            <w:tcW w:w="1087" w:type="pct"/>
          </w:tcPr>
          <w:p w14:paraId="2FDD8BE8" w14:textId="77777777" w:rsidR="00F1341F" w:rsidRPr="008340BB" w:rsidRDefault="00D90F15" w:rsidP="00EA04DF">
            <w:r>
              <w:lastRenderedPageBreak/>
              <w:t>MTITC</w:t>
            </w:r>
          </w:p>
        </w:tc>
      </w:tr>
      <w:tr w:rsidR="00F1341F" w:rsidRPr="008340BB" w14:paraId="64B3E8FE" w14:textId="77777777" w:rsidTr="00EA04DF">
        <w:trPr>
          <w:trHeight w:val="7570"/>
        </w:trPr>
        <w:tc>
          <w:tcPr>
            <w:tcW w:w="1105" w:type="pct"/>
            <w:vMerge/>
          </w:tcPr>
          <w:p w14:paraId="64B99312" w14:textId="77777777" w:rsidR="00F1341F" w:rsidRPr="008340BB" w:rsidRDefault="00F1341F" w:rsidP="00F03C1E">
            <w:pPr>
              <w:snapToGrid w:val="0"/>
            </w:pPr>
          </w:p>
        </w:tc>
        <w:tc>
          <w:tcPr>
            <w:tcW w:w="743" w:type="pct"/>
            <w:vMerge/>
          </w:tcPr>
          <w:p w14:paraId="3E4C1565" w14:textId="77777777" w:rsidR="00F1341F" w:rsidRPr="008340BB" w:rsidRDefault="00F1341F" w:rsidP="00F03C1E">
            <w:pPr>
              <w:snapToGrid w:val="0"/>
              <w:ind w:left="720"/>
            </w:pPr>
          </w:p>
        </w:tc>
        <w:tc>
          <w:tcPr>
            <w:tcW w:w="854" w:type="pct"/>
          </w:tcPr>
          <w:p w14:paraId="07DDA733" w14:textId="77777777" w:rsidR="00B92A7A" w:rsidRPr="008340BB" w:rsidRDefault="00B92A7A" w:rsidP="00B92A7A">
            <w:pPr>
              <w:rPr>
                <w:sz w:val="18"/>
                <w:szCs w:val="18"/>
                <w:lang w:eastAsia="bg-BG"/>
              </w:rPr>
            </w:pPr>
            <w:r w:rsidRPr="008340BB">
              <w:rPr>
                <w:sz w:val="18"/>
                <w:szCs w:val="18"/>
              </w:rPr>
              <w:t xml:space="preserve">Action </w:t>
            </w:r>
            <w:r w:rsidRPr="008340BB">
              <w:rPr>
                <w:sz w:val="18"/>
                <w:szCs w:val="18"/>
                <w:lang w:eastAsia="bg-BG"/>
              </w:rPr>
              <w:t>2</w:t>
            </w:r>
          </w:p>
          <w:p w14:paraId="5D640B65" w14:textId="77777777" w:rsidR="00B92A7A" w:rsidRDefault="00B92A7A" w:rsidP="00B92A7A">
            <w:pPr>
              <w:jc w:val="left"/>
              <w:rPr>
                <w:rStyle w:val="hps"/>
                <w:sz w:val="18"/>
                <w:szCs w:val="18"/>
              </w:rPr>
            </w:pPr>
            <w:r w:rsidRPr="008340BB">
              <w:rPr>
                <w:rStyle w:val="hps"/>
                <w:sz w:val="18"/>
                <w:szCs w:val="18"/>
              </w:rPr>
              <w:t>Adoption of Strategy for development of road infrastructure in the Republic of Bulgaria 2014-2020</w:t>
            </w:r>
          </w:p>
          <w:p w14:paraId="6216008D" w14:textId="77777777" w:rsidR="00342267" w:rsidRPr="00EA04DF" w:rsidRDefault="00342267" w:rsidP="00342267">
            <w:pPr>
              <w:spacing w:before="0" w:after="0"/>
              <w:rPr>
                <w:rFonts w:eastAsia="Times New Roman"/>
                <w:sz w:val="18"/>
                <w:szCs w:val="18"/>
                <w:lang w:val="en-US" w:eastAsia="en-US"/>
              </w:rPr>
            </w:pPr>
            <w:r w:rsidRPr="00EA04DF">
              <w:rPr>
                <w:rFonts w:eastAsia="Times New Roman"/>
                <w:sz w:val="18"/>
                <w:szCs w:val="18"/>
                <w:lang w:val="en-US" w:eastAsia="en-US"/>
              </w:rPr>
              <w:t>The strategy updates partially and General transport master plan – in terms of inventory of available financial resources, administrative capacity, steps and deadlines for the implementation of the transportation objectives of Bulgaria, in the implementation of action 1 will be coordinated and this strategy.</w:t>
            </w:r>
          </w:p>
          <w:p w14:paraId="011FF96B" w14:textId="77777777" w:rsidR="00342267" w:rsidRPr="00EA04DF" w:rsidRDefault="00342267" w:rsidP="00342267">
            <w:pPr>
              <w:jc w:val="left"/>
              <w:rPr>
                <w:rFonts w:eastAsia="Times New Roman"/>
                <w:sz w:val="18"/>
                <w:szCs w:val="18"/>
                <w:lang w:val="en-US" w:eastAsia="en-US"/>
              </w:rPr>
            </w:pPr>
            <w:r w:rsidRPr="00EA04DF">
              <w:rPr>
                <w:rFonts w:eastAsia="Times New Roman"/>
                <w:sz w:val="18"/>
                <w:szCs w:val="18"/>
                <w:lang w:val="en-US" w:eastAsia="en-US"/>
              </w:rPr>
              <w:t>With the strategy adopted is also the medium-term operational programme for the implementation of the strategy.</w:t>
            </w:r>
          </w:p>
          <w:p w14:paraId="42B02954" w14:textId="77777777" w:rsidR="00342267" w:rsidRPr="00EA04DF" w:rsidRDefault="00342267" w:rsidP="00342267">
            <w:pPr>
              <w:jc w:val="left"/>
              <w:rPr>
                <w:color w:val="333333"/>
                <w:sz w:val="18"/>
                <w:szCs w:val="18"/>
                <w:lang w:eastAsia="bg-BG"/>
              </w:rPr>
            </w:pPr>
            <w:r w:rsidRPr="00EA04DF">
              <w:rPr>
                <w:rFonts w:eastAsia="Times New Roman"/>
                <w:sz w:val="18"/>
                <w:szCs w:val="18"/>
                <w:lang w:val="en-US" w:eastAsia="en-US"/>
              </w:rPr>
              <w:t>Prepared drafts of both documents.</w:t>
            </w:r>
            <w:r>
              <w:rPr>
                <w:rFonts w:eastAsia="Times New Roman"/>
                <w:sz w:val="18"/>
                <w:szCs w:val="18"/>
                <w:lang w:val="en-US" w:eastAsia="en-US"/>
              </w:rPr>
              <w:t xml:space="preserve"> </w:t>
            </w:r>
          </w:p>
          <w:p w14:paraId="7B2E62D7" w14:textId="77777777" w:rsidR="00B92A7A" w:rsidRDefault="00B92A7A" w:rsidP="00D12E5F">
            <w:pPr>
              <w:rPr>
                <w:sz w:val="18"/>
                <w:szCs w:val="18"/>
              </w:rPr>
            </w:pPr>
          </w:p>
          <w:p w14:paraId="3D92C9EB" w14:textId="77777777" w:rsidR="00B92A7A" w:rsidRDefault="00B92A7A" w:rsidP="00D12E5F">
            <w:pPr>
              <w:rPr>
                <w:sz w:val="18"/>
                <w:szCs w:val="18"/>
              </w:rPr>
            </w:pPr>
          </w:p>
          <w:p w14:paraId="435900EE" w14:textId="77777777" w:rsidR="00B92A7A" w:rsidRDefault="00B92A7A" w:rsidP="00D12E5F">
            <w:pPr>
              <w:rPr>
                <w:sz w:val="18"/>
                <w:szCs w:val="18"/>
              </w:rPr>
            </w:pPr>
          </w:p>
          <w:p w14:paraId="48858C04" w14:textId="77777777" w:rsidR="00B92A7A" w:rsidRDefault="00B92A7A" w:rsidP="00D12E5F">
            <w:pPr>
              <w:rPr>
                <w:sz w:val="18"/>
                <w:szCs w:val="18"/>
              </w:rPr>
            </w:pPr>
          </w:p>
          <w:p w14:paraId="46596253" w14:textId="77777777" w:rsidR="00B92A7A" w:rsidRDefault="00B92A7A" w:rsidP="00D12E5F">
            <w:pPr>
              <w:rPr>
                <w:sz w:val="18"/>
                <w:szCs w:val="18"/>
              </w:rPr>
            </w:pPr>
          </w:p>
          <w:p w14:paraId="6E1DE111" w14:textId="77777777" w:rsidR="00B92A7A" w:rsidRDefault="00B92A7A" w:rsidP="00D12E5F">
            <w:pPr>
              <w:rPr>
                <w:sz w:val="18"/>
                <w:szCs w:val="18"/>
              </w:rPr>
            </w:pPr>
          </w:p>
          <w:p w14:paraId="0B503DFE" w14:textId="77777777" w:rsidR="00B92A7A" w:rsidRDefault="00B92A7A" w:rsidP="00D12E5F">
            <w:pPr>
              <w:rPr>
                <w:sz w:val="18"/>
                <w:szCs w:val="18"/>
              </w:rPr>
            </w:pPr>
          </w:p>
          <w:p w14:paraId="2066F3A5" w14:textId="77777777" w:rsidR="00B92A7A" w:rsidRDefault="00B92A7A" w:rsidP="00D12E5F">
            <w:pPr>
              <w:rPr>
                <w:sz w:val="18"/>
                <w:szCs w:val="18"/>
              </w:rPr>
            </w:pPr>
          </w:p>
          <w:p w14:paraId="289DC787" w14:textId="77777777" w:rsidR="00F1341F" w:rsidRPr="008340BB" w:rsidRDefault="00F1341F" w:rsidP="001D2B2B">
            <w:pPr>
              <w:snapToGrid w:val="0"/>
              <w:jc w:val="left"/>
            </w:pPr>
          </w:p>
        </w:tc>
        <w:tc>
          <w:tcPr>
            <w:tcW w:w="1211" w:type="pct"/>
          </w:tcPr>
          <w:p w14:paraId="47FC3D91" w14:textId="77777777" w:rsidR="00B92A7A" w:rsidRPr="00B92A7A" w:rsidRDefault="008839FD" w:rsidP="00B92A7A">
            <w:pPr>
              <w:snapToGrid w:val="0"/>
              <w:jc w:val="left"/>
              <w:rPr>
                <w:sz w:val="18"/>
                <w:szCs w:val="18"/>
              </w:rPr>
            </w:pPr>
            <w:r w:rsidRPr="00EA04DF">
              <w:rPr>
                <w:sz w:val="18"/>
                <w:szCs w:val="18"/>
              </w:rPr>
              <w:t>31</w:t>
            </w:r>
            <w:r>
              <w:rPr>
                <w:sz w:val="18"/>
                <w:szCs w:val="18"/>
              </w:rPr>
              <w:t xml:space="preserve"> </w:t>
            </w:r>
            <w:r w:rsidR="00B92A7A" w:rsidRPr="00B92A7A">
              <w:rPr>
                <w:sz w:val="18"/>
                <w:szCs w:val="18"/>
              </w:rPr>
              <w:t>December 2014</w:t>
            </w:r>
          </w:p>
          <w:p w14:paraId="32D2AE01" w14:textId="77777777" w:rsidR="00B92A7A" w:rsidRDefault="00B92A7A" w:rsidP="00A757B4">
            <w:pPr>
              <w:snapToGrid w:val="0"/>
              <w:jc w:val="left"/>
              <w:rPr>
                <w:sz w:val="18"/>
                <w:szCs w:val="18"/>
              </w:rPr>
            </w:pPr>
          </w:p>
          <w:p w14:paraId="576A3D65" w14:textId="77777777" w:rsidR="00B92A7A" w:rsidRDefault="00B92A7A" w:rsidP="00A757B4">
            <w:pPr>
              <w:snapToGrid w:val="0"/>
              <w:jc w:val="left"/>
              <w:rPr>
                <w:sz w:val="18"/>
                <w:szCs w:val="18"/>
              </w:rPr>
            </w:pPr>
          </w:p>
          <w:p w14:paraId="21C22E26" w14:textId="77777777" w:rsidR="00B92A7A" w:rsidRDefault="00B92A7A" w:rsidP="00A757B4">
            <w:pPr>
              <w:snapToGrid w:val="0"/>
              <w:jc w:val="left"/>
              <w:rPr>
                <w:sz w:val="18"/>
                <w:szCs w:val="18"/>
              </w:rPr>
            </w:pPr>
          </w:p>
          <w:p w14:paraId="31713535" w14:textId="77777777" w:rsidR="00B92A7A" w:rsidRDefault="00B92A7A" w:rsidP="00A757B4">
            <w:pPr>
              <w:snapToGrid w:val="0"/>
              <w:jc w:val="left"/>
              <w:rPr>
                <w:sz w:val="18"/>
                <w:szCs w:val="18"/>
              </w:rPr>
            </w:pPr>
          </w:p>
          <w:p w14:paraId="5F12FE14" w14:textId="77777777" w:rsidR="00B92A7A" w:rsidRDefault="00B92A7A" w:rsidP="00A757B4">
            <w:pPr>
              <w:snapToGrid w:val="0"/>
              <w:jc w:val="left"/>
              <w:rPr>
                <w:sz w:val="18"/>
                <w:szCs w:val="18"/>
              </w:rPr>
            </w:pPr>
          </w:p>
          <w:p w14:paraId="76AA3E92" w14:textId="77777777" w:rsidR="00B92A7A" w:rsidRDefault="00B92A7A" w:rsidP="00A757B4">
            <w:pPr>
              <w:snapToGrid w:val="0"/>
              <w:jc w:val="left"/>
              <w:rPr>
                <w:sz w:val="18"/>
                <w:szCs w:val="18"/>
              </w:rPr>
            </w:pPr>
          </w:p>
          <w:p w14:paraId="7C2F6A29" w14:textId="77777777" w:rsidR="00B92A7A" w:rsidRDefault="00B92A7A" w:rsidP="00A757B4">
            <w:pPr>
              <w:snapToGrid w:val="0"/>
              <w:jc w:val="left"/>
              <w:rPr>
                <w:sz w:val="18"/>
                <w:szCs w:val="18"/>
              </w:rPr>
            </w:pPr>
          </w:p>
          <w:p w14:paraId="4208A24D" w14:textId="77777777" w:rsidR="00B92A7A" w:rsidRDefault="00B92A7A" w:rsidP="00A757B4">
            <w:pPr>
              <w:snapToGrid w:val="0"/>
              <w:jc w:val="left"/>
              <w:rPr>
                <w:sz w:val="18"/>
                <w:szCs w:val="18"/>
              </w:rPr>
            </w:pPr>
          </w:p>
          <w:p w14:paraId="6047441B" w14:textId="77777777" w:rsidR="00B92A7A" w:rsidRDefault="00B92A7A" w:rsidP="00A757B4">
            <w:pPr>
              <w:snapToGrid w:val="0"/>
              <w:jc w:val="left"/>
              <w:rPr>
                <w:sz w:val="18"/>
                <w:szCs w:val="18"/>
              </w:rPr>
            </w:pPr>
          </w:p>
          <w:p w14:paraId="290C9B5F" w14:textId="77777777" w:rsidR="00B92A7A" w:rsidRDefault="00B92A7A" w:rsidP="00A757B4">
            <w:pPr>
              <w:snapToGrid w:val="0"/>
              <w:jc w:val="left"/>
              <w:rPr>
                <w:sz w:val="18"/>
                <w:szCs w:val="18"/>
              </w:rPr>
            </w:pPr>
          </w:p>
          <w:p w14:paraId="63B16400" w14:textId="77777777" w:rsidR="00F1341F" w:rsidRPr="008340BB" w:rsidRDefault="00F1341F" w:rsidP="00A757B4">
            <w:pPr>
              <w:snapToGrid w:val="0"/>
              <w:jc w:val="left"/>
              <w:rPr>
                <w:color w:val="000000"/>
                <w:sz w:val="18"/>
                <w:szCs w:val="18"/>
                <w:lang w:eastAsia="en-US"/>
              </w:rPr>
            </w:pPr>
          </w:p>
          <w:p w14:paraId="275641B2" w14:textId="77777777" w:rsidR="00F1341F" w:rsidRPr="008340BB" w:rsidRDefault="00F1341F" w:rsidP="00A757B4">
            <w:pPr>
              <w:snapToGrid w:val="0"/>
              <w:jc w:val="left"/>
              <w:rPr>
                <w:color w:val="000000"/>
                <w:sz w:val="18"/>
                <w:szCs w:val="18"/>
                <w:lang w:eastAsia="en-US"/>
              </w:rPr>
            </w:pPr>
          </w:p>
          <w:p w14:paraId="33232082" w14:textId="77777777" w:rsidR="00F1341F" w:rsidRPr="008340BB" w:rsidRDefault="00F1341F" w:rsidP="00A757B4">
            <w:pPr>
              <w:snapToGrid w:val="0"/>
              <w:jc w:val="left"/>
              <w:rPr>
                <w:color w:val="000000"/>
                <w:sz w:val="18"/>
                <w:szCs w:val="18"/>
                <w:lang w:eastAsia="en-US"/>
              </w:rPr>
            </w:pPr>
          </w:p>
          <w:p w14:paraId="65A2E2B5" w14:textId="77777777" w:rsidR="00F1341F" w:rsidRPr="008340BB" w:rsidRDefault="00F1341F" w:rsidP="00A757B4">
            <w:pPr>
              <w:snapToGrid w:val="0"/>
              <w:jc w:val="left"/>
              <w:rPr>
                <w:color w:val="000000"/>
                <w:sz w:val="18"/>
                <w:szCs w:val="18"/>
                <w:lang w:eastAsia="en-US"/>
              </w:rPr>
            </w:pPr>
          </w:p>
          <w:p w14:paraId="34E01E89" w14:textId="77777777" w:rsidR="00F1341F" w:rsidRPr="008340BB" w:rsidRDefault="00F1341F" w:rsidP="00A757B4">
            <w:pPr>
              <w:snapToGrid w:val="0"/>
              <w:jc w:val="left"/>
              <w:rPr>
                <w:color w:val="000000"/>
                <w:sz w:val="18"/>
                <w:szCs w:val="18"/>
                <w:lang w:eastAsia="en-US"/>
              </w:rPr>
            </w:pPr>
          </w:p>
          <w:p w14:paraId="15002D03" w14:textId="77777777" w:rsidR="00F1341F" w:rsidRPr="008340BB" w:rsidRDefault="00F1341F" w:rsidP="00A757B4">
            <w:pPr>
              <w:snapToGrid w:val="0"/>
              <w:jc w:val="left"/>
              <w:rPr>
                <w:color w:val="000000"/>
                <w:sz w:val="18"/>
                <w:szCs w:val="18"/>
                <w:lang w:eastAsia="en-US"/>
              </w:rPr>
            </w:pPr>
          </w:p>
          <w:p w14:paraId="42CB8B41" w14:textId="77777777" w:rsidR="00F1341F" w:rsidRPr="008340BB" w:rsidRDefault="00F1341F" w:rsidP="00A757B4">
            <w:pPr>
              <w:snapToGrid w:val="0"/>
              <w:jc w:val="left"/>
              <w:rPr>
                <w:color w:val="000000"/>
                <w:sz w:val="18"/>
                <w:szCs w:val="18"/>
                <w:lang w:eastAsia="en-US"/>
              </w:rPr>
            </w:pPr>
          </w:p>
          <w:p w14:paraId="15AA1B2D" w14:textId="77777777" w:rsidR="00F1341F" w:rsidRPr="008340BB" w:rsidRDefault="00F1341F" w:rsidP="00A757B4">
            <w:pPr>
              <w:snapToGrid w:val="0"/>
              <w:jc w:val="left"/>
              <w:rPr>
                <w:color w:val="000000"/>
                <w:sz w:val="18"/>
                <w:szCs w:val="18"/>
                <w:lang w:eastAsia="en-US"/>
              </w:rPr>
            </w:pPr>
          </w:p>
          <w:p w14:paraId="39E149AA" w14:textId="77777777" w:rsidR="00F1341F" w:rsidRPr="008340BB" w:rsidRDefault="00F1341F" w:rsidP="00A757B4">
            <w:pPr>
              <w:snapToGrid w:val="0"/>
              <w:jc w:val="left"/>
              <w:rPr>
                <w:color w:val="000000"/>
                <w:sz w:val="18"/>
                <w:szCs w:val="18"/>
                <w:lang w:eastAsia="en-US"/>
              </w:rPr>
            </w:pPr>
          </w:p>
          <w:p w14:paraId="12D3E111" w14:textId="77777777" w:rsidR="00F1341F" w:rsidRPr="008340BB" w:rsidRDefault="00F1341F" w:rsidP="00A757B4">
            <w:pPr>
              <w:snapToGrid w:val="0"/>
              <w:jc w:val="left"/>
              <w:rPr>
                <w:color w:val="000000"/>
                <w:sz w:val="18"/>
                <w:szCs w:val="18"/>
                <w:lang w:eastAsia="en-US"/>
              </w:rPr>
            </w:pPr>
          </w:p>
          <w:p w14:paraId="656E08A3" w14:textId="77777777" w:rsidR="00F1341F" w:rsidRPr="008340BB" w:rsidRDefault="00F1341F" w:rsidP="00A757B4">
            <w:pPr>
              <w:snapToGrid w:val="0"/>
              <w:jc w:val="left"/>
              <w:rPr>
                <w:color w:val="000000"/>
                <w:sz w:val="32"/>
                <w:szCs w:val="18"/>
                <w:lang w:eastAsia="en-US"/>
              </w:rPr>
            </w:pPr>
          </w:p>
          <w:p w14:paraId="494E4FA6" w14:textId="77777777" w:rsidR="00F1341F" w:rsidRPr="008340BB" w:rsidRDefault="00F1341F" w:rsidP="003E687C">
            <w:pPr>
              <w:jc w:val="left"/>
              <w:rPr>
                <w:sz w:val="18"/>
                <w:szCs w:val="18"/>
              </w:rPr>
            </w:pPr>
          </w:p>
          <w:p w14:paraId="5C526580" w14:textId="77777777" w:rsidR="00F1341F" w:rsidRPr="008340BB" w:rsidRDefault="00F1341F" w:rsidP="00EA04DF"/>
        </w:tc>
        <w:tc>
          <w:tcPr>
            <w:tcW w:w="1087" w:type="pct"/>
          </w:tcPr>
          <w:p w14:paraId="600CC34E" w14:textId="77777777" w:rsidR="00B92A7A" w:rsidRPr="008340BB" w:rsidRDefault="00B92A7A" w:rsidP="00B92A7A">
            <w:pPr>
              <w:rPr>
                <w:sz w:val="18"/>
                <w:szCs w:val="18"/>
              </w:rPr>
            </w:pPr>
            <w:r w:rsidRPr="008340BB">
              <w:rPr>
                <w:sz w:val="18"/>
                <w:szCs w:val="18"/>
              </w:rPr>
              <w:t>MRD</w:t>
            </w:r>
            <w:r>
              <w:rPr>
                <w:sz w:val="18"/>
                <w:szCs w:val="18"/>
              </w:rPr>
              <w:t>PW</w:t>
            </w:r>
            <w:r w:rsidRPr="008340BB">
              <w:rPr>
                <w:sz w:val="18"/>
                <w:szCs w:val="18"/>
              </w:rPr>
              <w:t>, MTITC</w:t>
            </w:r>
          </w:p>
          <w:p w14:paraId="64AD5F13" w14:textId="77777777" w:rsidR="00B92A7A" w:rsidRDefault="00B92A7A" w:rsidP="00F03C1E">
            <w:pPr>
              <w:snapToGrid w:val="0"/>
              <w:rPr>
                <w:sz w:val="18"/>
                <w:szCs w:val="18"/>
              </w:rPr>
            </w:pPr>
          </w:p>
          <w:p w14:paraId="6A2550A3" w14:textId="77777777" w:rsidR="00B92A7A" w:rsidRDefault="00B92A7A" w:rsidP="00F03C1E">
            <w:pPr>
              <w:snapToGrid w:val="0"/>
              <w:rPr>
                <w:sz w:val="18"/>
                <w:szCs w:val="18"/>
              </w:rPr>
            </w:pPr>
          </w:p>
          <w:p w14:paraId="34937D45" w14:textId="77777777" w:rsidR="00B92A7A" w:rsidRDefault="00B92A7A" w:rsidP="00F03C1E">
            <w:pPr>
              <w:snapToGrid w:val="0"/>
              <w:rPr>
                <w:sz w:val="18"/>
                <w:szCs w:val="18"/>
              </w:rPr>
            </w:pPr>
          </w:p>
          <w:p w14:paraId="193983CE" w14:textId="77777777" w:rsidR="00B92A7A" w:rsidRDefault="00B92A7A" w:rsidP="00F03C1E">
            <w:pPr>
              <w:snapToGrid w:val="0"/>
              <w:rPr>
                <w:sz w:val="18"/>
                <w:szCs w:val="18"/>
              </w:rPr>
            </w:pPr>
          </w:p>
          <w:p w14:paraId="4E82311B" w14:textId="77777777" w:rsidR="00B92A7A" w:rsidRDefault="00B92A7A" w:rsidP="00F03C1E">
            <w:pPr>
              <w:snapToGrid w:val="0"/>
              <w:rPr>
                <w:sz w:val="18"/>
                <w:szCs w:val="18"/>
              </w:rPr>
            </w:pPr>
          </w:p>
          <w:p w14:paraId="73A2A648" w14:textId="77777777" w:rsidR="00B92A7A" w:rsidRDefault="00B92A7A" w:rsidP="00F03C1E">
            <w:pPr>
              <w:snapToGrid w:val="0"/>
              <w:rPr>
                <w:sz w:val="18"/>
                <w:szCs w:val="18"/>
              </w:rPr>
            </w:pPr>
          </w:p>
          <w:p w14:paraId="41D21151" w14:textId="77777777" w:rsidR="00B92A7A" w:rsidRDefault="00B92A7A" w:rsidP="00F03C1E">
            <w:pPr>
              <w:snapToGrid w:val="0"/>
              <w:rPr>
                <w:sz w:val="18"/>
                <w:szCs w:val="18"/>
              </w:rPr>
            </w:pPr>
          </w:p>
          <w:p w14:paraId="32EF1F54" w14:textId="77777777" w:rsidR="00B92A7A" w:rsidRDefault="00B92A7A" w:rsidP="00F03C1E">
            <w:pPr>
              <w:snapToGrid w:val="0"/>
              <w:rPr>
                <w:sz w:val="18"/>
                <w:szCs w:val="18"/>
              </w:rPr>
            </w:pPr>
          </w:p>
          <w:p w14:paraId="1A919742" w14:textId="77777777" w:rsidR="00B92A7A" w:rsidRDefault="00B92A7A" w:rsidP="00F03C1E">
            <w:pPr>
              <w:snapToGrid w:val="0"/>
              <w:rPr>
                <w:sz w:val="18"/>
                <w:szCs w:val="18"/>
              </w:rPr>
            </w:pPr>
          </w:p>
          <w:p w14:paraId="5E648C3A" w14:textId="77777777" w:rsidR="00B92A7A" w:rsidRDefault="00B92A7A" w:rsidP="00F03C1E">
            <w:pPr>
              <w:snapToGrid w:val="0"/>
              <w:rPr>
                <w:sz w:val="18"/>
                <w:szCs w:val="18"/>
              </w:rPr>
            </w:pPr>
          </w:p>
          <w:p w14:paraId="52647153" w14:textId="77777777" w:rsidR="00B92A7A" w:rsidRDefault="00B92A7A" w:rsidP="00F03C1E">
            <w:pPr>
              <w:snapToGrid w:val="0"/>
              <w:rPr>
                <w:sz w:val="18"/>
                <w:szCs w:val="18"/>
              </w:rPr>
            </w:pPr>
          </w:p>
          <w:p w14:paraId="725C5856" w14:textId="77777777" w:rsidR="00B92A7A" w:rsidRDefault="00B92A7A" w:rsidP="00F03C1E">
            <w:pPr>
              <w:snapToGrid w:val="0"/>
              <w:rPr>
                <w:sz w:val="18"/>
                <w:szCs w:val="18"/>
              </w:rPr>
            </w:pPr>
          </w:p>
          <w:p w14:paraId="5BB5DD9E" w14:textId="77777777" w:rsidR="00B92A7A" w:rsidRDefault="00B92A7A" w:rsidP="00F03C1E">
            <w:pPr>
              <w:snapToGrid w:val="0"/>
              <w:rPr>
                <w:sz w:val="18"/>
                <w:szCs w:val="18"/>
              </w:rPr>
            </w:pPr>
          </w:p>
          <w:p w14:paraId="6B03D255" w14:textId="77777777" w:rsidR="005D17BB" w:rsidRPr="008340BB" w:rsidRDefault="005D17BB" w:rsidP="00F03C1E">
            <w:pPr>
              <w:snapToGrid w:val="0"/>
              <w:rPr>
                <w:sz w:val="18"/>
                <w:szCs w:val="18"/>
              </w:rPr>
            </w:pPr>
          </w:p>
          <w:p w14:paraId="0CA90237" w14:textId="77777777" w:rsidR="005D17BB" w:rsidRPr="008340BB" w:rsidRDefault="005D17BB" w:rsidP="00F03C1E">
            <w:pPr>
              <w:snapToGrid w:val="0"/>
              <w:rPr>
                <w:sz w:val="18"/>
                <w:szCs w:val="18"/>
              </w:rPr>
            </w:pPr>
          </w:p>
          <w:p w14:paraId="4AC6AADB" w14:textId="77777777" w:rsidR="005D17BB" w:rsidRPr="008340BB" w:rsidRDefault="005D17BB" w:rsidP="00F03C1E">
            <w:pPr>
              <w:snapToGrid w:val="0"/>
              <w:rPr>
                <w:sz w:val="18"/>
                <w:szCs w:val="18"/>
              </w:rPr>
            </w:pPr>
          </w:p>
          <w:p w14:paraId="42957A36" w14:textId="77777777" w:rsidR="005D17BB" w:rsidRPr="008340BB" w:rsidRDefault="005D17BB" w:rsidP="00F03C1E">
            <w:pPr>
              <w:snapToGrid w:val="0"/>
              <w:rPr>
                <w:sz w:val="18"/>
                <w:szCs w:val="18"/>
              </w:rPr>
            </w:pPr>
          </w:p>
          <w:p w14:paraId="7B7E3D9C" w14:textId="77777777" w:rsidR="005D17BB" w:rsidRPr="008340BB" w:rsidRDefault="005D17BB" w:rsidP="00F03C1E">
            <w:pPr>
              <w:snapToGrid w:val="0"/>
              <w:rPr>
                <w:sz w:val="18"/>
                <w:szCs w:val="18"/>
              </w:rPr>
            </w:pPr>
          </w:p>
          <w:p w14:paraId="350E7B44" w14:textId="77777777" w:rsidR="005D17BB" w:rsidRPr="008340BB" w:rsidRDefault="005D17BB" w:rsidP="00F03C1E">
            <w:pPr>
              <w:snapToGrid w:val="0"/>
              <w:rPr>
                <w:sz w:val="18"/>
                <w:szCs w:val="18"/>
              </w:rPr>
            </w:pPr>
          </w:p>
          <w:p w14:paraId="079BA145" w14:textId="77777777" w:rsidR="005D17BB" w:rsidRPr="008340BB" w:rsidRDefault="005D17BB" w:rsidP="00F03C1E">
            <w:pPr>
              <w:snapToGrid w:val="0"/>
              <w:rPr>
                <w:sz w:val="18"/>
                <w:szCs w:val="18"/>
              </w:rPr>
            </w:pPr>
          </w:p>
          <w:p w14:paraId="78868511" w14:textId="77777777" w:rsidR="005D17BB" w:rsidRPr="008340BB" w:rsidRDefault="005D17BB" w:rsidP="00F03C1E">
            <w:pPr>
              <w:snapToGrid w:val="0"/>
              <w:rPr>
                <w:sz w:val="18"/>
                <w:szCs w:val="18"/>
              </w:rPr>
            </w:pPr>
          </w:p>
          <w:p w14:paraId="5BABD56F" w14:textId="77777777" w:rsidR="005D17BB" w:rsidRPr="008340BB" w:rsidRDefault="005D17BB" w:rsidP="00F03C1E">
            <w:pPr>
              <w:snapToGrid w:val="0"/>
              <w:rPr>
                <w:sz w:val="18"/>
                <w:szCs w:val="18"/>
              </w:rPr>
            </w:pPr>
          </w:p>
          <w:p w14:paraId="6A27F1B1" w14:textId="77777777" w:rsidR="005D17BB" w:rsidRPr="008340BB" w:rsidRDefault="005D17BB" w:rsidP="00F03C1E">
            <w:pPr>
              <w:snapToGrid w:val="0"/>
              <w:rPr>
                <w:sz w:val="18"/>
                <w:szCs w:val="18"/>
              </w:rPr>
            </w:pPr>
          </w:p>
          <w:p w14:paraId="1970027F" w14:textId="77777777" w:rsidR="005D17BB" w:rsidRPr="008340BB" w:rsidRDefault="005D17BB" w:rsidP="00F03C1E">
            <w:pPr>
              <w:snapToGrid w:val="0"/>
              <w:rPr>
                <w:sz w:val="18"/>
                <w:szCs w:val="18"/>
              </w:rPr>
            </w:pPr>
          </w:p>
          <w:p w14:paraId="791C8AE4" w14:textId="77777777" w:rsidR="005D17BB" w:rsidRPr="008340BB" w:rsidRDefault="005D17BB" w:rsidP="00F03C1E">
            <w:pPr>
              <w:snapToGrid w:val="0"/>
              <w:rPr>
                <w:sz w:val="18"/>
                <w:szCs w:val="18"/>
              </w:rPr>
            </w:pPr>
          </w:p>
          <w:p w14:paraId="570934FA" w14:textId="77777777" w:rsidR="005D17BB" w:rsidRPr="008340BB" w:rsidRDefault="005D17BB" w:rsidP="00F03C1E">
            <w:pPr>
              <w:snapToGrid w:val="0"/>
              <w:rPr>
                <w:sz w:val="18"/>
                <w:szCs w:val="18"/>
              </w:rPr>
            </w:pPr>
          </w:p>
          <w:p w14:paraId="1742473F" w14:textId="77777777" w:rsidR="005D17BB" w:rsidRPr="008340BB" w:rsidRDefault="005D17BB" w:rsidP="00F03C1E">
            <w:pPr>
              <w:snapToGrid w:val="0"/>
            </w:pPr>
          </w:p>
        </w:tc>
      </w:tr>
      <w:tr w:rsidR="00F1341F" w:rsidRPr="008340BB" w14:paraId="4CA483F9" w14:textId="77777777" w:rsidTr="009B26B6">
        <w:trPr>
          <w:trHeight w:val="258"/>
        </w:trPr>
        <w:tc>
          <w:tcPr>
            <w:tcW w:w="1105" w:type="pct"/>
          </w:tcPr>
          <w:p w14:paraId="64FE3F73" w14:textId="77777777" w:rsidR="00F1341F" w:rsidRPr="008340BB" w:rsidRDefault="00F1341F" w:rsidP="00290CA7">
            <w:pPr>
              <w:snapToGrid w:val="0"/>
              <w:jc w:val="left"/>
            </w:pPr>
            <w:r w:rsidRPr="008340BB">
              <w:rPr>
                <w:sz w:val="18"/>
                <w:szCs w:val="18"/>
                <w:lang w:eastAsia="en-US"/>
              </w:rPr>
              <w:lastRenderedPageBreak/>
              <w:t xml:space="preserve">7.2. Railway transport: The existence within the comprehensive transport plan(s) or framework(s)of an explicit section on railway development in accordance with the Member States’ institutional set-up (including public </w:t>
            </w:r>
            <w:r w:rsidRPr="008340BB">
              <w:rPr>
                <w:sz w:val="18"/>
                <w:szCs w:val="18"/>
                <w:lang w:eastAsia="en-US"/>
              </w:rPr>
              <w:lastRenderedPageBreak/>
              <w:t>transport at regional and local level) which supports infrastructure development and improves connectivity to the TEN-T comprehensive and core networks. The investments cover mobile assets, interoperability and capacity building.</w:t>
            </w:r>
          </w:p>
        </w:tc>
        <w:tc>
          <w:tcPr>
            <w:tcW w:w="743" w:type="pct"/>
          </w:tcPr>
          <w:p w14:paraId="08D4FD31" w14:textId="77777777" w:rsidR="00285813" w:rsidRPr="00866F3E" w:rsidRDefault="00F1341F" w:rsidP="00A43021">
            <w:pPr>
              <w:snapToGrid w:val="0"/>
              <w:jc w:val="left"/>
              <w:rPr>
                <w:lang w:val="bg-BG"/>
              </w:rPr>
            </w:pPr>
            <w:r w:rsidRPr="008340BB">
              <w:rPr>
                <w:sz w:val="18"/>
                <w:szCs w:val="18"/>
                <w:lang w:eastAsia="bg-BG"/>
              </w:rPr>
              <w:lastRenderedPageBreak/>
              <w:t xml:space="preserve">The existence of a section on railway development within the transport plan(s) or framework(s) as set out above which fulfils legal </w:t>
            </w:r>
            <w:r w:rsidRPr="008340BB">
              <w:rPr>
                <w:sz w:val="18"/>
                <w:szCs w:val="18"/>
                <w:lang w:eastAsia="bg-BG"/>
              </w:rPr>
              <w:lastRenderedPageBreak/>
              <w:t>requirements for strategic environmental assessment and sets out a realistic and mature project pipeline (including a timetable, budgetary framework)</w:t>
            </w:r>
          </w:p>
        </w:tc>
        <w:tc>
          <w:tcPr>
            <w:tcW w:w="854" w:type="pct"/>
          </w:tcPr>
          <w:p w14:paraId="6E01EF2E" w14:textId="77777777" w:rsidR="00F1341F" w:rsidRPr="008340BB" w:rsidRDefault="00F1341F" w:rsidP="00E34599">
            <w:pPr>
              <w:jc w:val="left"/>
              <w:rPr>
                <w:b/>
                <w:sz w:val="18"/>
                <w:szCs w:val="18"/>
                <w:lang w:eastAsia="bg-BG"/>
              </w:rPr>
            </w:pPr>
            <w:r w:rsidRPr="008340BB">
              <w:rPr>
                <w:b/>
                <w:sz w:val="18"/>
                <w:szCs w:val="18"/>
              </w:rPr>
              <w:lastRenderedPageBreak/>
              <w:t xml:space="preserve">Action </w:t>
            </w:r>
            <w:r w:rsidRPr="008340BB">
              <w:rPr>
                <w:b/>
                <w:sz w:val="18"/>
                <w:szCs w:val="18"/>
                <w:lang w:eastAsia="bg-BG"/>
              </w:rPr>
              <w:t>1</w:t>
            </w:r>
          </w:p>
          <w:p w14:paraId="5B41A242" w14:textId="77777777" w:rsidR="00F1341F" w:rsidRDefault="00F1341F" w:rsidP="00E34599">
            <w:pPr>
              <w:jc w:val="left"/>
              <w:rPr>
                <w:sz w:val="18"/>
                <w:szCs w:val="18"/>
              </w:rPr>
            </w:pPr>
            <w:r w:rsidRPr="008340BB">
              <w:rPr>
                <w:sz w:val="18"/>
                <w:szCs w:val="18"/>
              </w:rPr>
              <w:t>Preparation of National multimodal transport strategy</w:t>
            </w:r>
            <w:r w:rsidR="00AC6E79">
              <w:rPr>
                <w:sz w:val="18"/>
                <w:szCs w:val="18"/>
              </w:rPr>
              <w:t xml:space="preserve"> /Intagrated transport Strategy</w:t>
            </w:r>
            <w:r w:rsidRPr="008340BB">
              <w:rPr>
                <w:sz w:val="18"/>
                <w:szCs w:val="18"/>
              </w:rPr>
              <w:t>.</w:t>
            </w:r>
          </w:p>
          <w:p w14:paraId="7FFAA333" w14:textId="77777777" w:rsidR="00FF43A3" w:rsidRPr="00EA04DF" w:rsidRDefault="00933AB8" w:rsidP="00E34599">
            <w:pPr>
              <w:jc w:val="left"/>
              <w:rPr>
                <w:sz w:val="18"/>
                <w:szCs w:val="18"/>
              </w:rPr>
            </w:pPr>
            <w:r w:rsidRPr="00EA04DF">
              <w:rPr>
                <w:sz w:val="18"/>
                <w:szCs w:val="18"/>
              </w:rPr>
              <w:t xml:space="preserve">See </w:t>
            </w:r>
            <w:r w:rsidR="00FF43A3" w:rsidRPr="00EA04DF">
              <w:rPr>
                <w:sz w:val="18"/>
                <w:szCs w:val="18"/>
              </w:rPr>
              <w:t>7.1</w:t>
            </w:r>
          </w:p>
          <w:p w14:paraId="4D53EAF1" w14:textId="77777777" w:rsidR="005D17BB" w:rsidRPr="00EA04DF" w:rsidRDefault="005D17BB" w:rsidP="005D17BB">
            <w:pPr>
              <w:snapToGrid w:val="0"/>
              <w:jc w:val="left"/>
              <w:rPr>
                <w:sz w:val="18"/>
                <w:szCs w:val="18"/>
                <w:highlight w:val="yellow"/>
              </w:rPr>
            </w:pPr>
          </w:p>
          <w:p w14:paraId="2768EC81" w14:textId="77777777" w:rsidR="005D17BB" w:rsidRPr="008340BB" w:rsidRDefault="005D17BB" w:rsidP="001D2B2B">
            <w:pPr>
              <w:snapToGrid w:val="0"/>
              <w:jc w:val="left"/>
            </w:pPr>
          </w:p>
        </w:tc>
        <w:tc>
          <w:tcPr>
            <w:tcW w:w="1211" w:type="pct"/>
          </w:tcPr>
          <w:p w14:paraId="7F45D93E" w14:textId="77777777" w:rsidR="005D17BB" w:rsidRPr="00A828C5" w:rsidRDefault="00C20B88">
            <w:pPr>
              <w:jc w:val="left"/>
              <w:rPr>
                <w:color w:val="000000"/>
                <w:sz w:val="18"/>
                <w:szCs w:val="18"/>
                <w:lang w:eastAsia="en-US"/>
              </w:rPr>
            </w:pPr>
            <w:r w:rsidRPr="00EA04DF">
              <w:rPr>
                <w:sz w:val="18"/>
                <w:szCs w:val="18"/>
                <w:lang w:eastAsia="bg-BG"/>
              </w:rPr>
              <w:lastRenderedPageBreak/>
              <w:t xml:space="preserve">30 September 2016 </w:t>
            </w:r>
          </w:p>
          <w:p w14:paraId="35AC0B32" w14:textId="77777777" w:rsidR="005D17BB" w:rsidRPr="008340BB" w:rsidRDefault="005D17BB">
            <w:pPr>
              <w:jc w:val="left"/>
              <w:rPr>
                <w:color w:val="000000"/>
                <w:sz w:val="18"/>
                <w:szCs w:val="18"/>
                <w:lang w:eastAsia="en-US"/>
              </w:rPr>
            </w:pPr>
          </w:p>
          <w:p w14:paraId="243657C1" w14:textId="77777777" w:rsidR="005D17BB" w:rsidRPr="008340BB" w:rsidRDefault="005D17BB">
            <w:pPr>
              <w:jc w:val="left"/>
              <w:rPr>
                <w:color w:val="000000"/>
                <w:sz w:val="18"/>
                <w:szCs w:val="18"/>
                <w:lang w:eastAsia="en-US"/>
              </w:rPr>
            </w:pPr>
          </w:p>
          <w:p w14:paraId="53D151BE" w14:textId="77777777" w:rsidR="005D17BB" w:rsidRPr="008340BB" w:rsidRDefault="005D17BB">
            <w:pPr>
              <w:jc w:val="left"/>
              <w:rPr>
                <w:color w:val="000000"/>
                <w:sz w:val="18"/>
                <w:szCs w:val="18"/>
                <w:lang w:eastAsia="en-US"/>
              </w:rPr>
            </w:pPr>
          </w:p>
          <w:p w14:paraId="2039BC91" w14:textId="77777777" w:rsidR="005D17BB" w:rsidRPr="008340BB" w:rsidRDefault="005D17BB">
            <w:pPr>
              <w:jc w:val="left"/>
              <w:rPr>
                <w:color w:val="000000"/>
                <w:sz w:val="18"/>
                <w:szCs w:val="18"/>
                <w:lang w:eastAsia="en-US"/>
              </w:rPr>
            </w:pPr>
          </w:p>
          <w:p w14:paraId="6203D8A5" w14:textId="77777777" w:rsidR="005D17BB" w:rsidRPr="008340BB" w:rsidRDefault="005D17BB">
            <w:pPr>
              <w:jc w:val="left"/>
              <w:rPr>
                <w:color w:val="000000"/>
                <w:sz w:val="18"/>
                <w:szCs w:val="18"/>
                <w:lang w:eastAsia="en-US"/>
              </w:rPr>
            </w:pPr>
          </w:p>
          <w:p w14:paraId="489B2734" w14:textId="77777777" w:rsidR="005D17BB" w:rsidRPr="008340BB" w:rsidRDefault="005D17BB">
            <w:pPr>
              <w:jc w:val="left"/>
              <w:rPr>
                <w:color w:val="000000"/>
                <w:sz w:val="18"/>
                <w:szCs w:val="18"/>
                <w:lang w:eastAsia="en-US"/>
              </w:rPr>
            </w:pPr>
          </w:p>
          <w:p w14:paraId="033BDA00" w14:textId="77777777" w:rsidR="005D17BB" w:rsidRPr="00A828C5" w:rsidRDefault="005D17BB">
            <w:pPr>
              <w:jc w:val="left"/>
              <w:rPr>
                <w:color w:val="000000"/>
                <w:sz w:val="18"/>
                <w:szCs w:val="18"/>
                <w:lang w:eastAsia="en-US"/>
              </w:rPr>
            </w:pPr>
          </w:p>
          <w:p w14:paraId="2A26D8E4" w14:textId="77777777" w:rsidR="005D17BB" w:rsidRPr="008340BB" w:rsidRDefault="005D17BB">
            <w:pPr>
              <w:jc w:val="left"/>
              <w:rPr>
                <w:sz w:val="18"/>
                <w:szCs w:val="18"/>
              </w:rPr>
            </w:pPr>
          </w:p>
        </w:tc>
        <w:tc>
          <w:tcPr>
            <w:tcW w:w="1087" w:type="pct"/>
          </w:tcPr>
          <w:p w14:paraId="2F5B60B9" w14:textId="77777777" w:rsidR="00F1341F" w:rsidRPr="008340BB" w:rsidRDefault="00F1341F" w:rsidP="00F975EA">
            <w:pPr>
              <w:jc w:val="left"/>
              <w:rPr>
                <w:sz w:val="18"/>
                <w:szCs w:val="18"/>
              </w:rPr>
            </w:pPr>
            <w:r w:rsidRPr="008340BB">
              <w:rPr>
                <w:sz w:val="18"/>
                <w:szCs w:val="18"/>
              </w:rPr>
              <w:lastRenderedPageBreak/>
              <w:t>MTITC</w:t>
            </w:r>
          </w:p>
          <w:p w14:paraId="5F9A6508" w14:textId="77777777" w:rsidR="005D17BB" w:rsidRPr="008340BB" w:rsidRDefault="005D17BB" w:rsidP="00F975EA">
            <w:pPr>
              <w:jc w:val="left"/>
              <w:rPr>
                <w:sz w:val="18"/>
                <w:szCs w:val="18"/>
              </w:rPr>
            </w:pPr>
          </w:p>
          <w:p w14:paraId="4122DD37" w14:textId="77777777" w:rsidR="005D17BB" w:rsidRPr="008340BB" w:rsidRDefault="005D17BB" w:rsidP="00F975EA">
            <w:pPr>
              <w:jc w:val="left"/>
              <w:rPr>
                <w:sz w:val="18"/>
                <w:szCs w:val="18"/>
              </w:rPr>
            </w:pPr>
          </w:p>
          <w:p w14:paraId="718D63BD" w14:textId="77777777" w:rsidR="005D17BB" w:rsidRPr="008340BB" w:rsidRDefault="005D17BB" w:rsidP="00F975EA">
            <w:pPr>
              <w:jc w:val="left"/>
              <w:rPr>
                <w:sz w:val="18"/>
                <w:szCs w:val="18"/>
              </w:rPr>
            </w:pPr>
          </w:p>
          <w:p w14:paraId="583844EB" w14:textId="77777777" w:rsidR="005D17BB" w:rsidRPr="008340BB" w:rsidRDefault="005D17BB" w:rsidP="00F975EA">
            <w:pPr>
              <w:jc w:val="left"/>
              <w:rPr>
                <w:sz w:val="18"/>
                <w:szCs w:val="18"/>
              </w:rPr>
            </w:pPr>
          </w:p>
          <w:p w14:paraId="01B8BD92" w14:textId="77777777" w:rsidR="005D17BB" w:rsidRPr="008340BB" w:rsidRDefault="005D17BB" w:rsidP="00F975EA">
            <w:pPr>
              <w:jc w:val="left"/>
              <w:rPr>
                <w:sz w:val="18"/>
                <w:szCs w:val="18"/>
              </w:rPr>
            </w:pPr>
          </w:p>
          <w:p w14:paraId="274D477B" w14:textId="77777777" w:rsidR="005D17BB" w:rsidRPr="008340BB" w:rsidRDefault="005D17BB" w:rsidP="00F975EA">
            <w:pPr>
              <w:jc w:val="left"/>
              <w:rPr>
                <w:sz w:val="18"/>
                <w:szCs w:val="18"/>
              </w:rPr>
            </w:pPr>
          </w:p>
          <w:p w14:paraId="5ABC116D" w14:textId="77777777" w:rsidR="005D17BB" w:rsidRPr="008340BB" w:rsidRDefault="005D17BB" w:rsidP="00F975EA">
            <w:pPr>
              <w:jc w:val="left"/>
              <w:rPr>
                <w:sz w:val="18"/>
                <w:szCs w:val="18"/>
              </w:rPr>
            </w:pPr>
          </w:p>
          <w:p w14:paraId="7BF567F9" w14:textId="77777777" w:rsidR="005D17BB" w:rsidRPr="008340BB" w:rsidRDefault="005D17BB" w:rsidP="00F975EA">
            <w:pPr>
              <w:jc w:val="left"/>
              <w:rPr>
                <w:sz w:val="18"/>
                <w:szCs w:val="18"/>
              </w:rPr>
            </w:pPr>
          </w:p>
          <w:p w14:paraId="10A2B272" w14:textId="77777777" w:rsidR="005D17BB" w:rsidRPr="00CC37B9" w:rsidRDefault="009B1DD8" w:rsidP="00F975EA">
            <w:pPr>
              <w:jc w:val="left"/>
              <w:rPr>
                <w:sz w:val="18"/>
                <w:szCs w:val="18"/>
              </w:rPr>
            </w:pPr>
            <w:r w:rsidRPr="00435AC3">
              <w:rPr>
                <w:sz w:val="18"/>
                <w:szCs w:val="18"/>
              </w:rPr>
              <w:t>MTITC</w:t>
            </w:r>
          </w:p>
        </w:tc>
      </w:tr>
      <w:tr w:rsidR="00F1341F" w:rsidRPr="008340BB" w14:paraId="0F83A7DE" w14:textId="77777777" w:rsidTr="009B26B6">
        <w:trPr>
          <w:trHeight w:val="258"/>
        </w:trPr>
        <w:tc>
          <w:tcPr>
            <w:tcW w:w="1105" w:type="pct"/>
          </w:tcPr>
          <w:p w14:paraId="5E67C903" w14:textId="77777777" w:rsidR="00F1341F" w:rsidRPr="008340BB" w:rsidRDefault="00F1341F" w:rsidP="00597E7E">
            <w:pPr>
              <w:pStyle w:val="Sous-titreobjet"/>
              <w:jc w:val="left"/>
              <w:rPr>
                <w:b w:val="0"/>
                <w:sz w:val="18"/>
                <w:szCs w:val="18"/>
              </w:rPr>
            </w:pPr>
            <w:r w:rsidRPr="008340BB">
              <w:rPr>
                <w:sz w:val="18"/>
                <w:szCs w:val="18"/>
              </w:rPr>
              <w:lastRenderedPageBreak/>
              <w:t>7.3</w:t>
            </w:r>
            <w:r w:rsidRPr="008340BB">
              <w:rPr>
                <w:b w:val="0"/>
                <w:sz w:val="18"/>
                <w:szCs w:val="18"/>
              </w:rPr>
              <w:t xml:space="preserve"> Other modes of transport, including inland-waterways and maritime transport, ports, multimodal links and airport infrastructure: The existence within the comprehensive transport plan(s) or framework(s) of an explicit section on inland-waterways and maritime transport, ports, multimodal links and airport infrastructure, which contribute to improve connectivity to the TEN-T comprehensive and core networks and to promote sustainable regional and local mobility</w:t>
            </w:r>
          </w:p>
          <w:p w14:paraId="4E9764F6" w14:textId="77777777" w:rsidR="00F1341F" w:rsidRPr="008340BB" w:rsidRDefault="00F1341F" w:rsidP="00597E7E">
            <w:pPr>
              <w:rPr>
                <w:sz w:val="18"/>
                <w:szCs w:val="18"/>
                <w:lang w:eastAsia="en-US"/>
              </w:rPr>
            </w:pPr>
          </w:p>
          <w:p w14:paraId="21090849" w14:textId="77777777" w:rsidR="00F1341F" w:rsidRPr="008340BB" w:rsidRDefault="00F1341F" w:rsidP="00F03C1E">
            <w:pPr>
              <w:snapToGrid w:val="0"/>
            </w:pPr>
          </w:p>
        </w:tc>
        <w:tc>
          <w:tcPr>
            <w:tcW w:w="743" w:type="pct"/>
          </w:tcPr>
          <w:p w14:paraId="728FA6F7" w14:textId="77777777" w:rsidR="00F1341F" w:rsidRPr="008340BB" w:rsidRDefault="00F1341F" w:rsidP="00087A39">
            <w:pPr>
              <w:pStyle w:val="Sous-titreobjet"/>
              <w:jc w:val="left"/>
              <w:rPr>
                <w:b w:val="0"/>
                <w:sz w:val="18"/>
                <w:szCs w:val="18"/>
              </w:rPr>
            </w:pPr>
            <w:r w:rsidRPr="008340BB">
              <w:rPr>
                <w:b w:val="0"/>
                <w:sz w:val="18"/>
                <w:szCs w:val="18"/>
              </w:rPr>
              <w:t xml:space="preserve">The existence of a section on inland-waterways and maritime transport, ports, multimodal links and </w:t>
            </w:r>
            <w:r w:rsidRPr="008340BB">
              <w:rPr>
                <w:b w:val="0"/>
                <w:bCs/>
                <w:sz w:val="18"/>
                <w:szCs w:val="18"/>
                <w:lang w:eastAsia="fr-BE"/>
              </w:rPr>
              <w:t xml:space="preserve">airport infrastructure </w:t>
            </w:r>
            <w:r w:rsidRPr="008340BB">
              <w:rPr>
                <w:b w:val="0"/>
                <w:sz w:val="18"/>
                <w:szCs w:val="18"/>
              </w:rPr>
              <w:t>within the transport plan(s) or framework(s) which:</w:t>
            </w:r>
          </w:p>
          <w:p w14:paraId="0C0558C1" w14:textId="77777777" w:rsidR="00F1341F" w:rsidRPr="008340BB" w:rsidRDefault="00F1341F" w:rsidP="00087A39">
            <w:pPr>
              <w:pStyle w:val="Sous-titreobjet"/>
              <w:jc w:val="left"/>
              <w:rPr>
                <w:b w:val="0"/>
                <w:sz w:val="18"/>
                <w:szCs w:val="18"/>
              </w:rPr>
            </w:pPr>
            <w:r w:rsidRPr="008340BB">
              <w:rPr>
                <w:b w:val="0"/>
                <w:sz w:val="18"/>
                <w:szCs w:val="18"/>
              </w:rPr>
              <w:t xml:space="preserve">- fulfils legal requirements for strategic environmental assessment </w:t>
            </w:r>
          </w:p>
          <w:p w14:paraId="442AA3E1" w14:textId="77777777" w:rsidR="00F1341F" w:rsidRPr="008340BB" w:rsidRDefault="00F1341F" w:rsidP="00087A39">
            <w:pPr>
              <w:pStyle w:val="Sous-titreobjet"/>
              <w:jc w:val="left"/>
              <w:rPr>
                <w:b w:val="0"/>
                <w:sz w:val="18"/>
                <w:szCs w:val="18"/>
              </w:rPr>
            </w:pPr>
            <w:r w:rsidRPr="008340BB">
              <w:rPr>
                <w:b w:val="0"/>
                <w:sz w:val="18"/>
                <w:szCs w:val="18"/>
              </w:rPr>
              <w:t>- sets out a realistic and mature project pipeline (including a timetable, budgetary framework);</w:t>
            </w:r>
          </w:p>
          <w:p w14:paraId="32DDB852" w14:textId="77777777" w:rsidR="00F1341F" w:rsidRPr="008340BB" w:rsidRDefault="00F1341F" w:rsidP="00087A39">
            <w:pPr>
              <w:snapToGrid w:val="0"/>
              <w:ind w:left="107"/>
            </w:pPr>
          </w:p>
        </w:tc>
        <w:tc>
          <w:tcPr>
            <w:tcW w:w="854" w:type="pct"/>
          </w:tcPr>
          <w:p w14:paraId="7EF4E37F" w14:textId="77777777" w:rsidR="00F1341F" w:rsidRPr="008340BB" w:rsidRDefault="00F1341F" w:rsidP="0074710F">
            <w:pPr>
              <w:spacing w:before="0" w:after="0"/>
              <w:jc w:val="left"/>
              <w:rPr>
                <w:b/>
                <w:sz w:val="18"/>
                <w:szCs w:val="18"/>
                <w:lang w:eastAsia="bg-BG"/>
              </w:rPr>
            </w:pPr>
            <w:r w:rsidRPr="008340BB">
              <w:rPr>
                <w:b/>
                <w:sz w:val="18"/>
                <w:szCs w:val="18"/>
              </w:rPr>
              <w:t xml:space="preserve">Action </w:t>
            </w:r>
            <w:r w:rsidRPr="008340BB">
              <w:rPr>
                <w:b/>
                <w:sz w:val="18"/>
                <w:szCs w:val="18"/>
                <w:lang w:eastAsia="bg-BG"/>
              </w:rPr>
              <w:t>1</w:t>
            </w:r>
          </w:p>
          <w:p w14:paraId="13C88ACE" w14:textId="77777777" w:rsidR="00F1341F" w:rsidRPr="008340BB" w:rsidRDefault="00F1341F" w:rsidP="0074710F">
            <w:pPr>
              <w:jc w:val="left"/>
              <w:rPr>
                <w:sz w:val="18"/>
                <w:szCs w:val="18"/>
              </w:rPr>
            </w:pPr>
            <w:r w:rsidRPr="008340BB">
              <w:rPr>
                <w:sz w:val="18"/>
                <w:szCs w:val="18"/>
              </w:rPr>
              <w:t>Preparation of National multimodal transport strategy</w:t>
            </w:r>
            <w:r w:rsidR="00D20BF3">
              <w:rPr>
                <w:sz w:val="18"/>
                <w:szCs w:val="18"/>
              </w:rPr>
              <w:t xml:space="preserve"> /Intagrated transport Strategy</w:t>
            </w:r>
            <w:r w:rsidRPr="008340BB">
              <w:rPr>
                <w:sz w:val="18"/>
                <w:szCs w:val="18"/>
              </w:rPr>
              <w:t>.</w:t>
            </w:r>
          </w:p>
          <w:p w14:paraId="0F81CA7E" w14:textId="77777777" w:rsidR="005709ED" w:rsidRPr="00EA04DF" w:rsidRDefault="00933AB8" w:rsidP="005709ED">
            <w:pPr>
              <w:jc w:val="left"/>
              <w:rPr>
                <w:sz w:val="18"/>
                <w:szCs w:val="18"/>
              </w:rPr>
            </w:pPr>
            <w:r w:rsidRPr="00EA04DF">
              <w:rPr>
                <w:sz w:val="18"/>
                <w:szCs w:val="18"/>
              </w:rPr>
              <w:t xml:space="preserve">See </w:t>
            </w:r>
            <w:r w:rsidR="005709ED" w:rsidRPr="00EA04DF">
              <w:rPr>
                <w:sz w:val="18"/>
                <w:szCs w:val="18"/>
              </w:rPr>
              <w:t>7.1</w:t>
            </w:r>
          </w:p>
          <w:p w14:paraId="01420C75" w14:textId="77777777" w:rsidR="00F1341F" w:rsidRPr="008340BB" w:rsidRDefault="00F1341F" w:rsidP="0074710F">
            <w:pPr>
              <w:rPr>
                <w:sz w:val="18"/>
                <w:szCs w:val="18"/>
              </w:rPr>
            </w:pPr>
          </w:p>
          <w:p w14:paraId="5DE49F52" w14:textId="77777777" w:rsidR="00645ED5" w:rsidRPr="008340BB" w:rsidRDefault="00645ED5" w:rsidP="0074710F">
            <w:pPr>
              <w:snapToGrid w:val="0"/>
              <w:jc w:val="left"/>
              <w:rPr>
                <w:sz w:val="18"/>
                <w:szCs w:val="18"/>
              </w:rPr>
            </w:pPr>
          </w:p>
          <w:p w14:paraId="26C0FD2F" w14:textId="77777777" w:rsidR="00645ED5" w:rsidRPr="00F422B7" w:rsidRDefault="00645ED5" w:rsidP="001D2B2B">
            <w:pPr>
              <w:snapToGrid w:val="0"/>
              <w:jc w:val="left"/>
            </w:pPr>
          </w:p>
        </w:tc>
        <w:tc>
          <w:tcPr>
            <w:tcW w:w="1211" w:type="pct"/>
          </w:tcPr>
          <w:p w14:paraId="54BDC4B2" w14:textId="77777777" w:rsidR="00E87023" w:rsidRDefault="00373186" w:rsidP="00435AC3">
            <w:pPr>
              <w:spacing w:after="0"/>
              <w:rPr>
                <w:sz w:val="18"/>
                <w:szCs w:val="18"/>
              </w:rPr>
            </w:pPr>
            <w:r w:rsidRPr="00EA04DF">
              <w:rPr>
                <w:color w:val="000000"/>
                <w:sz w:val="18"/>
                <w:szCs w:val="18"/>
                <w:lang w:eastAsia="en-US"/>
              </w:rPr>
              <w:t xml:space="preserve">30 September 2016 </w:t>
            </w:r>
          </w:p>
          <w:p w14:paraId="0F2FCB97" w14:textId="77777777" w:rsidR="00E87023" w:rsidRDefault="00E87023" w:rsidP="00435AC3">
            <w:pPr>
              <w:spacing w:after="0"/>
              <w:rPr>
                <w:sz w:val="18"/>
                <w:szCs w:val="18"/>
              </w:rPr>
            </w:pPr>
          </w:p>
          <w:p w14:paraId="37A21B0D" w14:textId="77777777" w:rsidR="00E87023" w:rsidRDefault="00E87023" w:rsidP="00435AC3">
            <w:pPr>
              <w:spacing w:after="0"/>
              <w:rPr>
                <w:sz w:val="18"/>
                <w:szCs w:val="18"/>
              </w:rPr>
            </w:pPr>
          </w:p>
          <w:p w14:paraId="60F4883A" w14:textId="77777777" w:rsidR="00E87023" w:rsidRDefault="00E87023" w:rsidP="00435AC3">
            <w:pPr>
              <w:spacing w:after="0"/>
              <w:rPr>
                <w:sz w:val="18"/>
                <w:szCs w:val="18"/>
              </w:rPr>
            </w:pPr>
          </w:p>
          <w:p w14:paraId="201B165A" w14:textId="77777777" w:rsidR="00E87023" w:rsidRDefault="00E87023" w:rsidP="00435AC3">
            <w:pPr>
              <w:spacing w:after="0"/>
              <w:rPr>
                <w:sz w:val="18"/>
                <w:szCs w:val="18"/>
              </w:rPr>
            </w:pPr>
          </w:p>
          <w:p w14:paraId="4A354925" w14:textId="77777777" w:rsidR="00E87023" w:rsidRDefault="00E87023" w:rsidP="00435AC3">
            <w:pPr>
              <w:spacing w:after="0"/>
              <w:rPr>
                <w:sz w:val="18"/>
                <w:szCs w:val="18"/>
              </w:rPr>
            </w:pPr>
          </w:p>
          <w:p w14:paraId="7943F119" w14:textId="77777777" w:rsidR="00E87023" w:rsidRDefault="00E87023" w:rsidP="00435AC3">
            <w:pPr>
              <w:spacing w:after="0"/>
              <w:rPr>
                <w:sz w:val="18"/>
                <w:szCs w:val="18"/>
              </w:rPr>
            </w:pPr>
          </w:p>
          <w:p w14:paraId="3E85320F" w14:textId="77777777" w:rsidR="00E87023" w:rsidRDefault="00E87023" w:rsidP="00435AC3">
            <w:pPr>
              <w:spacing w:after="0"/>
              <w:rPr>
                <w:sz w:val="18"/>
                <w:szCs w:val="18"/>
              </w:rPr>
            </w:pPr>
          </w:p>
          <w:p w14:paraId="16DE4B88" w14:textId="77777777" w:rsidR="00E87023" w:rsidRDefault="00E87023" w:rsidP="00435AC3">
            <w:pPr>
              <w:spacing w:after="0"/>
              <w:rPr>
                <w:sz w:val="18"/>
                <w:szCs w:val="18"/>
              </w:rPr>
            </w:pPr>
          </w:p>
          <w:p w14:paraId="69047154" w14:textId="77777777" w:rsidR="005709ED" w:rsidRDefault="005709ED" w:rsidP="00435AC3">
            <w:pPr>
              <w:spacing w:after="0"/>
              <w:rPr>
                <w:sz w:val="18"/>
                <w:szCs w:val="18"/>
                <w:highlight w:val="yellow"/>
              </w:rPr>
            </w:pPr>
          </w:p>
          <w:p w14:paraId="6A7C83F2" w14:textId="77777777" w:rsidR="00E87023" w:rsidRPr="00435AC3" w:rsidRDefault="00E87023">
            <w:pPr>
              <w:spacing w:after="0"/>
              <w:rPr>
                <w:sz w:val="18"/>
                <w:szCs w:val="18"/>
              </w:rPr>
            </w:pPr>
          </w:p>
        </w:tc>
        <w:tc>
          <w:tcPr>
            <w:tcW w:w="1087" w:type="pct"/>
          </w:tcPr>
          <w:p w14:paraId="45DED25A" w14:textId="77777777" w:rsidR="00F1341F" w:rsidRPr="0067246B" w:rsidRDefault="00F1341F" w:rsidP="00CF521E">
            <w:pPr>
              <w:spacing w:before="0" w:after="0"/>
              <w:rPr>
                <w:sz w:val="18"/>
                <w:szCs w:val="18"/>
              </w:rPr>
            </w:pPr>
            <w:r w:rsidRPr="008340BB">
              <w:rPr>
                <w:sz w:val="18"/>
                <w:szCs w:val="18"/>
              </w:rPr>
              <w:t>MTITC</w:t>
            </w:r>
          </w:p>
          <w:p w14:paraId="10388EB4" w14:textId="77777777" w:rsidR="005D17BB" w:rsidRPr="00020ADD" w:rsidRDefault="005D17BB" w:rsidP="00CF521E">
            <w:pPr>
              <w:spacing w:before="0" w:after="0"/>
              <w:rPr>
                <w:sz w:val="18"/>
                <w:szCs w:val="18"/>
              </w:rPr>
            </w:pPr>
          </w:p>
          <w:p w14:paraId="64C75838" w14:textId="77777777" w:rsidR="005D17BB" w:rsidRPr="00020ADD" w:rsidRDefault="005D17BB" w:rsidP="00CF521E">
            <w:pPr>
              <w:spacing w:before="0" w:after="0"/>
              <w:rPr>
                <w:sz w:val="18"/>
                <w:szCs w:val="18"/>
              </w:rPr>
            </w:pPr>
          </w:p>
          <w:p w14:paraId="4E904B76" w14:textId="77777777" w:rsidR="005D17BB" w:rsidRPr="00020ADD" w:rsidRDefault="005D17BB" w:rsidP="00CF521E">
            <w:pPr>
              <w:spacing w:before="0" w:after="0"/>
              <w:rPr>
                <w:sz w:val="18"/>
                <w:szCs w:val="18"/>
              </w:rPr>
            </w:pPr>
          </w:p>
          <w:p w14:paraId="10ABD605" w14:textId="77777777" w:rsidR="005D17BB" w:rsidRPr="00DC0475" w:rsidRDefault="005D17BB" w:rsidP="00CF521E">
            <w:pPr>
              <w:spacing w:before="0" w:after="0"/>
              <w:rPr>
                <w:sz w:val="18"/>
                <w:szCs w:val="18"/>
              </w:rPr>
            </w:pPr>
          </w:p>
          <w:p w14:paraId="2B3E43BA" w14:textId="77777777" w:rsidR="005D17BB" w:rsidRPr="00B5130A" w:rsidRDefault="005D17BB" w:rsidP="00CF521E">
            <w:pPr>
              <w:spacing w:before="0" w:after="0"/>
              <w:rPr>
                <w:sz w:val="18"/>
                <w:szCs w:val="18"/>
              </w:rPr>
            </w:pPr>
          </w:p>
          <w:p w14:paraId="0EB8FC1B" w14:textId="77777777" w:rsidR="005D17BB" w:rsidRPr="00BA2131" w:rsidRDefault="005D17BB" w:rsidP="00CF521E">
            <w:pPr>
              <w:spacing w:before="0" w:after="0"/>
              <w:rPr>
                <w:sz w:val="18"/>
                <w:szCs w:val="18"/>
              </w:rPr>
            </w:pPr>
          </w:p>
          <w:p w14:paraId="69AC60DD" w14:textId="77777777" w:rsidR="005D17BB" w:rsidRPr="00A828C5" w:rsidRDefault="005D17BB" w:rsidP="00CF521E">
            <w:pPr>
              <w:spacing w:before="0" w:after="0"/>
              <w:rPr>
                <w:sz w:val="18"/>
                <w:szCs w:val="18"/>
              </w:rPr>
            </w:pPr>
          </w:p>
          <w:p w14:paraId="150CDBF3" w14:textId="77777777" w:rsidR="005D17BB" w:rsidRPr="008340BB" w:rsidRDefault="005D17BB" w:rsidP="00CF521E">
            <w:pPr>
              <w:spacing w:before="0" w:after="0"/>
              <w:rPr>
                <w:sz w:val="18"/>
                <w:szCs w:val="18"/>
              </w:rPr>
            </w:pPr>
          </w:p>
          <w:p w14:paraId="295EAEB4" w14:textId="77777777" w:rsidR="005D17BB" w:rsidRPr="008340BB" w:rsidRDefault="005D17BB" w:rsidP="00CF521E">
            <w:pPr>
              <w:spacing w:before="0" w:after="0"/>
              <w:rPr>
                <w:sz w:val="18"/>
                <w:szCs w:val="18"/>
              </w:rPr>
            </w:pPr>
          </w:p>
          <w:p w14:paraId="3060F66D" w14:textId="77777777" w:rsidR="005D17BB" w:rsidRPr="008340BB" w:rsidRDefault="005D17BB" w:rsidP="00CF521E">
            <w:pPr>
              <w:spacing w:before="0" w:after="0"/>
              <w:rPr>
                <w:sz w:val="18"/>
                <w:szCs w:val="18"/>
              </w:rPr>
            </w:pPr>
          </w:p>
          <w:p w14:paraId="12DA6E92" w14:textId="77777777" w:rsidR="005D17BB" w:rsidRPr="008340BB" w:rsidRDefault="005D17BB" w:rsidP="00CF521E">
            <w:pPr>
              <w:spacing w:before="0" w:after="0"/>
              <w:rPr>
                <w:sz w:val="18"/>
                <w:szCs w:val="18"/>
              </w:rPr>
            </w:pPr>
          </w:p>
          <w:p w14:paraId="60D088A4" w14:textId="77777777" w:rsidR="005D17BB" w:rsidRPr="008340BB" w:rsidRDefault="005D17BB" w:rsidP="00CF521E">
            <w:pPr>
              <w:spacing w:before="0" w:after="0"/>
              <w:rPr>
                <w:sz w:val="18"/>
                <w:szCs w:val="18"/>
              </w:rPr>
            </w:pPr>
          </w:p>
          <w:p w14:paraId="3B16DEDC" w14:textId="77777777" w:rsidR="005D17BB" w:rsidRPr="008340BB" w:rsidRDefault="005D17BB" w:rsidP="00CF521E">
            <w:pPr>
              <w:spacing w:before="0" w:after="0"/>
              <w:rPr>
                <w:sz w:val="18"/>
                <w:szCs w:val="18"/>
              </w:rPr>
            </w:pPr>
          </w:p>
          <w:p w14:paraId="77706B3F" w14:textId="77777777" w:rsidR="005D17BB" w:rsidRPr="008340BB" w:rsidRDefault="005D17BB" w:rsidP="00CF521E">
            <w:pPr>
              <w:spacing w:before="0" w:after="0"/>
              <w:rPr>
                <w:sz w:val="18"/>
                <w:szCs w:val="18"/>
              </w:rPr>
            </w:pPr>
          </w:p>
          <w:p w14:paraId="2ECF3B1C" w14:textId="77777777" w:rsidR="005D17BB" w:rsidRPr="008340BB" w:rsidRDefault="005D17BB" w:rsidP="00CF521E">
            <w:pPr>
              <w:spacing w:before="0" w:after="0"/>
              <w:rPr>
                <w:sz w:val="18"/>
                <w:szCs w:val="18"/>
              </w:rPr>
            </w:pPr>
          </w:p>
          <w:p w14:paraId="5F1B7850" w14:textId="77777777" w:rsidR="005D17BB" w:rsidRPr="008340BB" w:rsidRDefault="005D17BB" w:rsidP="00CF521E">
            <w:pPr>
              <w:spacing w:before="0" w:after="0"/>
              <w:rPr>
                <w:sz w:val="18"/>
                <w:szCs w:val="18"/>
              </w:rPr>
            </w:pPr>
          </w:p>
          <w:p w14:paraId="3BE3786B" w14:textId="77777777" w:rsidR="005709ED" w:rsidRDefault="005709ED" w:rsidP="00CF521E">
            <w:pPr>
              <w:spacing w:before="0" w:after="0"/>
              <w:rPr>
                <w:sz w:val="18"/>
                <w:szCs w:val="18"/>
                <w:highlight w:val="yellow"/>
              </w:rPr>
            </w:pPr>
          </w:p>
          <w:p w14:paraId="208F752B" w14:textId="77777777" w:rsidR="005709ED" w:rsidRDefault="005709ED" w:rsidP="00CF521E">
            <w:pPr>
              <w:spacing w:before="0" w:after="0"/>
              <w:rPr>
                <w:sz w:val="18"/>
                <w:szCs w:val="18"/>
                <w:highlight w:val="yellow"/>
              </w:rPr>
            </w:pPr>
          </w:p>
          <w:p w14:paraId="3A8EB35C" w14:textId="77777777" w:rsidR="005D17BB" w:rsidRPr="00F422B7" w:rsidRDefault="005D17BB" w:rsidP="00CF521E">
            <w:pPr>
              <w:spacing w:before="0" w:after="0"/>
              <w:rPr>
                <w:sz w:val="18"/>
                <w:szCs w:val="18"/>
              </w:rPr>
            </w:pPr>
          </w:p>
        </w:tc>
      </w:tr>
    </w:tbl>
    <w:p w14:paraId="48CBA226" w14:textId="77777777" w:rsidR="00F1341F" w:rsidRPr="008340BB" w:rsidRDefault="00F1341F" w:rsidP="00F914D7">
      <w:pPr>
        <w:ind w:left="1701" w:hanging="1701"/>
        <w:rPr>
          <w:b/>
        </w:rPr>
      </w:pPr>
    </w:p>
    <w:p w14:paraId="471875FA" w14:textId="77777777" w:rsidR="00F1341F" w:rsidRPr="008340BB" w:rsidRDefault="00F1341F" w:rsidP="00F914D7">
      <w:pPr>
        <w:ind w:left="1701" w:hanging="1701"/>
        <w:rPr>
          <w:rFonts w:ascii="Arial" w:hAnsi="Arial"/>
          <w:b/>
          <w:sz w:val="18"/>
          <w:szCs w:val="24"/>
          <w:lang w:eastAsia="nl-NL"/>
        </w:rPr>
      </w:pPr>
    </w:p>
    <w:p w14:paraId="1072E06C" w14:textId="77777777" w:rsidR="00F1341F" w:rsidRPr="008340BB" w:rsidRDefault="00F1341F" w:rsidP="00F914D7">
      <w:pPr>
        <w:ind w:left="1701" w:hanging="1701"/>
        <w:rPr>
          <w:rFonts w:ascii="Arial" w:hAnsi="Arial"/>
          <w:b/>
          <w:sz w:val="18"/>
          <w:szCs w:val="24"/>
          <w:lang w:eastAsia="nl-NL"/>
        </w:rPr>
      </w:pPr>
    </w:p>
    <w:p w14:paraId="22185897" w14:textId="77777777" w:rsidR="00F1341F" w:rsidRPr="008340BB" w:rsidRDefault="00F1341F" w:rsidP="00F914D7">
      <w:pPr>
        <w:ind w:left="1701" w:hanging="1701"/>
        <w:rPr>
          <w:rFonts w:eastAsia="Times New Roman"/>
          <w:b/>
        </w:rPr>
      </w:pPr>
      <w:r w:rsidRPr="008340BB">
        <w:rPr>
          <w:rFonts w:eastAsia="Times New Roman"/>
          <w:b/>
        </w:rPr>
        <w:br w:type="page"/>
      </w:r>
      <w:r w:rsidRPr="008340BB">
        <w:rPr>
          <w:rFonts w:eastAsia="Times New Roman"/>
          <w:b/>
        </w:rPr>
        <w:lastRenderedPageBreak/>
        <w:t>SECTION 10</w:t>
      </w:r>
      <w:r w:rsidRPr="008340BB">
        <w:rPr>
          <w:rFonts w:eastAsia="Times New Roman"/>
          <w:b/>
        </w:rPr>
        <w:tab/>
        <w:t>Reduction of administrative burden for beneficiaries</w:t>
      </w:r>
    </w:p>
    <w:p w14:paraId="1B0B6C07" w14:textId="77777777" w:rsidR="00F1341F" w:rsidRPr="008340BB" w:rsidRDefault="00F1341F" w:rsidP="00F914D7">
      <w:pPr>
        <w:ind w:left="1701" w:hanging="1701"/>
        <w:rPr>
          <w:rFonts w:eastAsia="Times New Roman"/>
        </w:rPr>
      </w:pPr>
      <w:r w:rsidRPr="008340BB">
        <w:rPr>
          <w:rFonts w:eastAsia="Times New Roman"/>
        </w:rPr>
        <w:t>(Reference: point (c) of Article 96(6) of Regulation (EU) No 1303/2013)</w:t>
      </w:r>
    </w:p>
    <w:p w14:paraId="203C13D9" w14:textId="77777777" w:rsidR="00F1341F" w:rsidRPr="008340BB" w:rsidRDefault="00F1341F" w:rsidP="00F914D7">
      <w:pPr>
        <w:ind w:left="1701" w:hanging="1701"/>
        <w:rPr>
          <w:rFonts w:ascii="Arial" w:hAnsi="Arial"/>
          <w:sz w:val="18"/>
          <w:szCs w:val="24"/>
          <w:lang w:eastAsia="nl-NL"/>
        </w:rPr>
      </w:pPr>
    </w:p>
    <w:p w14:paraId="3BD2345D" w14:textId="77777777" w:rsidR="00F1341F" w:rsidRPr="008340BB" w:rsidRDefault="00F1341F" w:rsidP="00F9369E">
      <w:pPr>
        <w:pStyle w:val="Text1"/>
        <w:ind w:left="0"/>
        <w:rPr>
          <w:rFonts w:eastAsia="Times New Roman"/>
          <w:sz w:val="24"/>
          <w:szCs w:val="22"/>
          <w:lang w:val="en-GB" w:eastAsia="bg-BG"/>
        </w:rPr>
      </w:pPr>
      <w:r w:rsidRPr="008340BB">
        <w:rPr>
          <w:rFonts w:eastAsia="Times New Roman"/>
          <w:sz w:val="24"/>
          <w:szCs w:val="22"/>
          <w:lang w:val="en-GB" w:eastAsia="bg-BG"/>
        </w:rPr>
        <w:t>Summary of the assessment of the administrative burden for beneficiaries and, where necessary, the actions planned accompanied by an indicative timeframe to reduce administrative burden</w:t>
      </w:r>
    </w:p>
    <w:p w14:paraId="0A2FA709" w14:textId="77777777" w:rsidR="00F1341F" w:rsidRPr="008340BB" w:rsidRDefault="00F1341F" w:rsidP="00F03C1E">
      <w:pPr>
        <w:pStyle w:val="Text1"/>
        <w:ind w:left="0"/>
        <w:rPr>
          <w:lang w:val="en-GB"/>
        </w:rPr>
      </w:pPr>
    </w:p>
    <w:tbl>
      <w:tblPr>
        <w:tblW w:w="0" w:type="auto"/>
        <w:jc w:val="center"/>
        <w:tblLook w:val="00A0" w:firstRow="1" w:lastRow="0" w:firstColumn="1" w:lastColumn="0" w:noHBand="0" w:noVBand="0"/>
      </w:tblPr>
      <w:tblGrid>
        <w:gridCol w:w="8185"/>
      </w:tblGrid>
      <w:tr w:rsidR="00F1341F" w:rsidRPr="008340BB" w14:paraId="3854B182" w14:textId="77777777" w:rsidTr="00231274">
        <w:trPr>
          <w:trHeight w:val="527"/>
          <w:jc w:val="center"/>
        </w:trPr>
        <w:tc>
          <w:tcPr>
            <w:tcW w:w="8185" w:type="dxa"/>
          </w:tcPr>
          <w:p w14:paraId="6127B02D" w14:textId="77777777" w:rsidR="00F1341F" w:rsidRPr="008340BB" w:rsidRDefault="00F1341F" w:rsidP="00231274">
            <w:pPr>
              <w:pStyle w:val="ListParagraph"/>
              <w:overflowPunct w:val="0"/>
              <w:autoSpaceDE w:val="0"/>
              <w:autoSpaceDN w:val="0"/>
              <w:adjustRightInd w:val="0"/>
              <w:spacing w:before="120" w:after="0"/>
              <w:ind w:left="0"/>
              <w:textAlignment w:val="baseline"/>
            </w:pPr>
            <w:r w:rsidRPr="008340BB">
              <w:rPr>
                <w:rStyle w:val="hps"/>
                <w:b/>
                <w:i/>
              </w:rPr>
              <w:t>Overview and</w:t>
            </w:r>
            <w:r w:rsidRPr="008340BB">
              <w:rPr>
                <w:b/>
                <w:i/>
              </w:rPr>
              <w:t xml:space="preserve"> </w:t>
            </w:r>
            <w:r w:rsidRPr="008340BB">
              <w:rPr>
                <w:rStyle w:val="hps"/>
                <w:b/>
                <w:i/>
              </w:rPr>
              <w:t>assessment of the</w:t>
            </w:r>
            <w:r w:rsidRPr="008340BB">
              <w:rPr>
                <w:b/>
                <w:i/>
              </w:rPr>
              <w:t xml:space="preserve"> </w:t>
            </w:r>
            <w:r w:rsidRPr="008340BB">
              <w:rPr>
                <w:rStyle w:val="hps"/>
                <w:b/>
                <w:i/>
              </w:rPr>
              <w:t>administrative burden</w:t>
            </w:r>
            <w:r w:rsidRPr="008340BB">
              <w:rPr>
                <w:b/>
                <w:i/>
              </w:rPr>
              <w:t xml:space="preserve"> </w:t>
            </w:r>
            <w:r w:rsidRPr="008340BB">
              <w:rPr>
                <w:rStyle w:val="hps"/>
                <w:b/>
                <w:i/>
              </w:rPr>
              <w:t>for the period 2007-2013</w:t>
            </w:r>
            <w:r w:rsidRPr="008340BB">
              <w:t xml:space="preserve"> </w:t>
            </w:r>
            <w:r w:rsidRPr="008340BB">
              <w:br/>
            </w:r>
          </w:p>
          <w:p w14:paraId="4A9E991F" w14:textId="77777777" w:rsidR="00F1341F" w:rsidRPr="008340BB" w:rsidRDefault="00F1341F" w:rsidP="00231274">
            <w:pPr>
              <w:pStyle w:val="ListParagraph"/>
              <w:overflowPunct w:val="0"/>
              <w:autoSpaceDE w:val="0"/>
              <w:autoSpaceDN w:val="0"/>
              <w:adjustRightInd w:val="0"/>
              <w:spacing w:before="120" w:after="0"/>
              <w:ind w:left="0"/>
              <w:textAlignment w:val="baseline"/>
            </w:pPr>
            <w:r w:rsidRPr="008340BB">
              <w:rPr>
                <w:rStyle w:val="hps"/>
              </w:rPr>
              <w:t>Within the framework of each</w:t>
            </w:r>
            <w:r w:rsidRPr="008340BB">
              <w:t xml:space="preserve"> </w:t>
            </w:r>
            <w:r w:rsidRPr="008340BB">
              <w:rPr>
                <w:rStyle w:val="hps"/>
              </w:rPr>
              <w:t>programme</w:t>
            </w:r>
            <w:r w:rsidRPr="008340BB">
              <w:t xml:space="preserve"> </w:t>
            </w:r>
            <w:r w:rsidRPr="008340BB">
              <w:rPr>
                <w:rStyle w:val="hps"/>
              </w:rPr>
              <w:t>the administrative burden,</w:t>
            </w:r>
            <w:r w:rsidRPr="008340BB">
              <w:t xml:space="preserve"> </w:t>
            </w:r>
            <w:r w:rsidRPr="008340BB">
              <w:rPr>
                <w:rStyle w:val="hps"/>
              </w:rPr>
              <w:t>created</w:t>
            </w:r>
            <w:r w:rsidRPr="008340BB">
              <w:t xml:space="preserve"> </w:t>
            </w:r>
            <w:r w:rsidRPr="008340BB">
              <w:rPr>
                <w:rStyle w:val="hps"/>
              </w:rPr>
              <w:t>in various stages of</w:t>
            </w:r>
            <w:r w:rsidRPr="008340BB">
              <w:t xml:space="preserve"> </w:t>
            </w:r>
            <w:r w:rsidRPr="008340BB">
              <w:rPr>
                <w:rStyle w:val="hps"/>
              </w:rPr>
              <w:t>the project cycle</w:t>
            </w:r>
            <w:r w:rsidRPr="008340BB">
              <w:t xml:space="preserve"> </w:t>
            </w:r>
            <w:r w:rsidRPr="008340BB">
              <w:rPr>
                <w:rStyle w:val="hps"/>
              </w:rPr>
              <w:t>is the same,</w:t>
            </w:r>
            <w:r w:rsidRPr="008340BB">
              <w:t xml:space="preserve"> </w:t>
            </w:r>
            <w:r w:rsidRPr="008340BB">
              <w:rPr>
                <w:rStyle w:val="hps"/>
              </w:rPr>
              <w:t>regardless of the nature</w:t>
            </w:r>
            <w:r w:rsidRPr="008340BB">
              <w:t xml:space="preserve"> </w:t>
            </w:r>
            <w:r w:rsidRPr="008340BB">
              <w:rPr>
                <w:rStyle w:val="hps"/>
              </w:rPr>
              <w:t>and</w:t>
            </w:r>
            <w:r w:rsidRPr="008340BB">
              <w:t xml:space="preserve"> </w:t>
            </w:r>
            <w:r w:rsidRPr="008340BB">
              <w:rPr>
                <w:rStyle w:val="hps"/>
              </w:rPr>
              <w:t>the budget of a specific project</w:t>
            </w:r>
            <w:r w:rsidRPr="008340BB">
              <w:t xml:space="preserve">. </w:t>
            </w:r>
            <w:r w:rsidRPr="008340BB">
              <w:rPr>
                <w:rStyle w:val="hps"/>
              </w:rPr>
              <w:t>All stages</w:t>
            </w:r>
            <w:r w:rsidRPr="008340BB">
              <w:t xml:space="preserve"> </w:t>
            </w:r>
            <w:r w:rsidRPr="008340BB">
              <w:rPr>
                <w:rStyle w:val="hps"/>
              </w:rPr>
              <w:t>of the project cycle</w:t>
            </w:r>
            <w:r w:rsidRPr="008340BB">
              <w:t xml:space="preserve"> </w:t>
            </w:r>
            <w:r w:rsidRPr="008340BB">
              <w:rPr>
                <w:rStyle w:val="hps"/>
              </w:rPr>
              <w:t>are characterised by</w:t>
            </w:r>
            <w:r w:rsidRPr="008340BB">
              <w:t xml:space="preserve"> </w:t>
            </w:r>
            <w:r w:rsidRPr="008340BB">
              <w:rPr>
                <w:rStyle w:val="hps"/>
              </w:rPr>
              <w:t>a large</w:t>
            </w:r>
            <w:r w:rsidRPr="008340BB">
              <w:t xml:space="preserve"> </w:t>
            </w:r>
            <w:r w:rsidRPr="008340BB">
              <w:rPr>
                <w:rStyle w:val="hps"/>
              </w:rPr>
              <w:t>volume of documents</w:t>
            </w:r>
            <w:r w:rsidRPr="008340BB">
              <w:t xml:space="preserve"> </w:t>
            </w:r>
            <w:r w:rsidRPr="008340BB">
              <w:rPr>
                <w:rStyle w:val="hps"/>
              </w:rPr>
              <w:t>and difficult</w:t>
            </w:r>
            <w:r w:rsidRPr="008340BB">
              <w:t xml:space="preserve"> </w:t>
            </w:r>
            <w:r w:rsidRPr="008340BB">
              <w:rPr>
                <w:rStyle w:val="hps"/>
              </w:rPr>
              <w:t>document flow.</w:t>
            </w:r>
            <w:r w:rsidRPr="008340BB">
              <w:t xml:space="preserve"> </w:t>
            </w:r>
            <w:r w:rsidRPr="008340BB">
              <w:rPr>
                <w:rStyle w:val="hps"/>
              </w:rPr>
              <w:t>Complex procedures</w:t>
            </w:r>
            <w:r w:rsidRPr="008340BB">
              <w:t xml:space="preserve"> </w:t>
            </w:r>
            <w:r w:rsidRPr="008340BB">
              <w:rPr>
                <w:rStyle w:val="hps"/>
              </w:rPr>
              <w:t>and the large</w:t>
            </w:r>
            <w:r w:rsidRPr="008340BB">
              <w:t xml:space="preserve"> </w:t>
            </w:r>
            <w:r w:rsidRPr="008340BB">
              <w:rPr>
                <w:rStyle w:val="hps"/>
              </w:rPr>
              <w:t>volume of</w:t>
            </w:r>
            <w:r w:rsidRPr="008340BB">
              <w:t xml:space="preserve"> </w:t>
            </w:r>
            <w:r w:rsidRPr="008340BB">
              <w:rPr>
                <w:rStyle w:val="hps"/>
              </w:rPr>
              <w:t>required documents</w:t>
            </w:r>
            <w:r w:rsidRPr="008340BB">
              <w:t xml:space="preserve"> </w:t>
            </w:r>
            <w:r w:rsidRPr="008340BB">
              <w:rPr>
                <w:rStyle w:val="hps"/>
              </w:rPr>
              <w:t>often</w:t>
            </w:r>
            <w:r w:rsidRPr="008340BB">
              <w:t xml:space="preserve"> </w:t>
            </w:r>
            <w:r w:rsidRPr="008340BB">
              <w:rPr>
                <w:rStyle w:val="hps"/>
              </w:rPr>
              <w:t>result in delays in</w:t>
            </w:r>
            <w:r w:rsidRPr="008340BB">
              <w:t xml:space="preserve"> </w:t>
            </w:r>
            <w:r w:rsidRPr="008340BB">
              <w:rPr>
                <w:rStyle w:val="hps"/>
              </w:rPr>
              <w:t>the evaluation</w:t>
            </w:r>
            <w:r w:rsidRPr="008340BB">
              <w:t xml:space="preserve"> </w:t>
            </w:r>
            <w:r w:rsidRPr="008340BB">
              <w:rPr>
                <w:rStyle w:val="hps"/>
              </w:rPr>
              <w:t>of proposals</w:t>
            </w:r>
            <w:r w:rsidRPr="008340BB">
              <w:t xml:space="preserve">, and the </w:t>
            </w:r>
            <w:r w:rsidRPr="008340BB">
              <w:rPr>
                <w:rStyle w:val="hps"/>
              </w:rPr>
              <w:t>delays</w:t>
            </w:r>
            <w:r w:rsidRPr="008340BB">
              <w:t xml:space="preserve"> </w:t>
            </w:r>
            <w:r w:rsidRPr="008340BB">
              <w:rPr>
                <w:rStyle w:val="hps"/>
              </w:rPr>
              <w:t>in</w:t>
            </w:r>
            <w:r w:rsidRPr="008340BB">
              <w:t xml:space="preserve"> </w:t>
            </w:r>
            <w:r w:rsidRPr="008340BB">
              <w:rPr>
                <w:rStyle w:val="hps"/>
              </w:rPr>
              <w:t>the verification process</w:t>
            </w:r>
            <w:r w:rsidRPr="008340BB">
              <w:t xml:space="preserve"> </w:t>
            </w:r>
            <w:r w:rsidRPr="008340BB">
              <w:rPr>
                <w:rStyle w:val="hps"/>
              </w:rPr>
              <w:t>and</w:t>
            </w:r>
            <w:r w:rsidRPr="008340BB">
              <w:t xml:space="preserve"> refunding of </w:t>
            </w:r>
            <w:r w:rsidRPr="008340BB">
              <w:rPr>
                <w:rStyle w:val="hps"/>
              </w:rPr>
              <w:t>incurred</w:t>
            </w:r>
            <w:r w:rsidRPr="008340BB">
              <w:t xml:space="preserve"> costs </w:t>
            </w:r>
            <w:r w:rsidRPr="008340BB">
              <w:rPr>
                <w:rStyle w:val="hps"/>
              </w:rPr>
              <w:t>deprive</w:t>
            </w:r>
            <w:r w:rsidRPr="008340BB">
              <w:t xml:space="preserve"> </w:t>
            </w:r>
            <w:r w:rsidRPr="008340BB">
              <w:rPr>
                <w:rStyle w:val="hps"/>
              </w:rPr>
              <w:t>beneficiaries</w:t>
            </w:r>
            <w:r w:rsidRPr="008340BB">
              <w:t xml:space="preserve"> </w:t>
            </w:r>
            <w:r w:rsidRPr="008340BB">
              <w:rPr>
                <w:rStyle w:val="hps"/>
              </w:rPr>
              <w:t>of</w:t>
            </w:r>
            <w:r w:rsidRPr="008340BB">
              <w:t xml:space="preserve"> </w:t>
            </w:r>
            <w:r w:rsidRPr="008340BB">
              <w:rPr>
                <w:rStyle w:val="hps"/>
              </w:rPr>
              <w:t>free financial resources</w:t>
            </w:r>
            <w:r w:rsidRPr="008340BB">
              <w:t xml:space="preserve">. </w:t>
            </w:r>
          </w:p>
          <w:p w14:paraId="41650DE2" w14:textId="77777777" w:rsidR="00F1341F" w:rsidRPr="008340BB" w:rsidRDefault="00F1341F" w:rsidP="00231274">
            <w:pPr>
              <w:pStyle w:val="ListParagraph"/>
              <w:overflowPunct w:val="0"/>
              <w:autoSpaceDE w:val="0"/>
              <w:autoSpaceDN w:val="0"/>
              <w:adjustRightInd w:val="0"/>
              <w:spacing w:before="120" w:after="0"/>
              <w:ind w:left="0"/>
              <w:textAlignment w:val="baseline"/>
              <w:rPr>
                <w:b/>
                <w:i/>
                <w:u w:val="single"/>
              </w:rPr>
            </w:pPr>
            <w:r w:rsidRPr="008340BB">
              <w:rPr>
                <w:rStyle w:val="hps"/>
              </w:rPr>
              <w:t>The public procurement</w:t>
            </w:r>
            <w:r w:rsidRPr="008340BB">
              <w:t xml:space="preserve"> </w:t>
            </w:r>
            <w:r w:rsidRPr="008340BB">
              <w:rPr>
                <w:rStyle w:val="hps"/>
              </w:rPr>
              <w:t>rules for the beneficiaries</w:t>
            </w:r>
            <w:r w:rsidRPr="008340BB">
              <w:t xml:space="preserve"> </w:t>
            </w:r>
            <w:r w:rsidRPr="008340BB">
              <w:rPr>
                <w:rStyle w:val="st"/>
              </w:rPr>
              <w:t xml:space="preserve">unnecessarily </w:t>
            </w:r>
            <w:r w:rsidRPr="008340BB">
              <w:rPr>
                <w:rStyle w:val="hps"/>
              </w:rPr>
              <w:t>burden or delay the implementation of</w:t>
            </w:r>
            <w:r w:rsidRPr="008340BB">
              <w:t xml:space="preserve"> </w:t>
            </w:r>
            <w:r w:rsidRPr="008340BB">
              <w:rPr>
                <w:rStyle w:val="hps"/>
              </w:rPr>
              <w:t>projects</w:t>
            </w:r>
            <w:r w:rsidRPr="008340BB">
              <w:t xml:space="preserve"> </w:t>
            </w:r>
            <w:r w:rsidRPr="008340BB">
              <w:rPr>
                <w:rStyle w:val="hps"/>
              </w:rPr>
              <w:t>and</w:t>
            </w:r>
            <w:r w:rsidRPr="008340BB">
              <w:t xml:space="preserve"> </w:t>
            </w:r>
            <w:r w:rsidRPr="008340BB">
              <w:rPr>
                <w:rStyle w:val="hps"/>
              </w:rPr>
              <w:t>procedures</w:t>
            </w:r>
            <w:r w:rsidRPr="008340BB">
              <w:t xml:space="preserve"> </w:t>
            </w:r>
            <w:r w:rsidRPr="008340BB">
              <w:rPr>
                <w:rStyle w:val="hps"/>
              </w:rPr>
              <w:t>under the ex-ante/ex-post control</w:t>
            </w:r>
            <w:r w:rsidRPr="008340BB">
              <w:t xml:space="preserve"> </w:t>
            </w:r>
            <w:r w:rsidRPr="008340BB">
              <w:rPr>
                <w:rStyle w:val="hps"/>
              </w:rPr>
              <w:t>of</w:t>
            </w:r>
            <w:r w:rsidRPr="008340BB">
              <w:t xml:space="preserve"> </w:t>
            </w:r>
            <w:r w:rsidRPr="008340BB">
              <w:rPr>
                <w:rStyle w:val="hps"/>
              </w:rPr>
              <w:t>tender documents</w:t>
            </w:r>
            <w:r w:rsidRPr="008340BB">
              <w:t xml:space="preserve"> </w:t>
            </w:r>
            <w:r w:rsidRPr="008340BB">
              <w:rPr>
                <w:rStyle w:val="hps"/>
              </w:rPr>
              <w:t>do not</w:t>
            </w:r>
            <w:r w:rsidRPr="008340BB">
              <w:t xml:space="preserve"> </w:t>
            </w:r>
            <w:r w:rsidRPr="008340BB">
              <w:rPr>
                <w:rStyle w:val="hps"/>
              </w:rPr>
              <w:t>guarantee that</w:t>
            </w:r>
            <w:r w:rsidRPr="008340BB">
              <w:t xml:space="preserve"> </w:t>
            </w:r>
            <w:r w:rsidRPr="008340BB">
              <w:rPr>
                <w:rStyle w:val="hps"/>
              </w:rPr>
              <w:t>the beneficiary</w:t>
            </w:r>
            <w:r w:rsidRPr="008340BB">
              <w:t xml:space="preserve"> </w:t>
            </w:r>
            <w:r w:rsidRPr="008340BB">
              <w:rPr>
                <w:rStyle w:val="hps"/>
              </w:rPr>
              <w:t>will</w:t>
            </w:r>
            <w:r w:rsidRPr="008340BB">
              <w:t xml:space="preserve"> not </w:t>
            </w:r>
            <w:r w:rsidRPr="008340BB">
              <w:rPr>
                <w:rStyle w:val="hps"/>
              </w:rPr>
              <w:t>be subsequently</w:t>
            </w:r>
            <w:r w:rsidRPr="008340BB">
              <w:t xml:space="preserve"> </w:t>
            </w:r>
            <w:r w:rsidRPr="008340BB">
              <w:rPr>
                <w:rStyle w:val="hps"/>
              </w:rPr>
              <w:t>imposed</w:t>
            </w:r>
            <w:r w:rsidRPr="008340BB">
              <w:t xml:space="preserve"> by </w:t>
            </w:r>
            <w:r w:rsidRPr="008340BB">
              <w:rPr>
                <w:rStyle w:val="hps"/>
              </w:rPr>
              <w:t>financial corrections</w:t>
            </w:r>
            <w:r w:rsidRPr="008340BB">
              <w:t xml:space="preserve"> </w:t>
            </w:r>
            <w:r w:rsidRPr="008340BB">
              <w:rPr>
                <w:rStyle w:val="hps"/>
              </w:rPr>
              <w:t>for breaches of</w:t>
            </w:r>
            <w:r w:rsidRPr="008340BB">
              <w:t xml:space="preserve"> </w:t>
            </w:r>
            <w:r w:rsidRPr="008340BB">
              <w:rPr>
                <w:rStyle w:val="hps"/>
              </w:rPr>
              <w:t>public procurement procedures</w:t>
            </w:r>
            <w:r w:rsidRPr="008340BB">
              <w:t xml:space="preserve">. </w:t>
            </w:r>
            <w:r w:rsidRPr="008340BB">
              <w:rPr>
                <w:rStyle w:val="hps"/>
              </w:rPr>
              <w:t>Additional burden</w:t>
            </w:r>
            <w:r w:rsidRPr="008340BB">
              <w:t xml:space="preserve"> </w:t>
            </w:r>
            <w:r w:rsidRPr="008340BB">
              <w:rPr>
                <w:rStyle w:val="hps"/>
              </w:rPr>
              <w:t>arises</w:t>
            </w:r>
            <w:r w:rsidRPr="008340BB">
              <w:t xml:space="preserve"> </w:t>
            </w:r>
            <w:r w:rsidRPr="008340BB">
              <w:rPr>
                <w:rStyle w:val="hps"/>
              </w:rPr>
              <w:t>from</w:t>
            </w:r>
            <w:r w:rsidRPr="008340BB">
              <w:t xml:space="preserve"> </w:t>
            </w:r>
            <w:r w:rsidRPr="008340BB">
              <w:rPr>
                <w:rStyle w:val="hps"/>
              </w:rPr>
              <w:t>the general rules</w:t>
            </w:r>
            <w:r w:rsidRPr="008340BB">
              <w:t xml:space="preserve"> </w:t>
            </w:r>
            <w:r w:rsidRPr="008340BB">
              <w:rPr>
                <w:rStyle w:val="hps"/>
              </w:rPr>
              <w:t>and procedures</w:t>
            </w:r>
            <w:r w:rsidRPr="008340BB">
              <w:t xml:space="preserve"> </w:t>
            </w:r>
            <w:r w:rsidRPr="008340BB">
              <w:rPr>
                <w:rStyle w:val="hps"/>
              </w:rPr>
              <w:t>in force in the</w:t>
            </w:r>
            <w:r w:rsidRPr="008340BB">
              <w:t xml:space="preserve"> </w:t>
            </w:r>
            <w:r w:rsidRPr="008340BB">
              <w:rPr>
                <w:rStyle w:val="hps"/>
              </w:rPr>
              <w:t>respective sectors.</w:t>
            </w:r>
            <w:r w:rsidRPr="008340BB">
              <w:t xml:space="preserve"> </w:t>
            </w:r>
            <w:r w:rsidRPr="008340BB">
              <w:rPr>
                <w:rStyle w:val="hps"/>
                <w:b/>
                <w:i/>
                <w:u w:val="single"/>
              </w:rPr>
              <w:t>Measures planned by the</w:t>
            </w:r>
            <w:r w:rsidRPr="008340BB">
              <w:rPr>
                <w:b/>
                <w:i/>
                <w:u w:val="single"/>
              </w:rPr>
              <w:t xml:space="preserve"> </w:t>
            </w:r>
            <w:r w:rsidRPr="008340BB">
              <w:rPr>
                <w:rStyle w:val="hps"/>
                <w:b/>
                <w:i/>
                <w:u w:val="single"/>
              </w:rPr>
              <w:t>Council of Ministers</w:t>
            </w:r>
            <w:r w:rsidRPr="008340BB">
              <w:rPr>
                <w:b/>
                <w:i/>
                <w:u w:val="single"/>
              </w:rPr>
              <w:t xml:space="preserve"> </w:t>
            </w:r>
            <w:r w:rsidRPr="008340BB">
              <w:rPr>
                <w:rStyle w:val="hps"/>
                <w:b/>
                <w:i/>
                <w:u w:val="single"/>
              </w:rPr>
              <w:t>to reduce</w:t>
            </w:r>
            <w:r w:rsidRPr="008340BB">
              <w:rPr>
                <w:b/>
                <w:i/>
                <w:u w:val="single"/>
              </w:rPr>
              <w:t xml:space="preserve"> </w:t>
            </w:r>
            <w:r w:rsidRPr="008340BB">
              <w:rPr>
                <w:rStyle w:val="hps"/>
                <w:b/>
                <w:i/>
                <w:u w:val="single"/>
              </w:rPr>
              <w:t>the administrative burden at a</w:t>
            </w:r>
            <w:r w:rsidRPr="008340BB">
              <w:rPr>
                <w:b/>
                <w:i/>
                <w:u w:val="single"/>
              </w:rPr>
              <w:t xml:space="preserve"> </w:t>
            </w:r>
            <w:r w:rsidRPr="008340BB">
              <w:rPr>
                <w:rStyle w:val="hps"/>
                <w:b/>
                <w:i/>
                <w:u w:val="single"/>
              </w:rPr>
              <w:t>national level</w:t>
            </w:r>
            <w:r w:rsidRPr="008340BB">
              <w:rPr>
                <w:b/>
                <w:i/>
                <w:u w:val="single"/>
              </w:rPr>
              <w:t xml:space="preserve">: </w:t>
            </w:r>
          </w:p>
          <w:p w14:paraId="5CD265DA" w14:textId="77777777" w:rsidR="00F1341F" w:rsidRPr="008340BB" w:rsidRDefault="00F1341F" w:rsidP="00231274">
            <w:pPr>
              <w:pStyle w:val="ListParagraph"/>
              <w:numPr>
                <w:ilvl w:val="0"/>
                <w:numId w:val="71"/>
              </w:numPr>
              <w:overflowPunct w:val="0"/>
              <w:autoSpaceDE w:val="0"/>
              <w:autoSpaceDN w:val="0"/>
              <w:adjustRightInd w:val="0"/>
              <w:spacing w:before="120" w:after="0"/>
              <w:textAlignment w:val="baseline"/>
            </w:pPr>
            <w:r w:rsidRPr="008340BB">
              <w:rPr>
                <w:rStyle w:val="hps"/>
              </w:rPr>
              <w:t>Adoption of</w:t>
            </w:r>
            <w:r w:rsidRPr="008340BB">
              <w:t xml:space="preserve"> </w:t>
            </w:r>
            <w:r w:rsidRPr="008340BB">
              <w:rPr>
                <w:rStyle w:val="hps"/>
              </w:rPr>
              <w:t>regulations</w:t>
            </w:r>
            <w:r w:rsidRPr="008340BB">
              <w:t xml:space="preserve"> </w:t>
            </w:r>
            <w:r w:rsidRPr="008340BB">
              <w:rPr>
                <w:rStyle w:val="hps"/>
              </w:rPr>
              <w:t>to implement the programmes,</w:t>
            </w:r>
            <w:r w:rsidRPr="008340BB">
              <w:t xml:space="preserve"> </w:t>
            </w:r>
            <w:r w:rsidRPr="008340BB">
              <w:rPr>
                <w:rStyle w:val="hps"/>
              </w:rPr>
              <w:t>funded under the</w:t>
            </w:r>
            <w:r w:rsidRPr="008340BB">
              <w:t xml:space="preserve"> </w:t>
            </w:r>
            <w:r w:rsidRPr="008340BB">
              <w:rPr>
                <w:rStyle w:val="hps"/>
              </w:rPr>
              <w:t>ESIF</w:t>
            </w:r>
            <w:r w:rsidRPr="008340BB">
              <w:t xml:space="preserve"> </w:t>
            </w:r>
            <w:r w:rsidRPr="008340BB">
              <w:rPr>
                <w:rStyle w:val="hps"/>
              </w:rPr>
              <w:t>(</w:t>
            </w:r>
            <w:r w:rsidRPr="008340BB">
              <w:t xml:space="preserve">May 2014); </w:t>
            </w:r>
          </w:p>
          <w:p w14:paraId="0E9A325E" w14:textId="77777777" w:rsidR="00F1341F" w:rsidRPr="008340BB" w:rsidRDefault="00F1341F" w:rsidP="00231274">
            <w:pPr>
              <w:pStyle w:val="ListParagraph"/>
              <w:numPr>
                <w:ilvl w:val="0"/>
                <w:numId w:val="71"/>
              </w:numPr>
              <w:overflowPunct w:val="0"/>
              <w:autoSpaceDE w:val="0"/>
              <w:autoSpaceDN w:val="0"/>
              <w:adjustRightInd w:val="0"/>
              <w:spacing w:before="120" w:after="0"/>
              <w:textAlignment w:val="baseline"/>
            </w:pPr>
            <w:r w:rsidRPr="008340BB">
              <w:rPr>
                <w:rStyle w:val="hps"/>
              </w:rPr>
              <w:t>Computerization of</w:t>
            </w:r>
            <w:r w:rsidRPr="008340BB">
              <w:t xml:space="preserve"> </w:t>
            </w:r>
            <w:r w:rsidRPr="008340BB">
              <w:rPr>
                <w:rStyle w:val="hps"/>
              </w:rPr>
              <w:t>the processes related</w:t>
            </w:r>
            <w:r w:rsidRPr="008340BB">
              <w:t xml:space="preserve"> </w:t>
            </w:r>
            <w:r w:rsidRPr="008340BB">
              <w:rPr>
                <w:rStyle w:val="hps"/>
              </w:rPr>
              <w:t>to the provision,</w:t>
            </w:r>
            <w:r w:rsidRPr="008340BB">
              <w:t xml:space="preserve"> </w:t>
            </w:r>
            <w:r w:rsidRPr="008340BB">
              <w:rPr>
                <w:rStyle w:val="hps"/>
              </w:rPr>
              <w:t>implementation, reporting</w:t>
            </w:r>
            <w:r w:rsidRPr="008340BB">
              <w:t xml:space="preserve"> </w:t>
            </w:r>
            <w:r w:rsidRPr="008340BB">
              <w:rPr>
                <w:rStyle w:val="hps"/>
              </w:rPr>
              <w:t>and monitoring of</w:t>
            </w:r>
            <w:r w:rsidRPr="008340BB">
              <w:t xml:space="preserve"> </w:t>
            </w:r>
            <w:r w:rsidRPr="008340BB">
              <w:rPr>
                <w:rStyle w:val="hps"/>
              </w:rPr>
              <w:t>financial assistance</w:t>
            </w:r>
            <w:r w:rsidRPr="008340BB">
              <w:t xml:space="preserve"> </w:t>
            </w:r>
            <w:r w:rsidRPr="008340BB">
              <w:rPr>
                <w:rStyle w:val="hps"/>
              </w:rPr>
              <w:t>(</w:t>
            </w:r>
            <w:r w:rsidRPr="008340BB">
              <w:t xml:space="preserve">December 2016); </w:t>
            </w:r>
          </w:p>
          <w:p w14:paraId="4C8AEF47" w14:textId="77777777" w:rsidR="00F1341F" w:rsidRPr="008340BB" w:rsidRDefault="00F1341F" w:rsidP="00231274">
            <w:pPr>
              <w:pStyle w:val="ListParagraph"/>
              <w:numPr>
                <w:ilvl w:val="0"/>
                <w:numId w:val="71"/>
              </w:numPr>
              <w:overflowPunct w:val="0"/>
              <w:autoSpaceDE w:val="0"/>
              <w:autoSpaceDN w:val="0"/>
              <w:adjustRightInd w:val="0"/>
              <w:spacing w:before="120" w:after="0"/>
              <w:textAlignment w:val="baseline"/>
            </w:pPr>
            <w:r w:rsidRPr="008340BB">
              <w:rPr>
                <w:rStyle w:val="hps"/>
              </w:rPr>
              <w:t>Introduction of</w:t>
            </w:r>
            <w:r w:rsidRPr="008340BB">
              <w:t xml:space="preserve"> integrated </w:t>
            </w:r>
            <w:r w:rsidRPr="008340BB">
              <w:rPr>
                <w:rStyle w:val="hps"/>
              </w:rPr>
              <w:t>project proposals</w:t>
            </w:r>
            <w:r w:rsidRPr="008340BB">
              <w:t xml:space="preserve"> </w:t>
            </w:r>
            <w:r w:rsidRPr="008340BB">
              <w:rPr>
                <w:rStyle w:val="hps"/>
              </w:rPr>
              <w:t>for</w:t>
            </w:r>
            <w:r w:rsidRPr="008340BB">
              <w:t xml:space="preserve"> </w:t>
            </w:r>
            <w:r w:rsidRPr="008340BB">
              <w:rPr>
                <w:rStyle w:val="hps"/>
              </w:rPr>
              <w:t>possible</w:t>
            </w:r>
            <w:r w:rsidRPr="008340BB">
              <w:t xml:space="preserve"> </w:t>
            </w:r>
            <w:r w:rsidRPr="008340BB">
              <w:rPr>
                <w:rStyle w:val="hps"/>
              </w:rPr>
              <w:t>funding under more</w:t>
            </w:r>
            <w:r w:rsidRPr="008340BB">
              <w:t xml:space="preserve"> </w:t>
            </w:r>
            <w:r w:rsidRPr="008340BB">
              <w:rPr>
                <w:rStyle w:val="hps"/>
              </w:rPr>
              <w:t>than one programme</w:t>
            </w:r>
            <w:r w:rsidRPr="008340BB">
              <w:t xml:space="preserve"> </w:t>
            </w:r>
            <w:r w:rsidRPr="008340BB">
              <w:rPr>
                <w:rStyle w:val="hps"/>
              </w:rPr>
              <w:t>and their evaluation by</w:t>
            </w:r>
            <w:r w:rsidRPr="008340BB">
              <w:t xml:space="preserve"> </w:t>
            </w:r>
            <w:r w:rsidRPr="008340BB">
              <w:rPr>
                <w:rStyle w:val="hps"/>
              </w:rPr>
              <w:t>one</w:t>
            </w:r>
            <w:r w:rsidRPr="008340BB">
              <w:t xml:space="preserve"> </w:t>
            </w:r>
            <w:r w:rsidRPr="008340BB">
              <w:rPr>
                <w:rStyle w:val="hps"/>
              </w:rPr>
              <w:t>committee only</w:t>
            </w:r>
            <w:r w:rsidRPr="008340BB">
              <w:t xml:space="preserve"> </w:t>
            </w:r>
            <w:r w:rsidRPr="008340BB">
              <w:rPr>
                <w:rStyle w:val="hps"/>
              </w:rPr>
              <w:t>(</w:t>
            </w:r>
            <w:r w:rsidRPr="008340BB">
              <w:t xml:space="preserve">May 2014); </w:t>
            </w:r>
          </w:p>
          <w:p w14:paraId="090A5A4D" w14:textId="77777777" w:rsidR="00F1341F" w:rsidRPr="008340BB" w:rsidRDefault="00F1341F" w:rsidP="00231274">
            <w:pPr>
              <w:pStyle w:val="ListParagraph"/>
              <w:numPr>
                <w:ilvl w:val="0"/>
                <w:numId w:val="71"/>
              </w:numPr>
              <w:overflowPunct w:val="0"/>
              <w:autoSpaceDE w:val="0"/>
              <w:autoSpaceDN w:val="0"/>
              <w:adjustRightInd w:val="0"/>
              <w:spacing w:before="120" w:after="0"/>
              <w:textAlignment w:val="baseline"/>
            </w:pPr>
            <w:r w:rsidRPr="008340BB">
              <w:rPr>
                <w:rStyle w:val="hps"/>
              </w:rPr>
              <w:t>Introduction</w:t>
            </w:r>
            <w:r w:rsidRPr="008340BB">
              <w:t xml:space="preserve"> </w:t>
            </w:r>
            <w:r w:rsidRPr="008340BB">
              <w:rPr>
                <w:rStyle w:val="hps"/>
              </w:rPr>
              <w:t>of new instruments</w:t>
            </w:r>
            <w:r w:rsidRPr="008340BB">
              <w:t xml:space="preserve"> </w:t>
            </w:r>
            <w:r w:rsidRPr="008340BB">
              <w:rPr>
                <w:rStyle w:val="hps"/>
              </w:rPr>
              <w:t>for providing financial</w:t>
            </w:r>
            <w:r w:rsidRPr="008340BB">
              <w:t xml:space="preserve"> </w:t>
            </w:r>
            <w:r w:rsidRPr="008340BB">
              <w:rPr>
                <w:rStyle w:val="hps"/>
              </w:rPr>
              <w:t>assistance under</w:t>
            </w:r>
            <w:r w:rsidRPr="008340BB">
              <w:t xml:space="preserve"> </w:t>
            </w:r>
            <w:r w:rsidRPr="008340BB">
              <w:rPr>
                <w:rStyle w:val="hps"/>
              </w:rPr>
              <w:t>the EU funds</w:t>
            </w:r>
            <w:r w:rsidRPr="008340BB">
              <w:t xml:space="preserve"> </w:t>
            </w:r>
            <w:r w:rsidRPr="008340BB">
              <w:rPr>
                <w:rStyle w:val="hps"/>
              </w:rPr>
              <w:t>(</w:t>
            </w:r>
            <w:r w:rsidRPr="008340BB">
              <w:t xml:space="preserve">October 2014); </w:t>
            </w:r>
          </w:p>
          <w:p w14:paraId="6D36F7D7" w14:textId="77777777" w:rsidR="00F1341F" w:rsidRPr="008340BB" w:rsidRDefault="00F1341F" w:rsidP="00231274">
            <w:pPr>
              <w:pStyle w:val="ListParagraph"/>
              <w:numPr>
                <w:ilvl w:val="0"/>
                <w:numId w:val="71"/>
              </w:numPr>
              <w:overflowPunct w:val="0"/>
              <w:autoSpaceDE w:val="0"/>
              <w:autoSpaceDN w:val="0"/>
              <w:adjustRightInd w:val="0"/>
              <w:spacing w:before="120" w:after="0"/>
              <w:textAlignment w:val="baseline"/>
            </w:pPr>
            <w:r w:rsidRPr="008340BB">
              <w:rPr>
                <w:rStyle w:val="hps"/>
              </w:rPr>
              <w:t>Adoption</w:t>
            </w:r>
            <w:r w:rsidRPr="008340BB">
              <w:t xml:space="preserve"> </w:t>
            </w:r>
            <w:r w:rsidRPr="008340BB">
              <w:rPr>
                <w:rStyle w:val="hps"/>
              </w:rPr>
              <w:t>of a national</w:t>
            </w:r>
            <w:r w:rsidRPr="008340BB">
              <w:t xml:space="preserve"> </w:t>
            </w:r>
            <w:r w:rsidRPr="008340BB">
              <w:rPr>
                <w:rStyle w:val="hps"/>
              </w:rPr>
              <w:t>methodology</w:t>
            </w:r>
            <w:r w:rsidRPr="008340BB">
              <w:t xml:space="preserve"> </w:t>
            </w:r>
            <w:r w:rsidRPr="008340BB">
              <w:rPr>
                <w:rStyle w:val="hps"/>
              </w:rPr>
              <w:t>for application of simplified</w:t>
            </w:r>
            <w:r w:rsidRPr="008340BB">
              <w:t xml:space="preserve"> </w:t>
            </w:r>
            <w:r w:rsidRPr="008340BB">
              <w:rPr>
                <w:rStyle w:val="hps"/>
              </w:rPr>
              <w:t>cost approach for the projects</w:t>
            </w:r>
            <w:r w:rsidRPr="008340BB">
              <w:t xml:space="preserve"> </w:t>
            </w:r>
            <w:r w:rsidRPr="008340BB">
              <w:rPr>
                <w:rStyle w:val="hps"/>
              </w:rPr>
              <w:t>funded under the</w:t>
            </w:r>
            <w:r w:rsidRPr="008340BB">
              <w:t xml:space="preserve"> </w:t>
            </w:r>
            <w:r w:rsidRPr="008340BB">
              <w:rPr>
                <w:rStyle w:val="hps"/>
              </w:rPr>
              <w:t>ESIF (</w:t>
            </w:r>
            <w:r w:rsidRPr="008340BB">
              <w:t xml:space="preserve">December 2014); </w:t>
            </w:r>
          </w:p>
          <w:p w14:paraId="70CED1F6" w14:textId="77777777" w:rsidR="00F1341F" w:rsidRPr="008340BB" w:rsidRDefault="00F1341F" w:rsidP="00231274">
            <w:pPr>
              <w:pStyle w:val="ListParagraph"/>
              <w:numPr>
                <w:ilvl w:val="0"/>
                <w:numId w:val="71"/>
              </w:numPr>
              <w:overflowPunct w:val="0"/>
              <w:autoSpaceDE w:val="0"/>
              <w:autoSpaceDN w:val="0"/>
              <w:adjustRightInd w:val="0"/>
              <w:spacing w:before="120" w:after="0"/>
              <w:textAlignment w:val="baseline"/>
            </w:pPr>
            <w:r w:rsidRPr="008340BB">
              <w:rPr>
                <w:rStyle w:val="hps"/>
              </w:rPr>
              <w:t>Staged</w:t>
            </w:r>
            <w:r w:rsidRPr="008340BB">
              <w:t xml:space="preserve"> </w:t>
            </w:r>
            <w:r w:rsidRPr="008340BB">
              <w:rPr>
                <w:rStyle w:val="hps"/>
              </w:rPr>
              <w:t>creation of</w:t>
            </w:r>
            <w:r w:rsidRPr="008340BB">
              <w:t xml:space="preserve"> the </w:t>
            </w:r>
            <w:r w:rsidRPr="008340BB">
              <w:rPr>
                <w:szCs w:val="24"/>
              </w:rPr>
              <w:t xml:space="preserve">functionalities of the UMIS 2020 system for </w:t>
            </w:r>
            <w:r w:rsidRPr="008340BB">
              <w:rPr>
                <w:rStyle w:val="hps"/>
              </w:rPr>
              <w:t>electronic communication</w:t>
            </w:r>
            <w:r w:rsidRPr="008340BB">
              <w:t xml:space="preserve"> between </w:t>
            </w:r>
            <w:r w:rsidRPr="008340BB">
              <w:rPr>
                <w:rStyle w:val="hps"/>
              </w:rPr>
              <w:t>beneficiaries and the</w:t>
            </w:r>
            <w:r w:rsidRPr="008340BB">
              <w:t xml:space="preserve"> </w:t>
            </w:r>
            <w:r w:rsidRPr="008340BB">
              <w:rPr>
                <w:rStyle w:val="hps"/>
              </w:rPr>
              <w:t>administration</w:t>
            </w:r>
            <w:r w:rsidRPr="008340BB">
              <w:t xml:space="preserve"> </w:t>
            </w:r>
            <w:r w:rsidRPr="008340BB">
              <w:rPr>
                <w:rStyle w:val="hps"/>
              </w:rPr>
              <w:t>(</w:t>
            </w:r>
            <w:r w:rsidRPr="008340BB">
              <w:t>September 2015).</w:t>
            </w:r>
          </w:p>
          <w:p w14:paraId="4959C912" w14:textId="77777777" w:rsidR="00F1341F" w:rsidRPr="008340BB" w:rsidRDefault="00F1341F" w:rsidP="00231274">
            <w:pPr>
              <w:pStyle w:val="ListParagraph"/>
              <w:overflowPunct w:val="0"/>
              <w:autoSpaceDE w:val="0"/>
              <w:autoSpaceDN w:val="0"/>
              <w:adjustRightInd w:val="0"/>
              <w:spacing w:before="120" w:after="0"/>
              <w:ind w:left="0"/>
              <w:textAlignment w:val="baseline"/>
              <w:rPr>
                <w:b/>
                <w:i/>
                <w:szCs w:val="24"/>
                <w:u w:val="single"/>
              </w:rPr>
            </w:pPr>
            <w:r w:rsidRPr="008340BB">
              <w:rPr>
                <w:rStyle w:val="hps"/>
                <w:b/>
                <w:i/>
                <w:u w:val="single"/>
              </w:rPr>
              <w:t>Reduction of administrative burden</w:t>
            </w:r>
            <w:r w:rsidRPr="008340BB">
              <w:rPr>
                <w:b/>
                <w:i/>
                <w:u w:val="single"/>
              </w:rPr>
              <w:t xml:space="preserve"> </w:t>
            </w:r>
            <w:r w:rsidRPr="008340BB">
              <w:rPr>
                <w:rStyle w:val="hps"/>
                <w:b/>
                <w:i/>
                <w:u w:val="single"/>
              </w:rPr>
              <w:t>of the</w:t>
            </w:r>
            <w:r w:rsidRPr="008340BB">
              <w:rPr>
                <w:b/>
                <w:i/>
                <w:u w:val="single"/>
              </w:rPr>
              <w:t xml:space="preserve"> </w:t>
            </w:r>
            <w:r w:rsidRPr="008340BB">
              <w:rPr>
                <w:rStyle w:val="hps"/>
                <w:b/>
                <w:i/>
                <w:u w:val="single"/>
              </w:rPr>
              <w:t>beneficiaries</w:t>
            </w:r>
            <w:r w:rsidRPr="008340BB">
              <w:rPr>
                <w:b/>
                <w:i/>
                <w:u w:val="single"/>
              </w:rPr>
              <w:t xml:space="preserve"> under </w:t>
            </w:r>
            <w:r w:rsidRPr="008340BB">
              <w:rPr>
                <w:rStyle w:val="hps"/>
                <w:b/>
                <w:i/>
                <w:u w:val="single"/>
              </w:rPr>
              <w:t>OPT</w:t>
            </w:r>
            <w:r w:rsidRPr="008340BB">
              <w:rPr>
                <w:b/>
                <w:i/>
                <w:u w:val="single"/>
              </w:rPr>
              <w:t xml:space="preserve"> </w:t>
            </w:r>
            <w:r w:rsidRPr="008340BB">
              <w:rPr>
                <w:rStyle w:val="hps"/>
                <w:b/>
                <w:i/>
                <w:u w:val="single"/>
              </w:rPr>
              <w:t>2007-2013</w:t>
            </w:r>
            <w:r w:rsidRPr="008340BB">
              <w:rPr>
                <w:b/>
                <w:i/>
                <w:u w:val="single"/>
              </w:rPr>
              <w:t xml:space="preserve"> </w:t>
            </w:r>
            <w:r w:rsidRPr="008340BB">
              <w:rPr>
                <w:rStyle w:val="hps"/>
                <w:b/>
                <w:i/>
                <w:u w:val="single"/>
              </w:rPr>
              <w:t>and</w:t>
            </w:r>
            <w:r w:rsidRPr="008340BB">
              <w:rPr>
                <w:b/>
                <w:i/>
                <w:u w:val="single"/>
              </w:rPr>
              <w:t xml:space="preserve"> </w:t>
            </w:r>
            <w:r w:rsidRPr="008340BB">
              <w:rPr>
                <w:rStyle w:val="hps"/>
                <w:b/>
                <w:i/>
                <w:u w:val="single"/>
              </w:rPr>
              <w:t>OPTTI 2014-2020</w:t>
            </w:r>
            <w:r w:rsidRPr="008340BB">
              <w:rPr>
                <w:b/>
                <w:i/>
                <w:u w:val="single"/>
              </w:rPr>
              <w:t>:</w:t>
            </w:r>
          </w:p>
          <w:p w14:paraId="14839760" w14:textId="77777777" w:rsidR="00F1341F" w:rsidRPr="008340BB" w:rsidRDefault="00F1341F" w:rsidP="00231274">
            <w:pPr>
              <w:pStyle w:val="ListParagraph"/>
              <w:overflowPunct w:val="0"/>
              <w:autoSpaceDE w:val="0"/>
              <w:autoSpaceDN w:val="0"/>
              <w:adjustRightInd w:val="0"/>
              <w:spacing w:before="120" w:after="0"/>
              <w:ind w:left="0"/>
              <w:textAlignment w:val="baseline"/>
              <w:rPr>
                <w:szCs w:val="24"/>
              </w:rPr>
            </w:pPr>
            <w:r w:rsidRPr="008340BB">
              <w:rPr>
                <w:szCs w:val="24"/>
              </w:rPr>
              <w:t xml:space="preserve">The large number </w:t>
            </w:r>
            <w:r w:rsidRPr="008340BB">
              <w:rPr>
                <w:rStyle w:val="hps"/>
              </w:rPr>
              <w:t>and</w:t>
            </w:r>
            <w:r w:rsidRPr="008340BB">
              <w:t xml:space="preserve"> </w:t>
            </w:r>
            <w:r w:rsidRPr="008340BB">
              <w:rPr>
                <w:rStyle w:val="hps"/>
              </w:rPr>
              <w:t>frequently changing</w:t>
            </w:r>
            <w:r w:rsidRPr="008340BB">
              <w:t xml:space="preserve"> </w:t>
            </w:r>
            <w:r w:rsidRPr="008340BB">
              <w:rPr>
                <w:rStyle w:val="hps"/>
              </w:rPr>
              <w:t>national</w:t>
            </w:r>
            <w:r w:rsidRPr="008340BB">
              <w:t xml:space="preserve"> </w:t>
            </w:r>
            <w:r w:rsidRPr="008340BB">
              <w:rPr>
                <w:szCs w:val="24"/>
              </w:rPr>
              <w:t xml:space="preserve">laws and regulations cause difficulties and serious delays for the beneficiaries of the OPT during the preparation and implementation of infrastructure projects - the administrative procedures under the land acquisitions or change of use of land, coordination and issuance of required permits under the Spatial Planning Act, as well as the </w:t>
            </w:r>
            <w:r w:rsidRPr="008340BB">
              <w:rPr>
                <w:szCs w:val="24"/>
              </w:rPr>
              <w:lastRenderedPageBreak/>
              <w:t>archaeological excavations, the application of environmental laws and regulations and the Public Procurement Act.</w:t>
            </w:r>
          </w:p>
          <w:p w14:paraId="1752FD91" w14:textId="77777777" w:rsidR="00F1341F" w:rsidRPr="008340BB" w:rsidRDefault="00F1341F" w:rsidP="00231274">
            <w:pPr>
              <w:spacing w:after="0"/>
            </w:pPr>
            <w:r w:rsidRPr="008340BB">
              <w:rPr>
                <w:color w:val="000000"/>
              </w:rPr>
              <w:t xml:space="preserve">Despite of the fact that these areas are </w:t>
            </w:r>
            <w:r w:rsidRPr="008340BB">
              <w:t>not actually in the portfolio of the MTITC the Managing Authority of the OPT within its powers and competence has always supported the beneficiaries in the formulation and the proceeding of their suggestions for specific changes to the current laws and has assisted them in their interaction with other institutions (regional, national and in neighbouring countries) for solving problems in the preparation and implementation of the projects. The provision of such support and assistance will continue also in the 2014-2020 period.</w:t>
            </w:r>
          </w:p>
          <w:p w14:paraId="65D66649" w14:textId="77777777" w:rsidR="00F1341F" w:rsidRPr="008340BB" w:rsidRDefault="00F1341F" w:rsidP="00231274">
            <w:pPr>
              <w:pStyle w:val="ListParagraph"/>
              <w:overflowPunct w:val="0"/>
              <w:autoSpaceDE w:val="0"/>
              <w:autoSpaceDN w:val="0"/>
              <w:adjustRightInd w:val="0"/>
              <w:spacing w:before="120" w:after="0"/>
              <w:ind w:left="0"/>
              <w:textAlignment w:val="baseline"/>
              <w:rPr>
                <w:szCs w:val="24"/>
              </w:rPr>
            </w:pPr>
            <w:r w:rsidRPr="008340BB">
              <w:rPr>
                <w:szCs w:val="24"/>
              </w:rPr>
              <w:t xml:space="preserve">The beneficiaries also face additional difficulties due to frequent changes in the guidelines and procedures for implementation of the OPT. Eighth version of Procedure Manual of the OPT  is dated 27.02.2013.Most of the beneficiaries have certain difficulties in the preparation and are late in their updates of their respective procedure manuals. </w:t>
            </w:r>
          </w:p>
          <w:p w14:paraId="6D1EEAB7" w14:textId="77777777" w:rsidR="00F1341F" w:rsidRPr="008340BB" w:rsidRDefault="00F1341F" w:rsidP="00231274">
            <w:pPr>
              <w:spacing w:after="0"/>
            </w:pPr>
            <w:r w:rsidRPr="008340BB">
              <w:t>In this regard in the process of drafting and update of the Procedure Manual of the OPTTI will be involved responsible professionals of the beneficiaries with a view to accelerate bringing the procedure manual of the beneficiaries in the required compliance.</w:t>
            </w:r>
          </w:p>
          <w:p w14:paraId="561F5368" w14:textId="77777777" w:rsidR="00F1341F" w:rsidRPr="008340BB" w:rsidRDefault="00F1341F" w:rsidP="00231274">
            <w:pPr>
              <w:pStyle w:val="ListParagraph"/>
              <w:overflowPunct w:val="0"/>
              <w:autoSpaceDE w:val="0"/>
              <w:autoSpaceDN w:val="0"/>
              <w:adjustRightInd w:val="0"/>
              <w:spacing w:before="120" w:after="0"/>
              <w:ind w:left="0"/>
              <w:textAlignment w:val="baseline"/>
              <w:rPr>
                <w:szCs w:val="24"/>
              </w:rPr>
            </w:pPr>
            <w:r w:rsidRPr="008340BB">
              <w:rPr>
                <w:szCs w:val="24"/>
              </w:rPr>
              <w:t>Regarding the procedures for the preparation and evaluation of project proposals, award of grants, implementation, monitoring, control and reporting on the OPT the current evaluations made in 2011show that beneficiaries consider these procedures as too complex, requiring the production of a large volume of documents in the environment of difficult document flow (considering the initial lack of information system and subsequently</w:t>
            </w:r>
            <w:r w:rsidRPr="008340BB">
              <w:t xml:space="preserve"> </w:t>
            </w:r>
            <w:r w:rsidRPr="008340BB">
              <w:rPr>
                <w:szCs w:val="24"/>
              </w:rPr>
              <w:t>limited functionalities of the UMIS system), but ultimately proved as workable and successfully applied.</w:t>
            </w:r>
          </w:p>
          <w:p w14:paraId="0ACFB066" w14:textId="77777777" w:rsidR="00F1341F" w:rsidRPr="008340BB" w:rsidRDefault="00F1341F" w:rsidP="00231274">
            <w:pPr>
              <w:spacing w:after="0"/>
            </w:pPr>
            <w:r w:rsidRPr="008340BB">
              <w:t>The Managing Authority of the OPT has assisted the beneficiaries in preparation of all required documents. So the formal reporting due to the lack of progress of the projects in the programme's inception in 2012 the quality of reporting by the beneficiaries has improved significantly. The measures taken to reduce the administrative burden on beneficiaries in this regard are:</w:t>
            </w:r>
          </w:p>
          <w:p w14:paraId="5CAEF6F2" w14:textId="77777777" w:rsidR="00F1341F" w:rsidRPr="008340BB" w:rsidRDefault="00F1341F" w:rsidP="00231274">
            <w:pPr>
              <w:pStyle w:val="ListParagraph"/>
              <w:numPr>
                <w:ilvl w:val="0"/>
                <w:numId w:val="72"/>
              </w:numPr>
              <w:overflowPunct w:val="0"/>
              <w:autoSpaceDE w:val="0"/>
              <w:autoSpaceDN w:val="0"/>
              <w:adjustRightInd w:val="0"/>
              <w:spacing w:before="120" w:after="0"/>
              <w:textAlignment w:val="baseline"/>
              <w:rPr>
                <w:szCs w:val="24"/>
              </w:rPr>
            </w:pPr>
            <w:r w:rsidRPr="008340BB">
              <w:rPr>
                <w:szCs w:val="24"/>
              </w:rPr>
              <w:t>Dropping out of the requirement for preparation of semi-annual reports by the beneficiaries and the optimisation of the templates of the monthly and annual progress reports;</w:t>
            </w:r>
          </w:p>
          <w:p w14:paraId="3F447D1A" w14:textId="77777777" w:rsidR="00F1341F" w:rsidRPr="008340BB" w:rsidRDefault="00F1341F" w:rsidP="00231274">
            <w:pPr>
              <w:pStyle w:val="ListParagraph"/>
              <w:numPr>
                <w:ilvl w:val="0"/>
                <w:numId w:val="72"/>
              </w:numPr>
              <w:overflowPunct w:val="0"/>
              <w:autoSpaceDE w:val="0"/>
              <w:autoSpaceDN w:val="0"/>
              <w:adjustRightInd w:val="0"/>
              <w:spacing w:before="120" w:after="0"/>
              <w:textAlignment w:val="baseline"/>
              <w:rPr>
                <w:szCs w:val="24"/>
              </w:rPr>
            </w:pPr>
            <w:r w:rsidRPr="008340BB">
              <w:rPr>
                <w:szCs w:val="24"/>
              </w:rPr>
              <w:t>Reducing the required information on the progress of projects at the time of submission of the payment requests by beneficiaries (removed resubmission of already existing and officially submitted information);</w:t>
            </w:r>
          </w:p>
          <w:p w14:paraId="41802A75" w14:textId="77777777" w:rsidR="00F1341F" w:rsidRPr="008340BB" w:rsidRDefault="00F1341F" w:rsidP="00231274">
            <w:pPr>
              <w:pStyle w:val="ListParagraph"/>
              <w:numPr>
                <w:ilvl w:val="0"/>
                <w:numId w:val="72"/>
              </w:numPr>
              <w:overflowPunct w:val="0"/>
              <w:autoSpaceDE w:val="0"/>
              <w:autoSpaceDN w:val="0"/>
              <w:adjustRightInd w:val="0"/>
              <w:spacing w:before="120" w:after="0"/>
              <w:textAlignment w:val="baseline"/>
              <w:rPr>
                <w:szCs w:val="24"/>
              </w:rPr>
            </w:pPr>
            <w:r w:rsidRPr="008340BB">
              <w:rPr>
                <w:szCs w:val="24"/>
              </w:rPr>
              <w:t xml:space="preserve">Maintaining constant feedback with beneficiaries. In addition to the periodic meetings to review progress, whereat, if necessary, are discussed any problems occurred, there were established the practice immediately after studying the information, submitted by the beneficiaries to the MA the relevant experts of the MA to send by E-mail their notes for removals/supplements/corrections to be made by the beneficiaries. After each on-site inspection is held a final meeting with all stakeholders (beneficiaries, contractors, etc.) within the relevant framework, whereat are discussed in detail the findings and relevant recommendations. – Thus, the inspectors are finally convinced that they have not reached some erroneous or imprecise conclusions in the course of the </w:t>
            </w:r>
            <w:r w:rsidRPr="008340BB">
              <w:rPr>
                <w:szCs w:val="24"/>
              </w:rPr>
              <w:lastRenderedPageBreak/>
              <w:t>inspection, and on the other hand is avoided the possibility of misunderstanding of the recommendations by the beneficiaries;</w:t>
            </w:r>
          </w:p>
          <w:p w14:paraId="6CE9A670" w14:textId="77777777" w:rsidR="00F1341F" w:rsidRPr="008340BB" w:rsidRDefault="00F1341F" w:rsidP="00231274">
            <w:pPr>
              <w:pStyle w:val="ListParagraph"/>
              <w:numPr>
                <w:ilvl w:val="0"/>
                <w:numId w:val="72"/>
              </w:numPr>
              <w:overflowPunct w:val="0"/>
              <w:autoSpaceDE w:val="0"/>
              <w:autoSpaceDN w:val="0"/>
              <w:adjustRightInd w:val="0"/>
              <w:spacing w:before="120" w:after="0"/>
              <w:textAlignment w:val="baseline"/>
              <w:rPr>
                <w:szCs w:val="24"/>
              </w:rPr>
            </w:pPr>
            <w:r w:rsidRPr="008340BB">
              <w:rPr>
                <w:szCs w:val="24"/>
              </w:rPr>
              <w:t>The optimum use of the functionalities of the UMIS system, being developed during the 2007-2013 programming period.</w:t>
            </w:r>
          </w:p>
          <w:p w14:paraId="5AA31205" w14:textId="77777777" w:rsidR="00F1341F" w:rsidRPr="008340BB" w:rsidRDefault="00F1341F" w:rsidP="00231274">
            <w:pPr>
              <w:spacing w:after="0"/>
            </w:pPr>
            <w:r w:rsidRPr="008340BB">
              <w:t>During the period 2014-2020 the MA of the OPPTI will continue to:</w:t>
            </w:r>
          </w:p>
          <w:p w14:paraId="3CF7230E" w14:textId="77777777" w:rsidR="00F1341F" w:rsidRPr="008340BB" w:rsidRDefault="00F1341F" w:rsidP="00231274">
            <w:pPr>
              <w:pStyle w:val="ListParagraph"/>
              <w:numPr>
                <w:ilvl w:val="0"/>
                <w:numId w:val="54"/>
              </w:numPr>
              <w:overflowPunct w:val="0"/>
              <w:autoSpaceDE w:val="0"/>
              <w:autoSpaceDN w:val="0"/>
              <w:adjustRightInd w:val="0"/>
              <w:spacing w:before="120" w:after="0"/>
              <w:textAlignment w:val="baseline"/>
              <w:rPr>
                <w:szCs w:val="24"/>
              </w:rPr>
            </w:pPr>
            <w:r w:rsidRPr="008340BB">
              <w:rPr>
                <w:szCs w:val="24"/>
              </w:rPr>
              <w:t>maintain a constant feedback with the beneficiaries;</w:t>
            </w:r>
          </w:p>
          <w:p w14:paraId="7008B6BC" w14:textId="77777777" w:rsidR="00F1341F" w:rsidRPr="008340BB" w:rsidRDefault="00F1341F" w:rsidP="00231274">
            <w:pPr>
              <w:pStyle w:val="ListParagraph"/>
              <w:numPr>
                <w:ilvl w:val="0"/>
                <w:numId w:val="54"/>
              </w:numPr>
              <w:overflowPunct w:val="0"/>
              <w:autoSpaceDE w:val="0"/>
              <w:autoSpaceDN w:val="0"/>
              <w:adjustRightInd w:val="0"/>
              <w:spacing w:before="120" w:after="0"/>
              <w:textAlignment w:val="baseline"/>
              <w:rPr>
                <w:szCs w:val="24"/>
              </w:rPr>
            </w:pPr>
            <w:r w:rsidRPr="008340BB">
              <w:rPr>
                <w:szCs w:val="24"/>
              </w:rPr>
              <w:t>implement the new functionalities of UMIS 2020;</w:t>
            </w:r>
          </w:p>
          <w:p w14:paraId="195744A8" w14:textId="77777777" w:rsidR="00F1341F" w:rsidRPr="008340BB" w:rsidRDefault="00F1341F" w:rsidP="00231274">
            <w:pPr>
              <w:pStyle w:val="ListParagraph"/>
              <w:numPr>
                <w:ilvl w:val="0"/>
                <w:numId w:val="54"/>
              </w:numPr>
              <w:overflowPunct w:val="0"/>
              <w:autoSpaceDE w:val="0"/>
              <w:autoSpaceDN w:val="0"/>
              <w:adjustRightInd w:val="0"/>
              <w:spacing w:before="120" w:after="0"/>
              <w:textAlignment w:val="baseline"/>
              <w:rPr>
                <w:szCs w:val="24"/>
              </w:rPr>
            </w:pPr>
            <w:r w:rsidRPr="008340BB">
              <w:rPr>
                <w:szCs w:val="24"/>
              </w:rPr>
              <w:t>reduce (if possible) the information required by the beneficiaries (in terms of frequency and content), while conforming to the minimum requirements of the legislation;</w:t>
            </w:r>
          </w:p>
          <w:p w14:paraId="43F1AC56" w14:textId="77777777" w:rsidR="00F1341F" w:rsidRPr="008340BB" w:rsidRDefault="00F1341F" w:rsidP="00231274">
            <w:pPr>
              <w:pStyle w:val="ListParagraph"/>
              <w:numPr>
                <w:ilvl w:val="0"/>
                <w:numId w:val="54"/>
              </w:numPr>
              <w:overflowPunct w:val="0"/>
              <w:autoSpaceDE w:val="0"/>
              <w:autoSpaceDN w:val="0"/>
              <w:adjustRightInd w:val="0"/>
              <w:spacing w:before="120" w:after="0"/>
              <w:textAlignment w:val="baseline"/>
              <w:rPr>
                <w:szCs w:val="24"/>
              </w:rPr>
            </w:pPr>
            <w:r w:rsidRPr="008340BB">
              <w:rPr>
                <w:szCs w:val="24"/>
              </w:rPr>
              <w:t>reduce the time for ex-ante/ex-post control and verification through the optimisation of the organisational structure of the Managing Authority and the use of external expertise.</w:t>
            </w:r>
          </w:p>
          <w:p w14:paraId="296D27C6" w14:textId="77777777" w:rsidR="00F1341F" w:rsidRPr="008340BB" w:rsidRDefault="00F1341F" w:rsidP="00231274">
            <w:pPr>
              <w:pStyle w:val="ListParagraph"/>
              <w:overflowPunct w:val="0"/>
              <w:autoSpaceDE w:val="0"/>
              <w:autoSpaceDN w:val="0"/>
              <w:adjustRightInd w:val="0"/>
              <w:spacing w:before="120" w:after="0"/>
              <w:ind w:left="-1"/>
              <w:textAlignment w:val="baseline"/>
              <w:rPr>
                <w:szCs w:val="24"/>
              </w:rPr>
            </w:pPr>
            <w:r w:rsidRPr="008340BB">
              <w:rPr>
                <w:szCs w:val="24"/>
              </w:rPr>
              <w:t>Through the established mechanism by which, upon exhausting the limits the MA of the OPT is able to submit timely requests for funding to the National Fund, and thus is minimizing the risk for lack of resources available at a disposal of the MA to lead to a delay in reimbursement of funds to the beneficiaries.</w:t>
            </w:r>
          </w:p>
          <w:p w14:paraId="5B9BAA2C" w14:textId="77777777" w:rsidR="00F1341F" w:rsidRPr="008340BB" w:rsidRDefault="00F1341F" w:rsidP="00231274">
            <w:pPr>
              <w:tabs>
                <w:tab w:val="left" w:pos="155"/>
              </w:tabs>
              <w:spacing w:after="0"/>
            </w:pPr>
            <w:r w:rsidRPr="008340BB">
              <w:t xml:space="preserve">After mid 2011 the funds to cover the financial gap are provided to the beneficiaries through the Bulgarian Development Bank (BDB), in accordance with the provisions of the Mechanism approved by CM for use of funds under the Credit Agreement and contract between the BDB and MF. </w:t>
            </w:r>
          </w:p>
          <w:p w14:paraId="7DDC529E" w14:textId="77777777" w:rsidR="00F1341F" w:rsidRPr="008340BB" w:rsidRDefault="00F1341F" w:rsidP="00231274">
            <w:pPr>
              <w:tabs>
                <w:tab w:val="left" w:pos="155"/>
              </w:tabs>
              <w:spacing w:after="0"/>
            </w:pPr>
            <w:r w:rsidRPr="008340BB">
              <w:t>The MA of the OPT will use its powers to support the provision of necessary financial aid (through financial instruments available) to the beneficiaries of the OPTTI at the earliest possible stage.</w:t>
            </w:r>
          </w:p>
          <w:p w14:paraId="085A622D" w14:textId="77777777" w:rsidR="00F1341F" w:rsidRPr="008340BB" w:rsidRDefault="00F1341F" w:rsidP="00231274">
            <w:pPr>
              <w:spacing w:after="0"/>
            </w:pPr>
            <w:r w:rsidRPr="008340BB">
              <w:t>In addition to all above-mentioned actions, MA of the OPTTI is planning also the implementation of the following activities:</w:t>
            </w:r>
          </w:p>
          <w:p w14:paraId="0E7505AF" w14:textId="77777777" w:rsidR="00F1341F" w:rsidRPr="008340BB" w:rsidRDefault="00F1341F" w:rsidP="00231274">
            <w:pPr>
              <w:spacing w:after="0"/>
            </w:pPr>
            <w:r w:rsidRPr="008340BB">
              <w:t>- until 31.</w:t>
            </w:r>
            <w:r w:rsidR="00E72389">
              <w:t>0</w:t>
            </w:r>
            <w:r w:rsidRPr="00E72389">
              <w:t>1</w:t>
            </w:r>
            <w:r w:rsidRPr="00A828C5">
              <w:t>.2015 – inclusion in the Procedure Manual of the OPTTI of the National methodology for</w:t>
            </w:r>
            <w:r w:rsidRPr="008340BB">
              <w:t xml:space="preserve"> application of simplified costs;</w:t>
            </w:r>
          </w:p>
          <w:p w14:paraId="3A67B9EE" w14:textId="77777777" w:rsidR="00F1341F" w:rsidRPr="008340BB" w:rsidRDefault="00F1341F" w:rsidP="00E72389">
            <w:pPr>
              <w:spacing w:after="0"/>
            </w:pPr>
            <w:r w:rsidRPr="008340BB">
              <w:t>- until 31.12.2016 - computerization of the processes of all phases of the proj</w:t>
            </w:r>
            <w:r w:rsidR="00231274" w:rsidRPr="008340BB">
              <w:t>e</w:t>
            </w:r>
            <w:r w:rsidRPr="008340BB">
              <w:t xml:space="preserve">ct cycle, including trainings on work with </w:t>
            </w:r>
            <w:r w:rsidRPr="008340BB">
              <w:rPr>
                <w:szCs w:val="24"/>
              </w:rPr>
              <w:t>the new functionalities of UMIS 2020</w:t>
            </w:r>
          </w:p>
        </w:tc>
      </w:tr>
    </w:tbl>
    <w:p w14:paraId="242A9E19" w14:textId="77777777" w:rsidR="00F1341F" w:rsidRPr="008340BB" w:rsidRDefault="00F1341F" w:rsidP="00F914D7">
      <w:pPr>
        <w:ind w:left="1701" w:hanging="1701"/>
        <w:rPr>
          <w:b/>
        </w:rPr>
      </w:pPr>
    </w:p>
    <w:p w14:paraId="11FFDEB4" w14:textId="77777777" w:rsidR="00F1341F" w:rsidRPr="008340BB" w:rsidRDefault="00F1341F" w:rsidP="00F914D7">
      <w:pPr>
        <w:ind w:left="1701" w:hanging="1701"/>
        <w:rPr>
          <w:b/>
        </w:rPr>
      </w:pPr>
    </w:p>
    <w:p w14:paraId="200F6D05" w14:textId="77777777" w:rsidR="00F1341F" w:rsidRPr="008340BB" w:rsidRDefault="00F1341F" w:rsidP="00F914D7">
      <w:pPr>
        <w:ind w:left="1701" w:hanging="1701"/>
        <w:rPr>
          <w:b/>
        </w:rPr>
      </w:pPr>
      <w:r w:rsidRPr="008340BB">
        <w:rPr>
          <w:b/>
        </w:rPr>
        <w:t>SECTION 11</w:t>
      </w:r>
      <w:r w:rsidRPr="008340BB">
        <w:rPr>
          <w:b/>
        </w:rPr>
        <w:tab/>
        <w:t xml:space="preserve">Horizontal principles </w:t>
      </w:r>
    </w:p>
    <w:p w14:paraId="0AD61330" w14:textId="77777777" w:rsidR="00F1341F" w:rsidRPr="008340BB" w:rsidRDefault="00F1341F" w:rsidP="001B1F93">
      <w:r w:rsidRPr="008340BB">
        <w:t>(Reference : Article 96(7) of Regulation (EU) No 1303/2013)</w:t>
      </w:r>
    </w:p>
    <w:p w14:paraId="51AADF05" w14:textId="77777777" w:rsidR="00F1341F" w:rsidRPr="008340BB" w:rsidRDefault="00F1341F" w:rsidP="00F03C1E">
      <w:pPr>
        <w:rPr>
          <w:b/>
        </w:rPr>
      </w:pPr>
    </w:p>
    <w:p w14:paraId="233AA0B4" w14:textId="77777777" w:rsidR="00F1341F" w:rsidRPr="008340BB" w:rsidRDefault="00F1341F" w:rsidP="00F03C1E">
      <w:pPr>
        <w:rPr>
          <w:b/>
        </w:rPr>
      </w:pPr>
      <w:r w:rsidRPr="008340BB">
        <w:rPr>
          <w:b/>
        </w:rPr>
        <w:t xml:space="preserve">11.1 </w:t>
      </w:r>
      <w:r w:rsidRPr="008340BB">
        <w:rPr>
          <w:b/>
        </w:rPr>
        <w:tab/>
        <w:t>Sustainable development</w:t>
      </w:r>
    </w:p>
    <w:p w14:paraId="1B33E3B9" w14:textId="77777777" w:rsidR="00F1341F" w:rsidRPr="008340BB" w:rsidRDefault="00F1341F" w:rsidP="00F03C1E">
      <w:pPr>
        <w:pStyle w:val="Text1"/>
        <w:ind w:left="0"/>
        <w:rPr>
          <w:lang w:val="en-GB"/>
        </w:rPr>
      </w:pPr>
      <w:r w:rsidRPr="008340BB">
        <w:rPr>
          <w:lang w:val="en-GB"/>
        </w:rPr>
        <w:t>Description of specific action to address environmental protection requirements, resource efficiency, climate change mitigation and adaptation, disaster resilience and risk prevention and management, in the selection of operations.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F1341F" w:rsidRPr="008340BB" w14:paraId="5B16964A" w14:textId="77777777" w:rsidTr="00BF3391">
        <w:trPr>
          <w:trHeight w:val="610"/>
        </w:trPr>
        <w:tc>
          <w:tcPr>
            <w:tcW w:w="8647" w:type="dxa"/>
          </w:tcPr>
          <w:p w14:paraId="30B3EAE1" w14:textId="77777777" w:rsidR="00F1341F" w:rsidRPr="008340BB" w:rsidRDefault="00F1341F" w:rsidP="00144E45">
            <w:pPr>
              <w:pStyle w:val="ListDash2"/>
              <w:numPr>
                <w:ilvl w:val="0"/>
                <w:numId w:val="0"/>
              </w:numPr>
              <w:spacing w:before="120" w:after="0"/>
              <w:rPr>
                <w:rFonts w:cs="Arial"/>
              </w:rPr>
            </w:pPr>
            <w:r w:rsidRPr="008340BB">
              <w:t xml:space="preserve">In the current programming period will be given a special attention to the compliance and appropriate application of sustainable development as one of the main horizontal principles, in particular in the context of: environmental protection, efficient use of </w:t>
            </w:r>
            <w:r w:rsidRPr="008340BB">
              <w:lastRenderedPageBreak/>
              <w:t>resources, climate change mitigation and adaptation, disaster resilience and prevention and management of disaster risk.</w:t>
            </w:r>
          </w:p>
          <w:p w14:paraId="014675D6" w14:textId="77777777" w:rsidR="00F1341F" w:rsidRPr="008340BB" w:rsidRDefault="00F1341F" w:rsidP="00144E45">
            <w:pPr>
              <w:spacing w:after="0"/>
            </w:pPr>
            <w:r w:rsidRPr="008340BB">
              <w:t xml:space="preserve">At the implementation of the OPTTI 2014-2020 and the projects included therein this principle will be applied through achieving compliance with applicable Community and national laws in relation to the environmental impact assessment of investment plans and environmental assessment of plans and programmes, as well as </w:t>
            </w:r>
            <w:r w:rsidRPr="008340BB">
              <w:rPr>
                <w:rStyle w:val="longtext"/>
              </w:rPr>
              <w:t xml:space="preserve">assessing the compatibility </w:t>
            </w:r>
            <w:r w:rsidRPr="008340BB">
              <w:t>with NATURA 2000 network.</w:t>
            </w:r>
          </w:p>
          <w:p w14:paraId="072339C9" w14:textId="77777777" w:rsidR="00F1341F" w:rsidRPr="008340BB" w:rsidRDefault="00F1341F" w:rsidP="00144E45">
            <w:pPr>
              <w:spacing w:after="0"/>
              <w:rPr>
                <w:rFonts w:cs="Arial"/>
                <w:b/>
                <w:i/>
              </w:rPr>
            </w:pPr>
            <w:r w:rsidRPr="008340BB">
              <w:rPr>
                <w:b/>
                <w:i/>
              </w:rPr>
              <w:t>Environmental Protection</w:t>
            </w:r>
          </w:p>
          <w:p w14:paraId="6D6C797B" w14:textId="399FAB33" w:rsidR="00F1341F" w:rsidRPr="008340BB" w:rsidRDefault="00F1341F" w:rsidP="00144E45">
            <w:pPr>
              <w:autoSpaceDE w:val="0"/>
              <w:autoSpaceDN w:val="0"/>
              <w:adjustRightInd w:val="0"/>
              <w:spacing w:after="0"/>
            </w:pPr>
            <w:r w:rsidRPr="008340BB">
              <w:t xml:space="preserve">The OPTTI will follow the overall objective of Bulgaria to reduce emissions causing global warming as compared to </w:t>
            </w:r>
            <w:r w:rsidR="009F42E8">
              <w:t>programming</w:t>
            </w:r>
            <w:r w:rsidRPr="008340BB">
              <w:t xml:space="preserve"> period </w:t>
            </w:r>
            <w:r w:rsidR="009F42E8">
              <w:t xml:space="preserve">2007-2013 </w:t>
            </w:r>
            <w:r w:rsidRPr="008340BB">
              <w:t xml:space="preserve">as a part of the overall objective of reducing global emissions. Special attention is given to the principles of sustainable development in its context of environmental protection, which are integrated into the implementation of all priority axes. At the project level, all projects related to construction of transport infrastructure will be subject to the application of for environmental impact assessment and in accordance with applicable law. In the cost-benefit analysis (CBA) and environmental impact assessment (EIA) will be included relevant qualitative criteria influencing the selection of the same, provided that it will considered both the positive and negative impacts on the environment. The </w:t>
            </w:r>
            <w:r w:rsidRPr="008340BB">
              <w:rPr>
                <w:rStyle w:val="hps"/>
              </w:rPr>
              <w:t>developed</w:t>
            </w:r>
            <w:r w:rsidRPr="008340BB">
              <w:t xml:space="preserve"> </w:t>
            </w:r>
            <w:r w:rsidRPr="008340BB">
              <w:rPr>
                <w:rStyle w:val="hps"/>
              </w:rPr>
              <w:t>principles</w:t>
            </w:r>
            <w:r w:rsidRPr="008340BB">
              <w:t xml:space="preserve"> </w:t>
            </w:r>
            <w:r w:rsidRPr="008340BB">
              <w:rPr>
                <w:rStyle w:val="hps"/>
              </w:rPr>
              <w:t>for selection of</w:t>
            </w:r>
            <w:r w:rsidRPr="008340BB">
              <w:t xml:space="preserve"> </w:t>
            </w:r>
            <w:r w:rsidRPr="008340BB">
              <w:rPr>
                <w:rStyle w:val="hps"/>
              </w:rPr>
              <w:t>operations</w:t>
            </w:r>
            <w:r w:rsidRPr="008340BB">
              <w:t xml:space="preserve"> </w:t>
            </w:r>
            <w:r w:rsidRPr="008340BB">
              <w:rPr>
                <w:rStyle w:val="hps"/>
              </w:rPr>
              <w:t>with regard to</w:t>
            </w:r>
            <w:r w:rsidRPr="008340BB">
              <w:t xml:space="preserve"> </w:t>
            </w:r>
            <w:r w:rsidRPr="008340BB">
              <w:rPr>
                <w:rStyle w:val="hps"/>
              </w:rPr>
              <w:t>transport</w:t>
            </w:r>
            <w:r w:rsidRPr="008340BB">
              <w:t xml:space="preserve"> </w:t>
            </w:r>
            <w:r w:rsidRPr="008340BB">
              <w:rPr>
                <w:rStyle w:val="hps"/>
              </w:rPr>
              <w:t>infrastructure projects</w:t>
            </w:r>
            <w:r w:rsidRPr="008340BB">
              <w:t xml:space="preserve"> </w:t>
            </w:r>
            <w:r w:rsidRPr="008340BB">
              <w:rPr>
                <w:rStyle w:val="hps"/>
              </w:rPr>
              <w:t xml:space="preserve">include, </w:t>
            </w:r>
            <w:r w:rsidRPr="008340BB">
              <w:rPr>
                <w:rStyle w:val="hps"/>
                <w:i/>
              </w:rPr>
              <w:t>inter</w:t>
            </w:r>
            <w:r w:rsidRPr="008340BB">
              <w:rPr>
                <w:i/>
              </w:rPr>
              <w:t xml:space="preserve"> </w:t>
            </w:r>
            <w:r w:rsidRPr="008340BB">
              <w:rPr>
                <w:rStyle w:val="hps"/>
                <w:i/>
              </w:rPr>
              <w:t>alia</w:t>
            </w:r>
            <w:r w:rsidRPr="008340BB">
              <w:rPr>
                <w:rStyle w:val="hps"/>
              </w:rPr>
              <w:t>, the</w:t>
            </w:r>
            <w:r w:rsidRPr="008340BB">
              <w:t xml:space="preserve"> </w:t>
            </w:r>
            <w:r w:rsidRPr="008340BB">
              <w:rPr>
                <w:rStyle w:val="hps"/>
              </w:rPr>
              <w:t>application of</w:t>
            </w:r>
            <w:r w:rsidRPr="008340BB">
              <w:t xml:space="preserve"> </w:t>
            </w:r>
            <w:r w:rsidRPr="008340BB">
              <w:rPr>
                <w:rStyle w:val="hps"/>
              </w:rPr>
              <w:t>standard practice</w:t>
            </w:r>
            <w:r w:rsidRPr="008340BB">
              <w:t xml:space="preserve"> </w:t>
            </w:r>
            <w:r w:rsidRPr="008340BB">
              <w:rPr>
                <w:rStyle w:val="hps"/>
              </w:rPr>
              <w:t>for screening</w:t>
            </w:r>
            <w:r w:rsidRPr="008340BB">
              <w:t xml:space="preserve"> </w:t>
            </w:r>
            <w:r w:rsidRPr="008340BB">
              <w:rPr>
                <w:rStyle w:val="hps"/>
              </w:rPr>
              <w:t>of potential</w:t>
            </w:r>
            <w:r w:rsidRPr="008340BB">
              <w:t xml:space="preserve"> </w:t>
            </w:r>
            <w:r w:rsidRPr="008340BB">
              <w:rPr>
                <w:rStyle w:val="hps"/>
              </w:rPr>
              <w:t>vulnerabilities</w:t>
            </w:r>
            <w:r w:rsidRPr="008340BB">
              <w:t xml:space="preserve"> </w:t>
            </w:r>
            <w:r w:rsidRPr="008340BB">
              <w:rPr>
                <w:rStyle w:val="hps"/>
              </w:rPr>
              <w:t>to climate change</w:t>
            </w:r>
            <w:r w:rsidRPr="008340BB">
              <w:t xml:space="preserve"> </w:t>
            </w:r>
            <w:r w:rsidRPr="008340BB">
              <w:rPr>
                <w:rStyle w:val="hps"/>
              </w:rPr>
              <w:t>by addressing</w:t>
            </w:r>
            <w:r w:rsidRPr="008340BB">
              <w:t xml:space="preserve"> </w:t>
            </w:r>
            <w:r w:rsidRPr="008340BB">
              <w:rPr>
                <w:rStyle w:val="hps"/>
              </w:rPr>
              <w:t>the opportunities for</w:t>
            </w:r>
            <w:r w:rsidRPr="008340BB">
              <w:t xml:space="preserve"> </w:t>
            </w:r>
            <w:r w:rsidRPr="008340BB">
              <w:rPr>
                <w:rStyle w:val="hps"/>
              </w:rPr>
              <w:t>adaptation and</w:t>
            </w:r>
            <w:r w:rsidRPr="008340BB">
              <w:t xml:space="preserve"> </w:t>
            </w:r>
            <w:r w:rsidRPr="008340BB">
              <w:rPr>
                <w:rStyle w:val="hps"/>
              </w:rPr>
              <w:t>increased resilience to</w:t>
            </w:r>
            <w:r w:rsidRPr="008340BB">
              <w:t xml:space="preserve"> </w:t>
            </w:r>
            <w:r w:rsidRPr="008340BB">
              <w:rPr>
                <w:rStyle w:val="hps"/>
              </w:rPr>
              <w:t>climate change.</w:t>
            </w:r>
            <w:r w:rsidRPr="008340BB">
              <w:t xml:space="preserve"> </w:t>
            </w:r>
            <w:r w:rsidRPr="008340BB">
              <w:rPr>
                <w:rStyle w:val="hps"/>
              </w:rPr>
              <w:t>This</w:t>
            </w:r>
            <w:r w:rsidRPr="008340BB">
              <w:t xml:space="preserve"> </w:t>
            </w:r>
            <w:r w:rsidRPr="008340BB">
              <w:rPr>
                <w:rStyle w:val="hps"/>
              </w:rPr>
              <w:t>will be done</w:t>
            </w:r>
            <w:r w:rsidRPr="008340BB">
              <w:t xml:space="preserve"> </w:t>
            </w:r>
            <w:r w:rsidRPr="008340BB">
              <w:rPr>
                <w:rStyle w:val="hps"/>
              </w:rPr>
              <w:t>in accordance with guidelines</w:t>
            </w:r>
            <w:r w:rsidRPr="008340BB">
              <w:t xml:space="preserve"> </w:t>
            </w:r>
            <w:r w:rsidRPr="008340BB">
              <w:rPr>
                <w:rStyle w:val="hps"/>
              </w:rPr>
              <w:t>for integrating</w:t>
            </w:r>
            <w:r w:rsidRPr="008340BB">
              <w:t xml:space="preserve"> </w:t>
            </w:r>
            <w:r w:rsidRPr="008340BB">
              <w:rPr>
                <w:rStyle w:val="hps"/>
              </w:rPr>
              <w:t>resilience to climate</w:t>
            </w:r>
            <w:r w:rsidRPr="008340BB">
              <w:t xml:space="preserve"> </w:t>
            </w:r>
            <w:r w:rsidRPr="008340BB">
              <w:rPr>
                <w:rStyle w:val="hps"/>
              </w:rPr>
              <w:t>change</w:t>
            </w:r>
            <w:r w:rsidRPr="008340BB">
              <w:t xml:space="preserve"> </w:t>
            </w:r>
            <w:r w:rsidRPr="008340BB">
              <w:rPr>
                <w:rStyle w:val="hps"/>
              </w:rPr>
              <w:t>in the conventional</w:t>
            </w:r>
            <w:r w:rsidRPr="008340BB">
              <w:t xml:space="preserve"> </w:t>
            </w:r>
            <w:r w:rsidRPr="008340BB">
              <w:rPr>
                <w:rStyle w:val="hps"/>
              </w:rPr>
              <w:t>lifecycle of</w:t>
            </w:r>
            <w:r w:rsidRPr="008340BB">
              <w:t xml:space="preserve"> </w:t>
            </w:r>
            <w:r w:rsidRPr="008340BB">
              <w:rPr>
                <w:rStyle w:val="hps"/>
              </w:rPr>
              <w:t>assets and</w:t>
            </w:r>
            <w:r w:rsidRPr="008340BB">
              <w:t xml:space="preserve"> </w:t>
            </w:r>
            <w:r w:rsidRPr="008340BB">
              <w:rPr>
                <w:rStyle w:val="hps"/>
              </w:rPr>
              <w:t>the defined</w:t>
            </w:r>
            <w:r w:rsidRPr="008340BB">
              <w:t xml:space="preserve"> </w:t>
            </w:r>
            <w:r w:rsidRPr="008340BB">
              <w:rPr>
                <w:rStyle w:val="hps"/>
              </w:rPr>
              <w:t>modules</w:t>
            </w:r>
            <w:r w:rsidRPr="008340BB">
              <w:t xml:space="preserve"> </w:t>
            </w:r>
            <w:r w:rsidRPr="008340BB">
              <w:rPr>
                <w:rStyle w:val="hps"/>
              </w:rPr>
              <w:t>in the process of</w:t>
            </w:r>
            <w:r w:rsidRPr="008340BB">
              <w:t xml:space="preserve"> </w:t>
            </w:r>
            <w:r w:rsidRPr="008340BB">
              <w:rPr>
                <w:rStyle w:val="hps"/>
              </w:rPr>
              <w:t>resistance</w:t>
            </w:r>
            <w:r w:rsidRPr="008340BB">
              <w:t xml:space="preserve"> </w:t>
            </w:r>
            <w:r w:rsidRPr="008340BB">
              <w:rPr>
                <w:rStyle w:val="hps"/>
              </w:rPr>
              <w:t>to climate change</w:t>
            </w:r>
            <w:r w:rsidRPr="008340BB">
              <w:t xml:space="preserve"> </w:t>
            </w:r>
            <w:r w:rsidRPr="008340BB">
              <w:rPr>
                <w:rStyle w:val="hps"/>
              </w:rPr>
              <w:t>developed in the</w:t>
            </w:r>
            <w:r w:rsidRPr="008340BB">
              <w:t xml:space="preserve"> </w:t>
            </w:r>
            <w:r w:rsidRPr="008340BB">
              <w:rPr>
                <w:rStyle w:val="hps"/>
              </w:rPr>
              <w:t>"Non-paper Guidelines for Project Managers: Making vulnerable</w:t>
            </w:r>
            <w:r w:rsidRPr="008340BB">
              <w:t xml:space="preserve"> </w:t>
            </w:r>
            <w:r w:rsidRPr="008340BB">
              <w:rPr>
                <w:rStyle w:val="hps"/>
              </w:rPr>
              <w:t>investments climate resilient".</w:t>
            </w:r>
            <w:r w:rsidRPr="008340BB">
              <w:rPr>
                <w:rStyle w:val="FootnoteReference"/>
                <w:color w:val="515151"/>
                <w:sz w:val="23"/>
                <w:szCs w:val="23"/>
                <w:lang w:eastAsia="bg-BG"/>
              </w:rPr>
              <w:footnoteReference w:id="91"/>
            </w:r>
          </w:p>
          <w:p w14:paraId="757D687E" w14:textId="77777777" w:rsidR="00F1341F" w:rsidRPr="008340BB" w:rsidRDefault="00F1341F" w:rsidP="00144E45">
            <w:pPr>
              <w:autoSpaceDE w:val="0"/>
              <w:autoSpaceDN w:val="0"/>
              <w:adjustRightInd w:val="0"/>
              <w:spacing w:after="0"/>
              <w:rPr>
                <w:rFonts w:cs="Arial"/>
              </w:rPr>
            </w:pPr>
            <w:r w:rsidRPr="0067246B">
              <w:rPr>
                <w:rStyle w:val="hps"/>
              </w:rPr>
              <w:t>In line</w:t>
            </w:r>
            <w:r w:rsidRPr="0067246B">
              <w:t xml:space="preserve"> </w:t>
            </w:r>
            <w:r w:rsidRPr="00020ADD">
              <w:rPr>
                <w:rStyle w:val="hps"/>
              </w:rPr>
              <w:t>with</w:t>
            </w:r>
            <w:r w:rsidRPr="00020ADD">
              <w:t xml:space="preserve"> </w:t>
            </w:r>
            <w:r w:rsidRPr="00020ADD">
              <w:rPr>
                <w:rStyle w:val="hps"/>
              </w:rPr>
              <w:t>the EU Strategy</w:t>
            </w:r>
            <w:r w:rsidRPr="00020ADD">
              <w:t xml:space="preserve"> </w:t>
            </w:r>
            <w:r w:rsidRPr="00DC0475">
              <w:rPr>
                <w:rStyle w:val="hps"/>
              </w:rPr>
              <w:t>for</w:t>
            </w:r>
            <w:r w:rsidRPr="00B5130A">
              <w:t xml:space="preserve"> </w:t>
            </w:r>
            <w:r w:rsidRPr="00BA2131">
              <w:rPr>
                <w:rStyle w:val="hps"/>
              </w:rPr>
              <w:t>green infrastructure</w:t>
            </w:r>
            <w:r w:rsidRPr="00627588">
              <w:t xml:space="preserve"> </w:t>
            </w:r>
            <w:r w:rsidRPr="00E72389">
              <w:rPr>
                <w:rStyle w:val="hps"/>
              </w:rPr>
              <w:t>development within the Community</w:t>
            </w:r>
            <w:r w:rsidRPr="00A828C5">
              <w:t xml:space="preserve">, the </w:t>
            </w:r>
            <w:r w:rsidRPr="008340BB">
              <w:rPr>
                <w:rStyle w:val="hps"/>
              </w:rPr>
              <w:t>OPTTI</w:t>
            </w:r>
            <w:r w:rsidRPr="008340BB">
              <w:t xml:space="preserve"> </w:t>
            </w:r>
            <w:r w:rsidRPr="008340BB">
              <w:rPr>
                <w:rStyle w:val="hps"/>
              </w:rPr>
              <w:t>will contribute to</w:t>
            </w:r>
            <w:r w:rsidRPr="008340BB">
              <w:t xml:space="preserve"> </w:t>
            </w:r>
            <w:r w:rsidRPr="008340BB">
              <w:rPr>
                <w:rStyle w:val="hps"/>
              </w:rPr>
              <w:t>achieving sustainable development</w:t>
            </w:r>
            <w:r w:rsidRPr="008340BB">
              <w:t xml:space="preserve"> </w:t>
            </w:r>
            <w:r w:rsidRPr="008340BB">
              <w:rPr>
                <w:rStyle w:val="hps"/>
              </w:rPr>
              <w:t>through</w:t>
            </w:r>
            <w:r w:rsidRPr="008340BB">
              <w:t xml:space="preserve"> </w:t>
            </w:r>
            <w:r w:rsidRPr="008340BB">
              <w:rPr>
                <w:rStyle w:val="hps"/>
              </w:rPr>
              <w:t>implementation of</w:t>
            </w:r>
            <w:r w:rsidRPr="008340BB">
              <w:t xml:space="preserve"> </w:t>
            </w:r>
            <w:r w:rsidRPr="008340BB">
              <w:rPr>
                <w:rStyle w:val="hps"/>
              </w:rPr>
              <w:t>measures to protect the</w:t>
            </w:r>
            <w:r w:rsidRPr="008340BB">
              <w:t xml:space="preserve"> </w:t>
            </w:r>
            <w:r w:rsidRPr="008340BB">
              <w:rPr>
                <w:rStyle w:val="hps"/>
              </w:rPr>
              <w:t>natural landscape</w:t>
            </w:r>
            <w:r w:rsidRPr="008340BB">
              <w:t xml:space="preserve"> </w:t>
            </w:r>
            <w:r w:rsidRPr="008340BB">
              <w:rPr>
                <w:rStyle w:val="hps"/>
              </w:rPr>
              <w:t>and</w:t>
            </w:r>
            <w:r w:rsidRPr="008340BB">
              <w:t xml:space="preserve"> </w:t>
            </w:r>
            <w:r w:rsidRPr="008340BB">
              <w:rPr>
                <w:rStyle w:val="hps"/>
              </w:rPr>
              <w:t>areas</w:t>
            </w:r>
            <w:r w:rsidRPr="008340BB">
              <w:t xml:space="preserve"> </w:t>
            </w:r>
            <w:r w:rsidRPr="008340BB">
              <w:rPr>
                <w:rStyle w:val="hps"/>
              </w:rPr>
              <w:t>of high natural</w:t>
            </w:r>
            <w:r w:rsidRPr="008340BB">
              <w:t xml:space="preserve"> </w:t>
            </w:r>
            <w:r w:rsidRPr="008340BB">
              <w:rPr>
                <w:rStyle w:val="hps"/>
              </w:rPr>
              <w:t>value and</w:t>
            </w:r>
            <w:r w:rsidRPr="008340BB">
              <w:t xml:space="preserve"> </w:t>
            </w:r>
            <w:r w:rsidRPr="008340BB">
              <w:rPr>
                <w:rStyle w:val="hps"/>
              </w:rPr>
              <w:t>habitat restoration</w:t>
            </w:r>
            <w:r w:rsidRPr="008340BB">
              <w:t xml:space="preserve">, which will </w:t>
            </w:r>
            <w:r w:rsidRPr="008340BB">
              <w:rPr>
                <w:rStyle w:val="hps"/>
              </w:rPr>
              <w:t>involve the</w:t>
            </w:r>
            <w:r w:rsidRPr="008340BB">
              <w:t xml:space="preserve"> </w:t>
            </w:r>
            <w:r w:rsidRPr="008340BB">
              <w:rPr>
                <w:rStyle w:val="hps"/>
              </w:rPr>
              <w:t>parameters of each</w:t>
            </w:r>
            <w:r w:rsidRPr="008340BB">
              <w:t xml:space="preserve"> </w:t>
            </w:r>
            <w:r w:rsidRPr="008340BB">
              <w:rPr>
                <w:rStyle w:val="hps"/>
              </w:rPr>
              <w:t>prepared</w:t>
            </w:r>
            <w:r w:rsidRPr="008340BB">
              <w:t xml:space="preserve"> </w:t>
            </w:r>
            <w:r w:rsidRPr="008340BB">
              <w:rPr>
                <w:rStyle w:val="hps"/>
              </w:rPr>
              <w:t>to implement</w:t>
            </w:r>
            <w:r w:rsidRPr="008340BB">
              <w:t xml:space="preserve"> </w:t>
            </w:r>
            <w:r w:rsidRPr="008340BB">
              <w:rPr>
                <w:rStyle w:val="hps"/>
              </w:rPr>
              <w:t>infrastructure project</w:t>
            </w:r>
            <w:r w:rsidRPr="008340BB">
              <w:t xml:space="preserve"> </w:t>
            </w:r>
            <w:r w:rsidRPr="008340BB">
              <w:rPr>
                <w:rStyle w:val="hps"/>
              </w:rPr>
              <w:t>design and construction of</w:t>
            </w:r>
            <w:r w:rsidRPr="008340BB">
              <w:t xml:space="preserve"> </w:t>
            </w:r>
            <w:r w:rsidRPr="008340BB">
              <w:rPr>
                <w:rStyle w:val="hps"/>
              </w:rPr>
              <w:t>artificial</w:t>
            </w:r>
            <w:r w:rsidRPr="008340BB">
              <w:t xml:space="preserve"> </w:t>
            </w:r>
            <w:r w:rsidRPr="008340BB">
              <w:rPr>
                <w:rStyle w:val="hps"/>
                <w:i/>
              </w:rPr>
              <w:t>eco-passages</w:t>
            </w:r>
            <w:r w:rsidRPr="008340BB">
              <w:rPr>
                <w:rStyle w:val="hps"/>
              </w:rPr>
              <w:t xml:space="preserve"> and/or</w:t>
            </w:r>
            <w:r w:rsidRPr="008340BB">
              <w:t xml:space="preserve"> </w:t>
            </w:r>
            <w:r w:rsidRPr="008340BB">
              <w:rPr>
                <w:rStyle w:val="hps"/>
                <w:i/>
              </w:rPr>
              <w:t>eco-bridges</w:t>
            </w:r>
            <w:r w:rsidRPr="008340BB">
              <w:t xml:space="preserve"> </w:t>
            </w:r>
            <w:r w:rsidRPr="008340BB">
              <w:rPr>
                <w:rStyle w:val="hps"/>
              </w:rPr>
              <w:t>to facilitate</w:t>
            </w:r>
            <w:r w:rsidRPr="008340BB">
              <w:t xml:space="preserve"> </w:t>
            </w:r>
            <w:r w:rsidRPr="008340BB">
              <w:rPr>
                <w:rStyle w:val="hps"/>
              </w:rPr>
              <w:t>movement</w:t>
            </w:r>
            <w:r w:rsidRPr="008340BB">
              <w:t xml:space="preserve"> </w:t>
            </w:r>
            <w:r w:rsidRPr="008340BB">
              <w:rPr>
                <w:rStyle w:val="hps"/>
              </w:rPr>
              <w:t>of species</w:t>
            </w:r>
            <w:r w:rsidRPr="008340BB">
              <w:t xml:space="preserve"> </w:t>
            </w:r>
            <w:r w:rsidRPr="008340BB">
              <w:rPr>
                <w:rStyle w:val="hps"/>
              </w:rPr>
              <w:t>through</w:t>
            </w:r>
            <w:r w:rsidRPr="008340BB">
              <w:t xml:space="preserve"> </w:t>
            </w:r>
            <w:r w:rsidRPr="008340BB">
              <w:rPr>
                <w:rStyle w:val="hps"/>
              </w:rPr>
              <w:t>areas</w:t>
            </w:r>
            <w:r w:rsidRPr="008340BB">
              <w:t xml:space="preserve"> </w:t>
            </w:r>
            <w:r w:rsidRPr="008340BB">
              <w:rPr>
                <w:rStyle w:val="hps"/>
              </w:rPr>
              <w:t>difficult to overcome</w:t>
            </w:r>
            <w:r w:rsidRPr="008340BB">
              <w:t xml:space="preserve"> </w:t>
            </w:r>
            <w:r w:rsidRPr="008340BB">
              <w:rPr>
                <w:rStyle w:val="hps"/>
              </w:rPr>
              <w:t>or</w:t>
            </w:r>
            <w:r w:rsidRPr="008340BB">
              <w:t xml:space="preserve"> </w:t>
            </w:r>
            <w:r w:rsidRPr="008340BB">
              <w:rPr>
                <w:rStyle w:val="hps"/>
              </w:rPr>
              <w:t>existing</w:t>
            </w:r>
            <w:r w:rsidRPr="008340BB">
              <w:t xml:space="preserve"> </w:t>
            </w:r>
            <w:r w:rsidRPr="008340BB">
              <w:rPr>
                <w:rStyle w:val="hps"/>
              </w:rPr>
              <w:t>linear facilities</w:t>
            </w:r>
            <w:r w:rsidRPr="008340BB">
              <w:t xml:space="preserve">, </w:t>
            </w:r>
            <w:r w:rsidRPr="008340BB">
              <w:rPr>
                <w:rStyle w:val="hps"/>
              </w:rPr>
              <w:t>which act as</w:t>
            </w:r>
            <w:r w:rsidRPr="008340BB">
              <w:t xml:space="preserve"> </w:t>
            </w:r>
            <w:r w:rsidRPr="008340BB">
              <w:rPr>
                <w:rStyle w:val="hps"/>
              </w:rPr>
              <w:t>artificial barriers</w:t>
            </w:r>
            <w:r w:rsidRPr="008340BB">
              <w:t xml:space="preserve"> </w:t>
            </w:r>
            <w:r w:rsidRPr="008340BB">
              <w:rPr>
                <w:rStyle w:val="hps"/>
              </w:rPr>
              <w:t>from the viewpoint of protection and development of</w:t>
            </w:r>
            <w:r w:rsidRPr="008340BB">
              <w:t xml:space="preserve"> </w:t>
            </w:r>
            <w:r w:rsidRPr="008340BB">
              <w:rPr>
                <w:rStyle w:val="hps"/>
              </w:rPr>
              <w:t>the natural landscape.</w:t>
            </w:r>
            <w:r w:rsidRPr="008340BB">
              <w:t xml:space="preserve">In the OPTTI the aspects of environmental protection will be taken into account at the programming stage - through inclusion of appropriate groups of environmental criteria in the criteria for selection of projects. At the implementation and monitoring of projects - using indicators for tracking the progress - at the level of outputs and results. At the assessment - in current and thematic evaluations of the OPTTI will be included evaluation aspects related to the protection of the environment. </w:t>
            </w:r>
          </w:p>
          <w:p w14:paraId="671E954B" w14:textId="77777777" w:rsidR="00F1341F" w:rsidRPr="008340BB" w:rsidRDefault="00F1341F" w:rsidP="00144E45">
            <w:pPr>
              <w:spacing w:after="0"/>
              <w:rPr>
                <w:b/>
                <w:i/>
              </w:rPr>
            </w:pPr>
            <w:r w:rsidRPr="008340BB">
              <w:rPr>
                <w:b/>
                <w:i/>
              </w:rPr>
              <w:t>Efficient use of resources</w:t>
            </w:r>
          </w:p>
          <w:p w14:paraId="1B525143" w14:textId="77777777" w:rsidR="00F1341F" w:rsidRPr="008340BB" w:rsidRDefault="00F1341F" w:rsidP="00144E45">
            <w:pPr>
              <w:pStyle w:val="Default"/>
              <w:spacing w:before="120"/>
              <w:jc w:val="both"/>
              <w:rPr>
                <w:color w:val="auto"/>
                <w:lang w:val="en-GB" w:eastAsia="cs-CZ"/>
              </w:rPr>
            </w:pPr>
            <w:r w:rsidRPr="008340BB">
              <w:rPr>
                <w:color w:val="auto"/>
                <w:lang w:val="en-GB" w:eastAsia="cs-CZ"/>
              </w:rPr>
              <w:t xml:space="preserve">In the transport sector and the implementation of the OPTTI, through the efficient use of resources will also aim to achieve carbon-free transport systems, introduction of technologies for traffic management, use of cleaner vehicles, the introduction of standards and market-based incentives and instruments. An important element of this </w:t>
            </w:r>
            <w:r w:rsidRPr="008340BB">
              <w:rPr>
                <w:color w:val="auto"/>
                <w:lang w:val="en-GB" w:eastAsia="cs-CZ"/>
              </w:rPr>
              <w:lastRenderedPageBreak/>
              <w:t>strategy is an approach to the use of green public procurement, which will be subject to annual reporting. At the assignment of public procurement contracts will be imposed a condition for applying environmental standards for all purchased goods and services in order to achieve efficient use of resources.</w:t>
            </w:r>
          </w:p>
          <w:p w14:paraId="40044A36" w14:textId="77777777" w:rsidR="00F1341F" w:rsidRPr="008340BB" w:rsidRDefault="00F1341F" w:rsidP="00144E45">
            <w:pPr>
              <w:pStyle w:val="Default"/>
              <w:spacing w:before="120"/>
              <w:jc w:val="both"/>
              <w:rPr>
                <w:color w:val="auto"/>
                <w:lang w:val="en-GB" w:eastAsia="cs-CZ"/>
              </w:rPr>
            </w:pPr>
            <w:r w:rsidRPr="008340BB">
              <w:rPr>
                <w:color w:val="auto"/>
                <w:lang w:val="en-GB" w:eastAsia="cs-CZ"/>
              </w:rPr>
              <w:t>To achieve effective use of resources in the context of the implementation of the OPTTI there will be followed and reported the general requirements for savings, recycling, substitution by alternatives, reducing the amount of materials and proper evaluation used of natural resources.</w:t>
            </w:r>
          </w:p>
          <w:p w14:paraId="7F9FCF68" w14:textId="77777777" w:rsidR="00F1341F" w:rsidRPr="008340BB" w:rsidRDefault="00F1341F" w:rsidP="00144E45">
            <w:pPr>
              <w:spacing w:after="0"/>
              <w:rPr>
                <w:b/>
                <w:i/>
              </w:rPr>
            </w:pPr>
            <w:r w:rsidRPr="008340BB">
              <w:rPr>
                <w:b/>
                <w:i/>
              </w:rPr>
              <w:t>Climate change mitigation and adaptation</w:t>
            </w:r>
          </w:p>
          <w:p w14:paraId="30E4C829" w14:textId="77777777" w:rsidR="00F1341F" w:rsidRPr="008340BB" w:rsidRDefault="00F1341F" w:rsidP="00144E45">
            <w:pPr>
              <w:spacing w:after="0"/>
              <w:rPr>
                <w:rFonts w:cs="Arial"/>
                <w:lang w:eastAsia="bg-BG"/>
              </w:rPr>
            </w:pPr>
            <w:r w:rsidRPr="008340BB">
              <w:t xml:space="preserve">Through its measures the OPTTI will contribute to the implementation of a group of interventions included in the national document </w:t>
            </w:r>
            <w:r w:rsidRPr="008340BB">
              <w:rPr>
                <w:i/>
              </w:rPr>
              <w:t xml:space="preserve">“Guidelines on Mainstreaming of Environmental Policy and Climate Change Policy </w:t>
            </w:r>
            <w:r w:rsidRPr="008340BB">
              <w:rPr>
                <w:rFonts w:cs="Arial"/>
                <w:i/>
              </w:rPr>
              <w:t>in the Cohesion Policy, Common Agricultural Policy and Common Fisheries Policy Funds</w:t>
            </w:r>
            <w:r w:rsidRPr="008340BB">
              <w:rPr>
                <w:i/>
              </w:rPr>
              <w:t xml:space="preserve"> </w:t>
            </w:r>
            <w:r w:rsidRPr="008340BB">
              <w:rPr>
                <w:rFonts w:cs="Arial"/>
                <w:i/>
              </w:rPr>
              <w:t>for the period 2014-2020</w:t>
            </w:r>
            <w:r w:rsidRPr="008340BB">
              <w:rPr>
                <w:i/>
              </w:rPr>
              <w:t>"</w:t>
            </w:r>
            <w:r w:rsidRPr="008340BB">
              <w:t>, and namely: Intervention  5. Interventions for climate actions: improving air quality and reducing greenhouse gas emissions, Intervention 5.1. Implementation of measures to improve ambient air quality, Measure 5.1.3. Development of the railway system (TEN-T Railway Network) - this will be achieved through the implementation of the operations set out in Priority axis 1 of the OPTTI on the development of railway transport and Priority axis 3 on further construction of the underground metropolitan in Sofia.</w:t>
            </w:r>
          </w:p>
          <w:p w14:paraId="53DF9EA4" w14:textId="77777777" w:rsidR="00F1341F" w:rsidRPr="008340BB" w:rsidRDefault="00F1341F" w:rsidP="00144E45">
            <w:pPr>
              <w:spacing w:after="0"/>
              <w:rPr>
                <w:b/>
                <w:i/>
              </w:rPr>
            </w:pPr>
            <w:r w:rsidRPr="008340BB">
              <w:rPr>
                <w:b/>
                <w:i/>
              </w:rPr>
              <w:t>Disaster resilience</w:t>
            </w:r>
          </w:p>
          <w:p w14:paraId="44D5D9F0" w14:textId="77777777" w:rsidR="00F1341F" w:rsidRPr="008340BB" w:rsidRDefault="00F1341F" w:rsidP="00144E45">
            <w:pPr>
              <w:spacing w:after="0"/>
            </w:pPr>
            <w:r w:rsidRPr="008340BB">
              <w:t>For achievement of sustainability to natural disasters and accidents it is necessary both at national level and at the level of implementation of the OPTTI 2014-2020 to establish and use information systems for early warning, alerting and monitoring; forecasting and information provision, adequate coordination and exchange of data between different competent institutions.</w:t>
            </w:r>
          </w:p>
        </w:tc>
      </w:tr>
    </w:tbl>
    <w:p w14:paraId="0C908760" w14:textId="77777777" w:rsidR="00F1341F" w:rsidRPr="008340BB" w:rsidRDefault="00F1341F" w:rsidP="00F03C1E"/>
    <w:p w14:paraId="1FA63655" w14:textId="77777777" w:rsidR="00F1341F" w:rsidRPr="008340BB" w:rsidRDefault="00F1341F" w:rsidP="00F03C1E">
      <w:pPr>
        <w:rPr>
          <w:b/>
        </w:rPr>
      </w:pPr>
      <w:r w:rsidRPr="008340BB">
        <w:rPr>
          <w:b/>
        </w:rPr>
        <w:t xml:space="preserve">11.2 </w:t>
      </w:r>
      <w:r w:rsidRPr="008340BB">
        <w:rPr>
          <w:b/>
        </w:rPr>
        <w:tab/>
        <w:t>Equal opportunities and non-discrimination</w:t>
      </w:r>
    </w:p>
    <w:p w14:paraId="467F2728" w14:textId="77777777" w:rsidR="00F1341F" w:rsidRPr="008340BB" w:rsidRDefault="00F1341F" w:rsidP="00F03C1E">
      <w:pPr>
        <w:pStyle w:val="Text1"/>
        <w:ind w:left="0"/>
        <w:rPr>
          <w:lang w:val="en-GB" w:eastAsia="fr-FR"/>
        </w:rPr>
      </w:pPr>
      <w:r w:rsidRPr="008340BB">
        <w:rPr>
          <w:lang w:val="en-GB"/>
        </w:rPr>
        <w:t xml:space="preserve">Description of specific action to promote equal opportunities and prevent discrimination based on gender, racial or ethnic origin, religion or belief, disability, age or sexual orientation during the preparation, design and implementation of the programme, in particular in relation to access to funding and </w:t>
      </w:r>
      <w:r w:rsidRPr="008340BB">
        <w:rPr>
          <w:lang w:val="en-GB" w:eastAsia="fr-FR"/>
        </w:rPr>
        <w:t xml:space="preserve">the need to ensure accessibility for persons with disabilities. </w:t>
      </w:r>
    </w:p>
    <w:p w14:paraId="170DFFED" w14:textId="77777777" w:rsidR="00F1341F" w:rsidRPr="008340BB" w:rsidRDefault="00F1341F" w:rsidP="00F03C1E">
      <w:pPr>
        <w:pStyle w:val="Text1"/>
        <w:ind w:left="0"/>
        <w:rPr>
          <w:lang w:val="en-GB" w:eastAsia="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5"/>
      </w:tblGrid>
      <w:tr w:rsidR="00F1341F" w:rsidRPr="008340BB" w14:paraId="7CC6BB63" w14:textId="77777777" w:rsidTr="00BF3391">
        <w:trPr>
          <w:trHeight w:val="690"/>
        </w:trPr>
        <w:tc>
          <w:tcPr>
            <w:tcW w:w="8725" w:type="dxa"/>
          </w:tcPr>
          <w:p w14:paraId="0F1FEB23" w14:textId="77777777" w:rsidR="00F1341F" w:rsidRPr="008340BB" w:rsidRDefault="00F1341F" w:rsidP="00351A8C">
            <w:r w:rsidRPr="008340BB">
              <w:rPr>
                <w:b/>
              </w:rPr>
              <w:t>Gender equality and non-discrimination</w:t>
            </w:r>
            <w:r w:rsidRPr="008340BB">
              <w:t xml:space="preserve"> </w:t>
            </w:r>
          </w:p>
          <w:p w14:paraId="568C4E7E" w14:textId="77777777" w:rsidR="00F1341F" w:rsidRPr="008340BB" w:rsidRDefault="00F1341F" w:rsidP="00351A8C">
            <w:r w:rsidRPr="008340BB">
              <w:t>During the programming phase of the OPTTI compliance with this horizontal principle will be guaranteed through the implementation of the following measures:</w:t>
            </w:r>
          </w:p>
          <w:p w14:paraId="5FAC1B20" w14:textId="77777777" w:rsidR="00F1341F" w:rsidRPr="008340BB" w:rsidRDefault="00F1341F" w:rsidP="007B4B42">
            <w:pPr>
              <w:numPr>
                <w:ilvl w:val="0"/>
                <w:numId w:val="55"/>
              </w:numPr>
              <w:spacing w:before="0" w:after="0"/>
              <w:ind w:left="426" w:hanging="426"/>
            </w:pPr>
            <w:r w:rsidRPr="008340BB">
              <w:t>Inclusion in the composition of the working group for the preparation of the programme of representatives of non-governmental organisations working in the field of equal opportunities and non-discrimination, established for the public interest; representatives of the Commission for Protection against Discrimination; representatives of organisations in the field of equality and non-discrimination and other interested institutions.</w:t>
            </w:r>
          </w:p>
          <w:p w14:paraId="68999548" w14:textId="77777777" w:rsidR="00F1341F" w:rsidRPr="008340BB" w:rsidRDefault="00F1341F" w:rsidP="007B4B42">
            <w:pPr>
              <w:numPr>
                <w:ilvl w:val="0"/>
                <w:numId w:val="55"/>
              </w:numPr>
              <w:spacing w:before="0" w:after="0"/>
              <w:ind w:left="426" w:hanging="426"/>
            </w:pPr>
            <w:r w:rsidRPr="008340BB">
              <w:t xml:space="preserve">Define as one of the main functions of the working group for the preparation of the OPTTI, the task to ensure observance of the mainstreaming the horizontal principle for promotion of equal opportunities and preventing discrimination based on sex, racial or ethnic origin, religion or belief, disability, age or sexual orientation. This </w:t>
            </w:r>
            <w:r w:rsidRPr="008340BB">
              <w:lastRenderedPageBreak/>
              <w:t>means all interventions planned to allow the mainstreaming of the above principle, i.e. constantly reflects the need for its observance by ensuring equal accessibility to infrastructure and facilities that are planned to be funded and constructed, with a special emphasis on the use of accessibility measures for vulnerable groups and people with disabilities.</w:t>
            </w:r>
          </w:p>
          <w:p w14:paraId="6700D241" w14:textId="77777777" w:rsidR="00F1341F" w:rsidRPr="008340BB" w:rsidRDefault="00F1341F" w:rsidP="00351A8C">
            <w:r w:rsidRPr="008340BB">
              <w:t>During the implementation phase of the OPTTI the proper application of this horizontal principle may be pursued through the implementation of the measures described below:</w:t>
            </w:r>
          </w:p>
          <w:p w14:paraId="258F056B" w14:textId="77777777" w:rsidR="00F1341F" w:rsidRPr="008340BB" w:rsidRDefault="00F1341F" w:rsidP="007B4B42">
            <w:pPr>
              <w:numPr>
                <w:ilvl w:val="0"/>
                <w:numId w:val="55"/>
              </w:numPr>
              <w:spacing w:before="0" w:after="0"/>
              <w:ind w:left="426" w:hanging="426"/>
            </w:pPr>
            <w:r w:rsidRPr="008340BB">
              <w:t xml:space="preserve">Application of the prepared by the </w:t>
            </w:r>
            <w:r w:rsidRPr="008340BB">
              <w:rPr>
                <w:rStyle w:val="Emphasis"/>
                <w:i w:val="0"/>
                <w:iCs/>
              </w:rPr>
              <w:t>Central Coordination Unit</w:t>
            </w:r>
            <w:r w:rsidRPr="008340BB">
              <w:t xml:space="preserve"> universal</w:t>
            </w:r>
            <w:r w:rsidRPr="008340BB">
              <w:rPr>
                <w:b/>
              </w:rPr>
              <w:t xml:space="preserve"> </w:t>
            </w:r>
            <w:r w:rsidRPr="008340BB">
              <w:t>guidelines on compliance with the horizontal principles of the Community, in particular the one discussed here.</w:t>
            </w:r>
          </w:p>
          <w:p w14:paraId="7ACFB2BC" w14:textId="77777777" w:rsidR="00F1341F" w:rsidRPr="008340BB" w:rsidRDefault="00F1341F" w:rsidP="007B4B42">
            <w:pPr>
              <w:numPr>
                <w:ilvl w:val="0"/>
                <w:numId w:val="55"/>
              </w:numPr>
              <w:spacing w:before="0" w:after="0"/>
              <w:ind w:left="426" w:hanging="426"/>
            </w:pPr>
            <w:r w:rsidRPr="008340BB">
              <w:t>Inclusion in all priority axes of the programme (1÷4) related to the funding for the construction of infrastructure facilities, compliance with the mandatory horizontal activity to improve and facilitate the access for people with disabilities.</w:t>
            </w:r>
          </w:p>
          <w:p w14:paraId="0D08C079" w14:textId="77777777" w:rsidR="00F1341F" w:rsidRPr="008340BB" w:rsidRDefault="00F1341F" w:rsidP="001C0BBE">
            <w:pPr>
              <w:spacing w:before="0" w:after="0"/>
            </w:pPr>
          </w:p>
          <w:p w14:paraId="23CCA445" w14:textId="77777777" w:rsidR="00F1341F" w:rsidRPr="008340BB" w:rsidRDefault="00F1341F" w:rsidP="00144E45">
            <w:pPr>
              <w:spacing w:before="0" w:after="0"/>
              <w:rPr>
                <w:i/>
              </w:rPr>
            </w:pPr>
            <w:r w:rsidRPr="008340BB">
              <w:t>Inclusion in the composition of the Monitoring Committee of the OPTTI of representatives of non-governmental organisations established for the public benefit, working in the field of equal opportunities, non-discrimination and equal access, as well as representatives of institutions designated as competent at national level for the horizontal issue in question.</w:t>
            </w:r>
          </w:p>
        </w:tc>
      </w:tr>
    </w:tbl>
    <w:p w14:paraId="6F0FBA60" w14:textId="77777777" w:rsidR="00F1341F" w:rsidRPr="008340BB" w:rsidRDefault="00F1341F" w:rsidP="00F03C1E"/>
    <w:p w14:paraId="496DE6FE" w14:textId="77777777" w:rsidR="00F1341F" w:rsidRPr="008340BB" w:rsidRDefault="00F1341F" w:rsidP="00F03C1E">
      <w:pPr>
        <w:rPr>
          <w:b/>
        </w:rPr>
      </w:pPr>
      <w:r w:rsidRPr="008340BB">
        <w:rPr>
          <w:b/>
        </w:rPr>
        <w:t xml:space="preserve">11.3 </w:t>
      </w:r>
      <w:r w:rsidRPr="008340BB">
        <w:rPr>
          <w:b/>
        </w:rPr>
        <w:tab/>
        <w:t>Equality between men and women</w:t>
      </w:r>
    </w:p>
    <w:p w14:paraId="18436A54" w14:textId="77777777" w:rsidR="00F1341F" w:rsidRPr="008340BB" w:rsidRDefault="00F1341F" w:rsidP="00F03C1E">
      <w:pPr>
        <w:pStyle w:val="Text1"/>
        <w:ind w:left="0"/>
        <w:rPr>
          <w:lang w:val="en-GB"/>
        </w:rPr>
      </w:pPr>
      <w:r w:rsidRPr="008340BB">
        <w:rPr>
          <w:lang w:val="en-GB"/>
        </w:rPr>
        <w:t>Description of contribution to the promotion of equality between men and women and, where appropriate, arrangements to ensure integration of the gender perspective at programme and operation level.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5"/>
      </w:tblGrid>
      <w:tr w:rsidR="00F1341F" w:rsidRPr="008340BB" w14:paraId="665BBB4D" w14:textId="77777777" w:rsidTr="00381241">
        <w:trPr>
          <w:trHeight w:val="529"/>
        </w:trPr>
        <w:tc>
          <w:tcPr>
            <w:tcW w:w="8725" w:type="dxa"/>
          </w:tcPr>
          <w:p w14:paraId="6D52DA00" w14:textId="77777777" w:rsidR="00F1341F" w:rsidRPr="008340BB" w:rsidRDefault="00F1341F" w:rsidP="00F95149">
            <w:r w:rsidRPr="008340BB">
              <w:t xml:space="preserve">Maintaining conditions of equality between women and men in their social and professional development is an important element of horizontal Community policies and has a significant social dimension. Particularly in the transport sector, a conclusion may be drawn that men definitely have an advantage in finding a job due to the specifics of this sector. </w:t>
            </w:r>
            <w:r w:rsidRPr="008340BB">
              <w:rPr>
                <w:rStyle w:val="hps"/>
              </w:rPr>
              <w:t>For the above-mentioned reason</w:t>
            </w:r>
            <w:r w:rsidRPr="008340BB">
              <w:t xml:space="preserve"> it </w:t>
            </w:r>
            <w:r w:rsidRPr="008340BB">
              <w:rPr>
                <w:rStyle w:val="hps"/>
              </w:rPr>
              <w:t>could be</w:t>
            </w:r>
            <w:r w:rsidRPr="008340BB">
              <w:t xml:space="preserve"> </w:t>
            </w:r>
            <w:r w:rsidRPr="008340BB">
              <w:rPr>
                <w:rStyle w:val="hps"/>
              </w:rPr>
              <w:t>concluded that</w:t>
            </w:r>
            <w:r w:rsidRPr="008340BB">
              <w:t xml:space="preserve"> </w:t>
            </w:r>
            <w:r w:rsidRPr="008340BB">
              <w:rPr>
                <w:rStyle w:val="hps"/>
              </w:rPr>
              <w:t>the</w:t>
            </w:r>
            <w:r w:rsidRPr="008340BB">
              <w:t xml:space="preserve"> </w:t>
            </w:r>
            <w:r w:rsidRPr="008340BB">
              <w:rPr>
                <w:rStyle w:val="hps"/>
              </w:rPr>
              <w:t>horizontal principle</w:t>
            </w:r>
            <w:r w:rsidRPr="008340BB">
              <w:t xml:space="preserve"> considered </w:t>
            </w:r>
            <w:r w:rsidRPr="008340BB">
              <w:rPr>
                <w:rStyle w:val="hps"/>
              </w:rPr>
              <w:t>will have</w:t>
            </w:r>
            <w:r w:rsidRPr="008340BB">
              <w:t xml:space="preserve"> </w:t>
            </w:r>
            <w:r w:rsidRPr="008340BB">
              <w:rPr>
                <w:rStyle w:val="hps"/>
              </w:rPr>
              <w:t>a relatively</w:t>
            </w:r>
            <w:r w:rsidRPr="008340BB">
              <w:t xml:space="preserve"> </w:t>
            </w:r>
            <w:r w:rsidRPr="008340BB">
              <w:rPr>
                <w:rStyle w:val="hps"/>
              </w:rPr>
              <w:t>limited effect</w:t>
            </w:r>
            <w:r w:rsidRPr="008340BB">
              <w:t xml:space="preserve"> </w:t>
            </w:r>
            <w:r w:rsidRPr="008340BB">
              <w:rPr>
                <w:rStyle w:val="hps"/>
              </w:rPr>
              <w:t>on</w:t>
            </w:r>
            <w:r w:rsidRPr="008340BB">
              <w:t xml:space="preserve"> </w:t>
            </w:r>
            <w:r w:rsidRPr="008340BB">
              <w:rPr>
                <w:rStyle w:val="hps"/>
              </w:rPr>
              <w:t>OPTTI.</w:t>
            </w:r>
          </w:p>
          <w:p w14:paraId="1E8228C4" w14:textId="77777777" w:rsidR="00F1341F" w:rsidRPr="008340BB" w:rsidRDefault="00F1341F" w:rsidP="00F95149">
            <w:pPr>
              <w:rPr>
                <w:rFonts w:cs="Arial"/>
                <w:lang w:eastAsia="bg-BG"/>
              </w:rPr>
            </w:pPr>
            <w:r w:rsidRPr="008340BB">
              <w:t xml:space="preserve">In this regard, the compliance with the </w:t>
            </w:r>
            <w:r w:rsidRPr="008340BB">
              <w:rPr>
                <w:b/>
              </w:rPr>
              <w:t>principle of gender equality</w:t>
            </w:r>
            <w:r w:rsidRPr="008340BB">
              <w:t xml:space="preserve"> in the OPTTI will be achieved through application of appropriate activities at the stages of implementation, monitoring and evaluation of the programme the most important of which are the following:</w:t>
            </w:r>
          </w:p>
          <w:p w14:paraId="026296F0" w14:textId="77777777" w:rsidR="00F1341F" w:rsidRPr="008340BB" w:rsidRDefault="00F1341F" w:rsidP="00144E45">
            <w:pPr>
              <w:numPr>
                <w:ilvl w:val="0"/>
                <w:numId w:val="55"/>
              </w:numPr>
              <w:autoSpaceDE w:val="0"/>
              <w:autoSpaceDN w:val="0"/>
              <w:adjustRightInd w:val="0"/>
              <w:spacing w:after="0"/>
              <w:ind w:left="425" w:hanging="425"/>
              <w:rPr>
                <w:rFonts w:cs="Arial"/>
                <w:lang w:eastAsia="bg-BG"/>
              </w:rPr>
            </w:pPr>
            <w:r w:rsidRPr="008340BB">
              <w:t xml:space="preserve">Inclusion of requirements in the terms of reference of the tender documents and in the contracts for the provision of grants assuming of commitment by the beneficiaries to ensure the right of equal access and participation of men and women in the projects. </w:t>
            </w:r>
          </w:p>
          <w:p w14:paraId="1B451D5A" w14:textId="77777777" w:rsidR="00F1341F" w:rsidRPr="008340BB" w:rsidRDefault="00F1341F" w:rsidP="00144E45">
            <w:pPr>
              <w:numPr>
                <w:ilvl w:val="0"/>
                <w:numId w:val="55"/>
              </w:numPr>
              <w:autoSpaceDE w:val="0"/>
              <w:autoSpaceDN w:val="0"/>
              <w:adjustRightInd w:val="0"/>
              <w:spacing w:after="0"/>
              <w:ind w:left="425" w:hanging="425"/>
              <w:rPr>
                <w:rFonts w:cs="Arial"/>
                <w:lang w:eastAsia="bg-BG"/>
              </w:rPr>
            </w:pPr>
            <w:r w:rsidRPr="008340BB">
              <w:t>Reporting the number of created new jobs equally distributed between men and women.</w:t>
            </w:r>
          </w:p>
          <w:p w14:paraId="4583C6F6" w14:textId="77777777" w:rsidR="00F1341F" w:rsidRPr="008340BB" w:rsidRDefault="00F1341F" w:rsidP="00144E45">
            <w:pPr>
              <w:numPr>
                <w:ilvl w:val="0"/>
                <w:numId w:val="55"/>
              </w:numPr>
              <w:autoSpaceDE w:val="0"/>
              <w:autoSpaceDN w:val="0"/>
              <w:adjustRightInd w:val="0"/>
              <w:spacing w:after="0"/>
              <w:ind w:left="425" w:hanging="425"/>
              <w:rPr>
                <w:rFonts w:cs="Arial"/>
                <w:lang w:eastAsia="bg-BG"/>
              </w:rPr>
            </w:pPr>
            <w:r w:rsidRPr="008340BB">
              <w:t>Zero tolerance to conditions for artificially creating advantages for one gender, and discrimination of the other, respectively.</w:t>
            </w:r>
          </w:p>
          <w:p w14:paraId="6B749DDC" w14:textId="77777777" w:rsidR="00F1341F" w:rsidRPr="008340BB" w:rsidRDefault="00F1341F" w:rsidP="00144E45">
            <w:pPr>
              <w:numPr>
                <w:ilvl w:val="0"/>
                <w:numId w:val="55"/>
              </w:numPr>
              <w:autoSpaceDE w:val="0"/>
              <w:autoSpaceDN w:val="0"/>
              <w:adjustRightInd w:val="0"/>
              <w:spacing w:after="0"/>
              <w:ind w:left="425" w:hanging="425"/>
              <w:rPr>
                <w:rFonts w:cs="Arial"/>
                <w:lang w:eastAsia="bg-BG"/>
              </w:rPr>
            </w:pPr>
            <w:r w:rsidRPr="008340BB">
              <w:t>- Preparation and submission of information by the beneficiaries on the contribution of the projects to the appropriate application of this horizontal principle of the Community.</w:t>
            </w:r>
          </w:p>
          <w:p w14:paraId="73D90099" w14:textId="77777777" w:rsidR="00F1341F" w:rsidRPr="008340BB" w:rsidRDefault="00F1341F" w:rsidP="00144E45">
            <w:pPr>
              <w:numPr>
                <w:ilvl w:val="0"/>
                <w:numId w:val="55"/>
              </w:numPr>
              <w:autoSpaceDE w:val="0"/>
              <w:autoSpaceDN w:val="0"/>
              <w:adjustRightInd w:val="0"/>
              <w:spacing w:after="0"/>
              <w:ind w:left="425" w:hanging="425"/>
              <w:rPr>
                <w:rFonts w:cs="Arial"/>
                <w:lang w:eastAsia="bg-BG"/>
              </w:rPr>
            </w:pPr>
            <w:r w:rsidRPr="008340BB">
              <w:lastRenderedPageBreak/>
              <w:t>Preparation by the MA at the programme level and submission of information on the application of this horizontal principle of the Community.</w:t>
            </w:r>
          </w:p>
          <w:p w14:paraId="66F8DB33" w14:textId="77777777" w:rsidR="00F1341F" w:rsidRPr="008340BB" w:rsidRDefault="00F1341F" w:rsidP="00144E45">
            <w:pPr>
              <w:numPr>
                <w:ilvl w:val="0"/>
                <w:numId w:val="55"/>
              </w:numPr>
              <w:autoSpaceDE w:val="0"/>
              <w:autoSpaceDN w:val="0"/>
              <w:adjustRightInd w:val="0"/>
              <w:spacing w:after="0"/>
              <w:ind w:left="425" w:hanging="425"/>
              <w:rPr>
                <w:rFonts w:cs="Arial"/>
                <w:b/>
              </w:rPr>
            </w:pPr>
            <w:r w:rsidRPr="008340BB">
              <w:t>- Description of measures to promote gender equality and non-discrimination in this area for all funded projects.</w:t>
            </w:r>
          </w:p>
          <w:p w14:paraId="73FE29D6" w14:textId="77777777" w:rsidR="00F1341F" w:rsidRPr="008340BB" w:rsidRDefault="00F1341F" w:rsidP="00144E45">
            <w:pPr>
              <w:numPr>
                <w:ilvl w:val="0"/>
                <w:numId w:val="55"/>
              </w:numPr>
              <w:spacing w:after="0"/>
              <w:ind w:left="425" w:hanging="425"/>
              <w:rPr>
                <w:rFonts w:cs="Arial"/>
              </w:rPr>
            </w:pPr>
            <w:r w:rsidRPr="008340BB">
              <w:t>– Carrying out of independent thematic evaluation of</w:t>
            </w:r>
            <w:r w:rsidRPr="008340BB">
              <w:rPr>
                <w:rFonts w:cs="Arial"/>
                <w:lang w:eastAsia="bg-BG"/>
              </w:rPr>
              <w:t xml:space="preserve"> the OPTTI</w:t>
            </w:r>
            <w:r w:rsidRPr="008340BB">
              <w:t xml:space="preserve"> regarding the implementation of the principle of gender equality. </w:t>
            </w:r>
          </w:p>
          <w:p w14:paraId="7897EFAC" w14:textId="77777777" w:rsidR="00F1341F" w:rsidRPr="008340BB" w:rsidRDefault="00F1341F" w:rsidP="00144E45">
            <w:pPr>
              <w:numPr>
                <w:ilvl w:val="0"/>
                <w:numId w:val="55"/>
              </w:numPr>
              <w:autoSpaceDE w:val="0"/>
              <w:autoSpaceDN w:val="0"/>
              <w:adjustRightInd w:val="0"/>
              <w:spacing w:after="0"/>
              <w:ind w:left="425" w:hanging="425"/>
              <w:rPr>
                <w:rFonts w:cs="Arial"/>
                <w:lang w:eastAsia="bg-BG"/>
              </w:rPr>
            </w:pPr>
            <w:r w:rsidRPr="008340BB">
              <w:t>Inclusion in the composition of the Monitoring Committee of the OPTTI of representatives of non-governmental organisations, working in the field of gender equality, as well as representatives of the competent institutions on this horizontal issue.</w:t>
            </w:r>
          </w:p>
          <w:p w14:paraId="77D2A047" w14:textId="77777777" w:rsidR="00F1341F" w:rsidRPr="008340BB" w:rsidRDefault="00F1341F" w:rsidP="00144E45">
            <w:pPr>
              <w:numPr>
                <w:ilvl w:val="0"/>
                <w:numId w:val="55"/>
              </w:numPr>
              <w:autoSpaceDE w:val="0"/>
              <w:autoSpaceDN w:val="0"/>
              <w:adjustRightInd w:val="0"/>
              <w:spacing w:after="0"/>
              <w:ind w:left="425" w:hanging="425"/>
              <w:rPr>
                <w:rFonts w:cs="Arial"/>
                <w:lang w:eastAsia="bg-BG"/>
              </w:rPr>
            </w:pPr>
            <w:r w:rsidRPr="008340BB">
              <w:t xml:space="preserve">In the composition of the Monitoring Committee of the OPTTI must be ensured equal representation by gender. </w:t>
            </w:r>
          </w:p>
        </w:tc>
      </w:tr>
    </w:tbl>
    <w:p w14:paraId="682D6E62" w14:textId="77777777" w:rsidR="00F1341F" w:rsidRPr="008340BB" w:rsidRDefault="00F1341F" w:rsidP="00F914D7">
      <w:pPr>
        <w:ind w:left="1701" w:hanging="1701"/>
        <w:rPr>
          <w:b/>
        </w:rPr>
      </w:pPr>
    </w:p>
    <w:p w14:paraId="31F097A5" w14:textId="77777777" w:rsidR="00F1341F" w:rsidRPr="008340BB" w:rsidRDefault="00F1341F" w:rsidP="00F914D7">
      <w:pPr>
        <w:ind w:left="1701" w:hanging="1701"/>
        <w:rPr>
          <w:b/>
        </w:rPr>
      </w:pPr>
      <w:r w:rsidRPr="008340BB">
        <w:rPr>
          <w:b/>
        </w:rPr>
        <w:br w:type="page"/>
      </w:r>
      <w:r w:rsidRPr="008340BB">
        <w:rPr>
          <w:b/>
        </w:rPr>
        <w:lastRenderedPageBreak/>
        <w:t>SECTION 12</w:t>
      </w:r>
      <w:r w:rsidRPr="008340BB">
        <w:rPr>
          <w:b/>
        </w:rPr>
        <w:tab/>
        <w:t>Separate elements</w:t>
      </w:r>
    </w:p>
    <w:p w14:paraId="75F659F3" w14:textId="77777777" w:rsidR="00F1341F" w:rsidRPr="008340BB" w:rsidRDefault="00F1341F" w:rsidP="00302F65">
      <w:pPr>
        <w:ind w:left="709" w:hanging="709"/>
        <w:rPr>
          <w:b/>
        </w:rPr>
      </w:pPr>
      <w:r w:rsidRPr="008340BB">
        <w:rPr>
          <w:b/>
        </w:rPr>
        <w:t>12.1</w:t>
      </w:r>
      <w:r w:rsidRPr="008340BB">
        <w:rPr>
          <w:b/>
        </w:rPr>
        <w:tab/>
        <w:t xml:space="preserve">Major projects to be implemented during programming period </w:t>
      </w:r>
    </w:p>
    <w:p w14:paraId="06E5A449" w14:textId="77777777" w:rsidR="00F1341F" w:rsidRPr="008340BB" w:rsidRDefault="00F1341F" w:rsidP="00BF3391">
      <w:r w:rsidRPr="008340BB">
        <w:t xml:space="preserve">(Reference: point (e) of Article 96(2) of Regulation (EU) No 1303/2013) </w:t>
      </w:r>
    </w:p>
    <w:p w14:paraId="32DC324D" w14:textId="77777777" w:rsidR="00F1341F" w:rsidRPr="008340BB" w:rsidRDefault="00F1341F" w:rsidP="00F03C1E">
      <w:pPr>
        <w:pStyle w:val="Text1"/>
        <w:ind w:left="0"/>
        <w:rPr>
          <w:b/>
          <w:lang w:val="en-GB"/>
        </w:rPr>
      </w:pPr>
      <w:r w:rsidRPr="00862099">
        <w:rPr>
          <w:b/>
          <w:lang w:val="en-GB"/>
        </w:rPr>
        <w:t xml:space="preserve">Table 27: </w:t>
      </w:r>
      <w:r w:rsidRPr="00862099">
        <w:rPr>
          <w:b/>
          <w:lang w:val="en-GB"/>
        </w:rPr>
        <w:tab/>
        <w:t>List of major projects</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80"/>
        <w:gridCol w:w="2089"/>
        <w:gridCol w:w="1645"/>
        <w:gridCol w:w="1564"/>
        <w:gridCol w:w="2033"/>
      </w:tblGrid>
      <w:tr w:rsidR="00F1341F" w:rsidRPr="008340BB" w14:paraId="2D851605" w14:textId="77777777" w:rsidTr="00CE263F">
        <w:tc>
          <w:tcPr>
            <w:tcW w:w="1146" w:type="pct"/>
          </w:tcPr>
          <w:p w14:paraId="44828D23" w14:textId="77777777" w:rsidR="00F1341F" w:rsidRPr="008340BB" w:rsidRDefault="00F1341F" w:rsidP="00BF3391">
            <w:pPr>
              <w:pStyle w:val="Text1"/>
              <w:spacing w:before="60" w:after="60"/>
              <w:ind w:left="0"/>
              <w:rPr>
                <w:b/>
                <w:sz w:val="20"/>
                <w:lang w:val="en-GB" w:eastAsia="en-GB"/>
              </w:rPr>
            </w:pPr>
            <w:r w:rsidRPr="008340BB">
              <w:rPr>
                <w:b/>
                <w:sz w:val="20"/>
                <w:lang w:val="en-GB" w:eastAsia="en-GB"/>
              </w:rPr>
              <w:t>Project</w:t>
            </w:r>
          </w:p>
        </w:tc>
        <w:tc>
          <w:tcPr>
            <w:tcW w:w="1098" w:type="pct"/>
          </w:tcPr>
          <w:p w14:paraId="5F6D5766" w14:textId="77777777" w:rsidR="00F1341F" w:rsidRPr="008340BB" w:rsidRDefault="00F1341F" w:rsidP="00BF3391">
            <w:pPr>
              <w:pStyle w:val="Text1"/>
              <w:spacing w:before="60" w:after="60"/>
              <w:ind w:left="0"/>
              <w:rPr>
                <w:b/>
                <w:sz w:val="20"/>
                <w:lang w:val="en-GB" w:eastAsia="en-GB"/>
              </w:rPr>
            </w:pPr>
            <w:r w:rsidRPr="008340BB">
              <w:rPr>
                <w:b/>
                <w:sz w:val="20"/>
                <w:lang w:val="en-GB" w:eastAsia="en-GB"/>
              </w:rPr>
              <w:t>Planned notification/submission date</w:t>
            </w:r>
          </w:p>
          <w:p w14:paraId="00BEBC2D" w14:textId="77777777" w:rsidR="00F1341F" w:rsidRPr="008340BB" w:rsidRDefault="00F1341F" w:rsidP="00BF3391">
            <w:pPr>
              <w:pStyle w:val="Text1"/>
              <w:spacing w:before="60" w:after="60"/>
              <w:ind w:left="0"/>
              <w:rPr>
                <w:b/>
                <w:sz w:val="20"/>
                <w:lang w:val="en-GB" w:eastAsia="en-GB"/>
              </w:rPr>
            </w:pPr>
            <w:r w:rsidRPr="008340BB">
              <w:rPr>
                <w:b/>
                <w:sz w:val="20"/>
                <w:lang w:val="en-GB" w:eastAsia="en-GB"/>
              </w:rPr>
              <w:t>(year, quarter)</w:t>
            </w:r>
          </w:p>
        </w:tc>
        <w:tc>
          <w:tcPr>
            <w:tcW w:w="865" w:type="pct"/>
          </w:tcPr>
          <w:p w14:paraId="3045AED7" w14:textId="77777777" w:rsidR="00F1341F" w:rsidRPr="008340BB" w:rsidRDefault="00F1341F" w:rsidP="00BF3391">
            <w:pPr>
              <w:pStyle w:val="Text1"/>
              <w:spacing w:before="60" w:after="60"/>
              <w:ind w:left="0"/>
              <w:rPr>
                <w:b/>
                <w:sz w:val="20"/>
                <w:lang w:val="en-GB" w:eastAsia="en-GB"/>
              </w:rPr>
            </w:pPr>
            <w:r w:rsidRPr="008340BB">
              <w:rPr>
                <w:b/>
                <w:sz w:val="20"/>
                <w:lang w:val="en-GB" w:eastAsia="en-GB"/>
              </w:rPr>
              <w:t xml:space="preserve">Planned start of implementation </w:t>
            </w:r>
          </w:p>
          <w:p w14:paraId="7C513330" w14:textId="77777777" w:rsidR="00F1341F" w:rsidRPr="008340BB" w:rsidRDefault="00F1341F" w:rsidP="00BF3391">
            <w:pPr>
              <w:pStyle w:val="Text1"/>
              <w:spacing w:before="60" w:after="60"/>
              <w:ind w:left="0"/>
              <w:rPr>
                <w:b/>
                <w:sz w:val="20"/>
                <w:lang w:val="en-GB" w:eastAsia="en-GB"/>
              </w:rPr>
            </w:pPr>
            <w:r w:rsidRPr="008340BB">
              <w:rPr>
                <w:b/>
                <w:sz w:val="20"/>
                <w:lang w:val="en-GB" w:eastAsia="en-GB"/>
              </w:rPr>
              <w:t>(year, quarter)</w:t>
            </w:r>
          </w:p>
        </w:tc>
        <w:tc>
          <w:tcPr>
            <w:tcW w:w="822" w:type="pct"/>
          </w:tcPr>
          <w:p w14:paraId="5225AFE9" w14:textId="77777777" w:rsidR="00F1341F" w:rsidRPr="008340BB" w:rsidRDefault="00F1341F" w:rsidP="00BF3391">
            <w:pPr>
              <w:pStyle w:val="Text1"/>
              <w:spacing w:before="60" w:after="60"/>
              <w:ind w:left="0"/>
              <w:rPr>
                <w:b/>
                <w:sz w:val="20"/>
                <w:lang w:val="en-GB" w:eastAsia="en-GB"/>
              </w:rPr>
            </w:pPr>
            <w:r w:rsidRPr="008340BB">
              <w:rPr>
                <w:b/>
                <w:sz w:val="20"/>
                <w:lang w:val="en-GB" w:eastAsia="en-GB"/>
              </w:rPr>
              <w:t xml:space="preserve">Planned completion date </w:t>
            </w:r>
          </w:p>
          <w:p w14:paraId="0ADA5C6F" w14:textId="77777777" w:rsidR="00F1341F" w:rsidRPr="008340BB" w:rsidRDefault="00F1341F" w:rsidP="00BF3391">
            <w:pPr>
              <w:pStyle w:val="Text1"/>
              <w:spacing w:before="60" w:after="60"/>
              <w:ind w:left="0"/>
              <w:rPr>
                <w:b/>
                <w:sz w:val="20"/>
                <w:lang w:val="en-GB" w:eastAsia="en-GB"/>
              </w:rPr>
            </w:pPr>
            <w:r w:rsidRPr="008340BB">
              <w:rPr>
                <w:b/>
                <w:sz w:val="20"/>
                <w:lang w:val="en-GB" w:eastAsia="en-GB"/>
              </w:rPr>
              <w:t>(year, quarter)</w:t>
            </w:r>
          </w:p>
        </w:tc>
        <w:tc>
          <w:tcPr>
            <w:tcW w:w="1069" w:type="pct"/>
          </w:tcPr>
          <w:p w14:paraId="7618B92E" w14:textId="77777777" w:rsidR="00F1341F" w:rsidRPr="008340BB" w:rsidRDefault="00F1341F" w:rsidP="00BF3391">
            <w:pPr>
              <w:pStyle w:val="Text1"/>
              <w:spacing w:before="60" w:after="60"/>
              <w:ind w:left="0"/>
              <w:rPr>
                <w:b/>
                <w:sz w:val="20"/>
                <w:lang w:val="en-GB" w:eastAsia="en-GB"/>
              </w:rPr>
            </w:pPr>
            <w:r w:rsidRPr="008340BB">
              <w:rPr>
                <w:b/>
                <w:sz w:val="20"/>
                <w:lang w:val="en-GB" w:eastAsia="en-GB"/>
              </w:rPr>
              <w:t xml:space="preserve">Priority Axes/Investment Priorities </w:t>
            </w:r>
          </w:p>
        </w:tc>
      </w:tr>
      <w:tr w:rsidR="00F1341F" w:rsidRPr="008340BB" w14:paraId="0D28801A" w14:textId="77777777" w:rsidTr="00CE263F">
        <w:trPr>
          <w:trHeight w:val="268"/>
        </w:trPr>
        <w:tc>
          <w:tcPr>
            <w:tcW w:w="1146" w:type="pct"/>
          </w:tcPr>
          <w:p w14:paraId="65AA7E7A" w14:textId="4F7C37FB" w:rsidR="00F1341F" w:rsidRPr="004F03F1" w:rsidRDefault="009602FA" w:rsidP="00164CDD">
            <w:pPr>
              <w:pStyle w:val="Text1"/>
              <w:ind w:left="0"/>
              <w:jc w:val="left"/>
              <w:rPr>
                <w:sz w:val="20"/>
                <w:lang w:val="en-US" w:eastAsia="en-GB"/>
              </w:rPr>
            </w:pPr>
            <w:r>
              <w:rPr>
                <w:sz w:val="20"/>
                <w:lang w:val="en-GB" w:eastAsia="en-GB"/>
              </w:rPr>
              <w:t xml:space="preserve">Stage 1 of project </w:t>
            </w:r>
            <w:r w:rsidR="00F1341F" w:rsidRPr="008340BB">
              <w:rPr>
                <w:sz w:val="20"/>
                <w:lang w:val="en-GB" w:eastAsia="en-GB"/>
              </w:rPr>
              <w:t>Rehabilitation of railway line Plovdiv-Burgas - Phase ІІ</w:t>
            </w:r>
          </w:p>
        </w:tc>
        <w:tc>
          <w:tcPr>
            <w:tcW w:w="1098" w:type="pct"/>
          </w:tcPr>
          <w:p w14:paraId="58C30528" w14:textId="7FCE5538" w:rsidR="00F1341F" w:rsidRPr="008340BB" w:rsidRDefault="00F87491" w:rsidP="00164CDD">
            <w:pPr>
              <w:rPr>
                <w:sz w:val="20"/>
              </w:rPr>
            </w:pPr>
            <w:r>
              <w:rPr>
                <w:sz w:val="20"/>
              </w:rPr>
              <w:t>3</w:t>
            </w:r>
            <w:r w:rsidR="00F1341F" w:rsidRPr="008340BB">
              <w:rPr>
                <w:sz w:val="20"/>
              </w:rPr>
              <w:t xml:space="preserve"> quarter of 201</w:t>
            </w:r>
            <w:r>
              <w:rPr>
                <w:sz w:val="20"/>
              </w:rPr>
              <w:t>8</w:t>
            </w:r>
            <w:r w:rsidR="00F1341F" w:rsidRPr="008340BB">
              <w:rPr>
                <w:sz w:val="20"/>
              </w:rPr>
              <w:t xml:space="preserve"> </w:t>
            </w:r>
          </w:p>
          <w:p w14:paraId="4CA9AC84" w14:textId="77777777" w:rsidR="00F1341F" w:rsidRPr="008340BB" w:rsidRDefault="00F1341F" w:rsidP="00F03C1E">
            <w:pPr>
              <w:pStyle w:val="Text1"/>
              <w:ind w:left="0"/>
              <w:rPr>
                <w:sz w:val="24"/>
                <w:lang w:val="en-GB" w:eastAsia="en-GB"/>
              </w:rPr>
            </w:pPr>
          </w:p>
        </w:tc>
        <w:tc>
          <w:tcPr>
            <w:tcW w:w="865" w:type="pct"/>
          </w:tcPr>
          <w:p w14:paraId="244C2DC1" w14:textId="60B8FBE4" w:rsidR="00F1341F" w:rsidRPr="008340BB" w:rsidRDefault="001250BE" w:rsidP="00164CDD">
            <w:pPr>
              <w:rPr>
                <w:sz w:val="20"/>
              </w:rPr>
            </w:pPr>
            <w:r>
              <w:rPr>
                <w:sz w:val="20"/>
              </w:rPr>
              <w:t>4</w:t>
            </w:r>
            <w:r w:rsidR="00F1341F" w:rsidRPr="008340BB">
              <w:rPr>
                <w:sz w:val="20"/>
              </w:rPr>
              <w:t xml:space="preserve"> quarter of 2016 </w:t>
            </w:r>
          </w:p>
          <w:p w14:paraId="19840AE0" w14:textId="77777777" w:rsidR="00F1341F" w:rsidRPr="008340BB" w:rsidRDefault="00F1341F" w:rsidP="00F03C1E">
            <w:pPr>
              <w:pStyle w:val="Text1"/>
              <w:ind w:left="0"/>
              <w:rPr>
                <w:sz w:val="24"/>
                <w:lang w:val="en-GB" w:eastAsia="en-GB"/>
              </w:rPr>
            </w:pPr>
          </w:p>
        </w:tc>
        <w:tc>
          <w:tcPr>
            <w:tcW w:w="822" w:type="pct"/>
          </w:tcPr>
          <w:p w14:paraId="79A1EAF8" w14:textId="3D779DAB" w:rsidR="00F1341F" w:rsidRPr="008340BB" w:rsidRDefault="008873B4" w:rsidP="001250BE">
            <w:pPr>
              <w:pStyle w:val="Text1"/>
              <w:ind w:left="0"/>
              <w:rPr>
                <w:sz w:val="24"/>
                <w:lang w:val="en-GB" w:eastAsia="en-GB"/>
              </w:rPr>
            </w:pPr>
            <w:r>
              <w:rPr>
                <w:sz w:val="20"/>
                <w:lang w:val="en-GB" w:eastAsia="en-GB"/>
              </w:rPr>
              <w:t>4</w:t>
            </w:r>
            <w:r w:rsidR="00F1341F" w:rsidRPr="008340BB">
              <w:rPr>
                <w:sz w:val="20"/>
                <w:lang w:val="en-GB" w:eastAsia="en-GB"/>
              </w:rPr>
              <w:t xml:space="preserve"> quarter of 20</w:t>
            </w:r>
            <w:r w:rsidR="001250BE">
              <w:rPr>
                <w:sz w:val="20"/>
                <w:lang w:val="en-GB" w:eastAsia="en-GB"/>
              </w:rPr>
              <w:t>23</w:t>
            </w:r>
          </w:p>
        </w:tc>
        <w:tc>
          <w:tcPr>
            <w:tcW w:w="1069" w:type="pct"/>
          </w:tcPr>
          <w:p w14:paraId="53C023C1" w14:textId="37BB7E4C" w:rsidR="00F1341F" w:rsidRPr="008340BB" w:rsidRDefault="00F1341F" w:rsidP="0016380D">
            <w:pPr>
              <w:pStyle w:val="Text1"/>
              <w:ind w:left="0"/>
              <w:jc w:val="left"/>
              <w:rPr>
                <w:sz w:val="24"/>
                <w:lang w:val="en-GB" w:eastAsia="en-GB"/>
              </w:rPr>
            </w:pPr>
            <w:r w:rsidRPr="008340BB">
              <w:rPr>
                <w:sz w:val="20"/>
                <w:lang w:val="en-GB" w:eastAsia="en-GB"/>
              </w:rPr>
              <w:t>“Development of railway infrastructure along the “core”</w:t>
            </w:r>
            <w:r w:rsidR="00C71350" w:rsidRPr="00C71350">
              <w:rPr>
                <w:b/>
                <w:sz w:val="20"/>
                <w:lang w:val="en-GB" w:eastAsia="en-GB"/>
              </w:rPr>
              <w:t xml:space="preserve"> </w:t>
            </w:r>
            <w:r w:rsidR="00C71350" w:rsidRPr="00C71350">
              <w:rPr>
                <w:sz w:val="20"/>
                <w:lang w:val="en-GB" w:eastAsia="en-GB"/>
              </w:rPr>
              <w:t>and “comprehensive”</w:t>
            </w:r>
            <w:r w:rsidRPr="008340BB">
              <w:rPr>
                <w:sz w:val="20"/>
                <w:lang w:val="en-GB" w:eastAsia="en-GB"/>
              </w:rPr>
              <w:t xml:space="preserve"> Trans-European Transport Network”</w:t>
            </w:r>
          </w:p>
        </w:tc>
      </w:tr>
      <w:tr w:rsidR="00F1341F" w:rsidRPr="008340BB" w14:paraId="709FC3C8" w14:textId="77777777" w:rsidTr="00CE263F">
        <w:trPr>
          <w:trHeight w:val="268"/>
        </w:trPr>
        <w:tc>
          <w:tcPr>
            <w:tcW w:w="1146" w:type="pct"/>
          </w:tcPr>
          <w:p w14:paraId="65C728E1" w14:textId="195395C5" w:rsidR="00F1341F" w:rsidRPr="008340BB" w:rsidRDefault="00F1341F" w:rsidP="00D6605D">
            <w:pPr>
              <w:jc w:val="left"/>
              <w:rPr>
                <w:sz w:val="20"/>
              </w:rPr>
            </w:pPr>
            <w:r w:rsidRPr="008340BB">
              <w:rPr>
                <w:sz w:val="20"/>
              </w:rPr>
              <w:t xml:space="preserve">Modernisation of railway </w:t>
            </w:r>
            <w:r w:rsidR="001250BE">
              <w:rPr>
                <w:sz w:val="20"/>
              </w:rPr>
              <w:t>line</w:t>
            </w:r>
            <w:r w:rsidRPr="008340BB">
              <w:rPr>
                <w:sz w:val="20"/>
              </w:rPr>
              <w:t xml:space="preserve"> Sofia-</w:t>
            </w:r>
            <w:r w:rsidR="001250BE">
              <w:rPr>
                <w:sz w:val="20"/>
              </w:rPr>
              <w:t>Plovdiv: section Elin Pelin-Kostenetz</w:t>
            </w:r>
            <w:r w:rsidR="001C56C1">
              <w:rPr>
                <w:sz w:val="20"/>
              </w:rPr>
              <w:t>, Phase 1</w:t>
            </w:r>
            <w:r w:rsidR="001250BE">
              <w:rPr>
                <w:sz w:val="20"/>
              </w:rPr>
              <w:t xml:space="preserve"> </w:t>
            </w:r>
          </w:p>
          <w:p w14:paraId="24782BDD" w14:textId="77777777" w:rsidR="00F1341F" w:rsidRPr="008340BB" w:rsidRDefault="00F1341F" w:rsidP="00D6605D">
            <w:pPr>
              <w:jc w:val="left"/>
              <w:rPr>
                <w:sz w:val="20"/>
              </w:rPr>
            </w:pPr>
          </w:p>
        </w:tc>
        <w:tc>
          <w:tcPr>
            <w:tcW w:w="1098" w:type="pct"/>
          </w:tcPr>
          <w:p w14:paraId="313774E2" w14:textId="29A83391" w:rsidR="00F1341F" w:rsidRPr="008340BB" w:rsidRDefault="00F87491" w:rsidP="00061533">
            <w:pPr>
              <w:jc w:val="left"/>
              <w:rPr>
                <w:sz w:val="20"/>
              </w:rPr>
            </w:pPr>
            <w:r>
              <w:rPr>
                <w:sz w:val="20"/>
              </w:rPr>
              <w:t>4</w:t>
            </w:r>
            <w:r w:rsidR="00F1341F" w:rsidRPr="008340BB">
              <w:rPr>
                <w:sz w:val="20"/>
              </w:rPr>
              <w:t xml:space="preserve"> quarter of 201</w:t>
            </w:r>
            <w:r w:rsidR="001250BE">
              <w:rPr>
                <w:sz w:val="20"/>
              </w:rPr>
              <w:t>7</w:t>
            </w:r>
            <w:r w:rsidR="00F1341F" w:rsidRPr="008340BB">
              <w:rPr>
                <w:sz w:val="20"/>
              </w:rPr>
              <w:t xml:space="preserve"> </w:t>
            </w:r>
          </w:p>
          <w:p w14:paraId="378BD366" w14:textId="77777777" w:rsidR="00F1341F" w:rsidRPr="008340BB" w:rsidRDefault="00F1341F" w:rsidP="00243777">
            <w:pPr>
              <w:jc w:val="left"/>
              <w:rPr>
                <w:sz w:val="20"/>
              </w:rPr>
            </w:pPr>
          </w:p>
        </w:tc>
        <w:tc>
          <w:tcPr>
            <w:tcW w:w="865" w:type="pct"/>
          </w:tcPr>
          <w:p w14:paraId="0A39CCF8" w14:textId="03BF1DE9" w:rsidR="00F1341F" w:rsidRPr="008340BB" w:rsidRDefault="00F87491" w:rsidP="00D6605D">
            <w:pPr>
              <w:jc w:val="left"/>
              <w:rPr>
                <w:sz w:val="20"/>
              </w:rPr>
            </w:pPr>
            <w:r>
              <w:rPr>
                <w:sz w:val="20"/>
              </w:rPr>
              <w:t>4</w:t>
            </w:r>
            <w:r w:rsidR="00F1341F" w:rsidRPr="008340BB">
              <w:rPr>
                <w:sz w:val="20"/>
              </w:rPr>
              <w:t xml:space="preserve"> quarter of 201</w:t>
            </w:r>
            <w:r>
              <w:rPr>
                <w:sz w:val="20"/>
              </w:rPr>
              <w:t>9</w:t>
            </w:r>
            <w:r w:rsidR="00F1341F" w:rsidRPr="008340BB">
              <w:rPr>
                <w:sz w:val="20"/>
              </w:rPr>
              <w:t xml:space="preserve"> </w:t>
            </w:r>
          </w:p>
          <w:p w14:paraId="6679028F" w14:textId="77777777" w:rsidR="00F1341F" w:rsidRPr="008340BB" w:rsidRDefault="00F1341F" w:rsidP="009D34EB">
            <w:pPr>
              <w:rPr>
                <w:sz w:val="20"/>
              </w:rPr>
            </w:pPr>
          </w:p>
        </w:tc>
        <w:tc>
          <w:tcPr>
            <w:tcW w:w="822" w:type="pct"/>
          </w:tcPr>
          <w:p w14:paraId="4B641831" w14:textId="30E8704E" w:rsidR="00F1341F" w:rsidRPr="008340BB" w:rsidRDefault="00F1341F" w:rsidP="001250BE">
            <w:pPr>
              <w:jc w:val="left"/>
              <w:rPr>
                <w:sz w:val="20"/>
              </w:rPr>
            </w:pPr>
            <w:r w:rsidRPr="008340BB">
              <w:rPr>
                <w:sz w:val="20"/>
              </w:rPr>
              <w:t>4 quarter of 202</w:t>
            </w:r>
            <w:r w:rsidR="001C56C1">
              <w:rPr>
                <w:sz w:val="20"/>
              </w:rPr>
              <w:t>3</w:t>
            </w:r>
          </w:p>
        </w:tc>
        <w:tc>
          <w:tcPr>
            <w:tcW w:w="1069" w:type="pct"/>
          </w:tcPr>
          <w:p w14:paraId="5A00ED63" w14:textId="748BAD97" w:rsidR="00F1341F" w:rsidRPr="008340BB" w:rsidRDefault="00F1341F" w:rsidP="0016380D">
            <w:pPr>
              <w:pStyle w:val="Text1"/>
              <w:ind w:left="0"/>
              <w:jc w:val="left"/>
              <w:rPr>
                <w:sz w:val="24"/>
                <w:lang w:val="en-GB" w:eastAsia="en-GB"/>
              </w:rPr>
            </w:pPr>
            <w:r w:rsidRPr="008340BB">
              <w:rPr>
                <w:sz w:val="20"/>
                <w:lang w:val="en-GB" w:eastAsia="en-GB"/>
              </w:rPr>
              <w:t xml:space="preserve">“Development of railway infrastructure along the “core” </w:t>
            </w:r>
            <w:r w:rsidR="00C71350" w:rsidRPr="00C71350">
              <w:rPr>
                <w:sz w:val="20"/>
                <w:lang w:val="en-GB" w:eastAsia="en-GB"/>
              </w:rPr>
              <w:t>and “comprehensive”</w:t>
            </w:r>
            <w:r w:rsidR="00C71350">
              <w:rPr>
                <w:sz w:val="20"/>
                <w:lang w:val="en-GB" w:eastAsia="en-GB"/>
              </w:rPr>
              <w:t xml:space="preserve"> </w:t>
            </w:r>
            <w:r w:rsidRPr="008340BB">
              <w:rPr>
                <w:sz w:val="20"/>
                <w:lang w:val="en-GB" w:eastAsia="en-GB"/>
              </w:rPr>
              <w:t>Trans-European Transport Network”</w:t>
            </w:r>
          </w:p>
        </w:tc>
      </w:tr>
      <w:tr w:rsidR="00036B4C" w:rsidRPr="008340BB" w14:paraId="19151036" w14:textId="77777777" w:rsidTr="00036B4C">
        <w:trPr>
          <w:trHeight w:val="268"/>
        </w:trPr>
        <w:tc>
          <w:tcPr>
            <w:tcW w:w="1146" w:type="pct"/>
            <w:shd w:val="clear" w:color="auto" w:fill="auto"/>
          </w:tcPr>
          <w:p w14:paraId="22640438" w14:textId="672EF277" w:rsidR="00036B4C" w:rsidRPr="0016261B" w:rsidRDefault="00036B4C" w:rsidP="00036B4C">
            <w:pPr>
              <w:jc w:val="left"/>
              <w:rPr>
                <w:sz w:val="20"/>
                <w:lang w:val="en-US"/>
              </w:rPr>
            </w:pPr>
            <w:r w:rsidRPr="00036B4C">
              <w:rPr>
                <w:sz w:val="20"/>
                <w:lang w:val="bg-BG"/>
              </w:rPr>
              <w:t>Modernization of Sofia – Dragoman – Serbian border Railway li</w:t>
            </w:r>
            <w:r w:rsidR="007E0788">
              <w:rPr>
                <w:sz w:val="20"/>
                <w:lang w:val="bg-BG"/>
              </w:rPr>
              <w:t>ne, section Voluyak – Dragoman</w:t>
            </w:r>
            <w:r w:rsidR="0016261B">
              <w:rPr>
                <w:sz w:val="20"/>
                <w:lang w:val="en-US"/>
              </w:rPr>
              <w:t>, phase 1</w:t>
            </w:r>
          </w:p>
        </w:tc>
        <w:tc>
          <w:tcPr>
            <w:tcW w:w="1098" w:type="pct"/>
            <w:shd w:val="clear" w:color="auto" w:fill="auto"/>
          </w:tcPr>
          <w:p w14:paraId="72028E84" w14:textId="1455C93A" w:rsidR="00036B4C" w:rsidRPr="000A669E" w:rsidRDefault="000E2816" w:rsidP="00036B4C">
            <w:pPr>
              <w:jc w:val="left"/>
              <w:rPr>
                <w:sz w:val="20"/>
              </w:rPr>
            </w:pPr>
            <w:r>
              <w:rPr>
                <w:sz w:val="20"/>
                <w:lang w:val="en-US"/>
              </w:rPr>
              <w:t>2</w:t>
            </w:r>
            <w:r w:rsidR="00036B4C" w:rsidRPr="00F220BE">
              <w:rPr>
                <w:sz w:val="20"/>
              </w:rPr>
              <w:t xml:space="preserve"> quarter of 202</w:t>
            </w:r>
            <w:r w:rsidR="00A76D1D">
              <w:rPr>
                <w:sz w:val="20"/>
              </w:rPr>
              <w:t>2</w:t>
            </w:r>
          </w:p>
        </w:tc>
        <w:tc>
          <w:tcPr>
            <w:tcW w:w="865" w:type="pct"/>
            <w:shd w:val="clear" w:color="auto" w:fill="auto"/>
          </w:tcPr>
          <w:p w14:paraId="6722444E" w14:textId="1332C28A" w:rsidR="00036B4C" w:rsidRPr="000A669E" w:rsidRDefault="00664EBC" w:rsidP="00036B4C">
            <w:pPr>
              <w:jc w:val="left"/>
              <w:rPr>
                <w:sz w:val="20"/>
              </w:rPr>
            </w:pPr>
            <w:r>
              <w:rPr>
                <w:sz w:val="20"/>
              </w:rPr>
              <w:t>4</w:t>
            </w:r>
            <w:r w:rsidR="00036B4C" w:rsidRPr="00F220BE">
              <w:rPr>
                <w:sz w:val="20"/>
              </w:rPr>
              <w:t xml:space="preserve"> quarter of 2020</w:t>
            </w:r>
          </w:p>
        </w:tc>
        <w:tc>
          <w:tcPr>
            <w:tcW w:w="822" w:type="pct"/>
            <w:shd w:val="clear" w:color="auto" w:fill="auto"/>
          </w:tcPr>
          <w:p w14:paraId="28A342F9" w14:textId="17377981" w:rsidR="00036B4C" w:rsidRPr="000A669E" w:rsidRDefault="00036B4C" w:rsidP="00036B4C">
            <w:pPr>
              <w:jc w:val="left"/>
              <w:rPr>
                <w:sz w:val="20"/>
              </w:rPr>
            </w:pPr>
            <w:r w:rsidRPr="00F220BE">
              <w:rPr>
                <w:sz w:val="20"/>
              </w:rPr>
              <w:t>4 quarter of 2023</w:t>
            </w:r>
          </w:p>
        </w:tc>
        <w:tc>
          <w:tcPr>
            <w:tcW w:w="1069" w:type="pct"/>
          </w:tcPr>
          <w:p w14:paraId="1A4D0DBF" w14:textId="760C882C" w:rsidR="00036B4C" w:rsidRPr="008340BB" w:rsidRDefault="00036B4C" w:rsidP="00036B4C">
            <w:pPr>
              <w:pStyle w:val="Text1"/>
              <w:ind w:left="0"/>
              <w:jc w:val="left"/>
              <w:rPr>
                <w:sz w:val="20"/>
                <w:lang w:val="en-GB" w:eastAsia="en-GB"/>
              </w:rPr>
            </w:pPr>
            <w:r w:rsidRPr="00234809">
              <w:rPr>
                <w:sz w:val="20"/>
                <w:lang w:val="en-GB" w:eastAsia="en-GB"/>
              </w:rPr>
              <w:t>“Development of railway infrastructure along the “core” and “comprehensive” Trans-European Transport Network”</w:t>
            </w:r>
          </w:p>
        </w:tc>
      </w:tr>
      <w:tr w:rsidR="00036B4C" w:rsidRPr="008340BB" w14:paraId="49CD9162" w14:textId="77777777" w:rsidTr="00CE263F">
        <w:trPr>
          <w:trHeight w:val="268"/>
        </w:trPr>
        <w:tc>
          <w:tcPr>
            <w:tcW w:w="1146" w:type="pct"/>
          </w:tcPr>
          <w:p w14:paraId="3C26C12C" w14:textId="77777777" w:rsidR="00036B4C" w:rsidRPr="008340BB" w:rsidRDefault="00036B4C" w:rsidP="00036B4C">
            <w:pPr>
              <w:pStyle w:val="Text1"/>
              <w:ind w:left="0"/>
              <w:jc w:val="left"/>
              <w:rPr>
                <w:sz w:val="20"/>
                <w:lang w:val="en-GB" w:eastAsia="en-GB"/>
              </w:rPr>
            </w:pPr>
            <w:r w:rsidRPr="008340BB">
              <w:rPr>
                <w:sz w:val="20"/>
                <w:lang w:val="en-GB" w:eastAsia="en-GB"/>
              </w:rPr>
              <w:t>„Struma” Motorway, Lot 3</w:t>
            </w:r>
            <w:r>
              <w:rPr>
                <w:sz w:val="20"/>
                <w:lang w:val="en-GB" w:eastAsia="en-GB"/>
              </w:rPr>
              <w:t>.1, 3.3 and Zheleznitsa tunnel</w:t>
            </w:r>
          </w:p>
        </w:tc>
        <w:tc>
          <w:tcPr>
            <w:tcW w:w="1098" w:type="pct"/>
          </w:tcPr>
          <w:p w14:paraId="35CD9604" w14:textId="3AB2D1A4" w:rsidR="00036B4C" w:rsidRPr="008340BB" w:rsidRDefault="00036B4C" w:rsidP="00036B4C">
            <w:pPr>
              <w:jc w:val="left"/>
              <w:rPr>
                <w:sz w:val="20"/>
              </w:rPr>
            </w:pPr>
            <w:r>
              <w:rPr>
                <w:sz w:val="20"/>
              </w:rPr>
              <w:t>3</w:t>
            </w:r>
            <w:r w:rsidRPr="008340BB">
              <w:rPr>
                <w:sz w:val="20"/>
              </w:rPr>
              <w:t xml:space="preserve">  quarter of 201</w:t>
            </w:r>
            <w:r>
              <w:rPr>
                <w:sz w:val="20"/>
              </w:rPr>
              <w:t>7</w:t>
            </w:r>
            <w:r w:rsidRPr="008340BB">
              <w:rPr>
                <w:sz w:val="20"/>
              </w:rPr>
              <w:t xml:space="preserve"> </w:t>
            </w:r>
          </w:p>
        </w:tc>
        <w:tc>
          <w:tcPr>
            <w:tcW w:w="865" w:type="pct"/>
          </w:tcPr>
          <w:p w14:paraId="2B00F9E9" w14:textId="77777777" w:rsidR="00036B4C" w:rsidRPr="008340BB" w:rsidRDefault="00036B4C" w:rsidP="00036B4C">
            <w:pPr>
              <w:jc w:val="left"/>
              <w:rPr>
                <w:sz w:val="20"/>
              </w:rPr>
            </w:pPr>
            <w:r>
              <w:rPr>
                <w:sz w:val="20"/>
              </w:rPr>
              <w:t>3</w:t>
            </w:r>
            <w:r w:rsidRPr="008340BB">
              <w:rPr>
                <w:sz w:val="20"/>
              </w:rPr>
              <w:t xml:space="preserve">  quarter of 2015</w:t>
            </w:r>
          </w:p>
        </w:tc>
        <w:tc>
          <w:tcPr>
            <w:tcW w:w="822" w:type="pct"/>
          </w:tcPr>
          <w:p w14:paraId="5F802D0B" w14:textId="6A16C471" w:rsidR="00036B4C" w:rsidRPr="008340BB" w:rsidRDefault="00A00A10" w:rsidP="00036B4C">
            <w:pPr>
              <w:jc w:val="left"/>
              <w:rPr>
                <w:sz w:val="20"/>
              </w:rPr>
            </w:pPr>
            <w:r>
              <w:rPr>
                <w:sz w:val="20"/>
              </w:rPr>
              <w:t>3</w:t>
            </w:r>
            <w:r w:rsidR="00036B4C" w:rsidRPr="008340BB">
              <w:rPr>
                <w:sz w:val="20"/>
              </w:rPr>
              <w:t xml:space="preserve"> quarter of 202</w:t>
            </w:r>
            <w:r>
              <w:rPr>
                <w:sz w:val="20"/>
              </w:rPr>
              <w:t>3</w:t>
            </w:r>
            <w:r w:rsidR="00036B4C" w:rsidRPr="008340BB">
              <w:rPr>
                <w:sz w:val="20"/>
              </w:rPr>
              <w:t xml:space="preserve"> </w:t>
            </w:r>
          </w:p>
        </w:tc>
        <w:tc>
          <w:tcPr>
            <w:tcW w:w="1069" w:type="pct"/>
          </w:tcPr>
          <w:p w14:paraId="534CF130" w14:textId="77777777" w:rsidR="00036B4C" w:rsidRPr="008340BB" w:rsidRDefault="00036B4C" w:rsidP="00036B4C">
            <w:pPr>
              <w:pStyle w:val="Text1"/>
              <w:ind w:left="0"/>
              <w:jc w:val="left"/>
              <w:rPr>
                <w:sz w:val="24"/>
                <w:lang w:val="en-GB" w:eastAsia="en-GB"/>
              </w:rPr>
            </w:pPr>
            <w:r w:rsidRPr="008340BB">
              <w:rPr>
                <w:sz w:val="20"/>
                <w:lang w:val="en-GB" w:eastAsia="en-GB"/>
              </w:rPr>
              <w:t>“Development of road infrastructure along the “core” and “comprehensive” Trans-European Transport Network”</w:t>
            </w:r>
          </w:p>
        </w:tc>
      </w:tr>
      <w:tr w:rsidR="00036B4C" w:rsidRPr="008340BB" w14:paraId="53A14310" w14:textId="77777777" w:rsidTr="00CE263F">
        <w:trPr>
          <w:trHeight w:val="268"/>
        </w:trPr>
        <w:tc>
          <w:tcPr>
            <w:tcW w:w="1146" w:type="pct"/>
          </w:tcPr>
          <w:p w14:paraId="6E4F395C" w14:textId="72E4B875" w:rsidR="00036B4C" w:rsidRPr="008340BB" w:rsidRDefault="00036B4C" w:rsidP="00036B4C">
            <w:pPr>
              <w:pStyle w:val="Text1"/>
              <w:ind w:left="0"/>
              <w:jc w:val="left"/>
              <w:rPr>
                <w:sz w:val="20"/>
                <w:lang w:val="en-GB" w:eastAsia="en-GB"/>
              </w:rPr>
            </w:pPr>
            <w:r w:rsidRPr="00CC4AA2">
              <w:rPr>
                <w:sz w:val="20"/>
                <w:lang w:val="en-GB" w:eastAsia="en-GB"/>
              </w:rPr>
              <w:t>„Struma” Motorway, Lot</w:t>
            </w:r>
            <w:r>
              <w:rPr>
                <w:sz w:val="20"/>
                <w:lang w:val="en-GB" w:eastAsia="en-GB"/>
              </w:rPr>
              <w:t xml:space="preserve"> 3.2</w:t>
            </w:r>
            <w:r w:rsidR="00826B6C">
              <w:rPr>
                <w:sz w:val="20"/>
                <w:lang w:val="en-GB" w:eastAsia="en-GB"/>
              </w:rPr>
              <w:t xml:space="preserve"> /preparatory and mitigation measures/</w:t>
            </w:r>
          </w:p>
        </w:tc>
        <w:tc>
          <w:tcPr>
            <w:tcW w:w="1098" w:type="pct"/>
          </w:tcPr>
          <w:p w14:paraId="705879AD" w14:textId="3963D00F" w:rsidR="00036B4C" w:rsidRPr="008340BB" w:rsidRDefault="007D0DAD" w:rsidP="007D0DAD">
            <w:pPr>
              <w:jc w:val="left"/>
              <w:rPr>
                <w:sz w:val="20"/>
              </w:rPr>
            </w:pPr>
            <w:r>
              <w:rPr>
                <w:sz w:val="20"/>
              </w:rPr>
              <w:t>1</w:t>
            </w:r>
            <w:r w:rsidR="00036B4C">
              <w:rPr>
                <w:sz w:val="20"/>
              </w:rPr>
              <w:t xml:space="preserve"> quarter of 20</w:t>
            </w:r>
            <w:r w:rsidR="00826B6C">
              <w:rPr>
                <w:sz w:val="20"/>
              </w:rPr>
              <w:t>2</w:t>
            </w:r>
            <w:r>
              <w:rPr>
                <w:sz w:val="20"/>
              </w:rPr>
              <w:t>2</w:t>
            </w:r>
            <w:r w:rsidR="00036B4C">
              <w:rPr>
                <w:sz w:val="20"/>
              </w:rPr>
              <w:t xml:space="preserve"> </w:t>
            </w:r>
          </w:p>
        </w:tc>
        <w:tc>
          <w:tcPr>
            <w:tcW w:w="865" w:type="pct"/>
          </w:tcPr>
          <w:p w14:paraId="0D40DA69" w14:textId="1B698261" w:rsidR="00036B4C" w:rsidRPr="008340BB" w:rsidRDefault="0099064A" w:rsidP="0099064A">
            <w:pPr>
              <w:jc w:val="left"/>
              <w:rPr>
                <w:sz w:val="20"/>
              </w:rPr>
            </w:pPr>
            <w:r>
              <w:rPr>
                <w:sz w:val="20"/>
              </w:rPr>
              <w:t>1</w:t>
            </w:r>
            <w:r w:rsidR="00036B4C">
              <w:rPr>
                <w:sz w:val="20"/>
              </w:rPr>
              <w:t xml:space="preserve"> quarter of 202</w:t>
            </w:r>
            <w:r>
              <w:rPr>
                <w:sz w:val="20"/>
              </w:rPr>
              <w:t>1</w:t>
            </w:r>
          </w:p>
        </w:tc>
        <w:tc>
          <w:tcPr>
            <w:tcW w:w="822" w:type="pct"/>
          </w:tcPr>
          <w:p w14:paraId="0C07ABAA" w14:textId="378ECBCF" w:rsidR="00036B4C" w:rsidRPr="008340BB" w:rsidRDefault="00036B4C" w:rsidP="00036B4C">
            <w:pPr>
              <w:jc w:val="left"/>
              <w:rPr>
                <w:sz w:val="20"/>
              </w:rPr>
            </w:pPr>
            <w:r>
              <w:rPr>
                <w:sz w:val="20"/>
              </w:rPr>
              <w:t>4 quarter of 202</w:t>
            </w:r>
            <w:r w:rsidR="00826B6C">
              <w:rPr>
                <w:sz w:val="20"/>
                <w:lang w:val="en-US"/>
              </w:rPr>
              <w:t>3</w:t>
            </w:r>
          </w:p>
        </w:tc>
        <w:tc>
          <w:tcPr>
            <w:tcW w:w="1069" w:type="pct"/>
          </w:tcPr>
          <w:p w14:paraId="1D51511B" w14:textId="77777777" w:rsidR="00036B4C" w:rsidRPr="008340BB" w:rsidRDefault="00036B4C" w:rsidP="00036B4C">
            <w:pPr>
              <w:pStyle w:val="Text1"/>
              <w:ind w:left="0"/>
              <w:jc w:val="left"/>
              <w:rPr>
                <w:sz w:val="20"/>
                <w:lang w:val="en-GB" w:eastAsia="en-GB"/>
              </w:rPr>
            </w:pPr>
            <w:r w:rsidRPr="0004365B">
              <w:rPr>
                <w:sz w:val="20"/>
                <w:lang w:val="en-GB" w:eastAsia="en-GB"/>
              </w:rPr>
              <w:t>“Development of road infrastructure along the “core” and “comprehensive” Trans-European Transport Network”</w:t>
            </w:r>
          </w:p>
        </w:tc>
      </w:tr>
      <w:tr w:rsidR="00BC6533" w:rsidRPr="008340BB" w14:paraId="21FF28DF" w14:textId="77777777" w:rsidTr="00CE263F">
        <w:trPr>
          <w:trHeight w:val="268"/>
        </w:trPr>
        <w:tc>
          <w:tcPr>
            <w:tcW w:w="1146" w:type="pct"/>
          </w:tcPr>
          <w:p w14:paraId="3F7C3E2C" w14:textId="7842CEA5" w:rsidR="007B6AEA" w:rsidRPr="007B6AEA" w:rsidRDefault="007B6AEA" w:rsidP="007B6AEA">
            <w:pPr>
              <w:pStyle w:val="Text1"/>
              <w:ind w:left="0"/>
              <w:rPr>
                <w:sz w:val="20"/>
                <w:lang w:val="en-GB"/>
              </w:rPr>
            </w:pPr>
            <w:r w:rsidRPr="007B6AEA">
              <w:rPr>
                <w:sz w:val="20"/>
                <w:lang w:val="en-GB" w:eastAsia="en-GB"/>
              </w:rPr>
              <w:t xml:space="preserve">“Europa” Motorway </w:t>
            </w:r>
            <w:r w:rsidRPr="007B6AEA">
              <w:rPr>
                <w:sz w:val="20"/>
                <w:lang w:val="en-GB"/>
              </w:rPr>
              <w:t>from km 15+500 to km 48+903</w:t>
            </w:r>
          </w:p>
          <w:p w14:paraId="19042030" w14:textId="08648986" w:rsidR="00BC6533" w:rsidRPr="00CC4AA2" w:rsidRDefault="00BC6533" w:rsidP="00036B4C">
            <w:pPr>
              <w:pStyle w:val="Text1"/>
              <w:ind w:left="0"/>
              <w:jc w:val="left"/>
              <w:rPr>
                <w:sz w:val="20"/>
                <w:lang w:val="en-GB" w:eastAsia="en-GB"/>
              </w:rPr>
            </w:pPr>
          </w:p>
        </w:tc>
        <w:tc>
          <w:tcPr>
            <w:tcW w:w="1098" w:type="pct"/>
          </w:tcPr>
          <w:p w14:paraId="4E5384C3" w14:textId="3A1575D6" w:rsidR="00BC6533" w:rsidRPr="0065115D" w:rsidRDefault="002F5CB1" w:rsidP="003C62D7">
            <w:pPr>
              <w:jc w:val="left"/>
              <w:rPr>
                <w:sz w:val="20"/>
              </w:rPr>
            </w:pPr>
            <w:r>
              <w:rPr>
                <w:sz w:val="20"/>
              </w:rPr>
              <w:t>4</w:t>
            </w:r>
            <w:r w:rsidR="003C62D7" w:rsidRPr="0065115D">
              <w:rPr>
                <w:sz w:val="20"/>
              </w:rPr>
              <w:t xml:space="preserve"> quarter of 202</w:t>
            </w:r>
            <w:r w:rsidR="00666489">
              <w:rPr>
                <w:sz w:val="20"/>
                <w:lang w:val="bg-BG"/>
              </w:rPr>
              <w:t>2</w:t>
            </w:r>
          </w:p>
        </w:tc>
        <w:tc>
          <w:tcPr>
            <w:tcW w:w="865" w:type="pct"/>
          </w:tcPr>
          <w:p w14:paraId="751916EF" w14:textId="77D12E35" w:rsidR="00BC6533" w:rsidRDefault="003C62D7" w:rsidP="00E91F5F">
            <w:pPr>
              <w:jc w:val="left"/>
              <w:rPr>
                <w:sz w:val="20"/>
              </w:rPr>
            </w:pPr>
            <w:r w:rsidRPr="00E25B12">
              <w:rPr>
                <w:sz w:val="20"/>
                <w:lang w:val="bg-BG"/>
              </w:rPr>
              <w:t xml:space="preserve">1 </w:t>
            </w:r>
            <w:r w:rsidRPr="00E25B12">
              <w:rPr>
                <w:sz w:val="20"/>
                <w:lang w:val="en-US"/>
              </w:rPr>
              <w:t>quarter of</w:t>
            </w:r>
            <w:r w:rsidRPr="00E25B12">
              <w:rPr>
                <w:sz w:val="20"/>
                <w:lang w:val="bg-BG"/>
              </w:rPr>
              <w:t xml:space="preserve"> 2019</w:t>
            </w:r>
          </w:p>
        </w:tc>
        <w:tc>
          <w:tcPr>
            <w:tcW w:w="822" w:type="pct"/>
          </w:tcPr>
          <w:p w14:paraId="5E91D6D1" w14:textId="2BEDCD8A" w:rsidR="00BC6533" w:rsidRDefault="00183636" w:rsidP="00183636">
            <w:pPr>
              <w:jc w:val="left"/>
              <w:rPr>
                <w:sz w:val="20"/>
              </w:rPr>
            </w:pPr>
            <w:r w:rsidRPr="00183636">
              <w:rPr>
                <w:sz w:val="20"/>
                <w:lang w:val="bg-BG"/>
              </w:rPr>
              <w:t xml:space="preserve">4 </w:t>
            </w:r>
            <w:r>
              <w:rPr>
                <w:sz w:val="20"/>
                <w:lang w:val="en-US"/>
              </w:rPr>
              <w:t>quarter</w:t>
            </w:r>
            <w:r w:rsidRPr="00183636">
              <w:rPr>
                <w:sz w:val="20"/>
                <w:lang w:val="en-US"/>
              </w:rPr>
              <w:t xml:space="preserve"> </w:t>
            </w:r>
            <w:r>
              <w:rPr>
                <w:sz w:val="20"/>
                <w:lang w:val="en-US"/>
              </w:rPr>
              <w:t>of</w:t>
            </w:r>
            <w:r w:rsidRPr="00183636">
              <w:rPr>
                <w:sz w:val="20"/>
                <w:lang w:val="bg-BG"/>
              </w:rPr>
              <w:t xml:space="preserve"> 2023</w:t>
            </w:r>
          </w:p>
        </w:tc>
        <w:tc>
          <w:tcPr>
            <w:tcW w:w="1069" w:type="pct"/>
          </w:tcPr>
          <w:p w14:paraId="1BEB03D8" w14:textId="29FA3BE9" w:rsidR="00BC6533" w:rsidRPr="0004365B" w:rsidRDefault="00436999" w:rsidP="00036B4C">
            <w:pPr>
              <w:pStyle w:val="Text1"/>
              <w:ind w:left="0"/>
              <w:jc w:val="left"/>
              <w:rPr>
                <w:sz w:val="20"/>
                <w:lang w:val="en-GB" w:eastAsia="en-GB"/>
              </w:rPr>
            </w:pPr>
            <w:r w:rsidRPr="00436999">
              <w:rPr>
                <w:sz w:val="20"/>
                <w:lang w:val="en-GB" w:eastAsia="en-GB"/>
              </w:rPr>
              <w:t>“Development of road infrastructure along the “core” and “comprehensive” Trans-European Transport Network”</w:t>
            </w:r>
          </w:p>
        </w:tc>
      </w:tr>
      <w:tr w:rsidR="00036B4C" w:rsidRPr="008340BB" w14:paraId="24692A89" w14:textId="77777777" w:rsidTr="00CE263F">
        <w:trPr>
          <w:trHeight w:val="268"/>
        </w:trPr>
        <w:tc>
          <w:tcPr>
            <w:tcW w:w="1146" w:type="pct"/>
          </w:tcPr>
          <w:p w14:paraId="6C9696E0" w14:textId="77777777" w:rsidR="00036B4C" w:rsidRPr="003C30A2" w:rsidRDefault="00036B4C" w:rsidP="00036B4C">
            <w:pPr>
              <w:pStyle w:val="Text1"/>
              <w:ind w:left="0"/>
              <w:jc w:val="left"/>
              <w:rPr>
                <w:sz w:val="20"/>
                <w:lang w:val="en-US" w:eastAsia="en-GB"/>
              </w:rPr>
            </w:pPr>
            <w:r>
              <w:rPr>
                <w:sz w:val="20"/>
                <w:lang w:val="en-GB" w:eastAsia="en-GB"/>
              </w:rPr>
              <w:t>Kalotina-Sofia Motorway, L</w:t>
            </w:r>
            <w:r w:rsidRPr="001E47F1">
              <w:rPr>
                <w:sz w:val="20"/>
                <w:lang w:val="en-GB" w:eastAsia="en-GB"/>
              </w:rPr>
              <w:t>ot 1 Western Arc of Sofia Ring Road</w:t>
            </w:r>
            <w:r>
              <w:rPr>
                <w:sz w:val="20"/>
                <w:lang w:val="en-GB" w:eastAsia="en-GB"/>
              </w:rPr>
              <w:t xml:space="preserve">, </w:t>
            </w:r>
            <w:r w:rsidRPr="008340BB">
              <w:rPr>
                <w:sz w:val="20"/>
                <w:lang w:val="en-GB" w:eastAsia="en-GB"/>
              </w:rPr>
              <w:t>Phase ІІ</w:t>
            </w:r>
            <w:r>
              <w:rPr>
                <w:sz w:val="20"/>
                <w:lang w:eastAsia="en-GB"/>
              </w:rPr>
              <w:t xml:space="preserve"> </w:t>
            </w:r>
            <w:r>
              <w:rPr>
                <w:sz w:val="20"/>
                <w:lang w:val="en-US" w:eastAsia="en-GB"/>
              </w:rPr>
              <w:t xml:space="preserve"> </w:t>
            </w:r>
            <w:r>
              <w:rPr>
                <w:sz w:val="20"/>
                <w:lang w:val="en-US" w:eastAsia="en-GB"/>
              </w:rPr>
              <w:lastRenderedPageBreak/>
              <w:t xml:space="preserve">(major project </w:t>
            </w:r>
            <w:r w:rsidRPr="000A5B2E">
              <w:rPr>
                <w:bCs/>
                <w:sz w:val="20"/>
                <w:lang w:eastAsia="en-GB"/>
              </w:rPr>
              <w:t>CCI 2012BG161PR005</w:t>
            </w:r>
            <w:r>
              <w:rPr>
                <w:bCs/>
                <w:sz w:val="20"/>
                <w:lang w:val="en-US" w:eastAsia="en-GB"/>
              </w:rPr>
              <w:t>)</w:t>
            </w:r>
          </w:p>
        </w:tc>
        <w:tc>
          <w:tcPr>
            <w:tcW w:w="1098" w:type="pct"/>
          </w:tcPr>
          <w:p w14:paraId="6826F5F3" w14:textId="2B12363C" w:rsidR="00036B4C" w:rsidRDefault="00036B4C" w:rsidP="00036B4C">
            <w:pPr>
              <w:jc w:val="left"/>
              <w:rPr>
                <w:sz w:val="20"/>
              </w:rPr>
            </w:pPr>
            <w:r>
              <w:rPr>
                <w:sz w:val="20"/>
              </w:rPr>
              <w:lastRenderedPageBreak/>
              <w:t>3 quarter of 2016</w:t>
            </w:r>
          </w:p>
        </w:tc>
        <w:tc>
          <w:tcPr>
            <w:tcW w:w="865" w:type="pct"/>
          </w:tcPr>
          <w:p w14:paraId="39B65EBE" w14:textId="77777777" w:rsidR="00036B4C" w:rsidRDefault="00036B4C" w:rsidP="00036B4C">
            <w:pPr>
              <w:jc w:val="left"/>
              <w:rPr>
                <w:sz w:val="20"/>
              </w:rPr>
            </w:pPr>
            <w:r>
              <w:rPr>
                <w:sz w:val="20"/>
              </w:rPr>
              <w:t xml:space="preserve">4 quarter of </w:t>
            </w:r>
            <w:r w:rsidRPr="008340BB">
              <w:rPr>
                <w:sz w:val="20"/>
              </w:rPr>
              <w:t>2015</w:t>
            </w:r>
          </w:p>
        </w:tc>
        <w:tc>
          <w:tcPr>
            <w:tcW w:w="822" w:type="pct"/>
          </w:tcPr>
          <w:p w14:paraId="245D7558" w14:textId="77777777" w:rsidR="00036B4C" w:rsidRDefault="00036B4C" w:rsidP="00036B4C">
            <w:pPr>
              <w:jc w:val="left"/>
              <w:rPr>
                <w:sz w:val="20"/>
              </w:rPr>
            </w:pPr>
            <w:r>
              <w:rPr>
                <w:sz w:val="20"/>
              </w:rPr>
              <w:t>4 quarter of 2016</w:t>
            </w:r>
          </w:p>
        </w:tc>
        <w:tc>
          <w:tcPr>
            <w:tcW w:w="1069" w:type="pct"/>
          </w:tcPr>
          <w:p w14:paraId="306B6E09" w14:textId="77777777" w:rsidR="00036B4C" w:rsidRPr="0004365B" w:rsidRDefault="00036B4C" w:rsidP="00036B4C">
            <w:pPr>
              <w:pStyle w:val="Text1"/>
              <w:ind w:left="0"/>
              <w:jc w:val="left"/>
              <w:rPr>
                <w:sz w:val="20"/>
                <w:lang w:val="en-GB" w:eastAsia="en-GB"/>
              </w:rPr>
            </w:pPr>
            <w:r w:rsidRPr="0004365B">
              <w:rPr>
                <w:sz w:val="20"/>
                <w:lang w:val="en-GB" w:eastAsia="en-GB"/>
              </w:rPr>
              <w:t xml:space="preserve">“Development of road infrastructure along the “core” and “comprehensive” </w:t>
            </w:r>
            <w:r w:rsidRPr="0004365B">
              <w:rPr>
                <w:sz w:val="20"/>
                <w:lang w:val="en-GB" w:eastAsia="en-GB"/>
              </w:rPr>
              <w:lastRenderedPageBreak/>
              <w:t>Trans-European Transport Network”</w:t>
            </w:r>
          </w:p>
        </w:tc>
      </w:tr>
      <w:tr w:rsidR="00036B4C" w:rsidRPr="008340BB" w14:paraId="336317B2" w14:textId="77777777" w:rsidTr="00CE263F">
        <w:trPr>
          <w:trHeight w:val="268"/>
        </w:trPr>
        <w:tc>
          <w:tcPr>
            <w:tcW w:w="1146" w:type="pct"/>
          </w:tcPr>
          <w:p w14:paraId="71918662" w14:textId="77777777" w:rsidR="00036B4C" w:rsidRDefault="00036B4C" w:rsidP="00036B4C">
            <w:pPr>
              <w:jc w:val="left"/>
              <w:rPr>
                <w:bCs/>
                <w:sz w:val="20"/>
              </w:rPr>
            </w:pPr>
            <w:r w:rsidRPr="00E2131D">
              <w:rPr>
                <w:bCs/>
                <w:sz w:val="20"/>
              </w:rPr>
              <w:lastRenderedPageBreak/>
              <w:t>S</w:t>
            </w:r>
            <w:r>
              <w:rPr>
                <w:bCs/>
                <w:sz w:val="20"/>
              </w:rPr>
              <w:t>ofia metro extension project</w:t>
            </w:r>
            <w:r w:rsidRPr="00E2131D">
              <w:rPr>
                <w:bCs/>
                <w:sz w:val="20"/>
              </w:rPr>
              <w:t>: L</w:t>
            </w:r>
            <w:r>
              <w:rPr>
                <w:bCs/>
                <w:sz w:val="20"/>
              </w:rPr>
              <w:t>ine</w:t>
            </w:r>
            <w:r w:rsidRPr="00E2131D">
              <w:rPr>
                <w:bCs/>
                <w:sz w:val="20"/>
              </w:rPr>
              <w:t xml:space="preserve"> 3, S</w:t>
            </w:r>
            <w:r>
              <w:rPr>
                <w:bCs/>
                <w:sz w:val="20"/>
              </w:rPr>
              <w:t xml:space="preserve">tage I – section </w:t>
            </w:r>
            <w:r w:rsidRPr="00E2131D">
              <w:rPr>
                <w:bCs/>
                <w:sz w:val="20"/>
              </w:rPr>
              <w:t>“V</w:t>
            </w:r>
            <w:r>
              <w:rPr>
                <w:bCs/>
                <w:sz w:val="20"/>
              </w:rPr>
              <w:t>ladimir</w:t>
            </w:r>
            <w:r w:rsidRPr="00E2131D">
              <w:rPr>
                <w:bCs/>
                <w:sz w:val="20"/>
              </w:rPr>
              <w:t xml:space="preserve"> V</w:t>
            </w:r>
            <w:r>
              <w:rPr>
                <w:bCs/>
                <w:sz w:val="20"/>
              </w:rPr>
              <w:t>azov</w:t>
            </w:r>
            <w:r w:rsidRPr="00E2131D">
              <w:rPr>
                <w:bCs/>
                <w:sz w:val="20"/>
              </w:rPr>
              <w:t xml:space="preserve"> B</w:t>
            </w:r>
            <w:r>
              <w:rPr>
                <w:bCs/>
                <w:sz w:val="20"/>
              </w:rPr>
              <w:t>lvd</w:t>
            </w:r>
            <w:r w:rsidRPr="00E2131D">
              <w:rPr>
                <w:bCs/>
                <w:sz w:val="20"/>
              </w:rPr>
              <w:t>. – C</w:t>
            </w:r>
            <w:r>
              <w:rPr>
                <w:bCs/>
                <w:sz w:val="20"/>
              </w:rPr>
              <w:t>entre</w:t>
            </w:r>
            <w:r w:rsidRPr="00E2131D">
              <w:rPr>
                <w:bCs/>
                <w:sz w:val="20"/>
              </w:rPr>
              <w:t xml:space="preserve"> – Z</w:t>
            </w:r>
            <w:r>
              <w:rPr>
                <w:bCs/>
                <w:sz w:val="20"/>
              </w:rPr>
              <w:t>hitnitsa</w:t>
            </w:r>
            <w:r w:rsidRPr="00E2131D">
              <w:rPr>
                <w:bCs/>
                <w:sz w:val="20"/>
              </w:rPr>
              <w:t xml:space="preserve"> S</w:t>
            </w:r>
            <w:r>
              <w:rPr>
                <w:bCs/>
                <w:sz w:val="20"/>
              </w:rPr>
              <w:t>tr</w:t>
            </w:r>
            <w:r w:rsidRPr="00E2131D">
              <w:rPr>
                <w:bCs/>
                <w:sz w:val="20"/>
              </w:rPr>
              <w:t>.”</w:t>
            </w:r>
          </w:p>
          <w:p w14:paraId="2516DD00" w14:textId="77777777" w:rsidR="00036B4C" w:rsidRPr="008340BB" w:rsidRDefault="00036B4C" w:rsidP="00036B4C">
            <w:pPr>
              <w:jc w:val="left"/>
              <w:rPr>
                <w:sz w:val="20"/>
              </w:rPr>
            </w:pPr>
          </w:p>
        </w:tc>
        <w:tc>
          <w:tcPr>
            <w:tcW w:w="1098" w:type="pct"/>
          </w:tcPr>
          <w:p w14:paraId="79291EA4" w14:textId="6F13E97D" w:rsidR="00036B4C" w:rsidRPr="008340BB" w:rsidRDefault="00036B4C" w:rsidP="00036B4C">
            <w:pPr>
              <w:jc w:val="left"/>
              <w:rPr>
                <w:sz w:val="20"/>
              </w:rPr>
            </w:pPr>
            <w:r>
              <w:rPr>
                <w:sz w:val="20"/>
              </w:rPr>
              <w:t>1</w:t>
            </w:r>
            <w:r w:rsidRPr="008340BB">
              <w:rPr>
                <w:sz w:val="20"/>
              </w:rPr>
              <w:t xml:space="preserve">  quarter of 201</w:t>
            </w:r>
            <w:r>
              <w:rPr>
                <w:sz w:val="20"/>
              </w:rPr>
              <w:t>6</w:t>
            </w:r>
            <w:r w:rsidRPr="008340BB">
              <w:rPr>
                <w:sz w:val="20"/>
              </w:rPr>
              <w:t xml:space="preserve">  </w:t>
            </w:r>
          </w:p>
          <w:p w14:paraId="39896B05" w14:textId="77777777" w:rsidR="00036B4C" w:rsidRPr="008340BB" w:rsidRDefault="00036B4C" w:rsidP="00036B4C">
            <w:pPr>
              <w:jc w:val="left"/>
              <w:rPr>
                <w:sz w:val="20"/>
              </w:rPr>
            </w:pPr>
          </w:p>
        </w:tc>
        <w:tc>
          <w:tcPr>
            <w:tcW w:w="865" w:type="pct"/>
          </w:tcPr>
          <w:p w14:paraId="67DB78F4" w14:textId="69F14D0E" w:rsidR="00036B4C" w:rsidRPr="008340BB" w:rsidRDefault="00036B4C" w:rsidP="00036B4C">
            <w:pPr>
              <w:jc w:val="left"/>
              <w:rPr>
                <w:sz w:val="20"/>
              </w:rPr>
            </w:pPr>
            <w:r>
              <w:rPr>
                <w:sz w:val="20"/>
              </w:rPr>
              <w:t>4</w:t>
            </w:r>
            <w:r w:rsidRPr="008340BB">
              <w:rPr>
                <w:sz w:val="20"/>
              </w:rPr>
              <w:t xml:space="preserve"> quarter of 2015 </w:t>
            </w:r>
          </w:p>
        </w:tc>
        <w:tc>
          <w:tcPr>
            <w:tcW w:w="822" w:type="pct"/>
          </w:tcPr>
          <w:p w14:paraId="69BC162F" w14:textId="2C14D7B5" w:rsidR="00036B4C" w:rsidRPr="008340BB" w:rsidRDefault="00DE2652" w:rsidP="00036B4C">
            <w:pPr>
              <w:jc w:val="left"/>
              <w:rPr>
                <w:sz w:val="20"/>
              </w:rPr>
            </w:pPr>
            <w:r>
              <w:rPr>
                <w:sz w:val="20"/>
                <w:lang w:val="bg-BG"/>
              </w:rPr>
              <w:t>4</w:t>
            </w:r>
            <w:r w:rsidR="00036B4C" w:rsidRPr="008340BB">
              <w:rPr>
                <w:sz w:val="20"/>
              </w:rPr>
              <w:t xml:space="preserve"> quarter of 20</w:t>
            </w:r>
            <w:r w:rsidR="00036B4C">
              <w:rPr>
                <w:sz w:val="20"/>
              </w:rPr>
              <w:t>2</w:t>
            </w:r>
            <w:r>
              <w:rPr>
                <w:sz w:val="20"/>
                <w:lang w:val="bg-BG"/>
              </w:rPr>
              <w:t>1</w:t>
            </w:r>
          </w:p>
        </w:tc>
        <w:tc>
          <w:tcPr>
            <w:tcW w:w="1069" w:type="pct"/>
          </w:tcPr>
          <w:p w14:paraId="6FABF857" w14:textId="77777777" w:rsidR="00036B4C" w:rsidRPr="008340BB" w:rsidRDefault="00036B4C" w:rsidP="00036B4C">
            <w:pPr>
              <w:pStyle w:val="Text1"/>
              <w:ind w:left="0"/>
              <w:jc w:val="left"/>
              <w:rPr>
                <w:sz w:val="24"/>
                <w:lang w:val="en-GB" w:eastAsia="en-GB"/>
              </w:rPr>
            </w:pPr>
            <w:r w:rsidRPr="008340BB">
              <w:rPr>
                <w:sz w:val="20"/>
                <w:lang w:val="en-GB" w:eastAsia="en-GB"/>
              </w:rPr>
              <w:t>“Innovations in management and services - establishment of modern infrastructure for traffic management and transport safety improvement”</w:t>
            </w:r>
          </w:p>
        </w:tc>
      </w:tr>
      <w:tr w:rsidR="00036B4C" w:rsidRPr="008340BB" w14:paraId="4D723AE8" w14:textId="77777777" w:rsidTr="00CE263F">
        <w:trPr>
          <w:trHeight w:val="268"/>
        </w:trPr>
        <w:tc>
          <w:tcPr>
            <w:tcW w:w="1146" w:type="pct"/>
          </w:tcPr>
          <w:p w14:paraId="7B90C554" w14:textId="36A3F294" w:rsidR="00036B4C" w:rsidRPr="008340BB" w:rsidRDefault="00036B4C" w:rsidP="000926B8">
            <w:pPr>
              <w:jc w:val="left"/>
              <w:rPr>
                <w:bCs/>
                <w:sz w:val="20"/>
              </w:rPr>
            </w:pPr>
            <w:r w:rsidRPr="00134BF4">
              <w:rPr>
                <w:bCs/>
                <w:sz w:val="20"/>
              </w:rPr>
              <w:t>Sofia metro extension project: Line 3, Stage I</w:t>
            </w:r>
            <w:r w:rsidR="00834E4B">
              <w:rPr>
                <w:bCs/>
                <w:sz w:val="20"/>
                <w:lang w:val="en-US"/>
              </w:rPr>
              <w:t>I</w:t>
            </w:r>
            <w:r w:rsidRPr="00134BF4">
              <w:rPr>
                <w:bCs/>
                <w:sz w:val="20"/>
              </w:rPr>
              <w:t xml:space="preserve"> – section </w:t>
            </w:r>
            <w:r w:rsidR="000926B8">
              <w:rPr>
                <w:bCs/>
                <w:sz w:val="20"/>
              </w:rPr>
              <w:t xml:space="preserve"> “</w:t>
            </w:r>
            <w:r w:rsidR="000926B8" w:rsidRPr="000926B8">
              <w:rPr>
                <w:bCs/>
                <w:sz w:val="20"/>
                <w:lang w:val="en-IE"/>
              </w:rPr>
              <w:t>Zhitnica” str. – “Ovcha Kupel” R.A. – Sofia ring road</w:t>
            </w:r>
            <w:r w:rsidR="000926B8">
              <w:rPr>
                <w:bCs/>
                <w:sz w:val="20"/>
                <w:lang w:val="en-IE"/>
              </w:rPr>
              <w:t>”</w:t>
            </w:r>
          </w:p>
        </w:tc>
        <w:tc>
          <w:tcPr>
            <w:tcW w:w="1098" w:type="pct"/>
          </w:tcPr>
          <w:p w14:paraId="7BEF1429" w14:textId="77777777" w:rsidR="00036B4C" w:rsidRDefault="00036B4C" w:rsidP="00036B4C">
            <w:pPr>
              <w:jc w:val="left"/>
              <w:rPr>
                <w:sz w:val="20"/>
              </w:rPr>
            </w:pPr>
            <w:r>
              <w:rPr>
                <w:sz w:val="20"/>
              </w:rPr>
              <w:t>1 quarter of 2017</w:t>
            </w:r>
          </w:p>
        </w:tc>
        <w:tc>
          <w:tcPr>
            <w:tcW w:w="865" w:type="pct"/>
          </w:tcPr>
          <w:p w14:paraId="1DE5516C" w14:textId="77777777" w:rsidR="00036B4C" w:rsidRDefault="00036B4C" w:rsidP="00036B4C">
            <w:pPr>
              <w:jc w:val="left"/>
              <w:rPr>
                <w:sz w:val="20"/>
              </w:rPr>
            </w:pPr>
            <w:r>
              <w:rPr>
                <w:sz w:val="20"/>
              </w:rPr>
              <w:t>1 quarter of 2017</w:t>
            </w:r>
          </w:p>
        </w:tc>
        <w:tc>
          <w:tcPr>
            <w:tcW w:w="822" w:type="pct"/>
          </w:tcPr>
          <w:p w14:paraId="01715EB3" w14:textId="4A9DD79B" w:rsidR="00036B4C" w:rsidRDefault="001477AD" w:rsidP="00036B4C">
            <w:pPr>
              <w:jc w:val="left"/>
              <w:rPr>
                <w:sz w:val="20"/>
              </w:rPr>
            </w:pPr>
            <w:r>
              <w:rPr>
                <w:sz w:val="20"/>
              </w:rPr>
              <w:t>4</w:t>
            </w:r>
            <w:r w:rsidR="00036B4C">
              <w:rPr>
                <w:sz w:val="20"/>
              </w:rPr>
              <w:t xml:space="preserve"> quarter of 20</w:t>
            </w:r>
            <w:r w:rsidR="0048282B">
              <w:rPr>
                <w:sz w:val="20"/>
              </w:rPr>
              <w:t>2</w:t>
            </w:r>
            <w:r w:rsidR="00036B4C">
              <w:rPr>
                <w:sz w:val="20"/>
              </w:rPr>
              <w:t>1</w:t>
            </w:r>
          </w:p>
        </w:tc>
        <w:tc>
          <w:tcPr>
            <w:tcW w:w="1069" w:type="pct"/>
          </w:tcPr>
          <w:p w14:paraId="754AB0EC" w14:textId="77777777" w:rsidR="00036B4C" w:rsidRPr="008340BB" w:rsidRDefault="00036B4C" w:rsidP="00036B4C">
            <w:pPr>
              <w:pStyle w:val="Text1"/>
              <w:ind w:left="0"/>
              <w:jc w:val="left"/>
              <w:rPr>
                <w:sz w:val="20"/>
                <w:lang w:val="en-GB" w:eastAsia="en-GB"/>
              </w:rPr>
            </w:pPr>
            <w:r w:rsidRPr="00687DF6">
              <w:rPr>
                <w:sz w:val="20"/>
                <w:lang w:val="en-GB" w:eastAsia="en-GB"/>
              </w:rPr>
              <w:t>“Innovations in management and services - establishment of modern infrastructure for traffic management and transport safety improvement”</w:t>
            </w:r>
          </w:p>
        </w:tc>
      </w:tr>
    </w:tbl>
    <w:p w14:paraId="324AAE53" w14:textId="77777777" w:rsidR="00F1341F" w:rsidRPr="008340BB" w:rsidRDefault="00F1341F" w:rsidP="00F03C1E">
      <w:pPr>
        <w:pStyle w:val="Text1"/>
        <w:rPr>
          <w:lang w:val="en-GB"/>
        </w:rPr>
      </w:pPr>
    </w:p>
    <w:p w14:paraId="760E6A09" w14:textId="77777777" w:rsidR="00F1341F" w:rsidRPr="008340BB" w:rsidRDefault="00F1341F" w:rsidP="00302F65">
      <w:pPr>
        <w:rPr>
          <w:b/>
        </w:rPr>
      </w:pPr>
      <w:r w:rsidRPr="008340BB">
        <w:rPr>
          <w:b/>
        </w:rPr>
        <w:br w:type="page"/>
      </w:r>
      <w:r w:rsidRPr="008340BB">
        <w:rPr>
          <w:b/>
        </w:rPr>
        <w:lastRenderedPageBreak/>
        <w:t xml:space="preserve">12.2 </w:t>
      </w:r>
      <w:r w:rsidRPr="008340BB">
        <w:rPr>
          <w:b/>
        </w:rPr>
        <w:tab/>
        <w:t xml:space="preserve">Performance framework of operational programme </w:t>
      </w:r>
    </w:p>
    <w:p w14:paraId="2206CAD7" w14:textId="77777777" w:rsidR="00F1341F" w:rsidRPr="008340BB" w:rsidRDefault="00F1341F" w:rsidP="00F03C1E">
      <w:pPr>
        <w:pStyle w:val="Text1"/>
        <w:ind w:left="0"/>
        <w:rPr>
          <w:b/>
          <w:lang w:val="en-GB"/>
        </w:rPr>
      </w:pPr>
    </w:p>
    <w:p w14:paraId="79A05F69" w14:textId="77777777" w:rsidR="00F1341F" w:rsidRPr="008340BB" w:rsidRDefault="00F1341F" w:rsidP="00BF3391">
      <w:pPr>
        <w:pStyle w:val="Text1"/>
        <w:ind w:left="1418" w:hanging="1418"/>
        <w:rPr>
          <w:b/>
          <w:lang w:val="en-GB"/>
        </w:rPr>
      </w:pPr>
      <w:r w:rsidRPr="008340BB">
        <w:rPr>
          <w:b/>
          <w:lang w:val="en-GB"/>
        </w:rPr>
        <w:t xml:space="preserve">Table 28: </w:t>
      </w:r>
      <w:r w:rsidRPr="008340BB">
        <w:rPr>
          <w:b/>
          <w:lang w:val="en-GB"/>
        </w:rPr>
        <w:tab/>
        <w:t>Performance framework by fund and category of region (summary table)</w:t>
      </w:r>
    </w:p>
    <w:tbl>
      <w:tblPr>
        <w:tblW w:w="52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8"/>
        <w:gridCol w:w="1139"/>
        <w:gridCol w:w="1214"/>
        <w:gridCol w:w="12"/>
        <w:gridCol w:w="1649"/>
        <w:gridCol w:w="965"/>
        <w:gridCol w:w="21"/>
        <w:gridCol w:w="1523"/>
        <w:gridCol w:w="1579"/>
      </w:tblGrid>
      <w:tr w:rsidR="00F1341F" w:rsidRPr="008340BB" w14:paraId="6809E9F4" w14:textId="77777777" w:rsidTr="000C4F0B">
        <w:trPr>
          <w:trHeight w:val="1320"/>
        </w:trPr>
        <w:tc>
          <w:tcPr>
            <w:tcW w:w="776" w:type="pct"/>
          </w:tcPr>
          <w:p w14:paraId="18794006" w14:textId="77777777" w:rsidR="00F1341F" w:rsidRPr="008340BB" w:rsidRDefault="00F1341F" w:rsidP="00BF3391">
            <w:pPr>
              <w:rPr>
                <w:b/>
                <w:sz w:val="20"/>
              </w:rPr>
            </w:pPr>
            <w:r w:rsidRPr="008340BB">
              <w:rPr>
                <w:b/>
                <w:sz w:val="20"/>
              </w:rPr>
              <w:t>Priority axis</w:t>
            </w:r>
          </w:p>
        </w:tc>
        <w:tc>
          <w:tcPr>
            <w:tcW w:w="594" w:type="pct"/>
          </w:tcPr>
          <w:p w14:paraId="7E99E9D6" w14:textId="77777777" w:rsidR="00F1341F" w:rsidRPr="008340BB" w:rsidRDefault="00F1341F" w:rsidP="00BF3391">
            <w:pPr>
              <w:rPr>
                <w:b/>
                <w:sz w:val="20"/>
              </w:rPr>
            </w:pPr>
            <w:r w:rsidRPr="008340BB">
              <w:rPr>
                <w:b/>
                <w:sz w:val="20"/>
              </w:rPr>
              <w:t>Fund</w:t>
            </w:r>
          </w:p>
        </w:tc>
        <w:tc>
          <w:tcPr>
            <w:tcW w:w="633" w:type="pct"/>
          </w:tcPr>
          <w:p w14:paraId="71ACB7C4" w14:textId="77777777" w:rsidR="00F1341F" w:rsidRPr="008340BB" w:rsidRDefault="00F1341F" w:rsidP="00BF3391">
            <w:pPr>
              <w:rPr>
                <w:b/>
                <w:sz w:val="20"/>
              </w:rPr>
            </w:pPr>
            <w:r w:rsidRPr="008340BB">
              <w:rPr>
                <w:b/>
                <w:sz w:val="20"/>
              </w:rPr>
              <w:t>Category of region</w:t>
            </w:r>
          </w:p>
        </w:tc>
        <w:tc>
          <w:tcPr>
            <w:tcW w:w="866" w:type="pct"/>
            <w:gridSpan w:val="2"/>
          </w:tcPr>
          <w:p w14:paraId="0A12D251" w14:textId="77777777" w:rsidR="00F1341F" w:rsidRPr="008340BB" w:rsidRDefault="00F1341F" w:rsidP="00BF3391">
            <w:pPr>
              <w:rPr>
                <w:b/>
                <w:sz w:val="20"/>
              </w:rPr>
            </w:pPr>
            <w:r w:rsidRPr="008340BB">
              <w:rPr>
                <w:b/>
                <w:sz w:val="20"/>
              </w:rPr>
              <w:t>Indicator or key implementation step</w:t>
            </w:r>
          </w:p>
        </w:tc>
        <w:tc>
          <w:tcPr>
            <w:tcW w:w="503" w:type="pct"/>
          </w:tcPr>
          <w:p w14:paraId="0F1B2780" w14:textId="77777777" w:rsidR="00F1341F" w:rsidRPr="008340BB" w:rsidRDefault="00F1341F" w:rsidP="00BF3391">
            <w:pPr>
              <w:rPr>
                <w:b/>
                <w:sz w:val="20"/>
              </w:rPr>
            </w:pPr>
            <w:r w:rsidRPr="008340BB">
              <w:rPr>
                <w:b/>
                <w:sz w:val="20"/>
              </w:rPr>
              <w:t>Measurement unit, where appropriate</w:t>
            </w:r>
          </w:p>
        </w:tc>
        <w:tc>
          <w:tcPr>
            <w:tcW w:w="805" w:type="pct"/>
            <w:gridSpan w:val="2"/>
          </w:tcPr>
          <w:p w14:paraId="1FC70436" w14:textId="77777777" w:rsidR="00F1341F" w:rsidRPr="008340BB" w:rsidRDefault="00F1341F" w:rsidP="00BF3391">
            <w:pPr>
              <w:rPr>
                <w:b/>
                <w:sz w:val="20"/>
              </w:rPr>
            </w:pPr>
            <w:r w:rsidRPr="008340BB">
              <w:rPr>
                <w:b/>
                <w:sz w:val="20"/>
              </w:rPr>
              <w:t>Milestone for 2018</w:t>
            </w:r>
          </w:p>
        </w:tc>
        <w:tc>
          <w:tcPr>
            <w:tcW w:w="823" w:type="pct"/>
          </w:tcPr>
          <w:p w14:paraId="30F953A0" w14:textId="77777777" w:rsidR="00F1341F" w:rsidRPr="008340BB" w:rsidRDefault="00F1341F" w:rsidP="00BF3391">
            <w:pPr>
              <w:rPr>
                <w:b/>
                <w:sz w:val="20"/>
              </w:rPr>
            </w:pPr>
            <w:r w:rsidRPr="008340BB">
              <w:rPr>
                <w:b/>
                <w:sz w:val="20"/>
              </w:rPr>
              <w:t>Final target (2023)</w:t>
            </w:r>
            <w:r w:rsidRPr="008340BB">
              <w:rPr>
                <w:rStyle w:val="FootnoteReference"/>
                <w:b/>
                <w:sz w:val="20"/>
              </w:rPr>
              <w:footnoteReference w:id="92"/>
            </w:r>
          </w:p>
        </w:tc>
      </w:tr>
      <w:tr w:rsidR="00F1341F" w:rsidRPr="008340BB" w14:paraId="1CF7375E" w14:textId="77777777" w:rsidTr="000C4F0B">
        <w:trPr>
          <w:trHeight w:val="158"/>
        </w:trPr>
        <w:tc>
          <w:tcPr>
            <w:tcW w:w="776" w:type="pct"/>
            <w:vMerge w:val="restart"/>
          </w:tcPr>
          <w:p w14:paraId="5F6124C2" w14:textId="5C2B81F0" w:rsidR="00F1341F" w:rsidRPr="008340BB" w:rsidRDefault="00F1341F" w:rsidP="001076C0">
            <w:pPr>
              <w:jc w:val="left"/>
              <w:rPr>
                <w:sz w:val="20"/>
              </w:rPr>
            </w:pPr>
            <w:r w:rsidRPr="008340BB">
              <w:rPr>
                <w:sz w:val="20"/>
              </w:rPr>
              <w:t xml:space="preserve">Priority axis 1 “Development of railway infrastructure along the “core” </w:t>
            </w:r>
            <w:r w:rsidR="00AA7207" w:rsidRPr="00AA7207">
              <w:rPr>
                <w:sz w:val="20"/>
              </w:rPr>
              <w:t>and “comprehensive”</w:t>
            </w:r>
            <w:r w:rsidR="00AA7207">
              <w:rPr>
                <w:sz w:val="20"/>
              </w:rPr>
              <w:t xml:space="preserve"> </w:t>
            </w:r>
            <w:r w:rsidRPr="008340BB">
              <w:rPr>
                <w:sz w:val="20"/>
              </w:rPr>
              <w:t>Trans-European Transport Network”</w:t>
            </w:r>
          </w:p>
        </w:tc>
        <w:tc>
          <w:tcPr>
            <w:tcW w:w="594" w:type="pct"/>
          </w:tcPr>
          <w:p w14:paraId="2CCC0EA1" w14:textId="77777777" w:rsidR="00F1341F" w:rsidRPr="008340BB" w:rsidRDefault="00F1341F" w:rsidP="001C6B17">
            <w:pPr>
              <w:ind w:right="661"/>
              <w:rPr>
                <w:sz w:val="20"/>
              </w:rPr>
            </w:pPr>
            <w:r w:rsidRPr="008340BB">
              <w:rPr>
                <w:sz w:val="20"/>
              </w:rPr>
              <w:t>CF</w:t>
            </w:r>
          </w:p>
        </w:tc>
        <w:tc>
          <w:tcPr>
            <w:tcW w:w="633" w:type="pct"/>
          </w:tcPr>
          <w:p w14:paraId="2B59FC66" w14:textId="77777777" w:rsidR="00F1341F" w:rsidRPr="008340BB" w:rsidRDefault="00F1341F" w:rsidP="009D34EB">
            <w:pPr>
              <w:ind w:right="-100"/>
              <w:rPr>
                <w:sz w:val="20"/>
              </w:rPr>
            </w:pPr>
            <w:r w:rsidRPr="008340BB">
              <w:rPr>
                <w:sz w:val="20"/>
              </w:rPr>
              <w:t>Less developed regions</w:t>
            </w:r>
          </w:p>
        </w:tc>
        <w:tc>
          <w:tcPr>
            <w:tcW w:w="866" w:type="pct"/>
            <w:gridSpan w:val="2"/>
          </w:tcPr>
          <w:p w14:paraId="36349A97" w14:textId="77777777" w:rsidR="00F1341F" w:rsidRPr="008340BB" w:rsidRDefault="00F1341F">
            <w:pPr>
              <w:ind w:right="84"/>
              <w:jc w:val="left"/>
              <w:rPr>
                <w:sz w:val="18"/>
                <w:szCs w:val="18"/>
              </w:rPr>
            </w:pPr>
            <w:r w:rsidRPr="008340BB">
              <w:rPr>
                <w:sz w:val="20"/>
              </w:rPr>
              <w:t xml:space="preserve">Certified expenditure </w:t>
            </w:r>
          </w:p>
        </w:tc>
        <w:tc>
          <w:tcPr>
            <w:tcW w:w="503" w:type="pct"/>
          </w:tcPr>
          <w:p w14:paraId="1B1B5BEA" w14:textId="77777777" w:rsidR="00F1341F" w:rsidRPr="008340BB" w:rsidRDefault="00F1341F" w:rsidP="000D7997">
            <w:pPr>
              <w:jc w:val="left"/>
              <w:rPr>
                <w:sz w:val="18"/>
                <w:szCs w:val="18"/>
              </w:rPr>
            </w:pPr>
            <w:r w:rsidRPr="008340BB">
              <w:rPr>
                <w:sz w:val="20"/>
              </w:rPr>
              <w:t>Euro</w:t>
            </w:r>
          </w:p>
        </w:tc>
        <w:tc>
          <w:tcPr>
            <w:tcW w:w="805" w:type="pct"/>
            <w:gridSpan w:val="2"/>
          </w:tcPr>
          <w:p w14:paraId="03A1D74F" w14:textId="77777777" w:rsidR="00F1341F" w:rsidRPr="008340BB" w:rsidRDefault="00E636D0" w:rsidP="00030F60">
            <w:pPr>
              <w:autoSpaceDE w:val="0"/>
              <w:autoSpaceDN w:val="0"/>
              <w:adjustRightInd w:val="0"/>
              <w:jc w:val="left"/>
              <w:rPr>
                <w:sz w:val="20"/>
              </w:rPr>
            </w:pPr>
            <w:r w:rsidRPr="008340BB">
              <w:rPr>
                <w:sz w:val="18"/>
                <w:szCs w:val="18"/>
              </w:rPr>
              <w:t>76 000 000</w:t>
            </w:r>
          </w:p>
        </w:tc>
        <w:tc>
          <w:tcPr>
            <w:tcW w:w="823" w:type="pct"/>
          </w:tcPr>
          <w:p w14:paraId="2A865CFB" w14:textId="77777777" w:rsidR="008E62BE" w:rsidRPr="008E62BE" w:rsidRDefault="008E62BE" w:rsidP="008E62BE">
            <w:pPr>
              <w:autoSpaceDE w:val="0"/>
              <w:autoSpaceDN w:val="0"/>
              <w:adjustRightInd w:val="0"/>
              <w:jc w:val="left"/>
              <w:rPr>
                <w:sz w:val="18"/>
                <w:szCs w:val="18"/>
                <w:lang w:val="bg-BG"/>
              </w:rPr>
            </w:pPr>
            <w:r w:rsidRPr="00E714EC">
              <w:rPr>
                <w:sz w:val="18"/>
                <w:szCs w:val="18"/>
                <w:lang w:val="bg-BG"/>
              </w:rPr>
              <w:t>600 000 000,00</w:t>
            </w:r>
          </w:p>
          <w:p w14:paraId="72CDA71F" w14:textId="2F567991" w:rsidR="00F1341F" w:rsidRPr="00AB4B23" w:rsidRDefault="00F1341F" w:rsidP="000D7997">
            <w:pPr>
              <w:autoSpaceDE w:val="0"/>
              <w:autoSpaceDN w:val="0"/>
              <w:adjustRightInd w:val="0"/>
              <w:jc w:val="left"/>
              <w:rPr>
                <w:sz w:val="18"/>
                <w:szCs w:val="18"/>
              </w:rPr>
            </w:pPr>
          </w:p>
          <w:p w14:paraId="56913DA8" w14:textId="77777777" w:rsidR="00F1341F" w:rsidRPr="00A828C5" w:rsidRDefault="00F1341F" w:rsidP="000D7997">
            <w:pPr>
              <w:autoSpaceDE w:val="0"/>
              <w:autoSpaceDN w:val="0"/>
              <w:adjustRightInd w:val="0"/>
              <w:jc w:val="left"/>
              <w:rPr>
                <w:sz w:val="18"/>
                <w:szCs w:val="18"/>
              </w:rPr>
            </w:pPr>
          </w:p>
        </w:tc>
      </w:tr>
      <w:tr w:rsidR="00F1341F" w:rsidRPr="008340BB" w14:paraId="5FB4CB74" w14:textId="77777777" w:rsidTr="000C4F0B">
        <w:trPr>
          <w:trHeight w:val="158"/>
        </w:trPr>
        <w:tc>
          <w:tcPr>
            <w:tcW w:w="776" w:type="pct"/>
            <w:vMerge/>
          </w:tcPr>
          <w:p w14:paraId="5313C2C0" w14:textId="77777777" w:rsidR="00F1341F" w:rsidRPr="008340BB" w:rsidRDefault="00F1341F" w:rsidP="00F1724A">
            <w:pPr>
              <w:jc w:val="left"/>
              <w:rPr>
                <w:sz w:val="20"/>
              </w:rPr>
            </w:pPr>
          </w:p>
        </w:tc>
        <w:tc>
          <w:tcPr>
            <w:tcW w:w="594" w:type="pct"/>
          </w:tcPr>
          <w:p w14:paraId="38232308" w14:textId="77777777" w:rsidR="00F1341F" w:rsidRPr="008340BB" w:rsidRDefault="00F1341F" w:rsidP="001C6B17">
            <w:pPr>
              <w:ind w:right="661"/>
              <w:rPr>
                <w:sz w:val="20"/>
              </w:rPr>
            </w:pPr>
            <w:r w:rsidRPr="008340BB">
              <w:rPr>
                <w:sz w:val="20"/>
              </w:rPr>
              <w:t>CF</w:t>
            </w:r>
          </w:p>
        </w:tc>
        <w:tc>
          <w:tcPr>
            <w:tcW w:w="633" w:type="pct"/>
          </w:tcPr>
          <w:p w14:paraId="3703B73C" w14:textId="77777777" w:rsidR="00F1341F" w:rsidRPr="008340BB" w:rsidRDefault="00F1341F" w:rsidP="00511FA7">
            <w:pPr>
              <w:ind w:right="-100"/>
              <w:rPr>
                <w:sz w:val="20"/>
              </w:rPr>
            </w:pPr>
            <w:r w:rsidRPr="008340BB">
              <w:rPr>
                <w:sz w:val="20"/>
              </w:rPr>
              <w:t xml:space="preserve">Less developed </w:t>
            </w:r>
          </w:p>
        </w:tc>
        <w:tc>
          <w:tcPr>
            <w:tcW w:w="866" w:type="pct"/>
            <w:gridSpan w:val="2"/>
          </w:tcPr>
          <w:p w14:paraId="24993DA8" w14:textId="77777777" w:rsidR="00F1341F" w:rsidRPr="008340BB" w:rsidRDefault="00F1341F" w:rsidP="00342585">
            <w:pPr>
              <w:ind w:right="84"/>
              <w:jc w:val="left"/>
              <w:rPr>
                <w:sz w:val="20"/>
              </w:rPr>
            </w:pPr>
            <w:r w:rsidRPr="008340BB">
              <w:rPr>
                <w:sz w:val="20"/>
              </w:rPr>
              <w:t xml:space="preserve">Number of major projects  under implementation </w:t>
            </w:r>
          </w:p>
        </w:tc>
        <w:tc>
          <w:tcPr>
            <w:tcW w:w="503" w:type="pct"/>
          </w:tcPr>
          <w:p w14:paraId="25DF2D1A" w14:textId="77777777" w:rsidR="00F1341F" w:rsidRPr="008340BB" w:rsidRDefault="00F1341F" w:rsidP="000D7997">
            <w:pPr>
              <w:jc w:val="left"/>
              <w:rPr>
                <w:sz w:val="20"/>
              </w:rPr>
            </w:pPr>
            <w:r w:rsidRPr="008340BB">
              <w:rPr>
                <w:sz w:val="20"/>
              </w:rPr>
              <w:t xml:space="preserve">Number </w:t>
            </w:r>
          </w:p>
        </w:tc>
        <w:tc>
          <w:tcPr>
            <w:tcW w:w="805" w:type="pct"/>
            <w:gridSpan w:val="2"/>
          </w:tcPr>
          <w:p w14:paraId="7DD1F477" w14:textId="77777777" w:rsidR="00F1341F" w:rsidRPr="008340BB" w:rsidRDefault="00F1341F" w:rsidP="000D7997">
            <w:pPr>
              <w:autoSpaceDE w:val="0"/>
              <w:autoSpaceDN w:val="0"/>
              <w:adjustRightInd w:val="0"/>
              <w:jc w:val="left"/>
              <w:rPr>
                <w:sz w:val="20"/>
              </w:rPr>
            </w:pPr>
            <w:r w:rsidRPr="008340BB">
              <w:rPr>
                <w:sz w:val="20"/>
              </w:rPr>
              <w:t>2</w:t>
            </w:r>
          </w:p>
        </w:tc>
        <w:tc>
          <w:tcPr>
            <w:tcW w:w="823" w:type="pct"/>
          </w:tcPr>
          <w:p w14:paraId="7A9C7802" w14:textId="11D2FD89" w:rsidR="00F1341F" w:rsidRPr="008340BB" w:rsidRDefault="00767960" w:rsidP="000D7997">
            <w:pPr>
              <w:autoSpaceDE w:val="0"/>
              <w:autoSpaceDN w:val="0"/>
              <w:adjustRightInd w:val="0"/>
              <w:jc w:val="left"/>
              <w:rPr>
                <w:sz w:val="20"/>
              </w:rPr>
            </w:pPr>
            <w:r w:rsidRPr="00E714EC">
              <w:rPr>
                <w:sz w:val="20"/>
              </w:rPr>
              <w:t>3</w:t>
            </w:r>
          </w:p>
        </w:tc>
      </w:tr>
      <w:tr w:rsidR="00F1341F" w:rsidRPr="008340BB" w14:paraId="186407C5" w14:textId="77777777" w:rsidTr="000C4F0B">
        <w:trPr>
          <w:trHeight w:val="717"/>
        </w:trPr>
        <w:tc>
          <w:tcPr>
            <w:tcW w:w="776" w:type="pct"/>
            <w:vMerge/>
          </w:tcPr>
          <w:p w14:paraId="35EDFC2E" w14:textId="77777777" w:rsidR="00F1341F" w:rsidRPr="008340BB" w:rsidRDefault="00F1341F" w:rsidP="002D765B">
            <w:pPr>
              <w:jc w:val="left"/>
              <w:rPr>
                <w:sz w:val="20"/>
              </w:rPr>
            </w:pPr>
          </w:p>
        </w:tc>
        <w:tc>
          <w:tcPr>
            <w:tcW w:w="594" w:type="pct"/>
          </w:tcPr>
          <w:p w14:paraId="05F03ECA" w14:textId="77777777" w:rsidR="00F1341F" w:rsidRPr="008340BB" w:rsidRDefault="00F1341F" w:rsidP="001C6B17">
            <w:pPr>
              <w:ind w:right="661"/>
              <w:rPr>
                <w:sz w:val="20"/>
              </w:rPr>
            </w:pPr>
            <w:r w:rsidRPr="008340BB">
              <w:rPr>
                <w:sz w:val="20"/>
              </w:rPr>
              <w:t>CF</w:t>
            </w:r>
          </w:p>
        </w:tc>
        <w:tc>
          <w:tcPr>
            <w:tcW w:w="633" w:type="pct"/>
          </w:tcPr>
          <w:p w14:paraId="6CA58932" w14:textId="77777777" w:rsidR="00F1341F" w:rsidRPr="008340BB" w:rsidRDefault="00F1341F" w:rsidP="00511FA7">
            <w:pPr>
              <w:ind w:right="-100"/>
              <w:rPr>
                <w:sz w:val="20"/>
              </w:rPr>
            </w:pPr>
            <w:r w:rsidRPr="008340BB">
              <w:rPr>
                <w:sz w:val="20"/>
              </w:rPr>
              <w:t xml:space="preserve">Less developed </w:t>
            </w:r>
          </w:p>
        </w:tc>
        <w:tc>
          <w:tcPr>
            <w:tcW w:w="866" w:type="pct"/>
            <w:gridSpan w:val="2"/>
          </w:tcPr>
          <w:p w14:paraId="258D3DC0" w14:textId="77777777" w:rsidR="00F1341F" w:rsidRPr="008340BB" w:rsidRDefault="00F1341F" w:rsidP="000D7997">
            <w:pPr>
              <w:ind w:right="84"/>
              <w:jc w:val="left"/>
              <w:rPr>
                <w:sz w:val="20"/>
              </w:rPr>
            </w:pPr>
            <w:r w:rsidRPr="008340BB">
              <w:rPr>
                <w:sz w:val="20"/>
              </w:rPr>
              <w:t>Total length of reconstructed or upgraded railway lines</w:t>
            </w:r>
          </w:p>
        </w:tc>
        <w:tc>
          <w:tcPr>
            <w:tcW w:w="503" w:type="pct"/>
          </w:tcPr>
          <w:p w14:paraId="3686A885" w14:textId="77777777" w:rsidR="00F1341F" w:rsidRPr="008340BB" w:rsidRDefault="00F1341F" w:rsidP="000D7997">
            <w:pPr>
              <w:jc w:val="left"/>
              <w:rPr>
                <w:sz w:val="20"/>
              </w:rPr>
            </w:pPr>
            <w:r w:rsidRPr="008340BB">
              <w:rPr>
                <w:sz w:val="20"/>
              </w:rPr>
              <w:t>km</w:t>
            </w:r>
          </w:p>
        </w:tc>
        <w:tc>
          <w:tcPr>
            <w:tcW w:w="805" w:type="pct"/>
            <w:gridSpan w:val="2"/>
          </w:tcPr>
          <w:p w14:paraId="66FBD1E0" w14:textId="77777777" w:rsidR="00F1341F" w:rsidRPr="008340BB" w:rsidRDefault="00F1341F" w:rsidP="000D7997">
            <w:pPr>
              <w:autoSpaceDE w:val="0"/>
              <w:autoSpaceDN w:val="0"/>
              <w:adjustRightInd w:val="0"/>
              <w:jc w:val="left"/>
              <w:rPr>
                <w:sz w:val="20"/>
              </w:rPr>
            </w:pPr>
            <w:r w:rsidRPr="008340BB">
              <w:rPr>
                <w:sz w:val="18"/>
                <w:szCs w:val="18"/>
              </w:rPr>
              <w:t>0</w:t>
            </w:r>
          </w:p>
        </w:tc>
        <w:tc>
          <w:tcPr>
            <w:tcW w:w="823" w:type="pct"/>
          </w:tcPr>
          <w:p w14:paraId="65AF7D3A" w14:textId="5E550C96" w:rsidR="00F1341F" w:rsidRPr="008340BB" w:rsidRDefault="000C591C" w:rsidP="007E6DA0">
            <w:pPr>
              <w:autoSpaceDE w:val="0"/>
              <w:autoSpaceDN w:val="0"/>
              <w:adjustRightInd w:val="0"/>
              <w:jc w:val="left"/>
              <w:rPr>
                <w:sz w:val="20"/>
              </w:rPr>
            </w:pPr>
            <w:r w:rsidRPr="00E714EC">
              <w:rPr>
                <w:sz w:val="18"/>
                <w:szCs w:val="18"/>
                <w:lang w:val="en-US"/>
              </w:rPr>
              <w:t>33</w:t>
            </w:r>
          </w:p>
        </w:tc>
      </w:tr>
      <w:tr w:rsidR="00F1341F" w:rsidRPr="008340BB" w14:paraId="0B4936F8" w14:textId="77777777" w:rsidTr="00CE263F">
        <w:trPr>
          <w:trHeight w:val="158"/>
        </w:trPr>
        <w:tc>
          <w:tcPr>
            <w:tcW w:w="776" w:type="pct"/>
            <w:vMerge w:val="restart"/>
          </w:tcPr>
          <w:p w14:paraId="508AC10B" w14:textId="77777777" w:rsidR="00F1341F" w:rsidRPr="008340BB" w:rsidRDefault="00F1341F" w:rsidP="002D765B">
            <w:pPr>
              <w:ind w:right="-49"/>
              <w:jc w:val="left"/>
              <w:rPr>
                <w:sz w:val="20"/>
              </w:rPr>
            </w:pPr>
            <w:r w:rsidRPr="008340BB">
              <w:rPr>
                <w:sz w:val="20"/>
              </w:rPr>
              <w:t>Priority axis 2</w:t>
            </w:r>
          </w:p>
          <w:p w14:paraId="761CB0D7" w14:textId="77777777" w:rsidR="00F1341F" w:rsidRPr="008340BB" w:rsidRDefault="00F1341F" w:rsidP="00B43A90">
            <w:pPr>
              <w:ind w:right="-49"/>
              <w:jc w:val="left"/>
              <w:rPr>
                <w:sz w:val="20"/>
              </w:rPr>
            </w:pPr>
            <w:r w:rsidRPr="008340BB">
              <w:rPr>
                <w:sz w:val="20"/>
              </w:rPr>
              <w:t>“Development of road infrastructure along the “core” and “comprehensive” Trans-European Transport Network”</w:t>
            </w:r>
          </w:p>
        </w:tc>
        <w:tc>
          <w:tcPr>
            <w:tcW w:w="594" w:type="pct"/>
          </w:tcPr>
          <w:p w14:paraId="45B90CE2" w14:textId="77777777" w:rsidR="00F1341F" w:rsidRPr="008340BB" w:rsidRDefault="00F1341F" w:rsidP="00BF3391">
            <w:pPr>
              <w:ind w:right="661"/>
              <w:rPr>
                <w:sz w:val="20"/>
              </w:rPr>
            </w:pPr>
            <w:r w:rsidRPr="008340BB">
              <w:rPr>
                <w:sz w:val="20"/>
              </w:rPr>
              <w:t>CF</w:t>
            </w:r>
          </w:p>
        </w:tc>
        <w:tc>
          <w:tcPr>
            <w:tcW w:w="633" w:type="pct"/>
          </w:tcPr>
          <w:p w14:paraId="67301FC7" w14:textId="77777777" w:rsidR="00F1341F" w:rsidRPr="008340BB" w:rsidRDefault="00F1341F" w:rsidP="009D34EB">
            <w:pPr>
              <w:rPr>
                <w:sz w:val="20"/>
              </w:rPr>
            </w:pPr>
            <w:r w:rsidRPr="008340BB">
              <w:rPr>
                <w:sz w:val="20"/>
              </w:rPr>
              <w:t xml:space="preserve">Less developed </w:t>
            </w:r>
          </w:p>
        </w:tc>
        <w:tc>
          <w:tcPr>
            <w:tcW w:w="866" w:type="pct"/>
            <w:gridSpan w:val="2"/>
          </w:tcPr>
          <w:p w14:paraId="3C4001CA" w14:textId="77777777" w:rsidR="00F1341F" w:rsidRPr="008340BB" w:rsidRDefault="00F1341F">
            <w:pPr>
              <w:autoSpaceDE w:val="0"/>
              <w:autoSpaceDN w:val="0"/>
              <w:adjustRightInd w:val="0"/>
              <w:jc w:val="left"/>
              <w:rPr>
                <w:sz w:val="20"/>
              </w:rPr>
            </w:pPr>
            <w:r w:rsidRPr="008340BB">
              <w:rPr>
                <w:sz w:val="20"/>
              </w:rPr>
              <w:t xml:space="preserve">Certified expenditure </w:t>
            </w:r>
          </w:p>
        </w:tc>
        <w:tc>
          <w:tcPr>
            <w:tcW w:w="503" w:type="pct"/>
          </w:tcPr>
          <w:p w14:paraId="7E917CD1" w14:textId="77777777" w:rsidR="00F1341F" w:rsidRPr="008340BB" w:rsidRDefault="00F1341F" w:rsidP="008D6EE0">
            <w:pPr>
              <w:autoSpaceDE w:val="0"/>
              <w:autoSpaceDN w:val="0"/>
              <w:adjustRightInd w:val="0"/>
              <w:rPr>
                <w:sz w:val="20"/>
              </w:rPr>
            </w:pPr>
            <w:r w:rsidRPr="008340BB">
              <w:rPr>
                <w:sz w:val="20"/>
              </w:rPr>
              <w:t>Euro</w:t>
            </w:r>
          </w:p>
        </w:tc>
        <w:tc>
          <w:tcPr>
            <w:tcW w:w="805" w:type="pct"/>
            <w:gridSpan w:val="2"/>
          </w:tcPr>
          <w:p w14:paraId="2E6E6758" w14:textId="1C87ED91" w:rsidR="00F1341F" w:rsidRPr="008340BB" w:rsidRDefault="00E636D0" w:rsidP="006C7F44">
            <w:pPr>
              <w:autoSpaceDE w:val="0"/>
              <w:autoSpaceDN w:val="0"/>
              <w:adjustRightInd w:val="0"/>
              <w:jc w:val="left"/>
              <w:rPr>
                <w:sz w:val="20"/>
                <w:highlight w:val="yellow"/>
              </w:rPr>
            </w:pPr>
            <w:r w:rsidRPr="008340BB">
              <w:rPr>
                <w:sz w:val="18"/>
                <w:szCs w:val="18"/>
                <w:lang w:eastAsia="bg-BG"/>
              </w:rPr>
              <w:t>63 000</w:t>
            </w:r>
            <w:r w:rsidR="00BB0A5A">
              <w:rPr>
                <w:sz w:val="18"/>
                <w:szCs w:val="18"/>
                <w:lang w:eastAsia="bg-BG"/>
              </w:rPr>
              <w:t> </w:t>
            </w:r>
            <w:r w:rsidRPr="008340BB">
              <w:rPr>
                <w:sz w:val="18"/>
                <w:szCs w:val="18"/>
                <w:lang w:eastAsia="bg-BG"/>
              </w:rPr>
              <w:t>000</w:t>
            </w:r>
          </w:p>
        </w:tc>
        <w:tc>
          <w:tcPr>
            <w:tcW w:w="823" w:type="pct"/>
          </w:tcPr>
          <w:p w14:paraId="222B5B19" w14:textId="075C5846" w:rsidR="00BB0A5A" w:rsidRDefault="004F10F4" w:rsidP="008E70A2">
            <w:pPr>
              <w:autoSpaceDE w:val="0"/>
              <w:autoSpaceDN w:val="0"/>
              <w:adjustRightInd w:val="0"/>
              <w:jc w:val="left"/>
              <w:rPr>
                <w:sz w:val="18"/>
                <w:szCs w:val="18"/>
              </w:rPr>
            </w:pPr>
            <w:r w:rsidRPr="00BE1937">
              <w:rPr>
                <w:sz w:val="18"/>
                <w:szCs w:val="18"/>
                <w:lang w:val="en-US"/>
              </w:rPr>
              <w:t>54</w:t>
            </w:r>
            <w:r w:rsidR="0066022C" w:rsidRPr="00BE1937">
              <w:rPr>
                <w:sz w:val="18"/>
                <w:szCs w:val="18"/>
                <w:lang w:val="en-US"/>
              </w:rPr>
              <w:t>0</w:t>
            </w:r>
            <w:r w:rsidRPr="00BE1937">
              <w:rPr>
                <w:sz w:val="18"/>
                <w:szCs w:val="18"/>
                <w:lang w:val="en-US"/>
              </w:rPr>
              <w:t> 000 000.00</w:t>
            </w:r>
            <w:r w:rsidRPr="004F10F4">
              <w:rPr>
                <w:sz w:val="18"/>
                <w:szCs w:val="18"/>
                <w:lang w:val="en-US"/>
              </w:rPr>
              <w:t xml:space="preserve"> </w:t>
            </w:r>
          </w:p>
          <w:p w14:paraId="5C7F79E7" w14:textId="67B2958A" w:rsidR="00F1341F" w:rsidRPr="008340BB" w:rsidRDefault="00F1341F" w:rsidP="008E70A2">
            <w:pPr>
              <w:autoSpaceDE w:val="0"/>
              <w:autoSpaceDN w:val="0"/>
              <w:adjustRightInd w:val="0"/>
              <w:jc w:val="left"/>
              <w:rPr>
                <w:sz w:val="18"/>
                <w:szCs w:val="18"/>
              </w:rPr>
            </w:pPr>
          </w:p>
          <w:p w14:paraId="21747214" w14:textId="77777777" w:rsidR="00F1341F" w:rsidRPr="008340BB" w:rsidRDefault="00F1341F" w:rsidP="008E70A2">
            <w:pPr>
              <w:autoSpaceDE w:val="0"/>
              <w:autoSpaceDN w:val="0"/>
              <w:adjustRightInd w:val="0"/>
              <w:jc w:val="left"/>
              <w:rPr>
                <w:sz w:val="18"/>
                <w:szCs w:val="18"/>
              </w:rPr>
            </w:pPr>
          </w:p>
        </w:tc>
      </w:tr>
      <w:tr w:rsidR="00F1341F" w:rsidRPr="008340BB" w14:paraId="06565529" w14:textId="77777777" w:rsidTr="00CE263F">
        <w:trPr>
          <w:trHeight w:val="156"/>
        </w:trPr>
        <w:tc>
          <w:tcPr>
            <w:tcW w:w="776" w:type="pct"/>
            <w:vMerge/>
          </w:tcPr>
          <w:p w14:paraId="12CE896F" w14:textId="77777777" w:rsidR="00F1341F" w:rsidRPr="008340BB" w:rsidRDefault="00F1341F" w:rsidP="00F03C1E">
            <w:pPr>
              <w:rPr>
                <w:sz w:val="20"/>
              </w:rPr>
            </w:pPr>
          </w:p>
        </w:tc>
        <w:tc>
          <w:tcPr>
            <w:tcW w:w="594" w:type="pct"/>
          </w:tcPr>
          <w:p w14:paraId="187B29CA" w14:textId="77777777" w:rsidR="00F1341F" w:rsidRPr="008340BB" w:rsidRDefault="00F1341F" w:rsidP="00BF3391">
            <w:pPr>
              <w:ind w:right="661"/>
              <w:rPr>
                <w:sz w:val="20"/>
              </w:rPr>
            </w:pPr>
            <w:r w:rsidRPr="008340BB">
              <w:rPr>
                <w:sz w:val="20"/>
              </w:rPr>
              <w:t>CF</w:t>
            </w:r>
          </w:p>
        </w:tc>
        <w:tc>
          <w:tcPr>
            <w:tcW w:w="633" w:type="pct"/>
          </w:tcPr>
          <w:p w14:paraId="47FEE247" w14:textId="77777777" w:rsidR="00F1341F" w:rsidRPr="008340BB" w:rsidRDefault="00F1341F" w:rsidP="009D34EB">
            <w:pPr>
              <w:rPr>
                <w:sz w:val="20"/>
              </w:rPr>
            </w:pPr>
            <w:r w:rsidRPr="008340BB">
              <w:rPr>
                <w:sz w:val="20"/>
              </w:rPr>
              <w:t xml:space="preserve">Less developed </w:t>
            </w:r>
          </w:p>
        </w:tc>
        <w:tc>
          <w:tcPr>
            <w:tcW w:w="866" w:type="pct"/>
            <w:gridSpan w:val="2"/>
          </w:tcPr>
          <w:p w14:paraId="183BAAF7" w14:textId="77777777" w:rsidR="00F1341F" w:rsidRPr="008340BB" w:rsidRDefault="00F1341F" w:rsidP="00F76D3C">
            <w:pPr>
              <w:autoSpaceDE w:val="0"/>
              <w:autoSpaceDN w:val="0"/>
              <w:adjustRightInd w:val="0"/>
              <w:jc w:val="left"/>
              <w:rPr>
                <w:sz w:val="20"/>
              </w:rPr>
            </w:pPr>
            <w:r w:rsidRPr="008340BB">
              <w:rPr>
                <w:sz w:val="20"/>
              </w:rPr>
              <w:t>Number of major projects  under implementation</w:t>
            </w:r>
          </w:p>
        </w:tc>
        <w:tc>
          <w:tcPr>
            <w:tcW w:w="503" w:type="pct"/>
          </w:tcPr>
          <w:p w14:paraId="441A9228" w14:textId="77777777" w:rsidR="00F1341F" w:rsidRPr="008340BB" w:rsidRDefault="00F1341F" w:rsidP="008D6EE0">
            <w:pPr>
              <w:autoSpaceDE w:val="0"/>
              <w:autoSpaceDN w:val="0"/>
              <w:adjustRightInd w:val="0"/>
              <w:rPr>
                <w:sz w:val="20"/>
              </w:rPr>
            </w:pPr>
            <w:r w:rsidRPr="008340BB">
              <w:rPr>
                <w:sz w:val="20"/>
              </w:rPr>
              <w:t>Number</w:t>
            </w:r>
          </w:p>
        </w:tc>
        <w:tc>
          <w:tcPr>
            <w:tcW w:w="805" w:type="pct"/>
            <w:gridSpan w:val="2"/>
          </w:tcPr>
          <w:p w14:paraId="4A65ECDC" w14:textId="77777777" w:rsidR="00F1341F" w:rsidRPr="008340BB" w:rsidRDefault="00F1341F" w:rsidP="008D6EE0">
            <w:pPr>
              <w:autoSpaceDE w:val="0"/>
              <w:autoSpaceDN w:val="0"/>
              <w:adjustRightInd w:val="0"/>
              <w:rPr>
                <w:sz w:val="20"/>
              </w:rPr>
            </w:pPr>
            <w:r w:rsidRPr="008340BB">
              <w:rPr>
                <w:sz w:val="20"/>
              </w:rPr>
              <w:t>1</w:t>
            </w:r>
          </w:p>
        </w:tc>
        <w:tc>
          <w:tcPr>
            <w:tcW w:w="823" w:type="pct"/>
          </w:tcPr>
          <w:p w14:paraId="433C9614" w14:textId="289D3DB1" w:rsidR="00F1341F" w:rsidRPr="008340BB" w:rsidRDefault="00F77CAE" w:rsidP="008D6EE0">
            <w:pPr>
              <w:autoSpaceDE w:val="0"/>
              <w:autoSpaceDN w:val="0"/>
              <w:adjustRightInd w:val="0"/>
              <w:rPr>
                <w:sz w:val="20"/>
              </w:rPr>
            </w:pPr>
            <w:r>
              <w:rPr>
                <w:sz w:val="20"/>
              </w:rPr>
              <w:t>3</w:t>
            </w:r>
          </w:p>
        </w:tc>
      </w:tr>
      <w:tr w:rsidR="00F1341F" w:rsidRPr="008340BB" w14:paraId="57C9FDA9" w14:textId="77777777" w:rsidTr="00CE263F">
        <w:trPr>
          <w:trHeight w:val="156"/>
        </w:trPr>
        <w:tc>
          <w:tcPr>
            <w:tcW w:w="776" w:type="pct"/>
            <w:vMerge/>
          </w:tcPr>
          <w:p w14:paraId="390DBBD8" w14:textId="77777777" w:rsidR="00F1341F" w:rsidRPr="008340BB" w:rsidRDefault="00F1341F" w:rsidP="00F03C1E">
            <w:pPr>
              <w:rPr>
                <w:sz w:val="20"/>
              </w:rPr>
            </w:pPr>
          </w:p>
        </w:tc>
        <w:tc>
          <w:tcPr>
            <w:tcW w:w="594" w:type="pct"/>
          </w:tcPr>
          <w:p w14:paraId="5EEC1EEA" w14:textId="77777777" w:rsidR="00F1341F" w:rsidRPr="008340BB" w:rsidRDefault="00F1341F" w:rsidP="00BF3391">
            <w:pPr>
              <w:ind w:right="661"/>
              <w:rPr>
                <w:sz w:val="20"/>
              </w:rPr>
            </w:pPr>
            <w:r w:rsidRPr="008340BB">
              <w:rPr>
                <w:sz w:val="20"/>
              </w:rPr>
              <w:t>CF</w:t>
            </w:r>
          </w:p>
        </w:tc>
        <w:tc>
          <w:tcPr>
            <w:tcW w:w="633" w:type="pct"/>
          </w:tcPr>
          <w:p w14:paraId="236AE1DC" w14:textId="77777777" w:rsidR="00F1341F" w:rsidRPr="008340BB" w:rsidDel="00B32798" w:rsidRDefault="00F1341F" w:rsidP="009D34EB">
            <w:pPr>
              <w:rPr>
                <w:sz w:val="20"/>
              </w:rPr>
            </w:pPr>
            <w:r w:rsidRPr="008340BB">
              <w:rPr>
                <w:sz w:val="20"/>
              </w:rPr>
              <w:t xml:space="preserve">Less developed </w:t>
            </w:r>
          </w:p>
        </w:tc>
        <w:tc>
          <w:tcPr>
            <w:tcW w:w="866" w:type="pct"/>
            <w:gridSpan w:val="2"/>
          </w:tcPr>
          <w:p w14:paraId="56676925" w14:textId="77777777" w:rsidR="00F1341F" w:rsidRPr="008340BB" w:rsidRDefault="00F1341F" w:rsidP="00F76D3C">
            <w:pPr>
              <w:autoSpaceDE w:val="0"/>
              <w:autoSpaceDN w:val="0"/>
              <w:adjustRightInd w:val="0"/>
              <w:jc w:val="left"/>
              <w:rPr>
                <w:sz w:val="20"/>
              </w:rPr>
            </w:pPr>
            <w:r w:rsidRPr="008340BB">
              <w:rPr>
                <w:sz w:val="20"/>
              </w:rPr>
              <w:t>Total  length of new roads</w:t>
            </w:r>
          </w:p>
        </w:tc>
        <w:tc>
          <w:tcPr>
            <w:tcW w:w="503" w:type="pct"/>
          </w:tcPr>
          <w:p w14:paraId="5839A16F" w14:textId="77777777" w:rsidR="00F1341F" w:rsidRPr="008340BB" w:rsidRDefault="00F1341F" w:rsidP="008D6EE0">
            <w:pPr>
              <w:autoSpaceDE w:val="0"/>
              <w:autoSpaceDN w:val="0"/>
              <w:adjustRightInd w:val="0"/>
              <w:rPr>
                <w:sz w:val="20"/>
              </w:rPr>
            </w:pPr>
            <w:r w:rsidRPr="008340BB">
              <w:rPr>
                <w:sz w:val="20"/>
              </w:rPr>
              <w:t>km</w:t>
            </w:r>
          </w:p>
        </w:tc>
        <w:tc>
          <w:tcPr>
            <w:tcW w:w="805" w:type="pct"/>
            <w:gridSpan w:val="2"/>
          </w:tcPr>
          <w:p w14:paraId="35F2F5DE" w14:textId="77777777" w:rsidR="00F1341F" w:rsidRPr="008340BB" w:rsidRDefault="00F1341F" w:rsidP="008D6EE0">
            <w:pPr>
              <w:autoSpaceDE w:val="0"/>
              <w:autoSpaceDN w:val="0"/>
              <w:adjustRightInd w:val="0"/>
              <w:rPr>
                <w:sz w:val="20"/>
              </w:rPr>
            </w:pPr>
            <w:r w:rsidRPr="008340BB">
              <w:rPr>
                <w:sz w:val="20"/>
              </w:rPr>
              <w:t>0</w:t>
            </w:r>
          </w:p>
        </w:tc>
        <w:tc>
          <w:tcPr>
            <w:tcW w:w="823" w:type="pct"/>
          </w:tcPr>
          <w:p w14:paraId="1B668128" w14:textId="01549106" w:rsidR="00BA7315" w:rsidRPr="00BA7315" w:rsidRDefault="004F10F4" w:rsidP="00BA7315">
            <w:pPr>
              <w:autoSpaceDE w:val="0"/>
              <w:autoSpaceDN w:val="0"/>
              <w:adjustRightInd w:val="0"/>
              <w:rPr>
                <w:sz w:val="20"/>
                <w:lang w:val="bg-BG"/>
              </w:rPr>
            </w:pPr>
            <w:r w:rsidRPr="00BE1937">
              <w:rPr>
                <w:sz w:val="20"/>
                <w:lang w:val="bg-BG"/>
              </w:rPr>
              <w:t>65,90</w:t>
            </w:r>
            <w:r w:rsidRPr="004F10F4">
              <w:rPr>
                <w:sz w:val="20"/>
                <w:lang w:val="bg-BG"/>
              </w:rPr>
              <w:t xml:space="preserve"> </w:t>
            </w:r>
          </w:p>
          <w:p w14:paraId="44CF179F" w14:textId="673732FB" w:rsidR="00F1341F" w:rsidRPr="008340BB" w:rsidRDefault="00FA3FE5" w:rsidP="008D6EE0">
            <w:pPr>
              <w:autoSpaceDE w:val="0"/>
              <w:autoSpaceDN w:val="0"/>
              <w:adjustRightInd w:val="0"/>
              <w:rPr>
                <w:sz w:val="20"/>
              </w:rPr>
            </w:pPr>
            <w:r w:rsidRPr="00FA3FE5">
              <w:rPr>
                <w:b/>
                <w:sz w:val="20"/>
                <w:lang w:val="bg-BG"/>
              </w:rPr>
              <w:t xml:space="preserve"> </w:t>
            </w:r>
          </w:p>
        </w:tc>
      </w:tr>
      <w:tr w:rsidR="00F1341F" w:rsidRPr="008340BB" w14:paraId="28F22912" w14:textId="77777777" w:rsidTr="00CE263F">
        <w:trPr>
          <w:trHeight w:val="158"/>
        </w:trPr>
        <w:tc>
          <w:tcPr>
            <w:tcW w:w="776" w:type="pct"/>
            <w:vMerge w:val="restart"/>
          </w:tcPr>
          <w:p w14:paraId="7B15207F" w14:textId="77777777" w:rsidR="00F1341F" w:rsidRPr="008340BB" w:rsidRDefault="00F1341F" w:rsidP="00F1724A">
            <w:pPr>
              <w:jc w:val="left"/>
              <w:rPr>
                <w:sz w:val="20"/>
              </w:rPr>
            </w:pPr>
            <w:r w:rsidRPr="008340BB">
              <w:rPr>
                <w:sz w:val="20"/>
              </w:rPr>
              <w:t>Priority axis 3 “Improvement of intermodal transport services for passengers and freights and development of sustainable urban transport”</w:t>
            </w:r>
          </w:p>
        </w:tc>
        <w:tc>
          <w:tcPr>
            <w:tcW w:w="594" w:type="pct"/>
          </w:tcPr>
          <w:p w14:paraId="748C9BC0" w14:textId="77777777" w:rsidR="00F1341F" w:rsidRPr="008340BB" w:rsidRDefault="00F1341F" w:rsidP="00603957">
            <w:pPr>
              <w:ind w:right="-100"/>
              <w:rPr>
                <w:sz w:val="20"/>
              </w:rPr>
            </w:pPr>
            <w:r w:rsidRPr="008340BB">
              <w:rPr>
                <w:sz w:val="20"/>
              </w:rPr>
              <w:t>ERDF</w:t>
            </w:r>
          </w:p>
        </w:tc>
        <w:tc>
          <w:tcPr>
            <w:tcW w:w="633" w:type="pct"/>
          </w:tcPr>
          <w:p w14:paraId="513FF914" w14:textId="77777777" w:rsidR="00F1341F" w:rsidRPr="008340BB" w:rsidRDefault="00F1341F" w:rsidP="009D34EB">
            <w:pPr>
              <w:ind w:right="73"/>
              <w:rPr>
                <w:sz w:val="20"/>
              </w:rPr>
            </w:pPr>
            <w:r w:rsidRPr="008340BB">
              <w:rPr>
                <w:sz w:val="20"/>
              </w:rPr>
              <w:t>Less developed</w:t>
            </w:r>
          </w:p>
        </w:tc>
        <w:tc>
          <w:tcPr>
            <w:tcW w:w="866" w:type="pct"/>
            <w:gridSpan w:val="2"/>
          </w:tcPr>
          <w:p w14:paraId="1E435680" w14:textId="77777777" w:rsidR="00F1341F" w:rsidRPr="008340BB" w:rsidRDefault="00F1341F">
            <w:pPr>
              <w:autoSpaceDE w:val="0"/>
              <w:autoSpaceDN w:val="0"/>
              <w:adjustRightInd w:val="0"/>
              <w:jc w:val="left"/>
              <w:rPr>
                <w:sz w:val="20"/>
              </w:rPr>
            </w:pPr>
            <w:r w:rsidRPr="008340BB">
              <w:rPr>
                <w:sz w:val="20"/>
              </w:rPr>
              <w:t xml:space="preserve">Certified expenditure </w:t>
            </w:r>
          </w:p>
        </w:tc>
        <w:tc>
          <w:tcPr>
            <w:tcW w:w="503" w:type="pct"/>
          </w:tcPr>
          <w:p w14:paraId="185A2500" w14:textId="77777777" w:rsidR="00F1341F" w:rsidRPr="008340BB" w:rsidRDefault="00F1341F" w:rsidP="006C7F44">
            <w:pPr>
              <w:autoSpaceDE w:val="0"/>
              <w:autoSpaceDN w:val="0"/>
              <w:adjustRightInd w:val="0"/>
              <w:jc w:val="left"/>
              <w:rPr>
                <w:sz w:val="20"/>
              </w:rPr>
            </w:pPr>
            <w:r w:rsidRPr="008340BB">
              <w:rPr>
                <w:sz w:val="20"/>
              </w:rPr>
              <w:t>Euro</w:t>
            </w:r>
          </w:p>
        </w:tc>
        <w:tc>
          <w:tcPr>
            <w:tcW w:w="805" w:type="pct"/>
            <w:gridSpan w:val="2"/>
          </w:tcPr>
          <w:p w14:paraId="554A22D4" w14:textId="491FBD47" w:rsidR="00F1341F" w:rsidRPr="008340BB" w:rsidRDefault="000A00A8" w:rsidP="00CE263F">
            <w:pPr>
              <w:autoSpaceDE w:val="0"/>
              <w:autoSpaceDN w:val="0"/>
              <w:adjustRightInd w:val="0"/>
              <w:jc w:val="left"/>
              <w:rPr>
                <w:sz w:val="18"/>
                <w:szCs w:val="18"/>
                <w:lang w:eastAsia="bg-BG"/>
              </w:rPr>
            </w:pPr>
            <w:r>
              <w:rPr>
                <w:sz w:val="18"/>
                <w:szCs w:val="18"/>
                <w:lang w:eastAsia="bg-BG"/>
              </w:rPr>
              <w:t>105 152</w:t>
            </w:r>
            <w:r w:rsidR="005C22A1">
              <w:rPr>
                <w:sz w:val="18"/>
                <w:szCs w:val="18"/>
                <w:lang w:eastAsia="bg-BG"/>
              </w:rPr>
              <w:t> </w:t>
            </w:r>
            <w:r>
              <w:rPr>
                <w:sz w:val="18"/>
                <w:szCs w:val="18"/>
                <w:lang w:eastAsia="bg-BG"/>
              </w:rPr>
              <w:t>249</w:t>
            </w:r>
          </w:p>
        </w:tc>
        <w:tc>
          <w:tcPr>
            <w:tcW w:w="823" w:type="pct"/>
          </w:tcPr>
          <w:p w14:paraId="0037CDCA" w14:textId="77777777" w:rsidR="00994212" w:rsidRDefault="00994212" w:rsidP="003C217C">
            <w:pPr>
              <w:autoSpaceDE w:val="0"/>
              <w:autoSpaceDN w:val="0"/>
              <w:adjustRightInd w:val="0"/>
              <w:jc w:val="left"/>
              <w:rPr>
                <w:sz w:val="18"/>
                <w:szCs w:val="18"/>
                <w:lang w:eastAsia="bg-BG"/>
              </w:rPr>
            </w:pPr>
            <w:r w:rsidRPr="00994212">
              <w:rPr>
                <w:sz w:val="18"/>
                <w:szCs w:val="18"/>
                <w:lang w:eastAsia="bg-BG"/>
              </w:rPr>
              <w:t>400 000 000.00</w:t>
            </w:r>
          </w:p>
          <w:p w14:paraId="7F3B0DAB" w14:textId="4BABC344" w:rsidR="005C22A1" w:rsidRDefault="005C22A1" w:rsidP="003C217C">
            <w:pPr>
              <w:autoSpaceDE w:val="0"/>
              <w:autoSpaceDN w:val="0"/>
              <w:adjustRightInd w:val="0"/>
              <w:jc w:val="left"/>
              <w:rPr>
                <w:sz w:val="18"/>
                <w:szCs w:val="18"/>
                <w:lang w:eastAsia="bg-BG"/>
              </w:rPr>
            </w:pPr>
          </w:p>
          <w:p w14:paraId="1826F0D7" w14:textId="61AD2714" w:rsidR="00F1341F" w:rsidRPr="00AC3951" w:rsidRDefault="00F1341F" w:rsidP="003C217C">
            <w:pPr>
              <w:autoSpaceDE w:val="0"/>
              <w:autoSpaceDN w:val="0"/>
              <w:adjustRightInd w:val="0"/>
              <w:jc w:val="left"/>
              <w:rPr>
                <w:sz w:val="18"/>
                <w:szCs w:val="18"/>
                <w:lang w:eastAsia="bg-BG"/>
              </w:rPr>
            </w:pPr>
          </w:p>
        </w:tc>
      </w:tr>
      <w:tr w:rsidR="00F1341F" w:rsidRPr="008340BB" w14:paraId="011E6B65" w14:textId="77777777" w:rsidTr="00CE263F">
        <w:trPr>
          <w:trHeight w:val="156"/>
        </w:trPr>
        <w:tc>
          <w:tcPr>
            <w:tcW w:w="776" w:type="pct"/>
            <w:vMerge/>
          </w:tcPr>
          <w:p w14:paraId="6D1E5D85" w14:textId="77777777" w:rsidR="00F1341F" w:rsidRPr="008340BB" w:rsidRDefault="00F1341F" w:rsidP="00F03C1E">
            <w:pPr>
              <w:rPr>
                <w:sz w:val="20"/>
              </w:rPr>
            </w:pPr>
          </w:p>
        </w:tc>
        <w:tc>
          <w:tcPr>
            <w:tcW w:w="594" w:type="pct"/>
          </w:tcPr>
          <w:p w14:paraId="40F6AA2F" w14:textId="77777777" w:rsidR="00F1341F" w:rsidRPr="008340BB" w:rsidRDefault="00F1341F" w:rsidP="00603957">
            <w:pPr>
              <w:ind w:right="-100"/>
              <w:rPr>
                <w:sz w:val="20"/>
              </w:rPr>
            </w:pPr>
            <w:r w:rsidRPr="008340BB">
              <w:rPr>
                <w:sz w:val="20"/>
              </w:rPr>
              <w:t>ERDF</w:t>
            </w:r>
          </w:p>
        </w:tc>
        <w:tc>
          <w:tcPr>
            <w:tcW w:w="633" w:type="pct"/>
          </w:tcPr>
          <w:p w14:paraId="51EB9215" w14:textId="77777777" w:rsidR="00F1341F" w:rsidRPr="008340BB" w:rsidRDefault="00F1341F" w:rsidP="009D34EB">
            <w:pPr>
              <w:tabs>
                <w:tab w:val="left" w:pos="1038"/>
              </w:tabs>
              <w:ind w:right="73"/>
              <w:rPr>
                <w:sz w:val="20"/>
              </w:rPr>
            </w:pPr>
            <w:r w:rsidRPr="008340BB">
              <w:rPr>
                <w:sz w:val="20"/>
              </w:rPr>
              <w:t>Less developed</w:t>
            </w:r>
          </w:p>
        </w:tc>
        <w:tc>
          <w:tcPr>
            <w:tcW w:w="866" w:type="pct"/>
            <w:gridSpan w:val="2"/>
          </w:tcPr>
          <w:p w14:paraId="555014A2" w14:textId="77777777" w:rsidR="00F1341F" w:rsidRPr="008340BB" w:rsidRDefault="00F1341F" w:rsidP="00690254">
            <w:pPr>
              <w:autoSpaceDE w:val="0"/>
              <w:autoSpaceDN w:val="0"/>
              <w:adjustRightInd w:val="0"/>
              <w:jc w:val="left"/>
              <w:rPr>
                <w:sz w:val="20"/>
              </w:rPr>
            </w:pPr>
            <w:r w:rsidRPr="008340BB">
              <w:rPr>
                <w:sz w:val="20"/>
              </w:rPr>
              <w:t>Number of major projects  under implementation</w:t>
            </w:r>
          </w:p>
        </w:tc>
        <w:tc>
          <w:tcPr>
            <w:tcW w:w="503" w:type="pct"/>
          </w:tcPr>
          <w:p w14:paraId="7C345EFE" w14:textId="77777777" w:rsidR="00F1341F" w:rsidRPr="008340BB" w:rsidRDefault="00F1341F" w:rsidP="006C7F44">
            <w:pPr>
              <w:autoSpaceDE w:val="0"/>
              <w:autoSpaceDN w:val="0"/>
              <w:adjustRightInd w:val="0"/>
              <w:jc w:val="left"/>
              <w:rPr>
                <w:sz w:val="20"/>
              </w:rPr>
            </w:pPr>
            <w:r w:rsidRPr="008340BB">
              <w:rPr>
                <w:sz w:val="20"/>
              </w:rPr>
              <w:t>Number</w:t>
            </w:r>
          </w:p>
        </w:tc>
        <w:tc>
          <w:tcPr>
            <w:tcW w:w="805" w:type="pct"/>
            <w:gridSpan w:val="2"/>
          </w:tcPr>
          <w:p w14:paraId="002D35CE" w14:textId="77777777" w:rsidR="00F1341F" w:rsidRPr="008340BB" w:rsidRDefault="00F1341F" w:rsidP="006C7F44">
            <w:pPr>
              <w:autoSpaceDE w:val="0"/>
              <w:autoSpaceDN w:val="0"/>
              <w:adjustRightInd w:val="0"/>
              <w:jc w:val="left"/>
              <w:rPr>
                <w:sz w:val="20"/>
              </w:rPr>
            </w:pPr>
            <w:r w:rsidRPr="008340BB">
              <w:rPr>
                <w:sz w:val="20"/>
              </w:rPr>
              <w:t>1</w:t>
            </w:r>
          </w:p>
        </w:tc>
        <w:tc>
          <w:tcPr>
            <w:tcW w:w="823" w:type="pct"/>
          </w:tcPr>
          <w:p w14:paraId="6175D94E" w14:textId="176ED9C1" w:rsidR="00F1341F" w:rsidRPr="002A622F" w:rsidRDefault="006A2AA3" w:rsidP="006C7F44">
            <w:pPr>
              <w:autoSpaceDE w:val="0"/>
              <w:autoSpaceDN w:val="0"/>
              <w:adjustRightInd w:val="0"/>
              <w:jc w:val="left"/>
              <w:rPr>
                <w:sz w:val="20"/>
                <w:lang w:val="bg-BG"/>
              </w:rPr>
            </w:pPr>
            <w:r>
              <w:rPr>
                <w:sz w:val="20"/>
              </w:rPr>
              <w:t>2</w:t>
            </w:r>
          </w:p>
        </w:tc>
      </w:tr>
      <w:tr w:rsidR="00F1341F" w:rsidRPr="008340BB" w14:paraId="0E39DB3E" w14:textId="77777777" w:rsidTr="00CE263F">
        <w:trPr>
          <w:trHeight w:val="156"/>
        </w:trPr>
        <w:tc>
          <w:tcPr>
            <w:tcW w:w="776" w:type="pct"/>
            <w:vMerge/>
          </w:tcPr>
          <w:p w14:paraId="070AAC54" w14:textId="77777777" w:rsidR="00F1341F" w:rsidRPr="008340BB" w:rsidRDefault="00F1341F" w:rsidP="00F03C1E">
            <w:pPr>
              <w:rPr>
                <w:sz w:val="20"/>
              </w:rPr>
            </w:pPr>
          </w:p>
        </w:tc>
        <w:tc>
          <w:tcPr>
            <w:tcW w:w="594" w:type="pct"/>
          </w:tcPr>
          <w:p w14:paraId="3F81D38E" w14:textId="77777777" w:rsidR="00F1341F" w:rsidRPr="008340BB" w:rsidRDefault="00F1341F" w:rsidP="00603957">
            <w:pPr>
              <w:ind w:right="-100"/>
              <w:rPr>
                <w:sz w:val="20"/>
              </w:rPr>
            </w:pPr>
            <w:r w:rsidRPr="008340BB">
              <w:rPr>
                <w:sz w:val="20"/>
              </w:rPr>
              <w:t>ERDF</w:t>
            </w:r>
          </w:p>
        </w:tc>
        <w:tc>
          <w:tcPr>
            <w:tcW w:w="633" w:type="pct"/>
          </w:tcPr>
          <w:p w14:paraId="729DC709" w14:textId="77777777" w:rsidR="00F1341F" w:rsidRPr="008340BB" w:rsidRDefault="00F1341F" w:rsidP="009D34EB">
            <w:pPr>
              <w:rPr>
                <w:sz w:val="20"/>
              </w:rPr>
            </w:pPr>
            <w:r w:rsidRPr="008340BB">
              <w:rPr>
                <w:sz w:val="20"/>
              </w:rPr>
              <w:t>Less developed</w:t>
            </w:r>
          </w:p>
        </w:tc>
        <w:tc>
          <w:tcPr>
            <w:tcW w:w="866" w:type="pct"/>
            <w:gridSpan w:val="2"/>
          </w:tcPr>
          <w:p w14:paraId="29E9A1B4" w14:textId="77777777" w:rsidR="00F1341F" w:rsidRPr="008340BB" w:rsidRDefault="00F1341F" w:rsidP="006C7F44">
            <w:pPr>
              <w:autoSpaceDE w:val="0"/>
              <w:autoSpaceDN w:val="0"/>
              <w:adjustRightInd w:val="0"/>
              <w:jc w:val="left"/>
              <w:rPr>
                <w:sz w:val="20"/>
              </w:rPr>
            </w:pPr>
            <w:r w:rsidRPr="008340BB">
              <w:rPr>
                <w:sz w:val="20"/>
              </w:rPr>
              <w:t>Length of new metro lines</w:t>
            </w:r>
          </w:p>
        </w:tc>
        <w:tc>
          <w:tcPr>
            <w:tcW w:w="503" w:type="pct"/>
          </w:tcPr>
          <w:p w14:paraId="02ED2C91" w14:textId="77777777" w:rsidR="00F1341F" w:rsidRPr="008340BB" w:rsidRDefault="00F1341F" w:rsidP="006C7F44">
            <w:pPr>
              <w:autoSpaceDE w:val="0"/>
              <w:autoSpaceDN w:val="0"/>
              <w:adjustRightInd w:val="0"/>
              <w:jc w:val="left"/>
              <w:rPr>
                <w:sz w:val="20"/>
              </w:rPr>
            </w:pPr>
            <w:r w:rsidRPr="008340BB">
              <w:rPr>
                <w:sz w:val="20"/>
              </w:rPr>
              <w:t>km</w:t>
            </w:r>
          </w:p>
        </w:tc>
        <w:tc>
          <w:tcPr>
            <w:tcW w:w="805" w:type="pct"/>
            <w:gridSpan w:val="2"/>
          </w:tcPr>
          <w:p w14:paraId="5FD376AA" w14:textId="77777777" w:rsidR="00F1341F" w:rsidRPr="008340BB" w:rsidRDefault="00F1341F" w:rsidP="006C7F44">
            <w:pPr>
              <w:autoSpaceDE w:val="0"/>
              <w:autoSpaceDN w:val="0"/>
              <w:adjustRightInd w:val="0"/>
              <w:jc w:val="left"/>
              <w:rPr>
                <w:sz w:val="20"/>
              </w:rPr>
            </w:pPr>
            <w:r w:rsidRPr="008340BB">
              <w:rPr>
                <w:sz w:val="20"/>
              </w:rPr>
              <w:t>0</w:t>
            </w:r>
          </w:p>
        </w:tc>
        <w:tc>
          <w:tcPr>
            <w:tcW w:w="823" w:type="pct"/>
          </w:tcPr>
          <w:p w14:paraId="4D0FCD8E" w14:textId="77777777" w:rsidR="002C7136" w:rsidRPr="002C7136" w:rsidRDefault="002C7136" w:rsidP="002C7136">
            <w:pPr>
              <w:autoSpaceDE w:val="0"/>
              <w:autoSpaceDN w:val="0"/>
              <w:adjustRightInd w:val="0"/>
              <w:jc w:val="left"/>
              <w:rPr>
                <w:sz w:val="20"/>
                <w:lang w:val="bg-BG"/>
              </w:rPr>
            </w:pPr>
            <w:r w:rsidRPr="002C7136">
              <w:rPr>
                <w:sz w:val="20"/>
                <w:lang w:val="bg-BG"/>
              </w:rPr>
              <w:t>13,10</w:t>
            </w:r>
          </w:p>
          <w:p w14:paraId="4E7C363F" w14:textId="12A4709F" w:rsidR="00F1341F" w:rsidRPr="008340BB" w:rsidRDefault="00F1341F" w:rsidP="006C7F44">
            <w:pPr>
              <w:autoSpaceDE w:val="0"/>
              <w:autoSpaceDN w:val="0"/>
              <w:adjustRightInd w:val="0"/>
              <w:jc w:val="left"/>
              <w:rPr>
                <w:sz w:val="20"/>
              </w:rPr>
            </w:pPr>
          </w:p>
        </w:tc>
      </w:tr>
      <w:tr w:rsidR="00BF3D3C" w:rsidRPr="008340BB" w14:paraId="3E6EA1B5" w14:textId="77777777" w:rsidTr="00BE357E">
        <w:trPr>
          <w:trHeight w:val="3000"/>
        </w:trPr>
        <w:tc>
          <w:tcPr>
            <w:tcW w:w="776" w:type="pct"/>
          </w:tcPr>
          <w:p w14:paraId="4185A1EC" w14:textId="77777777" w:rsidR="00BF3D3C" w:rsidRPr="008340BB" w:rsidRDefault="00BF3D3C" w:rsidP="00BF3D3C">
            <w:pPr>
              <w:jc w:val="left"/>
              <w:rPr>
                <w:sz w:val="20"/>
              </w:rPr>
            </w:pPr>
            <w:r w:rsidRPr="008340BB">
              <w:rPr>
                <w:sz w:val="20"/>
              </w:rPr>
              <w:lastRenderedPageBreak/>
              <w:t>Priority axis 4 “Innovations in management and services - establishment of modern infrastructure for traffic management and transport safety improvement”</w:t>
            </w:r>
          </w:p>
        </w:tc>
        <w:tc>
          <w:tcPr>
            <w:tcW w:w="594" w:type="pct"/>
          </w:tcPr>
          <w:p w14:paraId="3EA1B805" w14:textId="77777777" w:rsidR="00BF3D3C" w:rsidRPr="008340BB" w:rsidRDefault="00BF3D3C" w:rsidP="00BF3D3C">
            <w:pPr>
              <w:ind w:right="72"/>
              <w:rPr>
                <w:sz w:val="20"/>
              </w:rPr>
            </w:pPr>
            <w:r w:rsidRPr="008340BB">
              <w:rPr>
                <w:sz w:val="20"/>
              </w:rPr>
              <w:t>ERDF</w:t>
            </w:r>
          </w:p>
        </w:tc>
        <w:tc>
          <w:tcPr>
            <w:tcW w:w="633" w:type="pct"/>
          </w:tcPr>
          <w:p w14:paraId="5D1D7720" w14:textId="77777777" w:rsidR="00BF3D3C" w:rsidRPr="008340BB" w:rsidRDefault="00BF3D3C" w:rsidP="00BF3D3C">
            <w:pPr>
              <w:ind w:right="73"/>
              <w:rPr>
                <w:sz w:val="20"/>
              </w:rPr>
            </w:pPr>
            <w:r w:rsidRPr="008340BB">
              <w:rPr>
                <w:sz w:val="20"/>
              </w:rPr>
              <w:t>Less developed</w:t>
            </w:r>
          </w:p>
        </w:tc>
        <w:tc>
          <w:tcPr>
            <w:tcW w:w="866" w:type="pct"/>
            <w:gridSpan w:val="2"/>
          </w:tcPr>
          <w:p w14:paraId="3D3E7350" w14:textId="77777777" w:rsidR="00BF3D3C" w:rsidRDefault="00BF3D3C" w:rsidP="00BF3D3C">
            <w:pPr>
              <w:autoSpaceDE w:val="0"/>
              <w:autoSpaceDN w:val="0"/>
              <w:adjustRightInd w:val="0"/>
              <w:jc w:val="left"/>
              <w:rPr>
                <w:sz w:val="20"/>
              </w:rPr>
            </w:pPr>
            <w:r w:rsidRPr="008340BB">
              <w:rPr>
                <w:sz w:val="20"/>
              </w:rPr>
              <w:t>Certified expenditure</w:t>
            </w:r>
          </w:p>
          <w:p w14:paraId="1FDA8FF8" w14:textId="77777777" w:rsidR="00BF3D3C" w:rsidRDefault="00BF3D3C" w:rsidP="00BF3D3C">
            <w:pPr>
              <w:autoSpaceDE w:val="0"/>
              <w:autoSpaceDN w:val="0"/>
              <w:adjustRightInd w:val="0"/>
              <w:jc w:val="left"/>
              <w:rPr>
                <w:sz w:val="20"/>
              </w:rPr>
            </w:pPr>
          </w:p>
          <w:p w14:paraId="1ED1D0A6" w14:textId="77777777" w:rsidR="00BF3D3C" w:rsidRDefault="00BF3D3C" w:rsidP="00BF3D3C">
            <w:pPr>
              <w:autoSpaceDE w:val="0"/>
              <w:autoSpaceDN w:val="0"/>
              <w:adjustRightInd w:val="0"/>
              <w:jc w:val="left"/>
              <w:rPr>
                <w:sz w:val="20"/>
                <w:lang w:val="en-US"/>
              </w:rPr>
            </w:pPr>
            <w:r w:rsidRPr="00584C3F">
              <w:rPr>
                <w:sz w:val="20"/>
                <w:lang w:val="en-US"/>
              </w:rPr>
              <w:t>Implemented/ modernized transport systems</w:t>
            </w:r>
          </w:p>
          <w:p w14:paraId="723E2294" w14:textId="77777777" w:rsidR="00BF3D3C" w:rsidRDefault="00BF3D3C" w:rsidP="00BF3D3C">
            <w:pPr>
              <w:autoSpaceDE w:val="0"/>
              <w:autoSpaceDN w:val="0"/>
              <w:adjustRightInd w:val="0"/>
              <w:jc w:val="left"/>
              <w:rPr>
                <w:sz w:val="20"/>
                <w:lang w:val="en-US"/>
              </w:rPr>
            </w:pPr>
          </w:p>
          <w:p w14:paraId="4E6FE243" w14:textId="54C18365" w:rsidR="00BF3D3C" w:rsidRPr="008340BB" w:rsidRDefault="00BF3D3C" w:rsidP="00BF3D3C">
            <w:pPr>
              <w:autoSpaceDE w:val="0"/>
              <w:autoSpaceDN w:val="0"/>
              <w:adjustRightInd w:val="0"/>
              <w:jc w:val="left"/>
              <w:rPr>
                <w:sz w:val="20"/>
              </w:rPr>
            </w:pPr>
            <w:r w:rsidRPr="00584C3F">
              <w:rPr>
                <w:sz w:val="20"/>
              </w:rPr>
              <w:t>Number of contracts with started construction</w:t>
            </w:r>
          </w:p>
        </w:tc>
        <w:tc>
          <w:tcPr>
            <w:tcW w:w="503" w:type="pct"/>
          </w:tcPr>
          <w:p w14:paraId="1EDAAECF" w14:textId="77777777" w:rsidR="00BF3D3C" w:rsidRDefault="00BF3D3C" w:rsidP="00BF3D3C">
            <w:pPr>
              <w:autoSpaceDE w:val="0"/>
              <w:autoSpaceDN w:val="0"/>
              <w:adjustRightInd w:val="0"/>
              <w:jc w:val="left"/>
              <w:rPr>
                <w:sz w:val="20"/>
              </w:rPr>
            </w:pPr>
            <w:r w:rsidRPr="008340BB">
              <w:rPr>
                <w:sz w:val="20"/>
              </w:rPr>
              <w:t>Euro</w:t>
            </w:r>
          </w:p>
          <w:p w14:paraId="4670EB01" w14:textId="77777777" w:rsidR="00BF3D3C" w:rsidRDefault="00BF3D3C" w:rsidP="00BF3D3C">
            <w:pPr>
              <w:autoSpaceDE w:val="0"/>
              <w:autoSpaceDN w:val="0"/>
              <w:adjustRightInd w:val="0"/>
              <w:jc w:val="left"/>
              <w:rPr>
                <w:sz w:val="20"/>
              </w:rPr>
            </w:pPr>
          </w:p>
          <w:p w14:paraId="74F45ADB" w14:textId="77777777" w:rsidR="00BF3D3C" w:rsidRDefault="00BF3D3C" w:rsidP="00BF3D3C">
            <w:pPr>
              <w:autoSpaceDE w:val="0"/>
              <w:autoSpaceDN w:val="0"/>
              <w:adjustRightInd w:val="0"/>
              <w:jc w:val="left"/>
              <w:rPr>
                <w:sz w:val="20"/>
              </w:rPr>
            </w:pPr>
          </w:p>
          <w:p w14:paraId="5D4E6710" w14:textId="77777777" w:rsidR="00BF3D3C" w:rsidRDefault="00BF3D3C" w:rsidP="00BF3D3C">
            <w:pPr>
              <w:autoSpaceDE w:val="0"/>
              <w:autoSpaceDN w:val="0"/>
              <w:adjustRightInd w:val="0"/>
              <w:jc w:val="left"/>
              <w:rPr>
                <w:sz w:val="20"/>
              </w:rPr>
            </w:pPr>
            <w:r w:rsidRPr="00584C3F">
              <w:rPr>
                <w:sz w:val="20"/>
              </w:rPr>
              <w:t>Number</w:t>
            </w:r>
          </w:p>
          <w:p w14:paraId="23D4B30C" w14:textId="77777777" w:rsidR="00BF3D3C" w:rsidRDefault="00BF3D3C" w:rsidP="00BF3D3C">
            <w:pPr>
              <w:autoSpaceDE w:val="0"/>
              <w:autoSpaceDN w:val="0"/>
              <w:adjustRightInd w:val="0"/>
              <w:jc w:val="left"/>
              <w:rPr>
                <w:sz w:val="20"/>
              </w:rPr>
            </w:pPr>
          </w:p>
          <w:p w14:paraId="31E58BDB" w14:textId="77777777" w:rsidR="00BF3D3C" w:rsidRDefault="00BF3D3C" w:rsidP="00BF3D3C">
            <w:pPr>
              <w:autoSpaceDE w:val="0"/>
              <w:autoSpaceDN w:val="0"/>
              <w:adjustRightInd w:val="0"/>
              <w:jc w:val="left"/>
              <w:rPr>
                <w:sz w:val="20"/>
                <w:lang w:val="en-US"/>
              </w:rPr>
            </w:pPr>
          </w:p>
          <w:p w14:paraId="354803CD" w14:textId="4E3328C0" w:rsidR="00BF3D3C" w:rsidRPr="008340BB" w:rsidRDefault="00BF3D3C" w:rsidP="00BF3D3C">
            <w:pPr>
              <w:autoSpaceDE w:val="0"/>
              <w:autoSpaceDN w:val="0"/>
              <w:adjustRightInd w:val="0"/>
              <w:jc w:val="left"/>
              <w:rPr>
                <w:sz w:val="20"/>
              </w:rPr>
            </w:pPr>
            <w:r>
              <w:rPr>
                <w:sz w:val="20"/>
                <w:lang w:val="en-US"/>
              </w:rPr>
              <w:t>Number</w:t>
            </w:r>
          </w:p>
        </w:tc>
        <w:tc>
          <w:tcPr>
            <w:tcW w:w="805" w:type="pct"/>
            <w:gridSpan w:val="2"/>
          </w:tcPr>
          <w:p w14:paraId="1BAF1F93" w14:textId="77777777" w:rsidR="00BF3D3C" w:rsidRDefault="00BF3D3C" w:rsidP="00BF3D3C">
            <w:pPr>
              <w:pStyle w:val="Text1"/>
              <w:ind w:left="0"/>
              <w:jc w:val="left"/>
              <w:rPr>
                <w:sz w:val="18"/>
                <w:szCs w:val="18"/>
                <w:lang w:val="en-GB" w:eastAsia="en-GB"/>
              </w:rPr>
            </w:pPr>
            <w:r w:rsidRPr="008340BB">
              <w:rPr>
                <w:sz w:val="18"/>
                <w:szCs w:val="18"/>
                <w:lang w:val="en-GB" w:eastAsia="en-GB"/>
              </w:rPr>
              <w:t>7 700</w:t>
            </w:r>
            <w:r>
              <w:rPr>
                <w:sz w:val="18"/>
                <w:szCs w:val="18"/>
                <w:lang w:val="en-GB" w:eastAsia="en-GB"/>
              </w:rPr>
              <w:t> </w:t>
            </w:r>
            <w:r w:rsidRPr="007F4905">
              <w:rPr>
                <w:sz w:val="18"/>
                <w:szCs w:val="18"/>
                <w:lang w:val="en-GB" w:eastAsia="en-GB"/>
              </w:rPr>
              <w:t>000</w:t>
            </w:r>
          </w:p>
          <w:p w14:paraId="285B0B5E" w14:textId="77777777" w:rsidR="00BF3D3C" w:rsidRDefault="00BF3D3C" w:rsidP="00BF3D3C">
            <w:pPr>
              <w:pStyle w:val="Text1"/>
              <w:ind w:left="0"/>
              <w:jc w:val="left"/>
              <w:rPr>
                <w:sz w:val="18"/>
                <w:szCs w:val="18"/>
                <w:lang w:val="en-GB" w:eastAsia="en-GB"/>
              </w:rPr>
            </w:pPr>
          </w:p>
          <w:p w14:paraId="47CFDB22" w14:textId="77777777" w:rsidR="00BF3D3C" w:rsidRDefault="00BF3D3C" w:rsidP="00BF3D3C">
            <w:pPr>
              <w:pStyle w:val="Text1"/>
              <w:ind w:left="0"/>
              <w:jc w:val="left"/>
              <w:rPr>
                <w:sz w:val="18"/>
                <w:szCs w:val="18"/>
                <w:lang w:val="en-GB" w:eastAsia="en-GB"/>
              </w:rPr>
            </w:pPr>
          </w:p>
          <w:p w14:paraId="0C1673DB" w14:textId="77777777" w:rsidR="00BF3D3C" w:rsidRDefault="00BF3D3C" w:rsidP="00BF3D3C">
            <w:pPr>
              <w:pStyle w:val="Text1"/>
              <w:ind w:left="0"/>
              <w:jc w:val="left"/>
              <w:rPr>
                <w:sz w:val="18"/>
                <w:szCs w:val="18"/>
                <w:lang w:eastAsia="en-GB"/>
              </w:rPr>
            </w:pPr>
            <w:r>
              <w:rPr>
                <w:sz w:val="18"/>
                <w:szCs w:val="18"/>
                <w:lang w:eastAsia="en-GB"/>
              </w:rPr>
              <w:t>0</w:t>
            </w:r>
          </w:p>
          <w:p w14:paraId="54675D7E" w14:textId="77777777" w:rsidR="00BF3D3C" w:rsidRDefault="00BF3D3C" w:rsidP="00BF3D3C">
            <w:pPr>
              <w:pStyle w:val="Text1"/>
              <w:ind w:left="0"/>
              <w:jc w:val="left"/>
              <w:rPr>
                <w:sz w:val="18"/>
                <w:szCs w:val="18"/>
                <w:lang w:eastAsia="en-GB"/>
              </w:rPr>
            </w:pPr>
          </w:p>
          <w:p w14:paraId="1C7A88D0" w14:textId="77777777" w:rsidR="00BF3D3C" w:rsidRDefault="00BF3D3C" w:rsidP="00BF3D3C">
            <w:pPr>
              <w:pStyle w:val="Text1"/>
              <w:ind w:left="0"/>
              <w:jc w:val="left"/>
              <w:rPr>
                <w:sz w:val="18"/>
                <w:szCs w:val="18"/>
                <w:lang w:eastAsia="en-GB"/>
              </w:rPr>
            </w:pPr>
          </w:p>
          <w:p w14:paraId="23DF4577" w14:textId="77777777" w:rsidR="00BF3D3C" w:rsidRDefault="00BF3D3C" w:rsidP="00BF3D3C">
            <w:pPr>
              <w:pStyle w:val="Text1"/>
              <w:ind w:left="0"/>
              <w:jc w:val="left"/>
              <w:rPr>
                <w:sz w:val="18"/>
                <w:szCs w:val="18"/>
                <w:lang w:eastAsia="en-GB"/>
              </w:rPr>
            </w:pPr>
          </w:p>
          <w:p w14:paraId="4778BF05" w14:textId="77777777" w:rsidR="00BF3D3C" w:rsidRPr="00584C3F" w:rsidRDefault="00BF3D3C" w:rsidP="00BF3D3C">
            <w:pPr>
              <w:pStyle w:val="Text1"/>
              <w:ind w:left="0"/>
              <w:jc w:val="left"/>
              <w:rPr>
                <w:sz w:val="18"/>
                <w:szCs w:val="18"/>
                <w:lang w:val="en-US" w:eastAsia="en-GB"/>
              </w:rPr>
            </w:pPr>
            <w:r>
              <w:rPr>
                <w:sz w:val="18"/>
                <w:szCs w:val="18"/>
                <w:lang w:val="en-US" w:eastAsia="en-GB"/>
              </w:rPr>
              <w:t>1</w:t>
            </w:r>
          </w:p>
          <w:p w14:paraId="26C692AF" w14:textId="292000D5" w:rsidR="00BF3D3C" w:rsidRPr="007F4905" w:rsidRDefault="00BF3D3C" w:rsidP="00BF3D3C">
            <w:pPr>
              <w:pStyle w:val="Text1"/>
              <w:ind w:left="0"/>
              <w:jc w:val="left"/>
              <w:rPr>
                <w:sz w:val="20"/>
                <w:lang w:val="en-GB" w:eastAsia="en-GB"/>
              </w:rPr>
            </w:pPr>
          </w:p>
        </w:tc>
        <w:tc>
          <w:tcPr>
            <w:tcW w:w="823" w:type="pct"/>
          </w:tcPr>
          <w:p w14:paraId="7E450605" w14:textId="77777777" w:rsidR="00BF3D3C" w:rsidRDefault="00BF3D3C" w:rsidP="00BF3D3C">
            <w:pPr>
              <w:pStyle w:val="Text1"/>
              <w:ind w:left="0"/>
              <w:jc w:val="left"/>
              <w:rPr>
                <w:sz w:val="18"/>
                <w:szCs w:val="18"/>
                <w:lang w:val="en-GB" w:eastAsia="en-GB"/>
              </w:rPr>
            </w:pPr>
            <w:r w:rsidRPr="00117A88">
              <w:rPr>
                <w:sz w:val="18"/>
                <w:szCs w:val="18"/>
                <w:lang w:eastAsia="en-GB"/>
              </w:rPr>
              <w:t xml:space="preserve">44 726 781.00 </w:t>
            </w:r>
          </w:p>
          <w:p w14:paraId="3904DA8A" w14:textId="77777777" w:rsidR="00BF3D3C" w:rsidRDefault="00BF3D3C" w:rsidP="00BF3D3C">
            <w:pPr>
              <w:pStyle w:val="Text1"/>
              <w:ind w:left="0"/>
              <w:jc w:val="left"/>
              <w:rPr>
                <w:sz w:val="18"/>
                <w:szCs w:val="18"/>
                <w:lang w:val="en-GB" w:eastAsia="en-GB"/>
              </w:rPr>
            </w:pPr>
            <w:r>
              <w:rPr>
                <w:sz w:val="18"/>
                <w:szCs w:val="18"/>
                <w:lang w:val="en-GB" w:eastAsia="en-GB"/>
              </w:rPr>
              <w:t xml:space="preserve"> </w:t>
            </w:r>
          </w:p>
          <w:p w14:paraId="0A40A931" w14:textId="77777777" w:rsidR="00BF3D3C" w:rsidRDefault="00BF3D3C" w:rsidP="00BF3D3C">
            <w:pPr>
              <w:pStyle w:val="Text1"/>
              <w:ind w:left="0"/>
              <w:jc w:val="left"/>
              <w:rPr>
                <w:sz w:val="18"/>
                <w:szCs w:val="18"/>
                <w:lang w:val="en-GB" w:eastAsia="en-GB"/>
              </w:rPr>
            </w:pPr>
          </w:p>
          <w:p w14:paraId="6DA77418" w14:textId="576A2683" w:rsidR="00BF3D3C" w:rsidRDefault="0088695C" w:rsidP="00BF3D3C">
            <w:pPr>
              <w:pStyle w:val="Text1"/>
              <w:ind w:left="0"/>
              <w:jc w:val="left"/>
              <w:rPr>
                <w:sz w:val="18"/>
                <w:szCs w:val="18"/>
                <w:lang w:eastAsia="en-GB"/>
              </w:rPr>
            </w:pPr>
            <w:r w:rsidRPr="00D52FF7">
              <w:rPr>
                <w:sz w:val="18"/>
                <w:szCs w:val="18"/>
                <w:lang w:val="en-US" w:eastAsia="en-GB"/>
              </w:rPr>
              <w:t>3</w:t>
            </w:r>
          </w:p>
          <w:p w14:paraId="4C1DBEDE" w14:textId="77777777" w:rsidR="00BF3D3C" w:rsidRDefault="00BF3D3C" w:rsidP="00BF3D3C">
            <w:pPr>
              <w:pStyle w:val="Text1"/>
              <w:ind w:left="0"/>
              <w:jc w:val="left"/>
              <w:rPr>
                <w:sz w:val="18"/>
                <w:szCs w:val="18"/>
                <w:lang w:eastAsia="en-GB"/>
              </w:rPr>
            </w:pPr>
          </w:p>
          <w:p w14:paraId="2C30381F" w14:textId="77777777" w:rsidR="00BF3D3C" w:rsidRDefault="00BF3D3C" w:rsidP="00BF3D3C">
            <w:pPr>
              <w:pStyle w:val="Text1"/>
              <w:ind w:left="0"/>
              <w:jc w:val="left"/>
              <w:rPr>
                <w:sz w:val="18"/>
                <w:szCs w:val="18"/>
                <w:lang w:eastAsia="en-GB"/>
              </w:rPr>
            </w:pPr>
          </w:p>
          <w:p w14:paraId="50E5BF33" w14:textId="77777777" w:rsidR="00BF3D3C" w:rsidRPr="00584C3F" w:rsidRDefault="00BF3D3C" w:rsidP="00BF3D3C">
            <w:pPr>
              <w:pStyle w:val="Text1"/>
              <w:ind w:left="0"/>
              <w:jc w:val="left"/>
              <w:rPr>
                <w:sz w:val="18"/>
                <w:szCs w:val="18"/>
                <w:lang w:val="en-US" w:eastAsia="en-GB"/>
              </w:rPr>
            </w:pPr>
            <w:r>
              <w:rPr>
                <w:sz w:val="18"/>
                <w:szCs w:val="18"/>
                <w:lang w:val="en-US" w:eastAsia="en-GB"/>
              </w:rPr>
              <w:t>1</w:t>
            </w:r>
          </w:p>
          <w:p w14:paraId="18E4DB60" w14:textId="77777777" w:rsidR="00BF3D3C" w:rsidRPr="00584C3F" w:rsidRDefault="00BF3D3C" w:rsidP="00BF3D3C">
            <w:pPr>
              <w:pStyle w:val="Text1"/>
              <w:ind w:left="0"/>
              <w:jc w:val="left"/>
              <w:rPr>
                <w:sz w:val="18"/>
                <w:szCs w:val="18"/>
                <w:lang w:eastAsia="en-GB"/>
              </w:rPr>
            </w:pPr>
          </w:p>
          <w:p w14:paraId="2AF61ACB" w14:textId="1238D3BF" w:rsidR="00BF3D3C" w:rsidRPr="00AB4B23" w:rsidRDefault="00BF3D3C" w:rsidP="00BF3D3C">
            <w:pPr>
              <w:pStyle w:val="Text1"/>
              <w:ind w:left="0"/>
              <w:jc w:val="left"/>
              <w:rPr>
                <w:sz w:val="20"/>
                <w:lang w:val="en-GB" w:eastAsia="en-GB"/>
              </w:rPr>
            </w:pPr>
          </w:p>
        </w:tc>
      </w:tr>
      <w:tr w:rsidR="00BF3D3C" w:rsidRPr="008340BB" w14:paraId="4FC2ACCB" w14:textId="77777777" w:rsidTr="00CE263F">
        <w:trPr>
          <w:trHeight w:val="291"/>
        </w:trPr>
        <w:tc>
          <w:tcPr>
            <w:tcW w:w="776" w:type="pct"/>
          </w:tcPr>
          <w:p w14:paraId="353E6CEE" w14:textId="77777777" w:rsidR="00BF3D3C" w:rsidRPr="00A828C5" w:rsidRDefault="00BF3D3C" w:rsidP="00BF3D3C">
            <w:pPr>
              <w:jc w:val="left"/>
              <w:rPr>
                <w:sz w:val="20"/>
              </w:rPr>
            </w:pPr>
            <w:r w:rsidRPr="00A828C5">
              <w:rPr>
                <w:sz w:val="20"/>
              </w:rPr>
              <w:t>Priority axis 5 “Technical assistance”</w:t>
            </w:r>
          </w:p>
        </w:tc>
        <w:tc>
          <w:tcPr>
            <w:tcW w:w="594" w:type="pct"/>
          </w:tcPr>
          <w:p w14:paraId="36E5A793" w14:textId="77777777" w:rsidR="00BF3D3C" w:rsidRPr="008340BB" w:rsidRDefault="00BF3D3C" w:rsidP="00BF3D3C">
            <w:pPr>
              <w:rPr>
                <w:sz w:val="20"/>
              </w:rPr>
            </w:pPr>
            <w:r w:rsidRPr="008340BB">
              <w:rPr>
                <w:sz w:val="20"/>
              </w:rPr>
              <w:t>ERDF</w:t>
            </w:r>
          </w:p>
        </w:tc>
        <w:tc>
          <w:tcPr>
            <w:tcW w:w="639" w:type="pct"/>
            <w:gridSpan w:val="2"/>
          </w:tcPr>
          <w:p w14:paraId="235A8653" w14:textId="77777777" w:rsidR="00BF3D3C" w:rsidRPr="008340BB" w:rsidRDefault="00BF3D3C" w:rsidP="00BF3D3C">
            <w:pPr>
              <w:rPr>
                <w:sz w:val="20"/>
              </w:rPr>
            </w:pPr>
            <w:r w:rsidRPr="008340BB">
              <w:rPr>
                <w:sz w:val="20"/>
              </w:rPr>
              <w:t>N/A</w:t>
            </w:r>
          </w:p>
        </w:tc>
        <w:tc>
          <w:tcPr>
            <w:tcW w:w="860" w:type="pct"/>
          </w:tcPr>
          <w:p w14:paraId="62DFE269" w14:textId="77777777" w:rsidR="00BF3D3C" w:rsidRPr="008340BB" w:rsidRDefault="00BF3D3C" w:rsidP="00BF3D3C">
            <w:pPr>
              <w:rPr>
                <w:sz w:val="20"/>
              </w:rPr>
            </w:pPr>
            <w:r w:rsidRPr="008340BB">
              <w:rPr>
                <w:sz w:val="20"/>
              </w:rPr>
              <w:t>N/A</w:t>
            </w:r>
          </w:p>
        </w:tc>
        <w:tc>
          <w:tcPr>
            <w:tcW w:w="514" w:type="pct"/>
            <w:gridSpan w:val="2"/>
          </w:tcPr>
          <w:p w14:paraId="41FDC231" w14:textId="77777777" w:rsidR="00BF3D3C" w:rsidRPr="008340BB" w:rsidRDefault="00BF3D3C" w:rsidP="00BF3D3C">
            <w:pPr>
              <w:rPr>
                <w:sz w:val="20"/>
              </w:rPr>
            </w:pPr>
            <w:r w:rsidRPr="008340BB">
              <w:rPr>
                <w:sz w:val="20"/>
              </w:rPr>
              <w:t>N/A</w:t>
            </w:r>
          </w:p>
        </w:tc>
        <w:tc>
          <w:tcPr>
            <w:tcW w:w="794" w:type="pct"/>
          </w:tcPr>
          <w:p w14:paraId="3F0FA8CB" w14:textId="77777777" w:rsidR="00BF3D3C" w:rsidRPr="008340BB" w:rsidRDefault="00BF3D3C" w:rsidP="00BF3D3C">
            <w:pPr>
              <w:rPr>
                <w:sz w:val="20"/>
              </w:rPr>
            </w:pPr>
            <w:r w:rsidRPr="008340BB">
              <w:rPr>
                <w:rFonts w:cs="Arial"/>
                <w:bCs/>
                <w:sz w:val="18"/>
                <w:szCs w:val="18"/>
                <w:lang w:eastAsia="en-US"/>
              </w:rPr>
              <w:t>N/A</w:t>
            </w:r>
          </w:p>
        </w:tc>
        <w:tc>
          <w:tcPr>
            <w:tcW w:w="823" w:type="pct"/>
          </w:tcPr>
          <w:p w14:paraId="56CB492A" w14:textId="77777777" w:rsidR="00BF3D3C" w:rsidRPr="008340BB" w:rsidRDefault="00BF3D3C" w:rsidP="00BF3D3C">
            <w:pPr>
              <w:ind w:right="661"/>
              <w:rPr>
                <w:sz w:val="20"/>
              </w:rPr>
            </w:pPr>
            <w:r w:rsidRPr="008340BB">
              <w:rPr>
                <w:rFonts w:cs="Arial"/>
                <w:bCs/>
                <w:sz w:val="18"/>
                <w:szCs w:val="18"/>
                <w:lang w:eastAsia="en-US"/>
              </w:rPr>
              <w:t>N/A</w:t>
            </w:r>
          </w:p>
        </w:tc>
      </w:tr>
    </w:tbl>
    <w:p w14:paraId="7A6BCE18" w14:textId="77777777" w:rsidR="00F1341F" w:rsidRPr="008340BB" w:rsidRDefault="00F1341F" w:rsidP="00F03C1E">
      <w:pPr>
        <w:rPr>
          <w:b/>
        </w:rPr>
      </w:pPr>
    </w:p>
    <w:p w14:paraId="14CE7392" w14:textId="77777777" w:rsidR="00F1341F" w:rsidRPr="008340BB" w:rsidRDefault="00F1341F" w:rsidP="00F03C1E">
      <w:pPr>
        <w:rPr>
          <w:b/>
        </w:rPr>
      </w:pPr>
      <w:r w:rsidRPr="008340BB">
        <w:rPr>
          <w:b/>
        </w:rPr>
        <w:t xml:space="preserve">12.3 </w:t>
      </w:r>
      <w:r w:rsidRPr="008340BB">
        <w:rPr>
          <w:b/>
        </w:rPr>
        <w:tab/>
        <w:t xml:space="preserve">Relevant partners involved in preparation of programme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7"/>
      </w:tblGrid>
      <w:tr w:rsidR="00F1341F" w:rsidRPr="008340BB" w14:paraId="38F9811C" w14:textId="77777777" w:rsidTr="00BF3391">
        <w:tc>
          <w:tcPr>
            <w:tcW w:w="9747" w:type="dxa"/>
          </w:tcPr>
          <w:p w14:paraId="4F345D76" w14:textId="77777777" w:rsidR="00F1341F" w:rsidRPr="008340BB" w:rsidRDefault="00F1341F" w:rsidP="00D05693">
            <w:pPr>
              <w:rPr>
                <w:rFonts w:cs="Arial"/>
                <w:lang w:eastAsia="bg-BG"/>
              </w:rPr>
            </w:pPr>
            <w:r w:rsidRPr="008340BB">
              <w:t>In accordance with the regulations of the European Union on the Structural and Cohesion Funds the OPTTI 2014-2020, is being prepared in cooperation and consultation with the administrative, economic and social partners. For the purposes of its development it was established a working group, which includes representatives of relevant ministries, municipalities, regional authorities, environmental NGOs, organisations of and for people with disabilities, research organisations, representatives of the employers, trade unions and business professionals.</w:t>
            </w:r>
          </w:p>
          <w:p w14:paraId="26F26544" w14:textId="77777777" w:rsidR="00F1341F" w:rsidRPr="008340BB" w:rsidRDefault="00F1341F" w:rsidP="00D05693">
            <w:pPr>
              <w:rPr>
                <w:rFonts w:cs="Arial"/>
                <w:lang w:eastAsia="bg-BG"/>
              </w:rPr>
            </w:pPr>
            <w:r w:rsidRPr="008340BB">
              <w:t>The partnership principle will be applied during the implementation, monitoring and evaluation of the OPTTI. The participation of the administrative, social and economic partners identified in the development of programme will be ensured by the transformation of the working group in a Monitoring Committee of the OPTTI 2014-2020, Such committee will monitor the progress in achieving the objectives and strategy of the OPTTI and thus will ensure the effectiveness and quality implementation thereof.</w:t>
            </w:r>
          </w:p>
          <w:p w14:paraId="3C239CAC" w14:textId="77777777" w:rsidR="00F1341F" w:rsidRPr="008340BB" w:rsidRDefault="00F1341F" w:rsidP="00D05693">
            <w:pPr>
              <w:rPr>
                <w:rFonts w:cs="Arial"/>
                <w:lang w:eastAsia="bg-BG"/>
              </w:rPr>
            </w:pPr>
            <w:r w:rsidRPr="008340BB">
              <w:t>Detailed description of the role of the partners in the implementation, monitoring and evaluation of the OPTTI has been set forth in a procedure manual, as a part of the management and control systems of the programme. The envisaged programme beneficiaries with representatives in the Working Group are as follows:</w:t>
            </w:r>
          </w:p>
          <w:p w14:paraId="3D3E4A73" w14:textId="77777777" w:rsidR="00F1341F" w:rsidRPr="008340BB" w:rsidRDefault="00F1341F" w:rsidP="007B4B42">
            <w:pPr>
              <w:numPr>
                <w:ilvl w:val="0"/>
                <w:numId w:val="56"/>
              </w:numPr>
              <w:tabs>
                <w:tab w:val="clear" w:pos="2136"/>
                <w:tab w:val="num" w:pos="1080"/>
              </w:tabs>
              <w:autoSpaceDE w:val="0"/>
              <w:autoSpaceDN w:val="0"/>
              <w:adjustRightInd w:val="0"/>
              <w:spacing w:after="0"/>
              <w:ind w:left="1080" w:hanging="540"/>
              <w:rPr>
                <w:rFonts w:cs="Arial"/>
                <w:lang w:eastAsia="bg-BG"/>
              </w:rPr>
            </w:pPr>
            <w:r w:rsidRPr="008340BB">
              <w:rPr>
                <w:rFonts w:cs="Arial"/>
                <w:lang w:eastAsia="bg-BG"/>
              </w:rPr>
              <w:t>National Railway Infrastructure Company</w:t>
            </w:r>
            <w:r w:rsidRPr="008340BB">
              <w:rPr>
                <w:rFonts w:cs="Arial"/>
              </w:rPr>
              <w:t xml:space="preserve"> (NR</w:t>
            </w:r>
            <w:r w:rsidR="00C83711">
              <w:rPr>
                <w:rFonts w:cs="Arial"/>
              </w:rPr>
              <w:t>IC</w:t>
            </w:r>
            <w:r w:rsidRPr="008340BB">
              <w:rPr>
                <w:rFonts w:cs="Arial"/>
              </w:rPr>
              <w:t>)</w:t>
            </w:r>
            <w:r w:rsidRPr="008340BB">
              <w:rPr>
                <w:rFonts w:cs="Arial"/>
                <w:lang w:eastAsia="bg-BG"/>
              </w:rPr>
              <w:t>;</w:t>
            </w:r>
          </w:p>
          <w:p w14:paraId="19BB010F" w14:textId="77777777" w:rsidR="00F1341F" w:rsidRPr="008340BB" w:rsidRDefault="00F1341F" w:rsidP="007B4B42">
            <w:pPr>
              <w:numPr>
                <w:ilvl w:val="0"/>
                <w:numId w:val="56"/>
              </w:numPr>
              <w:tabs>
                <w:tab w:val="clear" w:pos="2136"/>
                <w:tab w:val="num" w:pos="1080"/>
              </w:tabs>
              <w:autoSpaceDE w:val="0"/>
              <w:autoSpaceDN w:val="0"/>
              <w:adjustRightInd w:val="0"/>
              <w:spacing w:after="0"/>
              <w:ind w:left="1080" w:hanging="540"/>
              <w:rPr>
                <w:rFonts w:cs="Arial"/>
                <w:lang w:eastAsia="bg-BG"/>
              </w:rPr>
            </w:pPr>
            <w:r w:rsidRPr="008340BB">
              <w:t xml:space="preserve">National Company Strategic Infrastructure Projects </w:t>
            </w:r>
            <w:r w:rsidRPr="008340BB">
              <w:rPr>
                <w:rFonts w:cs="Arial"/>
              </w:rPr>
              <w:t>(NC</w:t>
            </w:r>
            <w:r w:rsidR="00C83711">
              <w:rPr>
                <w:rFonts w:cs="Arial"/>
              </w:rPr>
              <w:t xml:space="preserve"> </w:t>
            </w:r>
            <w:r w:rsidRPr="008340BB">
              <w:rPr>
                <w:rFonts w:cs="Arial"/>
              </w:rPr>
              <w:t>SIP)</w:t>
            </w:r>
            <w:r w:rsidR="00CA6FC7">
              <w:rPr>
                <w:rFonts w:cs="Arial"/>
              </w:rPr>
              <w:t xml:space="preserve"> - </w:t>
            </w:r>
            <w:r w:rsidR="00CA6FC7">
              <w:rPr>
                <w:rStyle w:val="hps"/>
                <w:szCs w:val="24"/>
              </w:rPr>
              <w:t>according to the amendment of the</w:t>
            </w:r>
            <w:r w:rsidR="00CA6FC7" w:rsidRPr="003D3EA5">
              <w:rPr>
                <w:rStyle w:val="hps"/>
                <w:szCs w:val="24"/>
              </w:rPr>
              <w:t xml:space="preserve"> </w:t>
            </w:r>
            <w:r w:rsidR="00CA6FC7">
              <w:rPr>
                <w:rStyle w:val="hps"/>
                <w:szCs w:val="24"/>
              </w:rPr>
              <w:t>Roads Act</w:t>
            </w:r>
            <w:r w:rsidR="00CA6FC7" w:rsidRPr="003D3EA5">
              <w:rPr>
                <w:rStyle w:val="hps"/>
                <w:szCs w:val="24"/>
              </w:rPr>
              <w:t xml:space="preserve">, </w:t>
            </w:r>
            <w:r w:rsidR="00CA6FC7">
              <w:rPr>
                <w:rStyle w:val="hps"/>
                <w:szCs w:val="24"/>
              </w:rPr>
              <w:t>adopted</w:t>
            </w:r>
            <w:r w:rsidR="00CA6FC7" w:rsidRPr="003D3EA5">
              <w:rPr>
                <w:rStyle w:val="hps"/>
                <w:szCs w:val="24"/>
              </w:rPr>
              <w:t xml:space="preserve"> </w:t>
            </w:r>
            <w:r w:rsidR="00CA6FC7">
              <w:rPr>
                <w:rStyle w:val="hps"/>
                <w:szCs w:val="24"/>
              </w:rPr>
              <w:t>on</w:t>
            </w:r>
            <w:r w:rsidR="00CA6FC7" w:rsidRPr="003D3EA5">
              <w:rPr>
                <w:rStyle w:val="hps"/>
                <w:szCs w:val="24"/>
              </w:rPr>
              <w:t xml:space="preserve"> 07.04.2016, </w:t>
            </w:r>
            <w:r w:rsidR="00CA6FC7">
              <w:rPr>
                <w:rStyle w:val="hps"/>
                <w:szCs w:val="24"/>
              </w:rPr>
              <w:t>the activity of</w:t>
            </w:r>
            <w:r w:rsidR="00CA6FC7" w:rsidRPr="003D3EA5">
              <w:rPr>
                <w:rStyle w:val="hps"/>
                <w:szCs w:val="24"/>
              </w:rPr>
              <w:t xml:space="preserve"> </w:t>
            </w:r>
            <w:r w:rsidR="00CA6FC7">
              <w:rPr>
                <w:rStyle w:val="hps"/>
                <w:szCs w:val="24"/>
              </w:rPr>
              <w:t>state</w:t>
            </w:r>
            <w:r w:rsidR="00CA6FC7" w:rsidRPr="003D3EA5">
              <w:rPr>
                <w:rStyle w:val="hps"/>
                <w:szCs w:val="24"/>
              </w:rPr>
              <w:t xml:space="preserve"> </w:t>
            </w:r>
            <w:r w:rsidR="00CA6FC7">
              <w:rPr>
                <w:rStyle w:val="hps"/>
                <w:szCs w:val="24"/>
              </w:rPr>
              <w:t>enterprise</w:t>
            </w:r>
            <w:r w:rsidR="00CA6FC7" w:rsidRPr="003D3EA5">
              <w:rPr>
                <w:rStyle w:val="hps"/>
                <w:szCs w:val="24"/>
              </w:rPr>
              <w:t xml:space="preserve"> </w:t>
            </w:r>
            <w:r w:rsidR="00CA6FC7">
              <w:rPr>
                <w:rStyle w:val="hps"/>
                <w:szCs w:val="24"/>
              </w:rPr>
              <w:t>National</w:t>
            </w:r>
            <w:r w:rsidR="00CA6FC7" w:rsidRPr="003D3EA5">
              <w:rPr>
                <w:rStyle w:val="hps"/>
                <w:szCs w:val="24"/>
              </w:rPr>
              <w:t xml:space="preserve"> </w:t>
            </w:r>
            <w:r w:rsidR="00CA6FC7">
              <w:rPr>
                <w:rStyle w:val="hps"/>
                <w:szCs w:val="24"/>
              </w:rPr>
              <w:t>Company “Strategic</w:t>
            </w:r>
            <w:r w:rsidR="00CA6FC7" w:rsidRPr="003D3EA5">
              <w:rPr>
                <w:rStyle w:val="hps"/>
                <w:szCs w:val="24"/>
              </w:rPr>
              <w:t xml:space="preserve"> </w:t>
            </w:r>
            <w:r w:rsidR="00CA6FC7">
              <w:rPr>
                <w:rStyle w:val="hps"/>
                <w:szCs w:val="24"/>
              </w:rPr>
              <w:t>Infrastructure</w:t>
            </w:r>
            <w:r w:rsidR="00CA6FC7" w:rsidRPr="003D3EA5">
              <w:rPr>
                <w:rStyle w:val="hps"/>
                <w:szCs w:val="24"/>
              </w:rPr>
              <w:t xml:space="preserve"> </w:t>
            </w:r>
            <w:r w:rsidR="00CA6FC7">
              <w:rPr>
                <w:rStyle w:val="hps"/>
                <w:szCs w:val="24"/>
              </w:rPr>
              <w:t>Projects</w:t>
            </w:r>
            <w:r w:rsidR="00CA6FC7" w:rsidRPr="003D3EA5">
              <w:rPr>
                <w:rStyle w:val="hps"/>
                <w:szCs w:val="24"/>
              </w:rPr>
              <w:t>“</w:t>
            </w:r>
            <w:r w:rsidR="00CA6FC7">
              <w:rPr>
                <w:rStyle w:val="hps"/>
                <w:szCs w:val="24"/>
              </w:rPr>
              <w:t xml:space="preserve"> was terminated</w:t>
            </w:r>
            <w:r w:rsidR="00CA6FC7" w:rsidRPr="003D3EA5">
              <w:rPr>
                <w:rStyle w:val="hps"/>
                <w:szCs w:val="24"/>
              </w:rPr>
              <w:t xml:space="preserve">. </w:t>
            </w:r>
            <w:r w:rsidR="00CA6FC7">
              <w:rPr>
                <w:rStyle w:val="hps"/>
                <w:szCs w:val="24"/>
              </w:rPr>
              <w:t>All</w:t>
            </w:r>
            <w:r w:rsidR="00CA6FC7" w:rsidRPr="003D3EA5">
              <w:rPr>
                <w:rStyle w:val="hps"/>
                <w:szCs w:val="24"/>
              </w:rPr>
              <w:t xml:space="preserve"> </w:t>
            </w:r>
            <w:r w:rsidR="00CA6FC7">
              <w:rPr>
                <w:rStyle w:val="hps"/>
                <w:szCs w:val="24"/>
              </w:rPr>
              <w:t>the assets</w:t>
            </w:r>
            <w:r w:rsidR="00CA6FC7" w:rsidRPr="003D3EA5">
              <w:rPr>
                <w:rStyle w:val="hps"/>
                <w:szCs w:val="24"/>
              </w:rPr>
              <w:t xml:space="preserve">, </w:t>
            </w:r>
            <w:r w:rsidR="00CA6FC7">
              <w:rPr>
                <w:rStyle w:val="hps"/>
                <w:szCs w:val="24"/>
              </w:rPr>
              <w:t>passives</w:t>
            </w:r>
            <w:r w:rsidR="00CA6FC7" w:rsidRPr="003D3EA5">
              <w:rPr>
                <w:rStyle w:val="hps"/>
                <w:szCs w:val="24"/>
              </w:rPr>
              <w:t xml:space="preserve">, </w:t>
            </w:r>
            <w:r w:rsidR="00CA6FC7">
              <w:rPr>
                <w:rStyle w:val="hps"/>
                <w:szCs w:val="24"/>
              </w:rPr>
              <w:t>records</w:t>
            </w:r>
            <w:r w:rsidR="00CA6FC7" w:rsidRPr="003D3EA5">
              <w:rPr>
                <w:rStyle w:val="hps"/>
                <w:szCs w:val="24"/>
              </w:rPr>
              <w:t xml:space="preserve"> </w:t>
            </w:r>
            <w:r w:rsidR="00CA6FC7">
              <w:rPr>
                <w:rStyle w:val="hps"/>
                <w:szCs w:val="24"/>
              </w:rPr>
              <w:t>and</w:t>
            </w:r>
            <w:r w:rsidR="00CA6FC7" w:rsidRPr="003D3EA5">
              <w:rPr>
                <w:rStyle w:val="hps"/>
                <w:szCs w:val="24"/>
              </w:rPr>
              <w:t xml:space="preserve"> </w:t>
            </w:r>
            <w:r w:rsidR="00CA6FC7">
              <w:rPr>
                <w:rStyle w:val="hps"/>
                <w:szCs w:val="24"/>
              </w:rPr>
              <w:t>other</w:t>
            </w:r>
            <w:r w:rsidR="00CA6FC7" w:rsidRPr="003D3EA5">
              <w:rPr>
                <w:rStyle w:val="hps"/>
                <w:szCs w:val="24"/>
              </w:rPr>
              <w:t xml:space="preserve"> </w:t>
            </w:r>
            <w:r w:rsidR="00CA6FC7">
              <w:rPr>
                <w:rStyle w:val="hps"/>
                <w:szCs w:val="24"/>
              </w:rPr>
              <w:t>rights</w:t>
            </w:r>
            <w:r w:rsidR="00CA6FC7" w:rsidRPr="003D3EA5">
              <w:rPr>
                <w:rStyle w:val="hps"/>
                <w:szCs w:val="24"/>
              </w:rPr>
              <w:t xml:space="preserve"> </w:t>
            </w:r>
            <w:r w:rsidR="00CA6FC7">
              <w:rPr>
                <w:rStyle w:val="hps"/>
                <w:szCs w:val="24"/>
              </w:rPr>
              <w:t>and</w:t>
            </w:r>
            <w:r w:rsidR="00CA6FC7" w:rsidRPr="003D3EA5">
              <w:rPr>
                <w:rStyle w:val="hps"/>
                <w:szCs w:val="24"/>
              </w:rPr>
              <w:t xml:space="preserve"> </w:t>
            </w:r>
            <w:r w:rsidR="00CA6FC7">
              <w:rPr>
                <w:rStyle w:val="hps"/>
                <w:szCs w:val="24"/>
              </w:rPr>
              <w:t>obligations</w:t>
            </w:r>
            <w:r w:rsidR="00CA6FC7" w:rsidRPr="003D3EA5">
              <w:rPr>
                <w:rStyle w:val="hps"/>
                <w:szCs w:val="24"/>
              </w:rPr>
              <w:t xml:space="preserve"> </w:t>
            </w:r>
            <w:r w:rsidR="00CA6FC7">
              <w:rPr>
                <w:rStyle w:val="hps"/>
                <w:szCs w:val="24"/>
              </w:rPr>
              <w:t>of the enterprise</w:t>
            </w:r>
            <w:r w:rsidR="00CA6FC7" w:rsidRPr="003D3EA5">
              <w:rPr>
                <w:rStyle w:val="hps"/>
                <w:szCs w:val="24"/>
              </w:rPr>
              <w:t xml:space="preserve"> </w:t>
            </w:r>
            <w:r w:rsidR="00CA6FC7">
              <w:rPr>
                <w:rStyle w:val="hps"/>
                <w:szCs w:val="24"/>
              </w:rPr>
              <w:t>are transferred to</w:t>
            </w:r>
            <w:r w:rsidR="00CA6FC7" w:rsidRPr="003D3EA5">
              <w:rPr>
                <w:rStyle w:val="hps"/>
                <w:szCs w:val="24"/>
              </w:rPr>
              <w:t xml:space="preserve"> </w:t>
            </w:r>
            <w:r w:rsidR="00DB1D49">
              <w:rPr>
                <w:rStyle w:val="hps"/>
                <w:szCs w:val="24"/>
              </w:rPr>
              <w:t xml:space="preserve">the </w:t>
            </w:r>
            <w:r w:rsidR="00CA6FC7">
              <w:rPr>
                <w:rStyle w:val="hps"/>
                <w:szCs w:val="24"/>
              </w:rPr>
              <w:t>“Road</w:t>
            </w:r>
            <w:r w:rsidR="00CA6FC7" w:rsidRPr="003D3EA5">
              <w:rPr>
                <w:rStyle w:val="hps"/>
                <w:szCs w:val="24"/>
              </w:rPr>
              <w:t xml:space="preserve"> </w:t>
            </w:r>
            <w:r w:rsidR="00CA6FC7">
              <w:rPr>
                <w:rStyle w:val="hps"/>
                <w:szCs w:val="24"/>
              </w:rPr>
              <w:t>Infrastructure</w:t>
            </w:r>
            <w:r w:rsidR="00CA6FC7" w:rsidRPr="003D3EA5">
              <w:rPr>
                <w:rStyle w:val="hps"/>
                <w:szCs w:val="24"/>
              </w:rPr>
              <w:t>“</w:t>
            </w:r>
            <w:r w:rsidR="00CA6FC7">
              <w:rPr>
                <w:rStyle w:val="hps"/>
                <w:szCs w:val="24"/>
              </w:rPr>
              <w:t xml:space="preserve"> Agency</w:t>
            </w:r>
            <w:r w:rsidRPr="008340BB">
              <w:rPr>
                <w:rFonts w:cs="Arial"/>
                <w:lang w:eastAsia="bg-BG"/>
              </w:rPr>
              <w:t>;</w:t>
            </w:r>
          </w:p>
          <w:p w14:paraId="362469C7" w14:textId="77777777" w:rsidR="00F1341F" w:rsidRPr="008340BB" w:rsidRDefault="00F1341F" w:rsidP="007B4B42">
            <w:pPr>
              <w:numPr>
                <w:ilvl w:val="0"/>
                <w:numId w:val="56"/>
              </w:numPr>
              <w:tabs>
                <w:tab w:val="clear" w:pos="2136"/>
                <w:tab w:val="num" w:pos="1080"/>
              </w:tabs>
              <w:autoSpaceDE w:val="0"/>
              <w:autoSpaceDN w:val="0"/>
              <w:adjustRightInd w:val="0"/>
              <w:spacing w:after="0"/>
              <w:ind w:left="1080" w:hanging="540"/>
              <w:rPr>
                <w:rFonts w:cs="Arial"/>
              </w:rPr>
            </w:pPr>
            <w:r w:rsidRPr="008340BB">
              <w:rPr>
                <w:rFonts w:cs="Arial"/>
              </w:rPr>
              <w:t>Road Infrastructure Agency (RIA);</w:t>
            </w:r>
          </w:p>
          <w:p w14:paraId="2DFABC27" w14:textId="77777777" w:rsidR="00F1341F" w:rsidRPr="008340BB" w:rsidRDefault="00F1341F" w:rsidP="007B4B42">
            <w:pPr>
              <w:numPr>
                <w:ilvl w:val="0"/>
                <w:numId w:val="56"/>
              </w:numPr>
              <w:tabs>
                <w:tab w:val="clear" w:pos="2136"/>
                <w:tab w:val="num" w:pos="1080"/>
              </w:tabs>
              <w:autoSpaceDE w:val="0"/>
              <w:autoSpaceDN w:val="0"/>
              <w:adjustRightInd w:val="0"/>
              <w:spacing w:after="0"/>
              <w:ind w:left="1080" w:hanging="540"/>
              <w:rPr>
                <w:rFonts w:cs="Arial"/>
              </w:rPr>
            </w:pPr>
            <w:r w:rsidRPr="008340BB">
              <w:rPr>
                <w:rFonts w:cs="Arial"/>
              </w:rPr>
              <w:t>Metropolitan EAD;</w:t>
            </w:r>
          </w:p>
          <w:p w14:paraId="0710FB3D" w14:textId="77777777" w:rsidR="00F1341F" w:rsidRPr="008340BB" w:rsidRDefault="00F1341F" w:rsidP="007B4B42">
            <w:pPr>
              <w:numPr>
                <w:ilvl w:val="0"/>
                <w:numId w:val="56"/>
              </w:numPr>
              <w:tabs>
                <w:tab w:val="clear" w:pos="2136"/>
                <w:tab w:val="num" w:pos="1080"/>
              </w:tabs>
              <w:autoSpaceDE w:val="0"/>
              <w:autoSpaceDN w:val="0"/>
              <w:adjustRightInd w:val="0"/>
              <w:spacing w:after="0"/>
              <w:ind w:left="1080" w:hanging="540"/>
              <w:rPr>
                <w:rFonts w:cs="Arial"/>
              </w:rPr>
            </w:pPr>
            <w:r w:rsidRPr="008340BB">
              <w:rPr>
                <w:rFonts w:cs="Arial"/>
              </w:rPr>
              <w:t>Executive Agency for Exploration and Maintenance of the Danube River (EAEMDR);</w:t>
            </w:r>
          </w:p>
          <w:p w14:paraId="3183092F" w14:textId="77777777" w:rsidR="00F1341F" w:rsidRPr="0067246B" w:rsidRDefault="004956FB" w:rsidP="007B4B42">
            <w:pPr>
              <w:numPr>
                <w:ilvl w:val="0"/>
                <w:numId w:val="56"/>
              </w:numPr>
              <w:tabs>
                <w:tab w:val="clear" w:pos="2136"/>
                <w:tab w:val="num" w:pos="1080"/>
              </w:tabs>
              <w:autoSpaceDE w:val="0"/>
              <w:autoSpaceDN w:val="0"/>
              <w:adjustRightInd w:val="0"/>
              <w:spacing w:after="0"/>
              <w:ind w:left="1080" w:hanging="540"/>
              <w:rPr>
                <w:rFonts w:cs="Arial"/>
                <w:lang w:eastAsia="bg-BG"/>
              </w:rPr>
            </w:pPr>
            <w:hyperlink r:id="rId96" w:history="1">
              <w:r w:rsidR="00F1341F" w:rsidRPr="0067246B">
                <w:rPr>
                  <w:rFonts w:cs="Arial"/>
                </w:rPr>
                <w:t>Bulgarian Ports Infrastructure Company</w:t>
              </w:r>
            </w:hyperlink>
            <w:r w:rsidR="00F1341F" w:rsidRPr="008340BB">
              <w:rPr>
                <w:rFonts w:cs="Arial"/>
              </w:rPr>
              <w:t xml:space="preserve"> (BPIC)</w:t>
            </w:r>
            <w:r w:rsidR="00F1341F" w:rsidRPr="0067246B">
              <w:rPr>
                <w:rFonts w:cs="Arial"/>
                <w:lang w:eastAsia="bg-BG"/>
              </w:rPr>
              <w:t>.</w:t>
            </w:r>
          </w:p>
          <w:p w14:paraId="0B04287E" w14:textId="77777777" w:rsidR="00F1341F" w:rsidRPr="00020ADD" w:rsidRDefault="00F1341F" w:rsidP="007B4B42">
            <w:pPr>
              <w:numPr>
                <w:ilvl w:val="0"/>
                <w:numId w:val="56"/>
              </w:numPr>
              <w:tabs>
                <w:tab w:val="clear" w:pos="2136"/>
                <w:tab w:val="num" w:pos="1080"/>
              </w:tabs>
              <w:autoSpaceDE w:val="0"/>
              <w:autoSpaceDN w:val="0"/>
              <w:adjustRightInd w:val="0"/>
              <w:spacing w:after="0"/>
              <w:ind w:left="1080" w:hanging="540"/>
              <w:rPr>
                <w:rFonts w:cs="Arial"/>
                <w:lang w:eastAsia="bg-BG"/>
              </w:rPr>
            </w:pPr>
            <w:r w:rsidRPr="00020ADD">
              <w:rPr>
                <w:rFonts w:cs="Arial"/>
                <w:lang w:eastAsia="bg-BG"/>
              </w:rPr>
              <w:t>EA “Maritime Administration”</w:t>
            </w:r>
          </w:p>
          <w:p w14:paraId="39922A23" w14:textId="77777777" w:rsidR="00F1341F" w:rsidRPr="00EA04DF" w:rsidRDefault="00F1341F" w:rsidP="00D05693">
            <w:pPr>
              <w:rPr>
                <w:rFonts w:cs="Arial"/>
                <w:b/>
                <w:lang w:eastAsia="bg-BG"/>
              </w:rPr>
            </w:pPr>
            <w:r w:rsidRPr="00EA04DF">
              <w:rPr>
                <w:rStyle w:val="hps"/>
                <w:b/>
              </w:rPr>
              <w:lastRenderedPageBreak/>
              <w:t>The Working Group</w:t>
            </w:r>
            <w:r w:rsidRPr="00EA04DF">
              <w:rPr>
                <w:b/>
              </w:rPr>
              <w:t xml:space="preserve"> </w:t>
            </w:r>
            <w:r w:rsidRPr="00EA04DF">
              <w:rPr>
                <w:rStyle w:val="hps"/>
                <w:b/>
              </w:rPr>
              <w:t>on development of</w:t>
            </w:r>
            <w:r w:rsidRPr="00EA04DF">
              <w:rPr>
                <w:b/>
              </w:rPr>
              <w:t xml:space="preserve"> </w:t>
            </w:r>
            <w:r w:rsidRPr="00EA04DF">
              <w:rPr>
                <w:rStyle w:val="hps"/>
                <w:b/>
              </w:rPr>
              <w:t>the OPTTI 2014-2020</w:t>
            </w:r>
            <w:r w:rsidRPr="00EA04DF">
              <w:rPr>
                <w:b/>
              </w:rPr>
              <w:t xml:space="preserve"> includes </w:t>
            </w:r>
            <w:r w:rsidRPr="00EA04DF">
              <w:rPr>
                <w:rStyle w:val="hps"/>
                <w:b/>
              </w:rPr>
              <w:t>representatives of the following</w:t>
            </w:r>
            <w:r w:rsidRPr="00EA04DF">
              <w:rPr>
                <w:b/>
              </w:rPr>
              <w:t xml:space="preserve"> </w:t>
            </w:r>
            <w:r w:rsidRPr="00EA04DF">
              <w:rPr>
                <w:rStyle w:val="hps"/>
                <w:b/>
              </w:rPr>
              <w:t>institutions and organisations</w:t>
            </w:r>
            <w:r w:rsidRPr="00EA04DF">
              <w:rPr>
                <w:b/>
              </w:rPr>
              <w:t>:</w:t>
            </w:r>
          </w:p>
          <w:p w14:paraId="37675BAE" w14:textId="77777777" w:rsidR="00F1341F" w:rsidRPr="008340BB" w:rsidRDefault="00F1341F" w:rsidP="00D05693">
            <w:pPr>
              <w:rPr>
                <w:rFonts w:cs="Arial"/>
                <w:b/>
                <w:bCs/>
                <w:lang w:eastAsia="bg-BG"/>
              </w:rPr>
            </w:pPr>
            <w:r w:rsidRPr="008340BB">
              <w:rPr>
                <w:rFonts w:cs="Arial"/>
                <w:b/>
                <w:bCs/>
                <w:lang w:eastAsia="bg-BG"/>
              </w:rPr>
              <w:t>Auditing body</w:t>
            </w:r>
          </w:p>
          <w:p w14:paraId="1334E952"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Executive Agency Audit of EU Funds – Ministry of Finance.</w:t>
            </w:r>
          </w:p>
          <w:p w14:paraId="6FE7B0B9" w14:textId="77777777" w:rsidR="00F1341F" w:rsidRPr="008340BB" w:rsidRDefault="00F1341F" w:rsidP="00D05693">
            <w:pPr>
              <w:rPr>
                <w:rFonts w:cs="Arial"/>
                <w:b/>
                <w:bCs/>
                <w:lang w:eastAsia="bg-BG"/>
              </w:rPr>
            </w:pPr>
            <w:r w:rsidRPr="008340BB">
              <w:rPr>
                <w:rFonts w:cs="Arial"/>
                <w:b/>
                <w:bCs/>
                <w:lang w:eastAsia="bg-BG"/>
              </w:rPr>
              <w:t>Council of Ministers</w:t>
            </w:r>
          </w:p>
          <w:p w14:paraId="2673A36B"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Strategic Development and Coordination Directorate;</w:t>
            </w:r>
          </w:p>
          <w:p w14:paraId="3D50FD3D"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Programming of EU Funds Directorate.</w:t>
            </w:r>
          </w:p>
          <w:p w14:paraId="670FDDEE" w14:textId="77777777" w:rsidR="00F1341F" w:rsidRPr="008340BB" w:rsidRDefault="00F1341F" w:rsidP="00D05693">
            <w:pPr>
              <w:rPr>
                <w:rFonts w:cs="Arial"/>
                <w:b/>
                <w:bCs/>
                <w:lang w:eastAsia="bg-BG"/>
              </w:rPr>
            </w:pPr>
            <w:r w:rsidRPr="008340BB">
              <w:rPr>
                <w:rFonts w:cs="Arial"/>
                <w:b/>
                <w:bCs/>
                <w:lang w:eastAsia="bg-BG"/>
              </w:rPr>
              <w:t>Ministry of Transport, Information Technology and Communications</w:t>
            </w:r>
          </w:p>
          <w:p w14:paraId="66C1EC51"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Coordination of Programmes and Projects Directorate;</w:t>
            </w:r>
          </w:p>
          <w:p w14:paraId="3893DF1B"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National Transport Policy Directorate.</w:t>
            </w:r>
          </w:p>
          <w:p w14:paraId="1BE2D611" w14:textId="77777777" w:rsidR="00F1341F" w:rsidRPr="008340BB" w:rsidRDefault="00F1341F" w:rsidP="00D05693">
            <w:pPr>
              <w:rPr>
                <w:rFonts w:cs="Arial"/>
                <w:b/>
                <w:bCs/>
                <w:lang w:eastAsia="bg-BG"/>
              </w:rPr>
            </w:pPr>
            <w:r w:rsidRPr="008340BB">
              <w:rPr>
                <w:rFonts w:cs="Arial"/>
                <w:b/>
                <w:bCs/>
                <w:lang w:eastAsia="bg-BG"/>
              </w:rPr>
              <w:t>Ministry of Environment and Water</w:t>
            </w:r>
          </w:p>
          <w:p w14:paraId="683B1A0C"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Cohesion Policy for Environment Directorate.</w:t>
            </w:r>
          </w:p>
          <w:p w14:paraId="3E633053" w14:textId="77777777" w:rsidR="00F1341F" w:rsidRPr="008340BB" w:rsidRDefault="00F1341F" w:rsidP="00D05693">
            <w:pPr>
              <w:rPr>
                <w:rFonts w:cs="Arial"/>
                <w:b/>
                <w:bCs/>
                <w:lang w:eastAsia="bg-BG"/>
              </w:rPr>
            </w:pPr>
            <w:r w:rsidRPr="008340BB">
              <w:rPr>
                <w:rFonts w:cs="Arial"/>
                <w:b/>
                <w:bCs/>
                <w:lang w:eastAsia="bg-BG"/>
              </w:rPr>
              <w:t>Ministry of Finance</w:t>
            </w:r>
          </w:p>
          <w:p w14:paraId="7E41C48E"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National Fund Directorate;</w:t>
            </w:r>
          </w:p>
          <w:p w14:paraId="3C1E64B6"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Economic and Financial Policy Directorate.</w:t>
            </w:r>
          </w:p>
          <w:p w14:paraId="750A6DF6" w14:textId="77777777" w:rsidR="00F1341F" w:rsidRPr="008340BB" w:rsidRDefault="00F1341F" w:rsidP="00D05693">
            <w:pPr>
              <w:rPr>
                <w:rFonts w:cs="Arial"/>
                <w:b/>
                <w:bCs/>
                <w:lang w:eastAsia="bg-BG"/>
              </w:rPr>
            </w:pPr>
            <w:r w:rsidRPr="008340BB">
              <w:rPr>
                <w:rFonts w:cs="Arial"/>
                <w:b/>
                <w:bCs/>
                <w:lang w:eastAsia="bg-BG"/>
              </w:rPr>
              <w:t>Ministry of Interior</w:t>
            </w:r>
          </w:p>
          <w:p w14:paraId="2C295A06"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Communication and Information Systems Directorate;</w:t>
            </w:r>
          </w:p>
          <w:p w14:paraId="496F6222"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National Police Chief Directorate.</w:t>
            </w:r>
          </w:p>
          <w:p w14:paraId="511496E8" w14:textId="77777777" w:rsidR="00F1341F" w:rsidRPr="008340BB" w:rsidRDefault="00F1341F" w:rsidP="00D05693">
            <w:pPr>
              <w:rPr>
                <w:rFonts w:cs="Arial"/>
                <w:b/>
                <w:bCs/>
                <w:lang w:eastAsia="bg-BG"/>
              </w:rPr>
            </w:pPr>
            <w:r w:rsidRPr="008340BB">
              <w:rPr>
                <w:rFonts w:cs="Arial"/>
                <w:b/>
                <w:bCs/>
                <w:lang w:eastAsia="bg-BG"/>
              </w:rPr>
              <w:t>Ministry of Regional Development and Public Works</w:t>
            </w:r>
          </w:p>
          <w:p w14:paraId="1DEE12FB"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Programming of Regional Development Directorate General;</w:t>
            </w:r>
          </w:p>
          <w:p w14:paraId="515AF2B6"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Road Projects Directorate.</w:t>
            </w:r>
          </w:p>
          <w:p w14:paraId="291E0D8E" w14:textId="77777777" w:rsidR="00F1341F" w:rsidRPr="008340BB" w:rsidRDefault="00F1341F" w:rsidP="00D05693">
            <w:pPr>
              <w:rPr>
                <w:rFonts w:cs="Arial"/>
                <w:b/>
                <w:bCs/>
                <w:lang w:eastAsia="bg-BG"/>
              </w:rPr>
            </w:pPr>
            <w:r w:rsidRPr="008340BB">
              <w:rPr>
                <w:rFonts w:cs="Arial"/>
                <w:b/>
                <w:bCs/>
                <w:lang w:eastAsia="bg-BG"/>
              </w:rPr>
              <w:t>National Statistical Institute</w:t>
            </w:r>
          </w:p>
          <w:p w14:paraId="00FAC779"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lang w:eastAsia="bg-BG"/>
              </w:rPr>
            </w:pPr>
            <w:r w:rsidRPr="008340BB">
              <w:rPr>
                <w:rFonts w:cs="Arial"/>
                <w:lang w:eastAsia="bg-BG"/>
              </w:rPr>
              <w:t>Business Statistics Directorate.</w:t>
            </w:r>
          </w:p>
          <w:p w14:paraId="2FC319FE" w14:textId="77777777" w:rsidR="00F1341F" w:rsidRPr="008340BB" w:rsidRDefault="00F1341F" w:rsidP="00D05693">
            <w:pPr>
              <w:rPr>
                <w:rFonts w:cs="Arial"/>
                <w:b/>
                <w:bCs/>
                <w:lang w:eastAsia="bg-BG"/>
              </w:rPr>
            </w:pPr>
            <w:r w:rsidRPr="008340BB">
              <w:rPr>
                <w:rFonts w:cs="Arial"/>
                <w:b/>
                <w:bCs/>
                <w:lang w:eastAsia="bg-BG"/>
              </w:rPr>
              <w:t>Beneficiaries of the OPTTI</w:t>
            </w:r>
          </w:p>
          <w:p w14:paraId="6AC8DF1E"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lang w:eastAsia="bg-BG"/>
              </w:rPr>
            </w:pPr>
            <w:r w:rsidRPr="008340BB">
              <w:rPr>
                <w:rFonts w:cs="Arial"/>
                <w:lang w:eastAsia="bg-BG"/>
              </w:rPr>
              <w:t>National Railway Infrastructure Company</w:t>
            </w:r>
            <w:r w:rsidRPr="008340BB">
              <w:rPr>
                <w:rFonts w:cs="Arial"/>
              </w:rPr>
              <w:t xml:space="preserve"> (NRI</w:t>
            </w:r>
            <w:r w:rsidR="00C83711">
              <w:rPr>
                <w:rFonts w:cs="Arial"/>
              </w:rPr>
              <w:t>C</w:t>
            </w:r>
            <w:r w:rsidRPr="008340BB">
              <w:rPr>
                <w:rFonts w:cs="Arial"/>
              </w:rPr>
              <w:t>)</w:t>
            </w:r>
            <w:r w:rsidRPr="008340BB">
              <w:rPr>
                <w:rFonts w:cs="Arial"/>
                <w:lang w:eastAsia="bg-BG"/>
              </w:rPr>
              <w:t>;</w:t>
            </w:r>
          </w:p>
          <w:p w14:paraId="37246FEE"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lang w:eastAsia="bg-BG"/>
              </w:rPr>
            </w:pPr>
            <w:r w:rsidRPr="008340BB">
              <w:rPr>
                <w:rFonts w:cs="Arial"/>
                <w:lang w:eastAsia="bg-BG"/>
              </w:rPr>
              <w:t xml:space="preserve">National Company Strategic Infrastructure Projects </w:t>
            </w:r>
            <w:r w:rsidRPr="008340BB">
              <w:rPr>
                <w:rFonts w:cs="Arial"/>
              </w:rPr>
              <w:t>(NC</w:t>
            </w:r>
            <w:r w:rsidR="00654DAA">
              <w:rPr>
                <w:rFonts w:cs="Arial"/>
              </w:rPr>
              <w:t xml:space="preserve"> </w:t>
            </w:r>
            <w:r w:rsidRPr="008340BB">
              <w:rPr>
                <w:rFonts w:cs="Arial"/>
              </w:rPr>
              <w:t>SIP)</w:t>
            </w:r>
            <w:r w:rsidR="000F6FCB">
              <w:rPr>
                <w:rFonts w:cs="Arial"/>
              </w:rPr>
              <w:t xml:space="preserve"> - </w:t>
            </w:r>
            <w:r w:rsidR="000F6FCB">
              <w:rPr>
                <w:rStyle w:val="hps"/>
                <w:szCs w:val="24"/>
              </w:rPr>
              <w:t>according to the amendment of the</w:t>
            </w:r>
            <w:r w:rsidR="000F6FCB" w:rsidRPr="003D3EA5">
              <w:rPr>
                <w:rStyle w:val="hps"/>
                <w:szCs w:val="24"/>
              </w:rPr>
              <w:t xml:space="preserve"> </w:t>
            </w:r>
            <w:r w:rsidR="000F6FCB">
              <w:rPr>
                <w:rStyle w:val="hps"/>
                <w:szCs w:val="24"/>
              </w:rPr>
              <w:t>Roads Act</w:t>
            </w:r>
            <w:r w:rsidR="000F6FCB" w:rsidRPr="003D3EA5">
              <w:rPr>
                <w:rStyle w:val="hps"/>
                <w:szCs w:val="24"/>
              </w:rPr>
              <w:t xml:space="preserve">, </w:t>
            </w:r>
            <w:r w:rsidR="000F6FCB">
              <w:rPr>
                <w:rStyle w:val="hps"/>
                <w:szCs w:val="24"/>
              </w:rPr>
              <w:t>adopted</w:t>
            </w:r>
            <w:r w:rsidR="000F6FCB" w:rsidRPr="003D3EA5">
              <w:rPr>
                <w:rStyle w:val="hps"/>
                <w:szCs w:val="24"/>
              </w:rPr>
              <w:t xml:space="preserve"> </w:t>
            </w:r>
            <w:r w:rsidR="000F6FCB">
              <w:rPr>
                <w:rStyle w:val="hps"/>
                <w:szCs w:val="24"/>
              </w:rPr>
              <w:t>on</w:t>
            </w:r>
            <w:r w:rsidR="000F6FCB" w:rsidRPr="003D3EA5">
              <w:rPr>
                <w:rStyle w:val="hps"/>
                <w:szCs w:val="24"/>
              </w:rPr>
              <w:t xml:space="preserve"> 07.04.2016, </w:t>
            </w:r>
            <w:r w:rsidR="000F6FCB">
              <w:rPr>
                <w:rStyle w:val="hps"/>
                <w:szCs w:val="24"/>
              </w:rPr>
              <w:t>the activity of</w:t>
            </w:r>
            <w:r w:rsidR="000F6FCB" w:rsidRPr="003D3EA5">
              <w:rPr>
                <w:rStyle w:val="hps"/>
                <w:szCs w:val="24"/>
              </w:rPr>
              <w:t xml:space="preserve"> </w:t>
            </w:r>
            <w:r w:rsidR="000F6FCB">
              <w:rPr>
                <w:rStyle w:val="hps"/>
                <w:szCs w:val="24"/>
              </w:rPr>
              <w:t>state</w:t>
            </w:r>
            <w:r w:rsidR="000F6FCB" w:rsidRPr="003D3EA5">
              <w:rPr>
                <w:rStyle w:val="hps"/>
                <w:szCs w:val="24"/>
              </w:rPr>
              <w:t xml:space="preserve"> </w:t>
            </w:r>
            <w:r w:rsidR="000F6FCB">
              <w:rPr>
                <w:rStyle w:val="hps"/>
                <w:szCs w:val="24"/>
              </w:rPr>
              <w:t>enterprise</w:t>
            </w:r>
            <w:r w:rsidR="000F6FCB" w:rsidRPr="003D3EA5">
              <w:rPr>
                <w:rStyle w:val="hps"/>
                <w:szCs w:val="24"/>
              </w:rPr>
              <w:t xml:space="preserve"> </w:t>
            </w:r>
            <w:r w:rsidR="000F6FCB">
              <w:rPr>
                <w:rStyle w:val="hps"/>
                <w:szCs w:val="24"/>
              </w:rPr>
              <w:t>National</w:t>
            </w:r>
            <w:r w:rsidR="000F6FCB" w:rsidRPr="003D3EA5">
              <w:rPr>
                <w:rStyle w:val="hps"/>
                <w:szCs w:val="24"/>
              </w:rPr>
              <w:t xml:space="preserve"> </w:t>
            </w:r>
            <w:r w:rsidR="000F6FCB">
              <w:rPr>
                <w:rStyle w:val="hps"/>
                <w:szCs w:val="24"/>
              </w:rPr>
              <w:t>Company “Strategic</w:t>
            </w:r>
            <w:r w:rsidR="000F6FCB" w:rsidRPr="003D3EA5">
              <w:rPr>
                <w:rStyle w:val="hps"/>
                <w:szCs w:val="24"/>
              </w:rPr>
              <w:t xml:space="preserve"> </w:t>
            </w:r>
            <w:r w:rsidR="000F6FCB">
              <w:rPr>
                <w:rStyle w:val="hps"/>
                <w:szCs w:val="24"/>
              </w:rPr>
              <w:t>Infrastructure</w:t>
            </w:r>
            <w:r w:rsidR="000F6FCB" w:rsidRPr="003D3EA5">
              <w:rPr>
                <w:rStyle w:val="hps"/>
                <w:szCs w:val="24"/>
              </w:rPr>
              <w:t xml:space="preserve"> </w:t>
            </w:r>
            <w:r w:rsidR="000F6FCB">
              <w:rPr>
                <w:rStyle w:val="hps"/>
                <w:szCs w:val="24"/>
              </w:rPr>
              <w:t>Projects</w:t>
            </w:r>
            <w:r w:rsidR="000F6FCB" w:rsidRPr="003D3EA5">
              <w:rPr>
                <w:rStyle w:val="hps"/>
                <w:szCs w:val="24"/>
              </w:rPr>
              <w:t>“</w:t>
            </w:r>
            <w:r w:rsidR="000F6FCB">
              <w:rPr>
                <w:rStyle w:val="hps"/>
                <w:szCs w:val="24"/>
              </w:rPr>
              <w:t xml:space="preserve"> was terminated</w:t>
            </w:r>
            <w:r w:rsidR="000F6FCB" w:rsidRPr="003D3EA5">
              <w:rPr>
                <w:rStyle w:val="hps"/>
                <w:szCs w:val="24"/>
              </w:rPr>
              <w:t xml:space="preserve">. </w:t>
            </w:r>
            <w:r w:rsidR="000F6FCB">
              <w:rPr>
                <w:rStyle w:val="hps"/>
                <w:szCs w:val="24"/>
              </w:rPr>
              <w:t>All</w:t>
            </w:r>
            <w:r w:rsidR="000F6FCB" w:rsidRPr="003D3EA5">
              <w:rPr>
                <w:rStyle w:val="hps"/>
                <w:szCs w:val="24"/>
              </w:rPr>
              <w:t xml:space="preserve"> </w:t>
            </w:r>
            <w:r w:rsidR="000F6FCB">
              <w:rPr>
                <w:rStyle w:val="hps"/>
                <w:szCs w:val="24"/>
              </w:rPr>
              <w:t>the assets</w:t>
            </w:r>
            <w:r w:rsidR="000F6FCB" w:rsidRPr="003D3EA5">
              <w:rPr>
                <w:rStyle w:val="hps"/>
                <w:szCs w:val="24"/>
              </w:rPr>
              <w:t xml:space="preserve">, </w:t>
            </w:r>
            <w:r w:rsidR="000F6FCB">
              <w:rPr>
                <w:rStyle w:val="hps"/>
                <w:szCs w:val="24"/>
              </w:rPr>
              <w:t>passives</w:t>
            </w:r>
            <w:r w:rsidR="000F6FCB" w:rsidRPr="003D3EA5">
              <w:rPr>
                <w:rStyle w:val="hps"/>
                <w:szCs w:val="24"/>
              </w:rPr>
              <w:t xml:space="preserve">, </w:t>
            </w:r>
            <w:r w:rsidR="000F6FCB">
              <w:rPr>
                <w:rStyle w:val="hps"/>
                <w:szCs w:val="24"/>
              </w:rPr>
              <w:t>records</w:t>
            </w:r>
            <w:r w:rsidR="000F6FCB" w:rsidRPr="003D3EA5">
              <w:rPr>
                <w:rStyle w:val="hps"/>
                <w:szCs w:val="24"/>
              </w:rPr>
              <w:t xml:space="preserve"> </w:t>
            </w:r>
            <w:r w:rsidR="000F6FCB">
              <w:rPr>
                <w:rStyle w:val="hps"/>
                <w:szCs w:val="24"/>
              </w:rPr>
              <w:t>and</w:t>
            </w:r>
            <w:r w:rsidR="000F6FCB" w:rsidRPr="003D3EA5">
              <w:rPr>
                <w:rStyle w:val="hps"/>
                <w:szCs w:val="24"/>
              </w:rPr>
              <w:t xml:space="preserve"> </w:t>
            </w:r>
            <w:r w:rsidR="000F6FCB">
              <w:rPr>
                <w:rStyle w:val="hps"/>
                <w:szCs w:val="24"/>
              </w:rPr>
              <w:t>other</w:t>
            </w:r>
            <w:r w:rsidR="000F6FCB" w:rsidRPr="003D3EA5">
              <w:rPr>
                <w:rStyle w:val="hps"/>
                <w:szCs w:val="24"/>
              </w:rPr>
              <w:t xml:space="preserve"> </w:t>
            </w:r>
            <w:r w:rsidR="000F6FCB">
              <w:rPr>
                <w:rStyle w:val="hps"/>
                <w:szCs w:val="24"/>
              </w:rPr>
              <w:t>rights</w:t>
            </w:r>
            <w:r w:rsidR="000F6FCB" w:rsidRPr="003D3EA5">
              <w:rPr>
                <w:rStyle w:val="hps"/>
                <w:szCs w:val="24"/>
              </w:rPr>
              <w:t xml:space="preserve"> </w:t>
            </w:r>
            <w:r w:rsidR="000F6FCB">
              <w:rPr>
                <w:rStyle w:val="hps"/>
                <w:szCs w:val="24"/>
              </w:rPr>
              <w:t>and</w:t>
            </w:r>
            <w:r w:rsidR="000F6FCB" w:rsidRPr="003D3EA5">
              <w:rPr>
                <w:rStyle w:val="hps"/>
                <w:szCs w:val="24"/>
              </w:rPr>
              <w:t xml:space="preserve"> </w:t>
            </w:r>
            <w:r w:rsidR="000F6FCB">
              <w:rPr>
                <w:rStyle w:val="hps"/>
                <w:szCs w:val="24"/>
              </w:rPr>
              <w:t>obligations</w:t>
            </w:r>
            <w:r w:rsidR="000F6FCB" w:rsidRPr="003D3EA5">
              <w:rPr>
                <w:rStyle w:val="hps"/>
                <w:szCs w:val="24"/>
              </w:rPr>
              <w:t xml:space="preserve"> </w:t>
            </w:r>
            <w:r w:rsidR="000F6FCB">
              <w:rPr>
                <w:rStyle w:val="hps"/>
                <w:szCs w:val="24"/>
              </w:rPr>
              <w:t>of the enterprise</w:t>
            </w:r>
            <w:r w:rsidR="000F6FCB" w:rsidRPr="003D3EA5">
              <w:rPr>
                <w:rStyle w:val="hps"/>
                <w:szCs w:val="24"/>
              </w:rPr>
              <w:t xml:space="preserve"> </w:t>
            </w:r>
            <w:r w:rsidR="000F6FCB">
              <w:rPr>
                <w:rStyle w:val="hps"/>
                <w:szCs w:val="24"/>
              </w:rPr>
              <w:t>are transferred to</w:t>
            </w:r>
            <w:r w:rsidR="000F6FCB" w:rsidRPr="003D3EA5">
              <w:rPr>
                <w:rStyle w:val="hps"/>
                <w:szCs w:val="24"/>
              </w:rPr>
              <w:t xml:space="preserve"> </w:t>
            </w:r>
            <w:r w:rsidR="000F6FCB">
              <w:rPr>
                <w:rStyle w:val="hps"/>
                <w:szCs w:val="24"/>
              </w:rPr>
              <w:t>the “Road</w:t>
            </w:r>
            <w:r w:rsidR="000F6FCB" w:rsidRPr="003D3EA5">
              <w:rPr>
                <w:rStyle w:val="hps"/>
                <w:szCs w:val="24"/>
              </w:rPr>
              <w:t xml:space="preserve"> </w:t>
            </w:r>
            <w:r w:rsidR="000F6FCB">
              <w:rPr>
                <w:rStyle w:val="hps"/>
                <w:szCs w:val="24"/>
              </w:rPr>
              <w:t>Infrastructure</w:t>
            </w:r>
            <w:r w:rsidR="000F6FCB" w:rsidRPr="003D3EA5">
              <w:rPr>
                <w:rStyle w:val="hps"/>
                <w:szCs w:val="24"/>
              </w:rPr>
              <w:t>“</w:t>
            </w:r>
            <w:r w:rsidR="000F6FCB">
              <w:rPr>
                <w:rStyle w:val="hps"/>
                <w:szCs w:val="24"/>
              </w:rPr>
              <w:t xml:space="preserve"> Agenc</w:t>
            </w:r>
            <w:r w:rsidR="00072B15">
              <w:rPr>
                <w:rStyle w:val="hps"/>
                <w:szCs w:val="24"/>
              </w:rPr>
              <w:t>y</w:t>
            </w:r>
            <w:r w:rsidRPr="008340BB">
              <w:rPr>
                <w:rFonts w:cs="Arial"/>
                <w:lang w:eastAsia="bg-BG"/>
              </w:rPr>
              <w:t>;</w:t>
            </w:r>
          </w:p>
          <w:p w14:paraId="0BE6E098"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lang w:eastAsia="bg-BG"/>
              </w:rPr>
            </w:pPr>
            <w:r w:rsidRPr="008340BB">
              <w:rPr>
                <w:rFonts w:cs="Arial"/>
                <w:lang w:eastAsia="bg-BG"/>
              </w:rPr>
              <w:t>Road Infrastructure Agency (RIA);</w:t>
            </w:r>
          </w:p>
          <w:p w14:paraId="3342E69C"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lang w:eastAsia="bg-BG"/>
              </w:rPr>
            </w:pPr>
            <w:r w:rsidRPr="008340BB">
              <w:rPr>
                <w:rFonts w:cs="Arial"/>
                <w:lang w:eastAsia="bg-BG"/>
              </w:rPr>
              <w:t>Metropolitan EAD;</w:t>
            </w:r>
          </w:p>
          <w:p w14:paraId="2895BBC6"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lang w:eastAsia="bg-BG"/>
              </w:rPr>
            </w:pPr>
            <w:r w:rsidRPr="008340BB">
              <w:rPr>
                <w:rFonts w:cs="Arial"/>
                <w:lang w:eastAsia="bg-BG"/>
              </w:rPr>
              <w:t>Executive Agency for Exploration and Maintenance of the Danube River (EAEMDR);</w:t>
            </w:r>
          </w:p>
          <w:p w14:paraId="13517140" w14:textId="77777777" w:rsidR="00F1341F" w:rsidRPr="0067246B" w:rsidRDefault="004956FB" w:rsidP="0089161E">
            <w:pPr>
              <w:numPr>
                <w:ilvl w:val="0"/>
                <w:numId w:val="57"/>
              </w:numPr>
              <w:overflowPunct w:val="0"/>
              <w:autoSpaceDE w:val="0"/>
              <w:autoSpaceDN w:val="0"/>
              <w:adjustRightInd w:val="0"/>
              <w:spacing w:after="0"/>
              <w:textAlignment w:val="baseline"/>
              <w:rPr>
                <w:rFonts w:cs="Arial"/>
                <w:lang w:eastAsia="bg-BG"/>
              </w:rPr>
            </w:pPr>
            <w:hyperlink r:id="rId97" w:history="1">
              <w:r w:rsidR="00F1341F" w:rsidRPr="008340BB">
                <w:rPr>
                  <w:rFonts w:cs="Arial"/>
                  <w:lang w:eastAsia="bg-BG"/>
                </w:rPr>
                <w:t>Bulgarian Ports Infrastructu</w:t>
              </w:r>
              <w:r w:rsidR="00F1341F" w:rsidRPr="0067246B">
                <w:rPr>
                  <w:rFonts w:cs="Arial"/>
                  <w:lang w:eastAsia="bg-BG"/>
                </w:rPr>
                <w:t>re Company</w:t>
              </w:r>
            </w:hyperlink>
            <w:r w:rsidR="00F1341F" w:rsidRPr="008340BB">
              <w:rPr>
                <w:rFonts w:cs="Arial"/>
                <w:lang w:eastAsia="bg-BG"/>
              </w:rPr>
              <w:t xml:space="preserve"> </w:t>
            </w:r>
            <w:r w:rsidR="00F1341F" w:rsidRPr="008340BB">
              <w:rPr>
                <w:rFonts w:cs="Arial"/>
              </w:rPr>
              <w:t>(BPIC)</w:t>
            </w:r>
            <w:r w:rsidR="00F1341F" w:rsidRPr="0067246B">
              <w:rPr>
                <w:rFonts w:cs="Arial"/>
                <w:lang w:eastAsia="bg-BG"/>
              </w:rPr>
              <w:t>.</w:t>
            </w:r>
          </w:p>
          <w:p w14:paraId="36726151" w14:textId="77777777" w:rsidR="00F1341F" w:rsidRPr="00020ADD" w:rsidRDefault="00F1341F" w:rsidP="0089161E">
            <w:pPr>
              <w:numPr>
                <w:ilvl w:val="0"/>
                <w:numId w:val="57"/>
              </w:numPr>
              <w:overflowPunct w:val="0"/>
              <w:autoSpaceDE w:val="0"/>
              <w:autoSpaceDN w:val="0"/>
              <w:adjustRightInd w:val="0"/>
              <w:spacing w:after="0"/>
              <w:textAlignment w:val="baseline"/>
              <w:rPr>
                <w:rFonts w:cs="Arial"/>
                <w:lang w:eastAsia="bg-BG"/>
              </w:rPr>
            </w:pPr>
            <w:r w:rsidRPr="00020ADD">
              <w:rPr>
                <w:rFonts w:cs="Arial"/>
                <w:lang w:eastAsia="bg-BG"/>
              </w:rPr>
              <w:t>Executive Agency Maritime Administration</w:t>
            </w:r>
          </w:p>
          <w:p w14:paraId="5D0C3BB0" w14:textId="77777777" w:rsidR="00F1341F" w:rsidRPr="00020ADD" w:rsidRDefault="00F1341F" w:rsidP="00D05693">
            <w:pPr>
              <w:rPr>
                <w:rFonts w:cs="Arial"/>
                <w:b/>
                <w:bCs/>
                <w:lang w:eastAsia="bg-BG"/>
              </w:rPr>
            </w:pPr>
            <w:r w:rsidRPr="00020ADD">
              <w:rPr>
                <w:rFonts w:cs="Arial"/>
                <w:b/>
                <w:bCs/>
                <w:lang w:eastAsia="bg-BG"/>
              </w:rPr>
              <w:t>Municipalities</w:t>
            </w:r>
          </w:p>
          <w:p w14:paraId="395AB1EB" w14:textId="77777777" w:rsidR="00F1341F" w:rsidRPr="00020ADD" w:rsidRDefault="00F1341F" w:rsidP="0089161E">
            <w:pPr>
              <w:numPr>
                <w:ilvl w:val="0"/>
                <w:numId w:val="57"/>
              </w:numPr>
              <w:overflowPunct w:val="0"/>
              <w:autoSpaceDE w:val="0"/>
              <w:autoSpaceDN w:val="0"/>
              <w:adjustRightInd w:val="0"/>
              <w:spacing w:after="0"/>
              <w:textAlignment w:val="baseline"/>
              <w:rPr>
                <w:rFonts w:cs="Arial"/>
                <w:iCs/>
                <w:lang w:eastAsia="bg-BG"/>
              </w:rPr>
            </w:pPr>
            <w:r w:rsidRPr="00020ADD">
              <w:rPr>
                <w:rFonts w:cs="Arial"/>
                <w:iCs/>
                <w:lang w:eastAsia="bg-BG"/>
              </w:rPr>
              <w:t>Metropolitan Municipality;</w:t>
            </w:r>
          </w:p>
          <w:p w14:paraId="67685C2F" w14:textId="77777777" w:rsidR="00F1341F" w:rsidRPr="00DC0475" w:rsidRDefault="00F1341F" w:rsidP="0089161E">
            <w:pPr>
              <w:numPr>
                <w:ilvl w:val="0"/>
                <w:numId w:val="57"/>
              </w:numPr>
              <w:overflowPunct w:val="0"/>
              <w:autoSpaceDE w:val="0"/>
              <w:autoSpaceDN w:val="0"/>
              <w:adjustRightInd w:val="0"/>
              <w:spacing w:after="0"/>
              <w:textAlignment w:val="baseline"/>
              <w:rPr>
                <w:rFonts w:cs="Arial"/>
                <w:iCs/>
                <w:lang w:eastAsia="bg-BG"/>
              </w:rPr>
            </w:pPr>
            <w:r w:rsidRPr="00DC0475">
              <w:rPr>
                <w:rFonts w:cs="Arial"/>
                <w:iCs/>
                <w:lang w:eastAsia="bg-BG"/>
              </w:rPr>
              <w:lastRenderedPageBreak/>
              <w:t>Plovdiv Municipality.</w:t>
            </w:r>
          </w:p>
          <w:p w14:paraId="29A572C8" w14:textId="77777777" w:rsidR="00F1341F" w:rsidRPr="00B5130A" w:rsidRDefault="00F1341F" w:rsidP="00D05693">
            <w:pPr>
              <w:rPr>
                <w:rFonts w:cs="Arial"/>
                <w:b/>
                <w:bCs/>
                <w:lang w:eastAsia="bg-BG"/>
              </w:rPr>
            </w:pPr>
            <w:r w:rsidRPr="00B5130A">
              <w:rPr>
                <w:rFonts w:cs="Arial"/>
                <w:b/>
                <w:bCs/>
                <w:lang w:eastAsia="bg-BG"/>
              </w:rPr>
              <w:t>District administrations</w:t>
            </w:r>
          </w:p>
          <w:p w14:paraId="4B313839" w14:textId="77777777" w:rsidR="00F1341F" w:rsidRPr="007F4905" w:rsidRDefault="00F1341F" w:rsidP="0089161E">
            <w:pPr>
              <w:numPr>
                <w:ilvl w:val="0"/>
                <w:numId w:val="57"/>
              </w:numPr>
              <w:overflowPunct w:val="0"/>
              <w:autoSpaceDE w:val="0"/>
              <w:autoSpaceDN w:val="0"/>
              <w:adjustRightInd w:val="0"/>
              <w:spacing w:after="0"/>
              <w:textAlignment w:val="baseline"/>
              <w:rPr>
                <w:rFonts w:cs="Arial"/>
                <w:lang w:eastAsia="bg-BG"/>
              </w:rPr>
            </w:pPr>
            <w:r w:rsidRPr="00BA2131">
              <w:rPr>
                <w:rFonts w:cs="Arial"/>
                <w:iCs/>
                <w:lang w:eastAsia="bg-BG"/>
              </w:rPr>
              <w:t>District Governor</w:t>
            </w:r>
            <w:r w:rsidRPr="007F4905">
              <w:rPr>
                <w:rFonts w:cs="Arial"/>
                <w:lang w:eastAsia="bg-BG"/>
              </w:rPr>
              <w:t xml:space="preserve"> of Yambol </w:t>
            </w:r>
            <w:r w:rsidRPr="007F4905">
              <w:rPr>
                <w:rFonts w:cs="Arial"/>
                <w:iCs/>
                <w:lang w:eastAsia="bg-BG"/>
              </w:rPr>
              <w:t>District</w:t>
            </w:r>
            <w:r w:rsidRPr="007F4905">
              <w:rPr>
                <w:rFonts w:cs="Arial"/>
                <w:lang w:eastAsia="bg-BG"/>
              </w:rPr>
              <w:t>;</w:t>
            </w:r>
          </w:p>
          <w:p w14:paraId="3A46CD2E"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lang w:eastAsia="bg-BG"/>
              </w:rPr>
            </w:pPr>
            <w:r w:rsidRPr="00A828C5">
              <w:rPr>
                <w:rFonts w:cs="Arial"/>
                <w:iCs/>
                <w:lang w:eastAsia="bg-BG"/>
              </w:rPr>
              <w:t>District Governor</w:t>
            </w:r>
            <w:r w:rsidRPr="008340BB">
              <w:rPr>
                <w:rFonts w:cs="Arial"/>
                <w:lang w:eastAsia="bg-BG"/>
              </w:rPr>
              <w:t xml:space="preserve"> of Gabrovo </w:t>
            </w:r>
            <w:r w:rsidRPr="008340BB">
              <w:rPr>
                <w:rFonts w:cs="Arial"/>
                <w:iCs/>
                <w:lang w:eastAsia="bg-BG"/>
              </w:rPr>
              <w:t>District</w:t>
            </w:r>
            <w:r w:rsidRPr="008340BB">
              <w:rPr>
                <w:rFonts w:cs="Arial"/>
                <w:lang w:eastAsia="bg-BG"/>
              </w:rPr>
              <w:t>;</w:t>
            </w:r>
          </w:p>
          <w:p w14:paraId="493A3BD2"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lang w:eastAsia="bg-BG"/>
              </w:rPr>
            </w:pPr>
            <w:r w:rsidRPr="008340BB">
              <w:rPr>
                <w:rFonts w:cs="Arial"/>
                <w:iCs/>
                <w:lang w:eastAsia="bg-BG"/>
              </w:rPr>
              <w:t>District Governor</w:t>
            </w:r>
            <w:r w:rsidRPr="008340BB">
              <w:rPr>
                <w:rFonts w:cs="Arial"/>
                <w:lang w:eastAsia="bg-BG"/>
              </w:rPr>
              <w:t xml:space="preserve"> of Dobrich </w:t>
            </w:r>
            <w:r w:rsidRPr="008340BB">
              <w:rPr>
                <w:rFonts w:cs="Arial"/>
                <w:iCs/>
                <w:lang w:eastAsia="bg-BG"/>
              </w:rPr>
              <w:t>District</w:t>
            </w:r>
            <w:r w:rsidRPr="008340BB">
              <w:rPr>
                <w:rFonts w:cs="Arial"/>
                <w:lang w:eastAsia="bg-BG"/>
              </w:rPr>
              <w:t>;</w:t>
            </w:r>
          </w:p>
          <w:p w14:paraId="5A15C686"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lang w:eastAsia="bg-BG"/>
              </w:rPr>
            </w:pPr>
            <w:r w:rsidRPr="008340BB">
              <w:rPr>
                <w:rFonts w:cs="Arial"/>
                <w:iCs/>
                <w:lang w:eastAsia="bg-BG"/>
              </w:rPr>
              <w:t>District Governor</w:t>
            </w:r>
            <w:r w:rsidRPr="008340BB">
              <w:rPr>
                <w:rFonts w:cs="Arial"/>
                <w:lang w:eastAsia="bg-BG"/>
              </w:rPr>
              <w:t xml:space="preserve"> of Haskovo </w:t>
            </w:r>
            <w:r w:rsidRPr="008340BB">
              <w:rPr>
                <w:rFonts w:cs="Arial"/>
                <w:iCs/>
                <w:lang w:eastAsia="bg-BG"/>
              </w:rPr>
              <w:t>District</w:t>
            </w:r>
            <w:r w:rsidRPr="008340BB">
              <w:rPr>
                <w:rFonts w:cs="Arial"/>
                <w:lang w:eastAsia="bg-BG"/>
              </w:rPr>
              <w:t>;</w:t>
            </w:r>
          </w:p>
          <w:p w14:paraId="106DD75A"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lang w:eastAsia="bg-BG"/>
              </w:rPr>
            </w:pPr>
            <w:r w:rsidRPr="008340BB">
              <w:rPr>
                <w:rFonts w:cs="Arial"/>
                <w:iCs/>
                <w:lang w:eastAsia="bg-BG"/>
              </w:rPr>
              <w:t>District Governor</w:t>
            </w:r>
            <w:r w:rsidRPr="008340BB">
              <w:rPr>
                <w:rFonts w:cs="Arial"/>
                <w:lang w:eastAsia="bg-BG"/>
              </w:rPr>
              <w:t xml:space="preserve"> of Vratsa </w:t>
            </w:r>
            <w:r w:rsidRPr="008340BB">
              <w:rPr>
                <w:rFonts w:cs="Arial"/>
                <w:iCs/>
                <w:lang w:eastAsia="bg-BG"/>
              </w:rPr>
              <w:t>District</w:t>
            </w:r>
            <w:r w:rsidRPr="008340BB">
              <w:rPr>
                <w:rFonts w:cs="Arial"/>
                <w:lang w:eastAsia="bg-BG"/>
              </w:rPr>
              <w:t>.</w:t>
            </w:r>
          </w:p>
          <w:p w14:paraId="60EB54E9" w14:textId="77777777" w:rsidR="00F1341F" w:rsidRPr="008340BB" w:rsidRDefault="00F1341F" w:rsidP="00D05693">
            <w:pPr>
              <w:rPr>
                <w:rFonts w:cs="Arial"/>
                <w:b/>
                <w:bCs/>
                <w:lang w:eastAsia="bg-BG"/>
              </w:rPr>
            </w:pPr>
            <w:r w:rsidRPr="008340BB">
              <w:rPr>
                <w:rFonts w:cs="Arial"/>
                <w:b/>
                <w:bCs/>
                <w:lang w:eastAsia="bg-BG"/>
              </w:rPr>
              <w:t>Other</w:t>
            </w:r>
          </w:p>
          <w:p w14:paraId="3F2557D8"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 xml:space="preserve">Bulgarian Association of Road Transport Unions; </w:t>
            </w:r>
          </w:p>
          <w:p w14:paraId="16A7D436"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Bulgarian Association of Consulting Companies in Railway Construction;</w:t>
            </w:r>
          </w:p>
          <w:p w14:paraId="3F84CDD2"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Union of Transport Trade Unions in Bulgaria;</w:t>
            </w:r>
          </w:p>
          <w:p w14:paraId="64D8BF96"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Association of Industrial Capital in Bulgaria;</w:t>
            </w:r>
          </w:p>
          <w:p w14:paraId="6A3AD693"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 xml:space="preserve">Bulgarian Chamber of Commerce and Industry; </w:t>
            </w:r>
          </w:p>
          <w:p w14:paraId="6E46B39F"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Bulgarian Industrial Association;</w:t>
            </w:r>
          </w:p>
          <w:p w14:paraId="2965BC05"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Confederation of Labour Podkrepa;</w:t>
            </w:r>
          </w:p>
          <w:p w14:paraId="3EEADCF7"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 xml:space="preserve">Union of Disabled People in Bulgaria; </w:t>
            </w:r>
          </w:p>
          <w:p w14:paraId="532BBEB4"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Association of Road Engineers and Consultants;</w:t>
            </w:r>
          </w:p>
          <w:p w14:paraId="503FEA76"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Bulgarian Federation for Passenger Transport;</w:t>
            </w:r>
          </w:p>
          <w:p w14:paraId="3F12A05C"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Commission for Protection against Discrimination;</w:t>
            </w:r>
          </w:p>
          <w:p w14:paraId="489ECE0D"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Information and Education Centre of Ecology;</w:t>
            </w:r>
          </w:p>
          <w:p w14:paraId="0F53A064" w14:textId="77777777" w:rsidR="00F1341F" w:rsidRPr="008340BB" w:rsidRDefault="00F1341F" w:rsidP="0089161E">
            <w:pPr>
              <w:numPr>
                <w:ilvl w:val="0"/>
                <w:numId w:val="57"/>
              </w:numPr>
              <w:overflowPunct w:val="0"/>
              <w:autoSpaceDE w:val="0"/>
              <w:autoSpaceDN w:val="0"/>
              <w:adjustRightInd w:val="0"/>
              <w:spacing w:after="0"/>
              <w:textAlignment w:val="baseline"/>
              <w:rPr>
                <w:rFonts w:cs="Arial"/>
                <w:iCs/>
                <w:lang w:eastAsia="bg-BG"/>
              </w:rPr>
            </w:pPr>
            <w:r w:rsidRPr="008340BB">
              <w:rPr>
                <w:rFonts w:cs="Arial"/>
                <w:iCs/>
                <w:lang w:eastAsia="bg-BG"/>
              </w:rPr>
              <w:t>Bulgarian Orthodox Church.</w:t>
            </w:r>
          </w:p>
          <w:p w14:paraId="163CE3BD" w14:textId="77777777" w:rsidR="00F1341F" w:rsidRPr="008340BB" w:rsidRDefault="00F1341F" w:rsidP="00F03C1E"/>
        </w:tc>
      </w:tr>
    </w:tbl>
    <w:p w14:paraId="56DAD288" w14:textId="77777777" w:rsidR="00F1341F" w:rsidRPr="008340BB" w:rsidRDefault="00F1341F" w:rsidP="00F03C1E"/>
    <w:p w14:paraId="23CB9090" w14:textId="77777777" w:rsidR="00F1341F" w:rsidRPr="008340BB" w:rsidRDefault="00F1341F" w:rsidP="00F03C1E">
      <w:pPr>
        <w:pStyle w:val="Subject"/>
        <w:ind w:left="0" w:firstLine="0"/>
      </w:pPr>
      <w:r w:rsidRPr="008340BB">
        <w:br w:type="page"/>
      </w:r>
      <w:r w:rsidRPr="008340BB">
        <w:lastRenderedPageBreak/>
        <w:t>ANNEXES (uploaded to electronic data exchange system as separate files):</w:t>
      </w:r>
    </w:p>
    <w:p w14:paraId="5375A008" w14:textId="77777777" w:rsidR="00F1341F" w:rsidRPr="008340BB" w:rsidRDefault="00F1341F" w:rsidP="00ED5DE5">
      <w:pPr>
        <w:pStyle w:val="Bullet0"/>
        <w:numPr>
          <w:ilvl w:val="0"/>
          <w:numId w:val="30"/>
        </w:numPr>
        <w:tabs>
          <w:tab w:val="clear" w:pos="926"/>
        </w:tabs>
      </w:pPr>
      <w:r w:rsidRPr="008340BB">
        <w:t xml:space="preserve">Draft report of ex-ante evaluation with executive summary (mandatory) </w:t>
      </w:r>
    </w:p>
    <w:p w14:paraId="628923D4" w14:textId="77777777" w:rsidR="00F1341F" w:rsidRPr="008340BB" w:rsidRDefault="00F1341F" w:rsidP="00A13A6F">
      <w:pPr>
        <w:pStyle w:val="Text1"/>
        <w:rPr>
          <w:lang w:val="en-GB"/>
        </w:rPr>
      </w:pPr>
      <w:r w:rsidRPr="008340BB">
        <w:rPr>
          <w:lang w:val="en-GB"/>
        </w:rPr>
        <w:t>(Reference: Article 55(2) of Regulation (EU) No 1303/2013)</w:t>
      </w:r>
    </w:p>
    <w:p w14:paraId="42305C73" w14:textId="77777777" w:rsidR="00F1341F" w:rsidRDefault="00F1341F" w:rsidP="00ED5DE5">
      <w:pPr>
        <w:pStyle w:val="Bullet0"/>
        <w:numPr>
          <w:ilvl w:val="0"/>
          <w:numId w:val="30"/>
        </w:numPr>
        <w:tabs>
          <w:tab w:val="clear" w:pos="926"/>
        </w:tabs>
      </w:pPr>
      <w:r w:rsidRPr="008340BB">
        <w:t>Documentation on assessment of applicability and fulfilment of ex-ante conditionalities (as appropriate)</w:t>
      </w:r>
    </w:p>
    <w:p w14:paraId="545778D9" w14:textId="77777777" w:rsidR="007D0715" w:rsidRPr="007D0715" w:rsidRDefault="007D0715" w:rsidP="00ED5DE5">
      <w:pPr>
        <w:pStyle w:val="Bullet0"/>
        <w:numPr>
          <w:ilvl w:val="0"/>
          <w:numId w:val="30"/>
        </w:numPr>
        <w:tabs>
          <w:tab w:val="clear" w:pos="926"/>
        </w:tabs>
      </w:pPr>
      <w:r>
        <w:t xml:space="preserve">Action Plan for implementation of the </w:t>
      </w:r>
      <w:r w:rsidR="00DE0244">
        <w:t xml:space="preserve">ex-ante conditionalities </w:t>
      </w:r>
    </w:p>
    <w:p w14:paraId="3AC40B34" w14:textId="77777777" w:rsidR="00F1341F" w:rsidRPr="008340BB" w:rsidRDefault="00F1341F" w:rsidP="00ED5DE5">
      <w:pPr>
        <w:pStyle w:val="Bullet0"/>
        <w:numPr>
          <w:ilvl w:val="0"/>
          <w:numId w:val="30"/>
        </w:numPr>
        <w:tabs>
          <w:tab w:val="clear" w:pos="926"/>
        </w:tabs>
      </w:pPr>
      <w:r w:rsidRPr="00A828C5">
        <w:t>Opinion of national equality bodies on sections 12.2 and 12.3 (as appropriate) (Reference: Ar</w:t>
      </w:r>
      <w:r w:rsidRPr="008340BB">
        <w:t>ticle 96(7) of Regulation (EU) No 1303/2013)</w:t>
      </w:r>
    </w:p>
    <w:p w14:paraId="0DEE92B9" w14:textId="77777777" w:rsidR="00F1341F" w:rsidRPr="008340BB" w:rsidRDefault="00F1341F" w:rsidP="00ED5DE5">
      <w:pPr>
        <w:pStyle w:val="Bullet0"/>
        <w:numPr>
          <w:ilvl w:val="0"/>
          <w:numId w:val="30"/>
        </w:numPr>
        <w:tabs>
          <w:tab w:val="clear" w:pos="926"/>
        </w:tabs>
      </w:pPr>
      <w:r w:rsidRPr="008340BB">
        <w:t>Citizens' summary of operational programme (as appropriate)</w:t>
      </w:r>
    </w:p>
    <w:sectPr w:rsidR="00F1341F" w:rsidRPr="008340BB" w:rsidSect="001E1D6F">
      <w:headerReference w:type="default" r:id="rId98"/>
      <w:footerReference w:type="default" r:id="rId99"/>
      <w:headerReference w:type="first" r:id="rId100"/>
      <w:footerReference w:type="first" r:id="rId101"/>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A8F13" w14:textId="77777777" w:rsidR="004956FB" w:rsidRPr="001C2523" w:rsidRDefault="004956FB" w:rsidP="00292003">
      <w:pPr>
        <w:spacing w:before="0" w:after="0"/>
      </w:pPr>
      <w:r w:rsidRPr="001C2523">
        <w:separator/>
      </w:r>
    </w:p>
  </w:endnote>
  <w:endnote w:type="continuationSeparator" w:id="0">
    <w:p w14:paraId="1174D210" w14:textId="77777777" w:rsidR="004956FB" w:rsidRPr="001C2523" w:rsidRDefault="004956FB" w:rsidP="00292003">
      <w:pPr>
        <w:spacing w:before="0" w:after="0"/>
      </w:pPr>
      <w:r w:rsidRPr="001C25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TimesNewRoman">
    <w:altName w:val="Times New Roman"/>
    <w:panose1 w:val="00000000000000000000"/>
    <w:charset w:val="CC"/>
    <w:family w:val="auto"/>
    <w:notTrueType/>
    <w:pitch w:val="default"/>
    <w:sig w:usb0="00000001" w:usb1="00000000" w:usb2="00000000" w:usb3="00000000" w:csb0="00000005" w:csb1="00000000"/>
  </w:font>
  <w:font w:name="Webdings">
    <w:panose1 w:val="05030102010509060703"/>
    <w:charset w:val="02"/>
    <w:family w:val="roman"/>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Bold">
    <w:altName w:val="Times New Roman"/>
    <w:panose1 w:val="00000000000000000000"/>
    <w:charset w:val="CC"/>
    <w:family w:val="auto"/>
    <w:notTrueType/>
    <w:pitch w:val="default"/>
    <w:sig w:usb0="00000001" w:usb1="00000000" w:usb2="00000000" w:usb3="00000000" w:csb0="00000005" w:csb1="00000000"/>
  </w:font>
  <w:font w:name="SymbolMT">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84984" w14:textId="42ABE680" w:rsidR="00274612" w:rsidRPr="001E1D6F" w:rsidRDefault="00274612" w:rsidP="001E1D6F">
    <w:pPr>
      <w:pStyle w:val="Footer"/>
      <w:rPr>
        <w:rFonts w:ascii="Arial" w:hAnsi="Arial" w:cs="Arial"/>
        <w:b/>
        <w:sz w:val="48"/>
      </w:rPr>
    </w:pPr>
    <w:r w:rsidRPr="001E1D6F">
      <w:rPr>
        <w:rFonts w:ascii="Arial" w:hAnsi="Arial" w:cs="Arial"/>
        <w:b/>
        <w:sz w:val="48"/>
      </w:rPr>
      <w:t>EN</w:t>
    </w:r>
    <w:r w:rsidRPr="001E1D6F">
      <w:rPr>
        <w:rFonts w:ascii="Arial" w:hAnsi="Arial" w:cs="Arial"/>
        <w:b/>
        <w:sz w:val="48"/>
      </w:rPr>
      <w:tab/>
    </w:r>
    <w:r w:rsidRPr="001E1D6F">
      <w:rPr>
        <w:rFonts w:ascii="Arial" w:hAnsi="Arial" w:cs="Arial"/>
        <w:b/>
        <w:sz w:val="48"/>
      </w:rPr>
      <w:tab/>
    </w:r>
    <w:fldSimple w:instr=" DOCVARIABLE &quot;LW_Confidence&quot; \* MERGEFORMAT ">
      <w:r>
        <w:t xml:space="preserve"> </w:t>
      </w:r>
    </w:fldSimple>
    <w:r w:rsidRPr="001E1D6F">
      <w:tab/>
    </w:r>
    <w:r w:rsidRPr="001E1D6F">
      <w:rPr>
        <w:rFonts w:ascii="Arial" w:hAnsi="Arial" w:cs="Arial"/>
        <w:b/>
        <w:sz w:val="48"/>
      </w:rPr>
      <w:t>EN</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78B4A" w14:textId="6A763E8F" w:rsidR="00274612" w:rsidRPr="001E1D6F" w:rsidRDefault="00274612" w:rsidP="001E1D6F">
    <w:pPr>
      <w:pStyle w:val="FooterLandscape"/>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48</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28653" w14:textId="77777777" w:rsidR="00274612" w:rsidRPr="001E1D6F" w:rsidRDefault="00274612" w:rsidP="001E1D6F">
    <w:pPr>
      <w:pStyle w:val="FooterLandscap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F9670" w14:textId="485D725E" w:rsidR="00274612" w:rsidRPr="001E1D6F" w:rsidRDefault="00274612" w:rsidP="001E1D6F">
    <w:pPr>
      <w:pStyle w:val="Footer"/>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53</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39DC2" w14:textId="77777777" w:rsidR="00274612" w:rsidRPr="001E1D6F" w:rsidRDefault="00274612" w:rsidP="001E1D6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FAB5D" w14:textId="3A52E940" w:rsidR="00274612" w:rsidRPr="001E1D6F" w:rsidRDefault="00274612" w:rsidP="001E1D6F">
    <w:pPr>
      <w:pStyle w:val="FooterLandscape"/>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56</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6340D" w14:textId="77777777" w:rsidR="00274612" w:rsidRPr="001E1D6F" w:rsidRDefault="00274612" w:rsidP="001E1D6F">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520AF" w14:textId="080AAFA4" w:rsidR="00274612" w:rsidRPr="001E1D6F" w:rsidRDefault="00274612" w:rsidP="001E1D6F">
    <w:pPr>
      <w:pStyle w:val="Footer"/>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63</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74139" w14:textId="77777777" w:rsidR="00274612" w:rsidRPr="001E1D6F" w:rsidRDefault="00274612" w:rsidP="001E1D6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0D6A8" w14:textId="6F06B01C" w:rsidR="00274612" w:rsidRPr="001E1D6F" w:rsidRDefault="00274612" w:rsidP="001E1D6F">
    <w:pPr>
      <w:pStyle w:val="FooterLandscape"/>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65</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14091" w14:textId="77777777" w:rsidR="00274612" w:rsidRPr="001E1D6F" w:rsidRDefault="00274612" w:rsidP="001E1D6F">
    <w:pPr>
      <w:pStyle w:val="FooterLandscap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34CED" w14:textId="7DD71973" w:rsidR="00274612" w:rsidRPr="001E1D6F" w:rsidRDefault="00274612" w:rsidP="001E1D6F">
    <w:pPr>
      <w:pStyle w:val="FooterLandscape"/>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29</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D4B07" w14:textId="0EB490C0" w:rsidR="00274612" w:rsidRPr="001E1D6F" w:rsidRDefault="00274612" w:rsidP="001E1D6F">
    <w:pPr>
      <w:pStyle w:val="Footer"/>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71</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C9D26" w14:textId="77777777" w:rsidR="00274612" w:rsidRPr="001E1D6F" w:rsidRDefault="00274612" w:rsidP="001E1D6F">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1A2D" w14:textId="3A53FE23" w:rsidR="00274612" w:rsidRPr="001E1D6F" w:rsidRDefault="00274612" w:rsidP="001E1D6F">
    <w:pPr>
      <w:pStyle w:val="FooterLandscape"/>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74</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F02B0" w14:textId="77777777" w:rsidR="00274612" w:rsidRPr="001E1D6F" w:rsidRDefault="00274612" w:rsidP="001E1D6F">
    <w:pPr>
      <w:pStyle w:val="FooterLandscap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ED52D" w14:textId="04D2573A" w:rsidR="00274612" w:rsidRPr="001E1D6F" w:rsidRDefault="00274612" w:rsidP="001E1D6F">
    <w:pPr>
      <w:pStyle w:val="Footer"/>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79</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B8B58" w14:textId="77777777" w:rsidR="00274612" w:rsidRPr="001E1D6F" w:rsidRDefault="00274612" w:rsidP="001E1D6F">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12411" w14:textId="31AC147F" w:rsidR="00274612" w:rsidRPr="001E1D6F" w:rsidRDefault="00274612" w:rsidP="001E1D6F">
    <w:pPr>
      <w:pStyle w:val="FooterLandscape"/>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82</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9A11E" w14:textId="77777777" w:rsidR="00274612" w:rsidRPr="001E1D6F" w:rsidRDefault="00274612" w:rsidP="001E1D6F">
    <w:pPr>
      <w:pStyle w:val="FooterLandscap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24833" w14:textId="111B0635" w:rsidR="00274612" w:rsidRPr="001E1D6F" w:rsidRDefault="00274612" w:rsidP="001E1D6F">
    <w:pPr>
      <w:pStyle w:val="Footer"/>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86</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860E9" w14:textId="77777777" w:rsidR="00274612" w:rsidRPr="001E1D6F" w:rsidRDefault="00274612" w:rsidP="001E1D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78003" w14:textId="77777777" w:rsidR="00274612" w:rsidRPr="001E1D6F" w:rsidRDefault="00274612" w:rsidP="001E1D6F">
    <w:pPr>
      <w:pStyle w:val="FooterLandscap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6F1EA" w14:textId="4630C5FE" w:rsidR="00274612" w:rsidRPr="001E1D6F" w:rsidRDefault="00274612" w:rsidP="001E1D6F">
    <w:pPr>
      <w:pStyle w:val="FooterLandscape"/>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88</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E8F69" w14:textId="77777777" w:rsidR="00274612" w:rsidRPr="001E1D6F" w:rsidRDefault="00274612" w:rsidP="001E1D6F">
    <w:pPr>
      <w:pStyle w:val="FooterLandscap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5B1D1" w14:textId="244C699D" w:rsidR="00274612" w:rsidRPr="001E1D6F" w:rsidRDefault="00274612" w:rsidP="001E1D6F">
    <w:pPr>
      <w:pStyle w:val="Footer"/>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92</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B466E" w14:textId="77777777" w:rsidR="00274612" w:rsidRPr="001E1D6F" w:rsidRDefault="00274612" w:rsidP="001E1D6F">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E8621" w14:textId="63DE2D8B" w:rsidR="00274612" w:rsidRPr="001E1D6F" w:rsidRDefault="00274612" w:rsidP="001E1D6F">
    <w:pPr>
      <w:pStyle w:val="FooterLandscape"/>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96</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F6407" w14:textId="77777777" w:rsidR="00274612" w:rsidRPr="001E1D6F" w:rsidRDefault="00274612" w:rsidP="001E1D6F">
    <w:pPr>
      <w:pStyle w:val="FooterLandscape"/>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9F210" w14:textId="564D0FE8" w:rsidR="00274612" w:rsidRPr="001E1D6F" w:rsidRDefault="00274612" w:rsidP="001E1D6F">
    <w:pPr>
      <w:pStyle w:val="Footer"/>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102</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5CE7C" w14:textId="77777777" w:rsidR="00274612" w:rsidRPr="001E1D6F" w:rsidRDefault="00274612" w:rsidP="001E1D6F">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268AD" w14:textId="4338741D" w:rsidR="00274612" w:rsidRPr="001E1D6F" w:rsidRDefault="00274612" w:rsidP="001E1D6F">
    <w:pPr>
      <w:pStyle w:val="FooterLandscape"/>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104</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B2E77" w14:textId="77777777" w:rsidR="00274612" w:rsidRPr="001E1D6F" w:rsidRDefault="00274612" w:rsidP="001E1D6F">
    <w:pPr>
      <w:pStyle w:val="FooterLandscap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37ADB" w14:textId="797D77EA" w:rsidR="00274612" w:rsidRPr="001E1D6F" w:rsidRDefault="00274612" w:rsidP="001E1D6F">
    <w:pPr>
      <w:pStyle w:val="Footer"/>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31</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74EC2" w14:textId="39145391" w:rsidR="00274612" w:rsidRPr="001E1D6F" w:rsidRDefault="00274612" w:rsidP="001E1D6F">
    <w:pPr>
      <w:pStyle w:val="Footer"/>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125</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34FC8" w14:textId="77777777" w:rsidR="00274612" w:rsidRPr="001E1D6F" w:rsidRDefault="00274612" w:rsidP="001E1D6F">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60497" w14:textId="1364FD5C" w:rsidR="00274612" w:rsidRPr="001E1D6F" w:rsidRDefault="00274612" w:rsidP="001E1D6F">
    <w:pPr>
      <w:pStyle w:val="FooterLandscape"/>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129</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598E0" w14:textId="77777777" w:rsidR="00274612" w:rsidRPr="001E1D6F" w:rsidRDefault="00274612" w:rsidP="001E1D6F">
    <w:pPr>
      <w:pStyle w:val="FooterLandscap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6038F" w14:textId="2891568D" w:rsidR="00274612" w:rsidRPr="001E1D6F" w:rsidRDefault="00274612" w:rsidP="001E1D6F">
    <w:pPr>
      <w:pStyle w:val="Footer"/>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139</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C93A5" w14:textId="77777777" w:rsidR="00274612" w:rsidRPr="001E1D6F" w:rsidRDefault="00274612" w:rsidP="001E1D6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58DBE" w14:textId="77777777" w:rsidR="00274612" w:rsidRPr="001E1D6F" w:rsidRDefault="00274612" w:rsidP="001E1D6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4E4A3" w14:textId="3D86A924" w:rsidR="00274612" w:rsidRPr="001E1D6F" w:rsidRDefault="00274612" w:rsidP="001E1D6F">
    <w:pPr>
      <w:pStyle w:val="FooterLandscape"/>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36</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F7D3C" w14:textId="77777777" w:rsidR="00274612" w:rsidRPr="001E1D6F" w:rsidRDefault="00274612" w:rsidP="001E1D6F">
    <w:pPr>
      <w:pStyle w:val="FooterLandscap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7D6B5" w14:textId="5CA84981" w:rsidR="00274612" w:rsidRPr="001E1D6F" w:rsidRDefault="00274612" w:rsidP="001E1D6F">
    <w:pPr>
      <w:pStyle w:val="Footer"/>
      <w:rPr>
        <w:rFonts w:ascii="Arial" w:hAnsi="Arial" w:cs="Arial"/>
        <w:b/>
        <w:sz w:val="48"/>
      </w:rPr>
    </w:pPr>
    <w:r w:rsidRPr="001E1D6F">
      <w:rPr>
        <w:rFonts w:ascii="Arial" w:hAnsi="Arial" w:cs="Arial"/>
        <w:b/>
        <w:sz w:val="48"/>
      </w:rPr>
      <w:t>EN</w:t>
    </w:r>
    <w:r w:rsidRPr="001E1D6F">
      <w:rPr>
        <w:rFonts w:ascii="Arial" w:hAnsi="Arial" w:cs="Arial"/>
        <w:b/>
        <w:sz w:val="48"/>
      </w:rPr>
      <w:tab/>
    </w:r>
    <w:r>
      <w:fldChar w:fldCharType="begin"/>
    </w:r>
    <w:r>
      <w:instrText xml:space="preserve"> PAGE  \* MERGEFORMAT </w:instrText>
    </w:r>
    <w:r>
      <w:fldChar w:fldCharType="separate"/>
    </w:r>
    <w:r w:rsidR="00F53B08">
      <w:rPr>
        <w:noProof/>
      </w:rPr>
      <w:t>46</w:t>
    </w:r>
    <w:r>
      <w:fldChar w:fldCharType="end"/>
    </w:r>
    <w:r>
      <w:tab/>
    </w:r>
    <w:fldSimple w:instr=" DOCVARIABLE &quot;LW_Confidence&quot; \* MERGEFORMAT ">
      <w:r>
        <w:t xml:space="preserve"> </w:t>
      </w:r>
    </w:fldSimple>
    <w:r w:rsidRPr="001E1D6F">
      <w:tab/>
    </w:r>
    <w:r w:rsidRPr="001E1D6F">
      <w:rPr>
        <w:rFonts w:ascii="Arial" w:hAnsi="Arial" w:cs="Arial"/>
        <w:b/>
        <w:sz w:val="48"/>
      </w:rPr>
      <w:t>EN</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79D59" w14:textId="77777777" w:rsidR="00274612" w:rsidRPr="001E1D6F" w:rsidRDefault="00274612" w:rsidP="001E1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878F0" w14:textId="77777777" w:rsidR="004956FB" w:rsidRPr="001C2523" w:rsidRDefault="004956FB" w:rsidP="00292003">
      <w:pPr>
        <w:spacing w:before="0" w:after="0"/>
      </w:pPr>
      <w:r w:rsidRPr="001C2523">
        <w:separator/>
      </w:r>
    </w:p>
  </w:footnote>
  <w:footnote w:type="continuationSeparator" w:id="0">
    <w:p w14:paraId="24C70000" w14:textId="77777777" w:rsidR="004956FB" w:rsidRPr="001C2523" w:rsidRDefault="004956FB" w:rsidP="00292003">
      <w:pPr>
        <w:spacing w:before="0" w:after="0"/>
      </w:pPr>
      <w:r w:rsidRPr="001C2523">
        <w:continuationSeparator/>
      </w:r>
    </w:p>
  </w:footnote>
  <w:footnote w:id="1">
    <w:p w14:paraId="3A537B7A" w14:textId="77777777" w:rsidR="00274612" w:rsidRDefault="00274612" w:rsidP="000856FB">
      <w:pPr>
        <w:autoSpaceDE w:val="0"/>
        <w:autoSpaceDN w:val="0"/>
        <w:adjustRightInd w:val="0"/>
      </w:pPr>
      <w:r w:rsidRPr="0086059D">
        <w:rPr>
          <w:rStyle w:val="FootnoteReference"/>
        </w:rPr>
        <w:footnoteRef/>
      </w:r>
      <w:r w:rsidRPr="0086059D">
        <w:rPr>
          <w:sz w:val="22"/>
        </w:rPr>
        <w:t xml:space="preserve">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w:t>
      </w:r>
      <w:r w:rsidRPr="0086059D">
        <w:rPr>
          <w:sz w:val="20"/>
        </w:rPr>
        <w:t>general provisions on the European Regional Development Fund, the European Social Fund, the Cohesion Fund and the European Maritime and Fisheries Fund and repealing Council Regulation (EC) No 1083/2006 (OJ L 347, 20.12.</w:t>
      </w:r>
      <w:r w:rsidRPr="004A6C3A">
        <w:rPr>
          <w:sz w:val="20"/>
        </w:rPr>
        <w:t xml:space="preserve">2013, p. 320) - </w:t>
      </w:r>
      <w:r w:rsidRPr="004A6C3A">
        <w:rPr>
          <w:sz w:val="20"/>
          <w:lang w:val="en-US"/>
        </w:rPr>
        <w:t>http://eur-lex.europa.eu/LexUriServ/LexUriServ.do?uri=OJ:L:2013:347:0320:0469:BG:PDF</w:t>
      </w:r>
      <w:r w:rsidRPr="004A6C3A">
        <w:rPr>
          <w:sz w:val="20"/>
        </w:rPr>
        <w:t>.</w:t>
      </w:r>
    </w:p>
  </w:footnote>
  <w:footnote w:id="2">
    <w:p w14:paraId="2FB4C433" w14:textId="77777777" w:rsidR="00274612" w:rsidRDefault="00274612">
      <w:pPr>
        <w:pStyle w:val="FootnoteText"/>
      </w:pPr>
      <w:r>
        <w:rPr>
          <w:rStyle w:val="FootnoteReference"/>
        </w:rPr>
        <w:footnoteRef/>
      </w:r>
      <w:r w:rsidRPr="00243777">
        <w:rPr>
          <w:lang w:val="bg-BG"/>
        </w:rPr>
        <w:t xml:space="preserve"> </w:t>
      </w:r>
      <w:hyperlink r:id="rId1" w:history="1">
        <w:r w:rsidRPr="0016596C">
          <w:rPr>
            <w:rStyle w:val="Hyperlink"/>
            <w:color w:val="000000"/>
          </w:rPr>
          <w:t>http</w:t>
        </w:r>
        <w:r w:rsidRPr="0016596C">
          <w:rPr>
            <w:rStyle w:val="Hyperlink"/>
            <w:color w:val="000000"/>
            <w:lang w:val="bg-BG"/>
          </w:rPr>
          <w:t>://</w:t>
        </w:r>
        <w:r w:rsidRPr="0016596C">
          <w:rPr>
            <w:rStyle w:val="Hyperlink"/>
            <w:color w:val="000000"/>
          </w:rPr>
          <w:t>eur</w:t>
        </w:r>
        <w:r w:rsidRPr="0016596C">
          <w:rPr>
            <w:rStyle w:val="Hyperlink"/>
            <w:color w:val="000000"/>
            <w:lang w:val="bg-BG"/>
          </w:rPr>
          <w:t>-</w:t>
        </w:r>
        <w:r w:rsidRPr="0016596C">
          <w:rPr>
            <w:rStyle w:val="Hyperlink"/>
            <w:color w:val="000000"/>
          </w:rPr>
          <w:t>lex</w:t>
        </w:r>
        <w:r w:rsidRPr="0016596C">
          <w:rPr>
            <w:rStyle w:val="Hyperlink"/>
            <w:color w:val="000000"/>
            <w:lang w:val="bg-BG"/>
          </w:rPr>
          <w:t>.</w:t>
        </w:r>
        <w:r w:rsidRPr="0016596C">
          <w:rPr>
            <w:rStyle w:val="Hyperlink"/>
            <w:color w:val="000000"/>
          </w:rPr>
          <w:t>europa</w:t>
        </w:r>
        <w:r w:rsidRPr="0016596C">
          <w:rPr>
            <w:rStyle w:val="Hyperlink"/>
            <w:color w:val="000000"/>
            <w:lang w:val="bg-BG"/>
          </w:rPr>
          <w:t>.</w:t>
        </w:r>
        <w:r w:rsidRPr="0016596C">
          <w:rPr>
            <w:rStyle w:val="Hyperlink"/>
            <w:color w:val="000000"/>
          </w:rPr>
          <w:t>eu</w:t>
        </w:r>
        <w:r w:rsidRPr="0016596C">
          <w:rPr>
            <w:rStyle w:val="Hyperlink"/>
            <w:color w:val="000000"/>
            <w:lang w:val="bg-BG"/>
          </w:rPr>
          <w:t>/</w:t>
        </w:r>
        <w:r w:rsidRPr="0016596C">
          <w:rPr>
            <w:rStyle w:val="Hyperlink"/>
            <w:color w:val="000000"/>
          </w:rPr>
          <w:t>LexUriServ</w:t>
        </w:r>
        <w:r w:rsidRPr="0016596C">
          <w:rPr>
            <w:rStyle w:val="Hyperlink"/>
            <w:color w:val="000000"/>
            <w:lang w:val="bg-BG"/>
          </w:rPr>
          <w:t>/</w:t>
        </w:r>
        <w:r w:rsidRPr="0016596C">
          <w:rPr>
            <w:rStyle w:val="Hyperlink"/>
            <w:color w:val="000000"/>
          </w:rPr>
          <w:t>LexUriServ</w:t>
        </w:r>
        <w:r w:rsidRPr="0016596C">
          <w:rPr>
            <w:rStyle w:val="Hyperlink"/>
            <w:color w:val="000000"/>
            <w:lang w:val="bg-BG"/>
          </w:rPr>
          <w:t>.</w:t>
        </w:r>
        <w:r w:rsidRPr="0016596C">
          <w:rPr>
            <w:rStyle w:val="Hyperlink"/>
            <w:color w:val="000000"/>
          </w:rPr>
          <w:t>do</w:t>
        </w:r>
        <w:r w:rsidRPr="0016596C">
          <w:rPr>
            <w:rStyle w:val="Hyperlink"/>
            <w:color w:val="000000"/>
            <w:lang w:val="bg-BG"/>
          </w:rPr>
          <w:t>?</w:t>
        </w:r>
        <w:r w:rsidRPr="0016596C">
          <w:rPr>
            <w:rStyle w:val="Hyperlink"/>
            <w:color w:val="000000"/>
          </w:rPr>
          <w:t>uri</w:t>
        </w:r>
        <w:r w:rsidRPr="0016596C">
          <w:rPr>
            <w:rStyle w:val="Hyperlink"/>
            <w:color w:val="000000"/>
            <w:lang w:val="bg-BG"/>
          </w:rPr>
          <w:t>=</w:t>
        </w:r>
        <w:r w:rsidRPr="0016596C">
          <w:rPr>
            <w:rStyle w:val="Hyperlink"/>
            <w:color w:val="000000"/>
          </w:rPr>
          <w:t>COM</w:t>
        </w:r>
        <w:r w:rsidRPr="0016596C">
          <w:rPr>
            <w:rStyle w:val="Hyperlink"/>
            <w:color w:val="000000"/>
            <w:lang w:val="bg-BG"/>
          </w:rPr>
          <w:t>:2010:2020:</w:t>
        </w:r>
        <w:r w:rsidRPr="0016596C">
          <w:rPr>
            <w:rStyle w:val="Hyperlink"/>
            <w:color w:val="000000"/>
          </w:rPr>
          <w:t>FIN</w:t>
        </w:r>
        <w:r w:rsidRPr="0016596C">
          <w:rPr>
            <w:rStyle w:val="Hyperlink"/>
            <w:color w:val="000000"/>
            <w:lang w:val="bg-BG"/>
          </w:rPr>
          <w:t>:</w:t>
        </w:r>
        <w:r w:rsidRPr="0016596C">
          <w:rPr>
            <w:rStyle w:val="Hyperlink"/>
            <w:color w:val="000000"/>
          </w:rPr>
          <w:t>BG</w:t>
        </w:r>
        <w:r w:rsidRPr="0016596C">
          <w:rPr>
            <w:rStyle w:val="Hyperlink"/>
            <w:color w:val="000000"/>
            <w:lang w:val="bg-BG"/>
          </w:rPr>
          <w:t>:</w:t>
        </w:r>
        <w:r w:rsidRPr="0016596C">
          <w:rPr>
            <w:rStyle w:val="Hyperlink"/>
            <w:color w:val="000000"/>
          </w:rPr>
          <w:t>PDF</w:t>
        </w:r>
      </w:hyperlink>
      <w:r>
        <w:rPr>
          <w:rStyle w:val="Hyperlink"/>
          <w:color w:val="000000"/>
        </w:rPr>
        <w:t xml:space="preserve"> </w:t>
      </w:r>
    </w:p>
  </w:footnote>
  <w:footnote w:id="3">
    <w:p w14:paraId="44D799F1" w14:textId="77777777" w:rsidR="00274612" w:rsidRDefault="00274612" w:rsidP="008C3213">
      <w:pPr>
        <w:pStyle w:val="FootnoteText"/>
      </w:pPr>
      <w:r w:rsidRPr="0016596C">
        <w:rPr>
          <w:rStyle w:val="FootnoteReference"/>
          <w:color w:val="000000"/>
        </w:rPr>
        <w:footnoteRef/>
      </w:r>
      <w:r w:rsidRPr="0016596C">
        <w:rPr>
          <w:color w:val="000000"/>
          <w:lang w:val="bg-BG"/>
        </w:rPr>
        <w:t xml:space="preserve"> </w:t>
      </w:r>
      <w:hyperlink r:id="rId2" w:history="1">
        <w:r w:rsidRPr="0016596C">
          <w:rPr>
            <w:rStyle w:val="Hyperlink"/>
            <w:color w:val="000000"/>
          </w:rPr>
          <w:t>http</w:t>
        </w:r>
        <w:r w:rsidRPr="0016596C">
          <w:rPr>
            <w:rStyle w:val="Hyperlink"/>
            <w:color w:val="000000"/>
            <w:lang w:val="bg-BG"/>
          </w:rPr>
          <w:t>://</w:t>
        </w:r>
        <w:r w:rsidRPr="0016596C">
          <w:rPr>
            <w:rStyle w:val="Hyperlink"/>
            <w:color w:val="000000"/>
          </w:rPr>
          <w:t>www</w:t>
        </w:r>
        <w:r w:rsidRPr="0016596C">
          <w:rPr>
            <w:rStyle w:val="Hyperlink"/>
            <w:color w:val="000000"/>
            <w:lang w:val="bg-BG"/>
          </w:rPr>
          <w:t>.</w:t>
        </w:r>
        <w:r w:rsidRPr="0016596C">
          <w:rPr>
            <w:rStyle w:val="Hyperlink"/>
            <w:color w:val="000000"/>
          </w:rPr>
          <w:t>eufunds</w:t>
        </w:r>
        <w:r w:rsidRPr="0016596C">
          <w:rPr>
            <w:rStyle w:val="Hyperlink"/>
            <w:color w:val="000000"/>
            <w:lang w:val="bg-BG"/>
          </w:rPr>
          <w:t>.</w:t>
        </w:r>
        <w:r w:rsidRPr="0016596C">
          <w:rPr>
            <w:rStyle w:val="Hyperlink"/>
            <w:color w:val="000000"/>
          </w:rPr>
          <w:t>bg</w:t>
        </w:r>
        <w:r w:rsidRPr="0016596C">
          <w:rPr>
            <w:rStyle w:val="Hyperlink"/>
            <w:color w:val="000000"/>
            <w:lang w:val="bg-BG"/>
          </w:rPr>
          <w:t>/</w:t>
        </w:r>
        <w:r w:rsidRPr="0016596C">
          <w:rPr>
            <w:rStyle w:val="Hyperlink"/>
            <w:color w:val="000000"/>
          </w:rPr>
          <w:t>document</w:t>
        </w:r>
        <w:r w:rsidRPr="0016596C">
          <w:rPr>
            <w:rStyle w:val="Hyperlink"/>
            <w:color w:val="000000"/>
            <w:lang w:val="bg-BG"/>
          </w:rPr>
          <w:t>/1064</w:t>
        </w:r>
      </w:hyperlink>
      <w:r w:rsidRPr="0016596C">
        <w:rPr>
          <w:color w:val="000000"/>
          <w:lang w:val="bg-BG"/>
        </w:rPr>
        <w:t xml:space="preserve"> </w:t>
      </w:r>
    </w:p>
  </w:footnote>
  <w:footnote w:id="4">
    <w:p w14:paraId="1E397BFC" w14:textId="77777777" w:rsidR="00274612" w:rsidRDefault="00274612" w:rsidP="00D34F40">
      <w:pPr>
        <w:pStyle w:val="FootnoteText"/>
      </w:pPr>
      <w:r w:rsidRPr="0016596C">
        <w:rPr>
          <w:rStyle w:val="FootnoteReference"/>
          <w:color w:val="000000"/>
        </w:rPr>
        <w:footnoteRef/>
      </w:r>
      <w:r w:rsidRPr="0016596C">
        <w:rPr>
          <w:color w:val="000000"/>
          <w:lang w:val="bg-BG"/>
        </w:rPr>
        <w:t xml:space="preserve"> </w:t>
      </w:r>
      <w:hyperlink r:id="rId3" w:history="1">
        <w:r w:rsidRPr="0016596C">
          <w:rPr>
            <w:rStyle w:val="Hyperlink"/>
            <w:color w:val="000000"/>
          </w:rPr>
          <w:t>http</w:t>
        </w:r>
        <w:r w:rsidRPr="0016596C">
          <w:rPr>
            <w:rStyle w:val="Hyperlink"/>
            <w:color w:val="000000"/>
            <w:lang w:val="bg-BG"/>
          </w:rPr>
          <w:t>://</w:t>
        </w:r>
        <w:r w:rsidRPr="0016596C">
          <w:rPr>
            <w:rStyle w:val="Hyperlink"/>
            <w:color w:val="000000"/>
          </w:rPr>
          <w:t>www</w:t>
        </w:r>
        <w:r w:rsidRPr="0016596C">
          <w:rPr>
            <w:rStyle w:val="Hyperlink"/>
            <w:color w:val="000000"/>
            <w:lang w:val="bg-BG"/>
          </w:rPr>
          <w:t>.</w:t>
        </w:r>
        <w:r w:rsidRPr="0016596C">
          <w:rPr>
            <w:rStyle w:val="Hyperlink"/>
            <w:color w:val="000000"/>
          </w:rPr>
          <w:t>eufunds</w:t>
        </w:r>
        <w:r w:rsidRPr="0016596C">
          <w:rPr>
            <w:rStyle w:val="Hyperlink"/>
            <w:color w:val="000000"/>
            <w:lang w:val="bg-BG"/>
          </w:rPr>
          <w:t>.</w:t>
        </w:r>
        <w:r w:rsidRPr="0016596C">
          <w:rPr>
            <w:rStyle w:val="Hyperlink"/>
            <w:color w:val="000000"/>
          </w:rPr>
          <w:t>bg</w:t>
        </w:r>
        <w:r w:rsidRPr="0016596C">
          <w:rPr>
            <w:rStyle w:val="Hyperlink"/>
            <w:color w:val="000000"/>
            <w:lang w:val="bg-BG"/>
          </w:rPr>
          <w:t>/</w:t>
        </w:r>
        <w:r w:rsidRPr="0016596C">
          <w:rPr>
            <w:rStyle w:val="Hyperlink"/>
            <w:color w:val="000000"/>
          </w:rPr>
          <w:t>document</w:t>
        </w:r>
        <w:r w:rsidRPr="0016596C">
          <w:rPr>
            <w:rStyle w:val="Hyperlink"/>
            <w:color w:val="000000"/>
            <w:lang w:val="bg-BG"/>
          </w:rPr>
          <w:t>/4354</w:t>
        </w:r>
      </w:hyperlink>
      <w:r w:rsidRPr="006715E7">
        <w:rPr>
          <w:lang w:val="bg-BG"/>
        </w:rPr>
        <w:t xml:space="preserve"> </w:t>
      </w:r>
    </w:p>
  </w:footnote>
  <w:footnote w:id="5">
    <w:p w14:paraId="1E562653" w14:textId="77777777" w:rsidR="00274612" w:rsidRDefault="00274612" w:rsidP="00D34F40">
      <w:pPr>
        <w:pStyle w:val="FootnoteText"/>
      </w:pPr>
      <w:r w:rsidRPr="00D650E0">
        <w:rPr>
          <w:rStyle w:val="FootnoteReference"/>
        </w:rPr>
        <w:footnoteRef/>
      </w:r>
      <w:r w:rsidRPr="00D650E0">
        <w:rPr>
          <w:lang w:val="bg-BG"/>
        </w:rPr>
        <w:t xml:space="preserve"> </w:t>
      </w:r>
      <w:hyperlink r:id="rId4" w:history="1">
        <w:r w:rsidRPr="00D650E0">
          <w:rPr>
            <w:rStyle w:val="Hyperlink"/>
          </w:rPr>
          <w:t>http</w:t>
        </w:r>
        <w:r w:rsidRPr="00D650E0">
          <w:rPr>
            <w:rStyle w:val="Hyperlink"/>
            <w:lang w:val="bg-BG"/>
          </w:rPr>
          <w:t>://</w:t>
        </w:r>
        <w:r w:rsidRPr="00D650E0">
          <w:rPr>
            <w:rStyle w:val="Hyperlink"/>
          </w:rPr>
          <w:t>eur</w:t>
        </w:r>
        <w:r w:rsidRPr="00D650E0">
          <w:rPr>
            <w:rStyle w:val="Hyperlink"/>
            <w:lang w:val="bg-BG"/>
          </w:rPr>
          <w:t>-</w:t>
        </w:r>
        <w:r w:rsidRPr="00D650E0">
          <w:rPr>
            <w:rStyle w:val="Hyperlink"/>
          </w:rPr>
          <w:t>lex</w:t>
        </w:r>
        <w:r w:rsidRPr="00D650E0">
          <w:rPr>
            <w:rStyle w:val="Hyperlink"/>
            <w:lang w:val="bg-BG"/>
          </w:rPr>
          <w:t>.</w:t>
        </w:r>
        <w:r w:rsidRPr="00D650E0">
          <w:rPr>
            <w:rStyle w:val="Hyperlink"/>
          </w:rPr>
          <w:t>europa</w:t>
        </w:r>
        <w:r w:rsidRPr="00D650E0">
          <w:rPr>
            <w:rStyle w:val="Hyperlink"/>
            <w:lang w:val="bg-BG"/>
          </w:rPr>
          <w:t>.</w:t>
        </w:r>
        <w:r w:rsidRPr="00D650E0">
          <w:rPr>
            <w:rStyle w:val="Hyperlink"/>
          </w:rPr>
          <w:t>eu</w:t>
        </w:r>
        <w:r w:rsidRPr="00D650E0">
          <w:rPr>
            <w:rStyle w:val="Hyperlink"/>
            <w:lang w:val="bg-BG"/>
          </w:rPr>
          <w:t>/</w:t>
        </w:r>
        <w:r w:rsidRPr="00D650E0">
          <w:rPr>
            <w:rStyle w:val="Hyperlink"/>
          </w:rPr>
          <w:t>LexUriServ</w:t>
        </w:r>
        <w:r w:rsidRPr="00D650E0">
          <w:rPr>
            <w:rStyle w:val="Hyperlink"/>
            <w:lang w:val="bg-BG"/>
          </w:rPr>
          <w:t>/</w:t>
        </w:r>
        <w:r w:rsidRPr="00D650E0">
          <w:rPr>
            <w:rStyle w:val="Hyperlink"/>
          </w:rPr>
          <w:t>LexUriServ</w:t>
        </w:r>
        <w:r w:rsidRPr="00D650E0">
          <w:rPr>
            <w:rStyle w:val="Hyperlink"/>
            <w:lang w:val="bg-BG"/>
          </w:rPr>
          <w:t>.</w:t>
        </w:r>
        <w:r w:rsidRPr="00D650E0">
          <w:rPr>
            <w:rStyle w:val="Hyperlink"/>
          </w:rPr>
          <w:t>do</w:t>
        </w:r>
        <w:r w:rsidRPr="00D650E0">
          <w:rPr>
            <w:rStyle w:val="Hyperlink"/>
            <w:lang w:val="bg-BG"/>
          </w:rPr>
          <w:t>?</w:t>
        </w:r>
        <w:r w:rsidRPr="00D650E0">
          <w:rPr>
            <w:rStyle w:val="Hyperlink"/>
          </w:rPr>
          <w:t>uri</w:t>
        </w:r>
        <w:r w:rsidRPr="00D650E0">
          <w:rPr>
            <w:rStyle w:val="Hyperlink"/>
            <w:lang w:val="bg-BG"/>
          </w:rPr>
          <w:t>=</w:t>
        </w:r>
        <w:r w:rsidRPr="00D650E0">
          <w:rPr>
            <w:rStyle w:val="Hyperlink"/>
          </w:rPr>
          <w:t>COM</w:t>
        </w:r>
        <w:r w:rsidRPr="00D650E0">
          <w:rPr>
            <w:rStyle w:val="Hyperlink"/>
            <w:lang w:val="bg-BG"/>
          </w:rPr>
          <w:t>:2011:0144:</w:t>
        </w:r>
        <w:r w:rsidRPr="00D650E0">
          <w:rPr>
            <w:rStyle w:val="Hyperlink"/>
          </w:rPr>
          <w:t>FIN</w:t>
        </w:r>
        <w:r w:rsidRPr="00D650E0">
          <w:rPr>
            <w:rStyle w:val="Hyperlink"/>
            <w:lang w:val="bg-BG"/>
          </w:rPr>
          <w:t>:</w:t>
        </w:r>
        <w:r w:rsidRPr="00D650E0">
          <w:rPr>
            <w:rStyle w:val="Hyperlink"/>
          </w:rPr>
          <w:t>BG</w:t>
        </w:r>
        <w:r w:rsidRPr="00D650E0">
          <w:rPr>
            <w:rStyle w:val="Hyperlink"/>
            <w:lang w:val="bg-BG"/>
          </w:rPr>
          <w:t>:</w:t>
        </w:r>
        <w:r w:rsidRPr="00D650E0">
          <w:rPr>
            <w:rStyle w:val="Hyperlink"/>
          </w:rPr>
          <w:t>PDF</w:t>
        </w:r>
      </w:hyperlink>
      <w:r w:rsidRPr="00D650E0">
        <w:rPr>
          <w:lang w:val="bg-BG"/>
        </w:rPr>
        <w:t xml:space="preserve"> </w:t>
      </w:r>
    </w:p>
  </w:footnote>
  <w:footnote w:id="6">
    <w:p w14:paraId="6A090555" w14:textId="77777777" w:rsidR="00274612" w:rsidRDefault="00274612" w:rsidP="00D34F40">
      <w:pPr>
        <w:pStyle w:val="FootnoteText"/>
        <w:ind w:left="142" w:hanging="142"/>
        <w:jc w:val="left"/>
      </w:pPr>
      <w:r w:rsidRPr="00D650E0">
        <w:rPr>
          <w:rStyle w:val="FootnoteReference"/>
        </w:rPr>
        <w:footnoteRef/>
      </w:r>
      <w:r w:rsidRPr="00D650E0">
        <w:rPr>
          <w:lang w:val="bg-BG"/>
        </w:rPr>
        <w:t xml:space="preserve"> </w:t>
      </w:r>
      <w:r w:rsidRPr="00D650E0">
        <w:rPr>
          <w:lang w:val="bg-BG"/>
        </w:rPr>
        <w:tab/>
      </w:r>
      <w:hyperlink r:id="rId5" w:history="1">
        <w:r w:rsidRPr="00D650E0">
          <w:rPr>
            <w:rStyle w:val="Hyperlink"/>
            <w:lang w:val="bg-BG"/>
          </w:rPr>
          <w:t>http://eur-lex.europa.eu/LexUriServ/LexUriServ.do?uri=OJ:L:2013:348:0129:0171:EN:PDF</w:t>
        </w:r>
      </w:hyperlink>
      <w:r>
        <w:rPr>
          <w:lang w:val="bg-BG"/>
        </w:rPr>
        <w:t xml:space="preserve">   </w:t>
      </w:r>
    </w:p>
  </w:footnote>
  <w:footnote w:id="7">
    <w:p w14:paraId="771E7D25" w14:textId="77777777" w:rsidR="00274612" w:rsidRDefault="00274612" w:rsidP="00D34F40">
      <w:pPr>
        <w:pStyle w:val="FootnoteText"/>
        <w:ind w:left="180" w:hanging="180"/>
        <w:jc w:val="left"/>
      </w:pPr>
      <w:r w:rsidRPr="0059267E">
        <w:rPr>
          <w:rStyle w:val="FootnoteReference"/>
        </w:rPr>
        <w:footnoteRef/>
      </w:r>
      <w:r w:rsidRPr="0059267E">
        <w:rPr>
          <w:lang w:val="bg-BG"/>
        </w:rPr>
        <w:t xml:space="preserve">  </w:t>
      </w:r>
      <w:hyperlink r:id="rId6" w:history="1">
        <w:r w:rsidRPr="0059267E">
          <w:rPr>
            <w:rStyle w:val="Hyperlink"/>
            <w:color w:val="auto"/>
            <w:lang w:val="bg-BG"/>
          </w:rPr>
          <w:t>http://www.bgregio.eu/media/files/Programirane%20&amp;%20ocenka/Programirane%202014-2020/NKPR%20proekt.pdf</w:t>
        </w:r>
      </w:hyperlink>
      <w:r w:rsidRPr="0059267E">
        <w:rPr>
          <w:lang w:val="bg-BG"/>
        </w:rPr>
        <w:t xml:space="preserve"> </w:t>
      </w:r>
    </w:p>
  </w:footnote>
  <w:footnote w:id="8">
    <w:p w14:paraId="67B3EA87" w14:textId="77777777" w:rsidR="00274612" w:rsidRPr="0059267E" w:rsidRDefault="00274612" w:rsidP="00D34F40">
      <w:pPr>
        <w:pStyle w:val="FootnoteText"/>
        <w:tabs>
          <w:tab w:val="left" w:pos="284"/>
          <w:tab w:val="left" w:pos="1134"/>
        </w:tabs>
        <w:ind w:left="709" w:hanging="709"/>
        <w:jc w:val="left"/>
        <w:rPr>
          <w:lang w:val="bg-BG"/>
        </w:rPr>
      </w:pPr>
      <w:r w:rsidRPr="0059267E">
        <w:rPr>
          <w:rStyle w:val="FootnoteReference"/>
        </w:rPr>
        <w:footnoteRef/>
      </w:r>
      <w:r w:rsidRPr="0059267E">
        <w:rPr>
          <w:rStyle w:val="FootnoteReference"/>
          <w:lang w:val="bg-BG"/>
        </w:rPr>
        <w:t xml:space="preserve"> </w:t>
      </w:r>
      <w:hyperlink r:id="rId7" w:history="1">
        <w:r w:rsidRPr="0059267E">
          <w:rPr>
            <w:rStyle w:val="Hyperlink"/>
            <w:color w:val="auto"/>
          </w:rPr>
          <w:t>http</w:t>
        </w:r>
        <w:r w:rsidRPr="0059267E">
          <w:rPr>
            <w:rStyle w:val="Hyperlink"/>
            <w:color w:val="auto"/>
            <w:lang w:val="bg-BG"/>
          </w:rPr>
          <w:t>://</w:t>
        </w:r>
        <w:r w:rsidRPr="0059267E">
          <w:rPr>
            <w:rStyle w:val="Hyperlink"/>
            <w:color w:val="auto"/>
          </w:rPr>
          <w:t>www</w:t>
        </w:r>
        <w:r w:rsidRPr="0059267E">
          <w:rPr>
            <w:rStyle w:val="Hyperlink"/>
            <w:color w:val="auto"/>
            <w:lang w:val="bg-BG"/>
          </w:rPr>
          <w:t>.</w:t>
        </w:r>
        <w:r w:rsidRPr="0059267E">
          <w:rPr>
            <w:rStyle w:val="Hyperlink"/>
            <w:color w:val="auto"/>
          </w:rPr>
          <w:t>mtitc</w:t>
        </w:r>
        <w:r w:rsidRPr="0059267E">
          <w:rPr>
            <w:rStyle w:val="Hyperlink"/>
            <w:color w:val="auto"/>
            <w:lang w:val="bg-BG"/>
          </w:rPr>
          <w:t>.</w:t>
        </w:r>
        <w:r w:rsidRPr="0059267E">
          <w:rPr>
            <w:rStyle w:val="Hyperlink"/>
            <w:color w:val="auto"/>
          </w:rPr>
          <w:t>government</w:t>
        </w:r>
        <w:r w:rsidRPr="0059267E">
          <w:rPr>
            <w:rStyle w:val="Hyperlink"/>
            <w:color w:val="auto"/>
            <w:lang w:val="bg-BG"/>
          </w:rPr>
          <w:t>.</w:t>
        </w:r>
        <w:r w:rsidRPr="0059267E">
          <w:rPr>
            <w:rStyle w:val="Hyperlink"/>
            <w:color w:val="auto"/>
          </w:rPr>
          <w:t>bg</w:t>
        </w:r>
        <w:r w:rsidRPr="0059267E">
          <w:rPr>
            <w:rStyle w:val="Hyperlink"/>
            <w:color w:val="auto"/>
            <w:lang w:val="bg-BG"/>
          </w:rPr>
          <w:t>/</w:t>
        </w:r>
        <w:r w:rsidRPr="0059267E">
          <w:rPr>
            <w:rStyle w:val="Hyperlink"/>
            <w:color w:val="auto"/>
          </w:rPr>
          <w:t>upload</w:t>
        </w:r>
        <w:r w:rsidRPr="0059267E">
          <w:rPr>
            <w:rStyle w:val="Hyperlink"/>
            <w:color w:val="auto"/>
            <w:lang w:val="bg-BG"/>
          </w:rPr>
          <w:t>/</w:t>
        </w:r>
        <w:r w:rsidRPr="0059267E">
          <w:rPr>
            <w:rStyle w:val="Hyperlink"/>
            <w:color w:val="auto"/>
          </w:rPr>
          <w:t>docs</w:t>
        </w:r>
        <w:r w:rsidRPr="0059267E">
          <w:rPr>
            <w:rStyle w:val="Hyperlink"/>
            <w:color w:val="auto"/>
            <w:lang w:val="bg-BG"/>
          </w:rPr>
          <w:t>/</w:t>
        </w:r>
        <w:r w:rsidRPr="0059267E">
          <w:rPr>
            <w:rStyle w:val="Hyperlink"/>
            <w:color w:val="auto"/>
          </w:rPr>
          <w:t>Transport</w:t>
        </w:r>
        <w:r w:rsidRPr="0059267E">
          <w:rPr>
            <w:rStyle w:val="Hyperlink"/>
            <w:color w:val="auto"/>
            <w:lang w:val="bg-BG"/>
          </w:rPr>
          <w:t>_</w:t>
        </w:r>
        <w:r w:rsidRPr="0059267E">
          <w:rPr>
            <w:rStyle w:val="Hyperlink"/>
            <w:color w:val="auto"/>
          </w:rPr>
          <w:t>Strategy</w:t>
        </w:r>
        <w:r w:rsidRPr="0059267E">
          <w:rPr>
            <w:rStyle w:val="Hyperlink"/>
            <w:color w:val="auto"/>
            <w:lang w:val="bg-BG"/>
          </w:rPr>
          <w:t>_2020_</w:t>
        </w:r>
        <w:r w:rsidRPr="0059267E">
          <w:rPr>
            <w:rStyle w:val="Hyperlink"/>
            <w:color w:val="auto"/>
          </w:rPr>
          <w:t>last</w:t>
        </w:r>
        <w:r w:rsidRPr="0059267E">
          <w:rPr>
            <w:rStyle w:val="Hyperlink"/>
            <w:color w:val="auto"/>
            <w:lang w:val="bg-BG"/>
          </w:rPr>
          <w:t>_</w:t>
        </w:r>
        <w:r w:rsidRPr="0059267E">
          <w:rPr>
            <w:rStyle w:val="Hyperlink"/>
            <w:color w:val="auto"/>
          </w:rPr>
          <w:t>r</w:t>
        </w:r>
        <w:r w:rsidRPr="0059267E">
          <w:rPr>
            <w:rStyle w:val="Hyperlink"/>
            <w:color w:val="auto"/>
            <w:lang w:val="bg-BG"/>
          </w:rPr>
          <w:t>.</w:t>
        </w:r>
        <w:r w:rsidRPr="0059267E">
          <w:rPr>
            <w:rStyle w:val="Hyperlink"/>
            <w:color w:val="auto"/>
          </w:rPr>
          <w:t>pdf</w:t>
        </w:r>
      </w:hyperlink>
      <w:r w:rsidRPr="0059267E">
        <w:rPr>
          <w:lang w:val="bg-BG"/>
        </w:rPr>
        <w:t xml:space="preserve">   </w:t>
      </w:r>
    </w:p>
    <w:p w14:paraId="7C392112" w14:textId="77777777" w:rsidR="00274612" w:rsidRDefault="00274612" w:rsidP="00D34F40">
      <w:pPr>
        <w:pStyle w:val="FootnoteText"/>
        <w:tabs>
          <w:tab w:val="left" w:pos="284"/>
          <w:tab w:val="left" w:pos="1134"/>
        </w:tabs>
        <w:ind w:left="709" w:hanging="709"/>
        <w:jc w:val="left"/>
      </w:pPr>
    </w:p>
  </w:footnote>
  <w:footnote w:id="9">
    <w:p w14:paraId="36B69C30" w14:textId="77777777" w:rsidR="00274612" w:rsidRDefault="00274612" w:rsidP="006572DA">
      <w:pPr>
        <w:pStyle w:val="FootnoteText"/>
      </w:pPr>
      <w:r>
        <w:rPr>
          <w:rStyle w:val="FootnoteReference"/>
        </w:rPr>
        <w:footnoteRef/>
      </w:r>
      <w:r>
        <w:tab/>
      </w:r>
      <w:r w:rsidRPr="00085AA3">
        <w:t>European Regional Development Fund</w:t>
      </w:r>
    </w:p>
  </w:footnote>
  <w:footnote w:id="10">
    <w:p w14:paraId="16929F9A" w14:textId="77777777" w:rsidR="00274612" w:rsidRDefault="00274612" w:rsidP="006572DA">
      <w:pPr>
        <w:pStyle w:val="FootnoteText"/>
      </w:pPr>
      <w:r w:rsidRPr="00C96152">
        <w:rPr>
          <w:rStyle w:val="FootnoteReference"/>
        </w:rPr>
        <w:footnoteRef/>
      </w:r>
      <w:r w:rsidRPr="007A17BE">
        <w:tab/>
        <w:t>European Social Fund</w:t>
      </w:r>
    </w:p>
  </w:footnote>
  <w:footnote w:id="11">
    <w:p w14:paraId="12019956" w14:textId="77777777" w:rsidR="00274612" w:rsidRDefault="00274612" w:rsidP="006572DA">
      <w:pPr>
        <w:pStyle w:val="FootnoteText"/>
      </w:pPr>
      <w:r w:rsidRPr="00264A44">
        <w:rPr>
          <w:rStyle w:val="FootnoteReference"/>
        </w:rPr>
        <w:footnoteRef/>
      </w:r>
      <w:r w:rsidRPr="00264A44">
        <w:tab/>
        <w:t>Youth Employment Initiative</w:t>
      </w:r>
    </w:p>
  </w:footnote>
  <w:footnote w:id="12">
    <w:p w14:paraId="6264292B" w14:textId="77777777" w:rsidR="00274612" w:rsidRDefault="00274612">
      <w:pPr>
        <w:pStyle w:val="FootnoteText"/>
      </w:pPr>
      <w:r w:rsidRPr="00264A44">
        <w:rPr>
          <w:rStyle w:val="FootnoteReference"/>
        </w:rPr>
        <w:footnoteRef/>
      </w:r>
      <w:r w:rsidRPr="00264A44">
        <w:tab/>
      </w:r>
      <w:r w:rsidRPr="00243777">
        <w:t>Total Union support (including the main allocation and the performance reserve)</w:t>
      </w:r>
    </w:p>
  </w:footnote>
  <w:footnote w:id="13">
    <w:p w14:paraId="378C47EA" w14:textId="77777777" w:rsidR="00274612" w:rsidRDefault="00274612">
      <w:pPr>
        <w:pStyle w:val="FootnoteText"/>
      </w:pPr>
      <w:r w:rsidRPr="00085AA3">
        <w:rPr>
          <w:rStyle w:val="FootnoteReference"/>
        </w:rPr>
        <w:footnoteRef/>
      </w:r>
      <w:r w:rsidRPr="00C96152">
        <w:tab/>
      </w:r>
      <w:r w:rsidRPr="00243777">
        <w:t xml:space="preserve">Information by Fund and by priority axis. </w:t>
      </w:r>
    </w:p>
  </w:footnote>
  <w:footnote w:id="14">
    <w:p w14:paraId="1BAFA810" w14:textId="77777777" w:rsidR="00274612" w:rsidRDefault="00274612" w:rsidP="00B97B59">
      <w:pPr>
        <w:pStyle w:val="FootnoteText"/>
      </w:pPr>
      <w:r w:rsidRPr="00085AA3">
        <w:rPr>
          <w:rStyle w:val="FootnoteReference"/>
        </w:rPr>
        <w:footnoteRef/>
      </w:r>
      <w:r w:rsidRPr="00C96152">
        <w:tab/>
        <w:t>Title of thematic objective (not applicable to technical assistance).</w:t>
      </w:r>
    </w:p>
  </w:footnote>
  <w:footnote w:id="15">
    <w:p w14:paraId="3CCF2F4D" w14:textId="77777777" w:rsidR="00274612" w:rsidRDefault="00274612" w:rsidP="00B97B59">
      <w:pPr>
        <w:pStyle w:val="FootnoteText"/>
      </w:pPr>
      <w:r w:rsidRPr="00264A44">
        <w:rPr>
          <w:rStyle w:val="FootnoteReference"/>
        </w:rPr>
        <w:footnoteRef/>
      </w:r>
      <w:r w:rsidRPr="00264A44">
        <w:tab/>
        <w:t>Title of investment priority (not applicable to technical assistance).</w:t>
      </w:r>
    </w:p>
  </w:footnote>
  <w:footnote w:id="16">
    <w:p w14:paraId="73566D5E" w14:textId="77777777" w:rsidR="00274612" w:rsidRDefault="00274612" w:rsidP="00243777">
      <w:pPr>
        <w:spacing w:before="0" w:after="0"/>
      </w:pPr>
      <w:r>
        <w:rPr>
          <w:rStyle w:val="FootnoteReference"/>
          <w:sz w:val="20"/>
        </w:rPr>
        <w:footnoteRef/>
      </w:r>
      <w:r w:rsidRPr="0086059D">
        <w:rPr>
          <w:sz w:val="20"/>
        </w:rPr>
        <w:tab/>
        <w:t>For ERDF and the Cohesion Fund, the target values may be qualitative or quantitative.</w:t>
      </w:r>
    </w:p>
  </w:footnote>
  <w:footnote w:id="17">
    <w:p w14:paraId="28F747F7" w14:textId="77777777" w:rsidR="00274612" w:rsidRDefault="00274612" w:rsidP="00B97B59">
      <w:pPr>
        <w:spacing w:before="0" w:after="0"/>
        <w:ind w:left="720" w:hanging="720"/>
      </w:pPr>
      <w:r w:rsidRPr="003A5688">
        <w:rPr>
          <w:rStyle w:val="FootnoteReference"/>
        </w:rPr>
        <w:footnoteRef/>
      </w:r>
      <w:r w:rsidRPr="003A5688">
        <w:rPr>
          <w:sz w:val="20"/>
        </w:rPr>
        <w:tab/>
        <w:t xml:space="preserve">This list includes common result indicators for which a target value has been set and all programme-specific result indicators. Target values for common result indicators must be quantified; for programme-specific result indicators, they may be qualitative or quantitative. Target values may be presented as a total (men+women) or broken down by gender, the baseline values can be adjusted accordingly. “M” = men, “W”=women, “T”= total. </w:t>
      </w:r>
    </w:p>
  </w:footnote>
  <w:footnote w:id="18">
    <w:p w14:paraId="3190941E" w14:textId="77777777" w:rsidR="00274612" w:rsidRDefault="00274612">
      <w:pPr>
        <w:pStyle w:val="FootnoteText"/>
      </w:pPr>
      <w:r w:rsidRPr="00075D92">
        <w:rPr>
          <w:rStyle w:val="FootnoteReference"/>
        </w:rPr>
        <w:footnoteRef/>
      </w:r>
      <w:r w:rsidRPr="008E0340">
        <w:tab/>
      </w:r>
      <w:r w:rsidRPr="0086059D">
        <w:rPr>
          <w:sz w:val="22"/>
        </w:rPr>
        <w:t xml:space="preserve">Regulation </w:t>
      </w:r>
      <w:r w:rsidRPr="008E0340">
        <w:rPr>
          <w:sz w:val="22"/>
        </w:rPr>
        <w:t>(EU) No 1304/2013</w:t>
      </w:r>
      <w:r w:rsidRPr="003A5688">
        <w:rPr>
          <w:sz w:val="22"/>
        </w:rPr>
        <w:t xml:space="preserve"> </w:t>
      </w:r>
      <w:r w:rsidRPr="0086059D">
        <w:rPr>
          <w:sz w:val="22"/>
        </w:rPr>
        <w:t xml:space="preserve">of the European Parliament and of </w:t>
      </w:r>
      <w:r w:rsidRPr="008E0340">
        <w:rPr>
          <w:sz w:val="22"/>
        </w:rPr>
        <w:t>t</w:t>
      </w:r>
      <w:r w:rsidRPr="0086059D">
        <w:rPr>
          <w:sz w:val="22"/>
        </w:rPr>
        <w:t xml:space="preserve">he Council </w:t>
      </w:r>
      <w:r w:rsidRPr="008E0340">
        <w:rPr>
          <w:sz w:val="22"/>
        </w:rPr>
        <w:t xml:space="preserve">of 17 December 2013 </w:t>
      </w:r>
      <w:r w:rsidRPr="0086059D">
        <w:rPr>
          <w:sz w:val="22"/>
        </w:rPr>
        <w:t>on the European Social Fund and repealing Council Regulation (EC) No 1081/2006 (OJ L 347, 20.12.2013</w:t>
      </w:r>
      <w:r w:rsidRPr="008E0340">
        <w:rPr>
          <w:sz w:val="22"/>
        </w:rPr>
        <w:t>, p. 470</w:t>
      </w:r>
      <w:r w:rsidRPr="0086059D">
        <w:rPr>
          <w:sz w:val="22"/>
        </w:rPr>
        <w:t>)</w:t>
      </w:r>
    </w:p>
  </w:footnote>
  <w:footnote w:id="19">
    <w:p w14:paraId="128EFE05" w14:textId="77777777" w:rsidR="00274612" w:rsidRPr="003A5688" w:rsidRDefault="00274612" w:rsidP="00961976">
      <w:pPr>
        <w:spacing w:before="0" w:after="0"/>
        <w:ind w:left="720" w:hanging="720"/>
      </w:pPr>
      <w:r w:rsidRPr="008E0340">
        <w:rPr>
          <w:rStyle w:val="FootnoteReference"/>
        </w:rPr>
        <w:footnoteRef/>
      </w:r>
      <w:r w:rsidRPr="008E0340">
        <w:tab/>
        <w:t xml:space="preserve">This list includes common result indicators for which a target value has been set and all programme-specific </w:t>
      </w:r>
      <w:r w:rsidRPr="003A5688">
        <w:t>result indicators. Target values for common result indicators must be quantified; for programme-specific result indicators they may be qualitative or quantitative. All result indicators in Annex II to Regulation (EU) N</w:t>
      </w:r>
      <w:r w:rsidRPr="00D01289">
        <w:t xml:space="preserve">o </w:t>
      </w:r>
      <w:r w:rsidRPr="0086059D">
        <w:rPr>
          <w:sz w:val="22"/>
        </w:rPr>
        <w:t>1304/2013</w:t>
      </w:r>
      <w:r w:rsidRPr="008E0340">
        <w:rPr>
          <w:sz w:val="22"/>
        </w:rPr>
        <w:t xml:space="preserve"> </w:t>
      </w:r>
      <w:r w:rsidRPr="003A5688">
        <w:t xml:space="preserve">used to monitor YEI implementation must be linked to a quantified target value. Target values may be presented as a total (men+women) or broken down by gender, the baseline values may be adjusted accordingly. “M” = men, “W”=women, “T”= total. </w:t>
      </w:r>
    </w:p>
    <w:p w14:paraId="12B3C55C" w14:textId="77777777" w:rsidR="00274612" w:rsidRDefault="00274612" w:rsidP="00961976">
      <w:pPr>
        <w:spacing w:before="0" w:after="0"/>
        <w:ind w:left="720" w:hanging="720"/>
      </w:pPr>
    </w:p>
  </w:footnote>
  <w:footnote w:id="20">
    <w:p w14:paraId="15A70F19" w14:textId="77777777" w:rsidR="00274612" w:rsidRPr="00270FC4" w:rsidRDefault="00274612" w:rsidP="00804F5D">
      <w:r w:rsidRPr="00BA2764">
        <w:rPr>
          <w:rStyle w:val="FootnoteReference"/>
        </w:rPr>
        <w:footnoteRef/>
      </w:r>
      <w:r w:rsidRPr="00BA2764">
        <w:t xml:space="preserve"> </w:t>
      </w:r>
      <w:r w:rsidRPr="00BA2764">
        <w:rPr>
          <w:sz w:val="20"/>
        </w:rPr>
        <w:t>These methodology and approach are applicable for all projects, subject to consideration for funding under priority axes 1÷4.</w:t>
      </w:r>
    </w:p>
    <w:p w14:paraId="44FB0028" w14:textId="77777777" w:rsidR="00274612" w:rsidRDefault="00274612" w:rsidP="00804F5D">
      <w:pPr>
        <w:pStyle w:val="FootnoteText"/>
      </w:pPr>
      <w:r>
        <w:rPr>
          <w:lang w:val="bg-BG"/>
        </w:rPr>
        <w:t xml:space="preserve">  </w:t>
      </w:r>
    </w:p>
  </w:footnote>
  <w:footnote w:id="21">
    <w:p w14:paraId="6C41E2B5" w14:textId="77777777" w:rsidR="00274612" w:rsidRDefault="00274612" w:rsidP="00B3200A">
      <w:pPr>
        <w:spacing w:before="0" w:after="0"/>
        <w:ind w:left="720" w:hanging="720"/>
      </w:pPr>
      <w:r w:rsidRPr="003A5688">
        <w:rPr>
          <w:rStyle w:val="FootnoteReference"/>
        </w:rPr>
        <w:footnoteRef/>
      </w:r>
      <w:r w:rsidRPr="003A5688">
        <w:tab/>
      </w:r>
      <w:r w:rsidRPr="00D01289">
        <w:rPr>
          <w:sz w:val="20"/>
        </w:rPr>
        <w:t xml:space="preserve">For the ESF, this list includes common output indicators for which a target value has been set. Target values may be presented as a total (men+women) or broken down by gender. For the ERDF and </w:t>
      </w:r>
      <w:r w:rsidRPr="00681DC7">
        <w:rPr>
          <w:sz w:val="20"/>
        </w:rPr>
        <w:t xml:space="preserve">the </w:t>
      </w:r>
      <w:r w:rsidRPr="00CE3EED">
        <w:rPr>
          <w:sz w:val="20"/>
        </w:rPr>
        <w:t>C</w:t>
      </w:r>
      <w:r w:rsidRPr="004A502C">
        <w:rPr>
          <w:sz w:val="20"/>
        </w:rPr>
        <w:t>ohesion Fund</w:t>
      </w:r>
      <w:r w:rsidRPr="00497531">
        <w:rPr>
          <w:sz w:val="20"/>
        </w:rPr>
        <w:t>, gender breakdown is in most cases not relevant. “M” = men, “W”=women, “T”=</w:t>
      </w:r>
      <w:r w:rsidRPr="0086059D">
        <w:rPr>
          <w:sz w:val="20"/>
        </w:rPr>
        <w:t xml:space="preserve"> total. </w:t>
      </w:r>
    </w:p>
  </w:footnote>
  <w:footnote w:id="22">
    <w:p w14:paraId="36A33456" w14:textId="77777777" w:rsidR="00274612" w:rsidRDefault="00274612">
      <w:pPr>
        <w:pStyle w:val="FootnoteText"/>
      </w:pPr>
      <w:r w:rsidRPr="00075D92">
        <w:rPr>
          <w:rStyle w:val="FootnoteReference"/>
        </w:rPr>
        <w:footnoteRef/>
      </w:r>
      <w:r>
        <w:tab/>
      </w:r>
      <w:r w:rsidRPr="0086059D">
        <w:rPr>
          <w:lang w:val="et-EE"/>
        </w:rPr>
        <w:t xml:space="preserve">Only for programmes supported by the ESF. </w:t>
      </w:r>
    </w:p>
  </w:footnote>
  <w:footnote w:id="23">
    <w:p w14:paraId="2E1BA760" w14:textId="77777777" w:rsidR="00274612" w:rsidRDefault="00274612" w:rsidP="00B97B59">
      <w:pPr>
        <w:pStyle w:val="FootnoteText"/>
      </w:pPr>
      <w:r w:rsidRPr="0086059D">
        <w:rPr>
          <w:rStyle w:val="FootnoteReference"/>
        </w:rPr>
        <w:footnoteRef/>
      </w:r>
      <w:r w:rsidRPr="0086059D">
        <w:tab/>
        <w:t>For the ESF, this list includes common output indicators for which a target value has been set and all programme-specific output indicators.</w:t>
      </w:r>
    </w:p>
  </w:footnote>
  <w:footnote w:id="24">
    <w:p w14:paraId="75F0E96F" w14:textId="77777777" w:rsidR="00274612" w:rsidRDefault="00274612" w:rsidP="00B97B59">
      <w:pPr>
        <w:pStyle w:val="FootnoteText"/>
      </w:pPr>
      <w:r w:rsidRPr="0086059D">
        <w:rPr>
          <w:rStyle w:val="FootnoteReference"/>
        </w:rPr>
        <w:footnoteRef/>
      </w:r>
      <w:r w:rsidRPr="0086059D">
        <w:tab/>
        <w:t>Where YEI is implemented as part of a priority axis, YEI milestones and targets must be distinguished from other milestones and targets for the priority axis in accordance with implementing acts referred to in the fifth subparagraph of Article 22</w:t>
      </w:r>
      <w:r w:rsidRPr="008E0340">
        <w:t>(</w:t>
      </w:r>
      <w:r w:rsidRPr="0086059D">
        <w:t>7</w:t>
      </w:r>
      <w:r w:rsidRPr="008E0340">
        <w:t>)</w:t>
      </w:r>
      <w:r w:rsidRPr="003A5688">
        <w:t xml:space="preserve"> of Regulation (EU) No 1303/2013, as YEI resources (specific allocation and matching ESF support) are excluded from the performance reserve.</w:t>
      </w:r>
    </w:p>
  </w:footnote>
  <w:footnote w:id="25">
    <w:p w14:paraId="3638462E" w14:textId="77777777" w:rsidR="00274612" w:rsidRPr="003A5688" w:rsidRDefault="00274612" w:rsidP="006C7FF1">
      <w:pPr>
        <w:spacing w:before="0" w:after="0"/>
        <w:ind w:left="720" w:hanging="720"/>
      </w:pPr>
      <w:r w:rsidRPr="00075D92">
        <w:rPr>
          <w:rStyle w:val="FootnoteReference"/>
        </w:rPr>
        <w:footnoteRef/>
      </w:r>
      <w:r w:rsidRPr="008E0340">
        <w:tab/>
      </w:r>
      <w:r w:rsidRPr="003A5688">
        <w:rPr>
          <w:sz w:val="20"/>
        </w:rPr>
        <w:t xml:space="preserve">Target values may be presented as a total (men+women) or broken down by gender. “M” = men, “W”=women, “T”= total. </w:t>
      </w:r>
    </w:p>
    <w:p w14:paraId="27E91A1F" w14:textId="77777777" w:rsidR="00274612" w:rsidRDefault="00274612" w:rsidP="006C7FF1">
      <w:pPr>
        <w:spacing w:before="0" w:after="0"/>
        <w:ind w:left="720" w:hanging="720"/>
      </w:pPr>
    </w:p>
  </w:footnote>
  <w:footnote w:id="26">
    <w:p w14:paraId="349BCEB6" w14:textId="77777777" w:rsidR="00274612" w:rsidRPr="00243777" w:rsidRDefault="00274612" w:rsidP="00D01289">
      <w:pPr>
        <w:pStyle w:val="FootnoteText"/>
      </w:pPr>
      <w:r w:rsidRPr="00F9329A">
        <w:rPr>
          <w:rStyle w:val="FootnoteReference"/>
        </w:rPr>
        <w:footnoteRef/>
      </w:r>
      <w:r w:rsidRPr="0095728C">
        <w:tab/>
      </w:r>
      <w:r w:rsidRPr="00243777">
        <w:t xml:space="preserve">Amounts include total Union support (the main allocation and the allocation from the performance reserve). </w:t>
      </w:r>
    </w:p>
    <w:p w14:paraId="5855DF7A" w14:textId="77777777" w:rsidR="00274612" w:rsidRDefault="00274612" w:rsidP="00D01289">
      <w:pPr>
        <w:pStyle w:val="FootnoteText"/>
      </w:pPr>
    </w:p>
  </w:footnote>
  <w:footnote w:id="27">
    <w:p w14:paraId="716B3079" w14:textId="77777777" w:rsidR="00274612" w:rsidRDefault="00274612" w:rsidP="00B97B59">
      <w:pPr>
        <w:pStyle w:val="FootnoteText"/>
      </w:pPr>
      <w:r w:rsidRPr="003A5688">
        <w:rPr>
          <w:rStyle w:val="FootnoteReference"/>
        </w:rPr>
        <w:footnoteRef/>
      </w:r>
      <w:r w:rsidRPr="00D01289">
        <w:tab/>
        <w:t xml:space="preserve">Include, where appropriate,  quantified information on the ESF’s contribution to the thematic objectives referred to in points (1) to (7) of the first paragraph of Article 9 of Regulation (EU) </w:t>
      </w:r>
      <w:r w:rsidRPr="00681DC7">
        <w:t>N</w:t>
      </w:r>
      <w:r w:rsidRPr="00CE3EED">
        <w:t>o 1303/2013.</w:t>
      </w:r>
    </w:p>
  </w:footnote>
  <w:footnote w:id="28">
    <w:p w14:paraId="382F740A" w14:textId="77777777" w:rsidR="00274612" w:rsidRDefault="00274612" w:rsidP="008B4180">
      <w:pPr>
        <w:spacing w:before="0" w:after="0"/>
        <w:ind w:left="720" w:hanging="720"/>
      </w:pPr>
      <w:r w:rsidRPr="0086059D">
        <w:rPr>
          <w:rStyle w:val="FootnoteReference"/>
        </w:rPr>
        <w:footnoteRef/>
      </w:r>
      <w:r w:rsidRPr="0086059D">
        <w:rPr>
          <w:sz w:val="20"/>
        </w:rPr>
        <w:tab/>
        <w:t>For ERDF and the Cohesion Fund, the target values may be qualitative or quantitative.</w:t>
      </w:r>
    </w:p>
  </w:footnote>
  <w:footnote w:id="29">
    <w:p w14:paraId="0F8374A2" w14:textId="77777777" w:rsidR="00274612" w:rsidRDefault="00274612" w:rsidP="008B4180">
      <w:pPr>
        <w:spacing w:before="0" w:after="0"/>
        <w:ind w:left="720" w:hanging="720"/>
      </w:pPr>
      <w:r w:rsidRPr="003A5688">
        <w:rPr>
          <w:rStyle w:val="FootnoteReference"/>
        </w:rPr>
        <w:footnoteRef/>
      </w:r>
      <w:r w:rsidRPr="003A5688">
        <w:rPr>
          <w:sz w:val="20"/>
        </w:rPr>
        <w:tab/>
        <w:t xml:space="preserve">This list includes common result indicators for which a target value has been set and all programme-specific result indicators. Target values for common result indicators must be quantified; for programme-specific result indicators, they may be qualitative or quantitative. Target values may be presented as a total (men+women) or broken down by gender, the baseline values can be adjusted accordingly. “M” = men, “W”=women, “T”= total. </w:t>
      </w:r>
    </w:p>
  </w:footnote>
  <w:footnote w:id="30">
    <w:p w14:paraId="411E2BE4" w14:textId="77777777" w:rsidR="00274612" w:rsidRDefault="00274612" w:rsidP="008B4180">
      <w:pPr>
        <w:pStyle w:val="FootnoteText"/>
      </w:pPr>
      <w:r w:rsidRPr="00075D92">
        <w:rPr>
          <w:rStyle w:val="FootnoteReference"/>
        </w:rPr>
        <w:footnoteRef/>
      </w:r>
      <w:r w:rsidRPr="008E0340">
        <w:tab/>
      </w:r>
      <w:r w:rsidRPr="0086059D">
        <w:rPr>
          <w:sz w:val="22"/>
        </w:rPr>
        <w:t xml:space="preserve">Regulation </w:t>
      </w:r>
      <w:r w:rsidRPr="008E0340">
        <w:rPr>
          <w:sz w:val="22"/>
        </w:rPr>
        <w:t>(EU) No 1304/2013</w:t>
      </w:r>
      <w:r w:rsidRPr="003A5688">
        <w:rPr>
          <w:sz w:val="22"/>
        </w:rPr>
        <w:t xml:space="preserve"> </w:t>
      </w:r>
      <w:r w:rsidRPr="0086059D">
        <w:rPr>
          <w:sz w:val="22"/>
        </w:rPr>
        <w:t xml:space="preserve">of the European Parliament and of </w:t>
      </w:r>
      <w:r w:rsidRPr="008E0340">
        <w:rPr>
          <w:sz w:val="22"/>
        </w:rPr>
        <w:t>t</w:t>
      </w:r>
      <w:r w:rsidRPr="0086059D">
        <w:rPr>
          <w:sz w:val="22"/>
        </w:rPr>
        <w:t xml:space="preserve">he Council </w:t>
      </w:r>
      <w:r w:rsidRPr="008E0340">
        <w:rPr>
          <w:sz w:val="22"/>
        </w:rPr>
        <w:t xml:space="preserve">of 17 December 2013 </w:t>
      </w:r>
      <w:r w:rsidRPr="0086059D">
        <w:rPr>
          <w:sz w:val="22"/>
        </w:rPr>
        <w:t>on the European Social Fund and repealing Council Regulation (EC) No 1081/2006 (OJ L 347, 20.12.2013</w:t>
      </w:r>
      <w:r w:rsidRPr="008E0340">
        <w:rPr>
          <w:sz w:val="22"/>
        </w:rPr>
        <w:t>, p. 470</w:t>
      </w:r>
      <w:r w:rsidRPr="0086059D">
        <w:rPr>
          <w:sz w:val="22"/>
        </w:rPr>
        <w:t>)</w:t>
      </w:r>
    </w:p>
  </w:footnote>
  <w:footnote w:id="31">
    <w:p w14:paraId="3D8696C8" w14:textId="77777777" w:rsidR="00274612" w:rsidRPr="003A5688" w:rsidRDefault="00274612" w:rsidP="008B4180">
      <w:pPr>
        <w:spacing w:before="0" w:after="0"/>
        <w:ind w:left="720" w:hanging="720"/>
      </w:pPr>
      <w:r w:rsidRPr="008E0340">
        <w:rPr>
          <w:rStyle w:val="FootnoteReference"/>
        </w:rPr>
        <w:footnoteRef/>
      </w:r>
      <w:r w:rsidRPr="008E0340">
        <w:tab/>
        <w:t xml:space="preserve">This list includes common result indicators for which a target value has been set and all programme-specific </w:t>
      </w:r>
      <w:r w:rsidRPr="003A5688">
        <w:t>result indicators. Target values for common result indicators must be quantified; for programme-specific result indicators they may be qualitative or quantitative. All result indicators in Annex II to Regulation (EU) N</w:t>
      </w:r>
      <w:r w:rsidRPr="00D01289">
        <w:t xml:space="preserve">o </w:t>
      </w:r>
      <w:r w:rsidRPr="0086059D">
        <w:rPr>
          <w:sz w:val="22"/>
        </w:rPr>
        <w:t>1304/2013</w:t>
      </w:r>
      <w:r w:rsidRPr="008E0340">
        <w:rPr>
          <w:sz w:val="22"/>
        </w:rPr>
        <w:t xml:space="preserve"> </w:t>
      </w:r>
      <w:r w:rsidRPr="003A5688">
        <w:t xml:space="preserve">used to monitor YEI implementation must be linked to a quantified target value. Target values may be presented as a total (men+women) or broken down by gender, the baseline values may be adjusted accordingly. “M” = men, “W”=women, “T”= total. </w:t>
      </w:r>
    </w:p>
    <w:p w14:paraId="6F533F09" w14:textId="77777777" w:rsidR="00274612" w:rsidRDefault="00274612" w:rsidP="008B4180">
      <w:pPr>
        <w:spacing w:before="0" w:after="0"/>
        <w:ind w:left="720" w:hanging="720"/>
      </w:pPr>
    </w:p>
  </w:footnote>
  <w:footnote w:id="32">
    <w:p w14:paraId="67A627F0" w14:textId="77777777" w:rsidR="00274612" w:rsidRPr="00A357DE" w:rsidRDefault="00274612" w:rsidP="008B4180">
      <w:pPr>
        <w:spacing w:before="0" w:after="0"/>
        <w:ind w:left="720" w:hanging="720"/>
        <w:rPr>
          <w:sz w:val="20"/>
        </w:rPr>
      </w:pPr>
      <w:r w:rsidRPr="00200DFA">
        <w:rPr>
          <w:rStyle w:val="FootnoteReference"/>
        </w:rPr>
        <w:footnoteRef/>
      </w:r>
      <w:r w:rsidRPr="00200DFA">
        <w:tab/>
      </w:r>
      <w:r w:rsidRPr="00200DFA">
        <w:rPr>
          <w:sz w:val="20"/>
        </w:rPr>
        <w:t xml:space="preserve">For the ESF, this list includes common output indicators for which a target value has been set. Target values may be presented as a total (men+women) or broken down by gender. For the ERDF and </w:t>
      </w:r>
      <w:r w:rsidRPr="00682521">
        <w:rPr>
          <w:sz w:val="20"/>
        </w:rPr>
        <w:t xml:space="preserve">the </w:t>
      </w:r>
      <w:r w:rsidRPr="00583874">
        <w:rPr>
          <w:sz w:val="20"/>
        </w:rPr>
        <w:t>C</w:t>
      </w:r>
      <w:r w:rsidRPr="00076724">
        <w:rPr>
          <w:sz w:val="20"/>
        </w:rPr>
        <w:t>ohesion Fund</w:t>
      </w:r>
      <w:r w:rsidRPr="00727153">
        <w:rPr>
          <w:sz w:val="20"/>
        </w:rPr>
        <w:t>, gender breakdown is in most cases n</w:t>
      </w:r>
      <w:r w:rsidRPr="00A357DE">
        <w:rPr>
          <w:sz w:val="20"/>
        </w:rPr>
        <w:t xml:space="preserve">ot relevant. “M” = men, “W”=women, “T”= total. </w:t>
      </w:r>
    </w:p>
    <w:p w14:paraId="6C572323" w14:textId="77777777" w:rsidR="00274612" w:rsidRDefault="00274612" w:rsidP="008B4180">
      <w:pPr>
        <w:spacing w:before="0" w:after="0"/>
        <w:ind w:left="720" w:hanging="720"/>
      </w:pPr>
    </w:p>
  </w:footnote>
  <w:footnote w:id="33">
    <w:p w14:paraId="65EBE6B4" w14:textId="77777777" w:rsidR="00274612" w:rsidRDefault="00274612" w:rsidP="008B4180">
      <w:pPr>
        <w:pStyle w:val="FootnoteText"/>
      </w:pPr>
      <w:r w:rsidRPr="005F6ED8">
        <w:rPr>
          <w:rStyle w:val="FootnoteReference"/>
        </w:rPr>
        <w:footnoteRef/>
      </w:r>
      <w:r w:rsidRPr="00232A3C">
        <w:tab/>
      </w:r>
      <w:r w:rsidRPr="00243777">
        <w:t xml:space="preserve">Only for programmes supported by the ESF. </w:t>
      </w:r>
    </w:p>
  </w:footnote>
  <w:footnote w:id="34">
    <w:p w14:paraId="25FE844C" w14:textId="77777777" w:rsidR="00274612" w:rsidRDefault="00274612" w:rsidP="008B4180">
      <w:pPr>
        <w:pStyle w:val="FootnoteText"/>
      </w:pPr>
      <w:r w:rsidRPr="00200DFA">
        <w:rPr>
          <w:rStyle w:val="FootnoteReference"/>
        </w:rPr>
        <w:footnoteRef/>
      </w:r>
      <w:r w:rsidRPr="00200DFA">
        <w:tab/>
        <w:t>For the ESF, this list includes common output indicators for which a target value has been set and all programme-specific output indicators.</w:t>
      </w:r>
    </w:p>
  </w:footnote>
  <w:footnote w:id="35">
    <w:p w14:paraId="30262995" w14:textId="77777777" w:rsidR="00274612" w:rsidRDefault="00274612" w:rsidP="008B4180">
      <w:pPr>
        <w:pStyle w:val="FootnoteText"/>
      </w:pPr>
      <w:r w:rsidRPr="0086059D">
        <w:rPr>
          <w:rStyle w:val="FootnoteReference"/>
        </w:rPr>
        <w:footnoteRef/>
      </w:r>
      <w:r w:rsidRPr="0086059D">
        <w:tab/>
        <w:t>Where YEI is implemented as part of a priority axis, YEI milestones and targets must be distinguished from other milestones and targets for the priority axis in accordance with implementing acts referred to in the fifth subparagraph of Article 22</w:t>
      </w:r>
      <w:r w:rsidRPr="008E0340">
        <w:t>(</w:t>
      </w:r>
      <w:r w:rsidRPr="0086059D">
        <w:t>7</w:t>
      </w:r>
      <w:r w:rsidRPr="008E0340">
        <w:t>)</w:t>
      </w:r>
      <w:r w:rsidRPr="003A5688">
        <w:t xml:space="preserve"> of Regulation (EU) No 1303/2013, as YEI resources (specific allocation and matching ESF support) are excluded from the performance reserve.</w:t>
      </w:r>
    </w:p>
  </w:footnote>
  <w:footnote w:id="36">
    <w:p w14:paraId="43160807" w14:textId="77777777" w:rsidR="00274612" w:rsidRPr="003A5688" w:rsidRDefault="00274612" w:rsidP="008B4180">
      <w:pPr>
        <w:spacing w:before="0" w:after="0"/>
        <w:ind w:left="720" w:hanging="720"/>
      </w:pPr>
      <w:r w:rsidRPr="00075D92">
        <w:rPr>
          <w:rStyle w:val="FootnoteReference"/>
        </w:rPr>
        <w:footnoteRef/>
      </w:r>
      <w:r w:rsidRPr="008E0340">
        <w:tab/>
      </w:r>
      <w:r w:rsidRPr="003A5688">
        <w:rPr>
          <w:sz w:val="20"/>
        </w:rPr>
        <w:t xml:space="preserve">Target values may be presented as a total (men+women) or broken down by gender. “M” = men, “W”=women, “T”= total. </w:t>
      </w:r>
    </w:p>
    <w:p w14:paraId="3F3ED8A6" w14:textId="77777777" w:rsidR="00274612" w:rsidRDefault="00274612" w:rsidP="008B4180">
      <w:pPr>
        <w:spacing w:before="0" w:after="0"/>
        <w:ind w:left="720" w:hanging="720"/>
      </w:pPr>
    </w:p>
  </w:footnote>
  <w:footnote w:id="37">
    <w:p w14:paraId="690A258E" w14:textId="77777777" w:rsidR="00274612" w:rsidRPr="00243777" w:rsidRDefault="00274612" w:rsidP="008B4180">
      <w:pPr>
        <w:pStyle w:val="FootnoteText"/>
      </w:pPr>
      <w:r w:rsidRPr="00C91585">
        <w:rPr>
          <w:rStyle w:val="FootnoteReference"/>
        </w:rPr>
        <w:footnoteRef/>
      </w:r>
      <w:r>
        <w:tab/>
      </w:r>
      <w:r w:rsidRPr="00243777">
        <w:t xml:space="preserve">Amounts include total Union support (the main allocation and the allocation from the performance reserve). </w:t>
      </w:r>
    </w:p>
    <w:p w14:paraId="454F9CD7" w14:textId="77777777" w:rsidR="00274612" w:rsidRDefault="00274612" w:rsidP="008B4180">
      <w:pPr>
        <w:pStyle w:val="FootnoteText"/>
      </w:pPr>
    </w:p>
  </w:footnote>
  <w:footnote w:id="38">
    <w:p w14:paraId="1A40BF4C" w14:textId="77777777" w:rsidR="00274612" w:rsidRDefault="00274612" w:rsidP="008B4180">
      <w:pPr>
        <w:pStyle w:val="FootnoteText"/>
      </w:pPr>
      <w:r w:rsidRPr="003A5688">
        <w:rPr>
          <w:rStyle w:val="FootnoteReference"/>
        </w:rPr>
        <w:footnoteRef/>
      </w:r>
      <w:r>
        <w:tab/>
        <w:t xml:space="preserve">Include, where appropriate, </w:t>
      </w:r>
      <w:r w:rsidRPr="00D01289">
        <w:t xml:space="preserve">quantified information on the ESF’s contribution to the thematic objectives referred to in points (1) to (7) of the first paragraph of Article 9 of Regulation (EU) </w:t>
      </w:r>
      <w:r w:rsidRPr="00681DC7">
        <w:t>N</w:t>
      </w:r>
      <w:r w:rsidRPr="00CE3EED">
        <w:t>o 1303/2013.</w:t>
      </w:r>
    </w:p>
  </w:footnote>
  <w:footnote w:id="39">
    <w:p w14:paraId="40F77C42" w14:textId="77777777" w:rsidR="00274612" w:rsidRDefault="00274612" w:rsidP="00D14C5F">
      <w:pPr>
        <w:spacing w:before="0" w:after="0"/>
        <w:ind w:left="720" w:hanging="720"/>
      </w:pPr>
      <w:r w:rsidRPr="0054249E">
        <w:rPr>
          <w:rStyle w:val="FootnoteReference"/>
        </w:rPr>
        <w:footnoteRef/>
      </w:r>
      <w:r w:rsidRPr="0054249E">
        <w:rPr>
          <w:sz w:val="20"/>
        </w:rPr>
        <w:tab/>
        <w:t>For ERDF and the Cohesion Fund, the target values may be qualitative or quantitative.</w:t>
      </w:r>
    </w:p>
  </w:footnote>
  <w:footnote w:id="40">
    <w:p w14:paraId="7166CBE9" w14:textId="77777777" w:rsidR="00274612" w:rsidRDefault="00274612" w:rsidP="00D14C5F">
      <w:pPr>
        <w:spacing w:before="0" w:after="0"/>
        <w:ind w:left="720" w:hanging="720"/>
      </w:pPr>
      <w:r w:rsidRPr="003A5688">
        <w:rPr>
          <w:rStyle w:val="FootnoteReference"/>
        </w:rPr>
        <w:footnoteRef/>
      </w:r>
      <w:r w:rsidRPr="003A5688">
        <w:rPr>
          <w:sz w:val="20"/>
        </w:rPr>
        <w:tab/>
        <w:t xml:space="preserve">This list includes common result indicators for which a target value has been set and all programme-specific result indicators. Target values for common result indicators must be quantified; for programme-specific result indicators, they may be qualitative or quantitative. Target values may be presented as a total (men+women) or broken down by gender, the baseline values can be adjusted accordingly. “M” = men, “W”=women, “T”= total. </w:t>
      </w:r>
    </w:p>
  </w:footnote>
  <w:footnote w:id="41">
    <w:p w14:paraId="0FA9A4FB" w14:textId="77777777" w:rsidR="00274612" w:rsidRDefault="00274612" w:rsidP="00D14C5F">
      <w:pPr>
        <w:pStyle w:val="FootnoteText"/>
      </w:pPr>
      <w:r w:rsidRPr="00075D92">
        <w:rPr>
          <w:rStyle w:val="FootnoteReference"/>
        </w:rPr>
        <w:footnoteRef/>
      </w:r>
      <w:r w:rsidRPr="008E0340">
        <w:tab/>
      </w:r>
      <w:r w:rsidRPr="0086059D">
        <w:rPr>
          <w:sz w:val="22"/>
        </w:rPr>
        <w:t xml:space="preserve">Regulation </w:t>
      </w:r>
      <w:r w:rsidRPr="008E0340">
        <w:rPr>
          <w:sz w:val="22"/>
        </w:rPr>
        <w:t>(EU) No 1304/2013</w:t>
      </w:r>
      <w:r w:rsidRPr="003A5688">
        <w:rPr>
          <w:sz w:val="22"/>
        </w:rPr>
        <w:t xml:space="preserve"> </w:t>
      </w:r>
      <w:r w:rsidRPr="0086059D">
        <w:rPr>
          <w:sz w:val="22"/>
        </w:rPr>
        <w:t xml:space="preserve">of the European Parliament and of </w:t>
      </w:r>
      <w:r w:rsidRPr="008E0340">
        <w:rPr>
          <w:sz w:val="22"/>
        </w:rPr>
        <w:t>t</w:t>
      </w:r>
      <w:r w:rsidRPr="0086059D">
        <w:rPr>
          <w:sz w:val="22"/>
        </w:rPr>
        <w:t xml:space="preserve">he Council </w:t>
      </w:r>
      <w:r w:rsidRPr="008E0340">
        <w:rPr>
          <w:sz w:val="22"/>
        </w:rPr>
        <w:t xml:space="preserve">of 17 December 2013 </w:t>
      </w:r>
      <w:r w:rsidRPr="0086059D">
        <w:rPr>
          <w:sz w:val="22"/>
        </w:rPr>
        <w:t>on the European Social Fund and repealing Council Regulation (EC) No 1081/2006 (OJ L 347, 20.12.2013</w:t>
      </w:r>
      <w:r w:rsidRPr="008E0340">
        <w:rPr>
          <w:sz w:val="22"/>
        </w:rPr>
        <w:t>, p. 470</w:t>
      </w:r>
      <w:r w:rsidRPr="0086059D">
        <w:rPr>
          <w:sz w:val="22"/>
        </w:rPr>
        <w:t>)</w:t>
      </w:r>
    </w:p>
  </w:footnote>
  <w:footnote w:id="42">
    <w:p w14:paraId="7A2AE40F" w14:textId="77777777" w:rsidR="00274612" w:rsidRPr="003A5688" w:rsidRDefault="00274612" w:rsidP="00D14C5F">
      <w:pPr>
        <w:spacing w:before="0" w:after="0"/>
        <w:ind w:left="720" w:hanging="720"/>
      </w:pPr>
      <w:r w:rsidRPr="008E0340">
        <w:rPr>
          <w:rStyle w:val="FootnoteReference"/>
        </w:rPr>
        <w:footnoteRef/>
      </w:r>
      <w:r w:rsidRPr="008E0340">
        <w:tab/>
        <w:t xml:space="preserve">This list includes common result indicators for which a target value has been set and all programme-specific </w:t>
      </w:r>
      <w:r w:rsidRPr="003A5688">
        <w:t>result indicators. Target values for common result indicators must be quantified; for programme-specific result indicators they may be qualitative or quantitative. All result indicators in Annex II to Regulation (EU) N</w:t>
      </w:r>
      <w:r w:rsidRPr="00D01289">
        <w:t xml:space="preserve">o </w:t>
      </w:r>
      <w:r w:rsidRPr="0086059D">
        <w:rPr>
          <w:sz w:val="22"/>
        </w:rPr>
        <w:t>1304/2013</w:t>
      </w:r>
      <w:r w:rsidRPr="008E0340">
        <w:rPr>
          <w:sz w:val="22"/>
        </w:rPr>
        <w:t xml:space="preserve"> </w:t>
      </w:r>
      <w:r w:rsidRPr="003A5688">
        <w:t xml:space="preserve">used to monitor YEI implementation must be linked to a quantified target value. Target values may be presented as a total (men+women) or broken down by gender, the baseline values may be adjusted accordingly. “M” = men, “W”=women, “T”= total. </w:t>
      </w:r>
    </w:p>
    <w:p w14:paraId="5A7BFA1A" w14:textId="77777777" w:rsidR="00274612" w:rsidRDefault="00274612" w:rsidP="00D14C5F">
      <w:pPr>
        <w:spacing w:before="0" w:after="0"/>
        <w:ind w:left="720" w:hanging="720"/>
      </w:pPr>
    </w:p>
  </w:footnote>
  <w:footnote w:id="43">
    <w:p w14:paraId="61368B97" w14:textId="77777777" w:rsidR="00274612" w:rsidRPr="0086059D" w:rsidRDefault="00274612" w:rsidP="00D14C5F">
      <w:pPr>
        <w:spacing w:before="0" w:after="0"/>
        <w:ind w:left="720" w:hanging="720"/>
        <w:rPr>
          <w:sz w:val="20"/>
        </w:rPr>
      </w:pPr>
      <w:r w:rsidRPr="003A5688">
        <w:rPr>
          <w:rStyle w:val="FootnoteReference"/>
        </w:rPr>
        <w:footnoteRef/>
      </w:r>
      <w:r w:rsidRPr="003A5688">
        <w:tab/>
      </w:r>
      <w:r w:rsidRPr="00D01289">
        <w:rPr>
          <w:sz w:val="20"/>
        </w:rPr>
        <w:t xml:space="preserve">For the ESF, this list includes common output indicators for which a target value has been set. Target values may be presented as a total (men+women) or broken down by gender. For the ERDF and </w:t>
      </w:r>
      <w:r w:rsidRPr="00681DC7">
        <w:rPr>
          <w:sz w:val="20"/>
        </w:rPr>
        <w:t xml:space="preserve">the </w:t>
      </w:r>
      <w:r w:rsidRPr="00CE3EED">
        <w:rPr>
          <w:sz w:val="20"/>
        </w:rPr>
        <w:t>C</w:t>
      </w:r>
      <w:r w:rsidRPr="004A502C">
        <w:rPr>
          <w:sz w:val="20"/>
        </w:rPr>
        <w:t>ohesion Fund</w:t>
      </w:r>
      <w:r w:rsidRPr="00497531">
        <w:rPr>
          <w:sz w:val="20"/>
        </w:rPr>
        <w:t>, gender breakdown is in most cases not relevant. “M” = men, “W”=women, “T”=</w:t>
      </w:r>
      <w:r w:rsidRPr="0086059D">
        <w:rPr>
          <w:sz w:val="20"/>
        </w:rPr>
        <w:t xml:space="preserve"> total. </w:t>
      </w:r>
    </w:p>
    <w:p w14:paraId="0495F906" w14:textId="77777777" w:rsidR="00274612" w:rsidRDefault="00274612" w:rsidP="00D14C5F">
      <w:pPr>
        <w:spacing w:before="0" w:after="0"/>
        <w:ind w:left="720" w:hanging="720"/>
      </w:pPr>
    </w:p>
  </w:footnote>
  <w:footnote w:id="44">
    <w:p w14:paraId="087F1481" w14:textId="77777777" w:rsidR="00274612" w:rsidRDefault="00274612" w:rsidP="00B5308A">
      <w:pPr>
        <w:spacing w:before="0" w:after="0"/>
        <w:ind w:left="720" w:hanging="720"/>
      </w:pPr>
      <w:r w:rsidRPr="0086059D">
        <w:rPr>
          <w:rStyle w:val="FootnoteReference"/>
        </w:rPr>
        <w:footnoteRef/>
      </w:r>
      <w:r w:rsidRPr="0086059D">
        <w:rPr>
          <w:sz w:val="20"/>
        </w:rPr>
        <w:tab/>
        <w:t>For ERDF and the Cohesion Fund, the target values may be qualitative or quantitative.</w:t>
      </w:r>
    </w:p>
  </w:footnote>
  <w:footnote w:id="45">
    <w:p w14:paraId="20355A41" w14:textId="77777777" w:rsidR="00274612" w:rsidRDefault="00274612" w:rsidP="00B5308A">
      <w:pPr>
        <w:spacing w:before="0" w:after="0"/>
        <w:ind w:left="720" w:hanging="720"/>
      </w:pPr>
      <w:r w:rsidRPr="003A5688">
        <w:rPr>
          <w:rStyle w:val="FootnoteReference"/>
        </w:rPr>
        <w:footnoteRef/>
      </w:r>
      <w:r w:rsidRPr="003A5688">
        <w:rPr>
          <w:sz w:val="20"/>
        </w:rPr>
        <w:tab/>
        <w:t xml:space="preserve">This list includes common result indicators for which a target value has been set and all programme-specific result indicators. Target values for common result indicators must be quantified; for programme-specific result indicators, they may be qualitative or quantitative. Target values may be presented as a total (men+women) or broken down by gender, the baseline values can be adjusted accordingly. “M” = men, “W”=women, “T”= total. </w:t>
      </w:r>
    </w:p>
  </w:footnote>
  <w:footnote w:id="46">
    <w:p w14:paraId="39D434B3" w14:textId="77777777" w:rsidR="00274612" w:rsidRDefault="00274612" w:rsidP="00B5308A">
      <w:pPr>
        <w:pStyle w:val="FootnoteText"/>
      </w:pPr>
      <w:r w:rsidRPr="00075D92">
        <w:rPr>
          <w:rStyle w:val="FootnoteReference"/>
        </w:rPr>
        <w:footnoteRef/>
      </w:r>
      <w:r w:rsidRPr="008E0340">
        <w:tab/>
      </w:r>
      <w:r w:rsidRPr="0086059D">
        <w:rPr>
          <w:sz w:val="22"/>
        </w:rPr>
        <w:t xml:space="preserve">Regulation </w:t>
      </w:r>
      <w:r w:rsidRPr="008E0340">
        <w:rPr>
          <w:sz w:val="22"/>
        </w:rPr>
        <w:t>(EU) No 1304/2013</w:t>
      </w:r>
      <w:r w:rsidRPr="003A5688">
        <w:rPr>
          <w:sz w:val="22"/>
        </w:rPr>
        <w:t xml:space="preserve"> </w:t>
      </w:r>
      <w:r w:rsidRPr="0086059D">
        <w:rPr>
          <w:sz w:val="22"/>
        </w:rPr>
        <w:t xml:space="preserve">of the European Parliament and of </w:t>
      </w:r>
      <w:r w:rsidRPr="008E0340">
        <w:rPr>
          <w:sz w:val="22"/>
        </w:rPr>
        <w:t>t</w:t>
      </w:r>
      <w:r w:rsidRPr="0086059D">
        <w:rPr>
          <w:sz w:val="22"/>
        </w:rPr>
        <w:t xml:space="preserve">he Council </w:t>
      </w:r>
      <w:r w:rsidRPr="008E0340">
        <w:rPr>
          <w:sz w:val="22"/>
        </w:rPr>
        <w:t xml:space="preserve">of 17 December 2013 </w:t>
      </w:r>
      <w:r w:rsidRPr="0086059D">
        <w:rPr>
          <w:sz w:val="22"/>
        </w:rPr>
        <w:t>on the European Social Fund and repealing Council Regulation (EC) No 1081/2006 (OJ L 347, 20.12.2013</w:t>
      </w:r>
      <w:r w:rsidRPr="008E0340">
        <w:rPr>
          <w:sz w:val="22"/>
        </w:rPr>
        <w:t>, p. 470</w:t>
      </w:r>
      <w:r w:rsidRPr="0086059D">
        <w:rPr>
          <w:sz w:val="22"/>
        </w:rPr>
        <w:t>)</w:t>
      </w:r>
    </w:p>
  </w:footnote>
  <w:footnote w:id="47">
    <w:p w14:paraId="1CF67CA3" w14:textId="77777777" w:rsidR="00274612" w:rsidRPr="003A5688" w:rsidRDefault="00274612" w:rsidP="00B5308A">
      <w:pPr>
        <w:spacing w:before="0" w:after="0"/>
        <w:ind w:left="720" w:hanging="720"/>
      </w:pPr>
      <w:r w:rsidRPr="008E0340">
        <w:rPr>
          <w:rStyle w:val="FootnoteReference"/>
        </w:rPr>
        <w:footnoteRef/>
      </w:r>
      <w:r w:rsidRPr="008E0340">
        <w:tab/>
        <w:t xml:space="preserve">This list includes common result indicators for which a target value has been set and all programme-specific </w:t>
      </w:r>
      <w:r w:rsidRPr="003A5688">
        <w:t>result indicators. Target values for common result indicators must be quantified; for programme-specific result indicators they may be qualitative or quantitative. All result indicators in Annex II to Regulation (EU) N</w:t>
      </w:r>
      <w:r w:rsidRPr="00D01289">
        <w:t xml:space="preserve">o </w:t>
      </w:r>
      <w:r w:rsidRPr="0086059D">
        <w:rPr>
          <w:sz w:val="22"/>
        </w:rPr>
        <w:t>1304/2013</w:t>
      </w:r>
      <w:r w:rsidRPr="008E0340">
        <w:rPr>
          <w:sz w:val="22"/>
        </w:rPr>
        <w:t xml:space="preserve"> </w:t>
      </w:r>
      <w:r w:rsidRPr="003A5688">
        <w:t xml:space="preserve">used to monitor YEI implementation must be linked to a quantified target value. Target values may be presented as a total (men+women) or broken down by gender, the baseline values may be adjusted accordingly. “M” = men, “W”=women, “T”= total. </w:t>
      </w:r>
    </w:p>
    <w:p w14:paraId="3718493D" w14:textId="77777777" w:rsidR="00274612" w:rsidRDefault="00274612" w:rsidP="00B5308A">
      <w:pPr>
        <w:spacing w:before="0" w:after="0"/>
        <w:ind w:left="720" w:hanging="720"/>
      </w:pPr>
    </w:p>
  </w:footnote>
  <w:footnote w:id="48">
    <w:p w14:paraId="39BE82B3" w14:textId="77777777" w:rsidR="00274612" w:rsidRPr="00712017" w:rsidRDefault="00274612" w:rsidP="00B5308A">
      <w:pPr>
        <w:spacing w:before="0" w:after="0"/>
        <w:ind w:left="720" w:hanging="720"/>
        <w:rPr>
          <w:sz w:val="20"/>
        </w:rPr>
      </w:pPr>
      <w:r w:rsidRPr="003A5688">
        <w:rPr>
          <w:rStyle w:val="FootnoteReference"/>
        </w:rPr>
        <w:footnoteRef/>
      </w:r>
      <w:r w:rsidRPr="0059156D">
        <w:tab/>
      </w:r>
      <w:r w:rsidRPr="0055056B">
        <w:rPr>
          <w:sz w:val="20"/>
        </w:rPr>
        <w:t>For the ESF, this list includes common output indicators for which a target value has been set. Target values may be presented as a total (men+women) or broken down by gender. For</w:t>
      </w:r>
      <w:r w:rsidRPr="00A357DE">
        <w:rPr>
          <w:sz w:val="20"/>
        </w:rPr>
        <w:t xml:space="preserve"> the ERDF and </w:t>
      </w:r>
      <w:r w:rsidRPr="008E51ED">
        <w:rPr>
          <w:sz w:val="20"/>
        </w:rPr>
        <w:t xml:space="preserve">the </w:t>
      </w:r>
      <w:r w:rsidRPr="005F6ED8">
        <w:rPr>
          <w:sz w:val="20"/>
        </w:rPr>
        <w:t>C</w:t>
      </w:r>
      <w:r w:rsidRPr="00232A3C">
        <w:rPr>
          <w:sz w:val="20"/>
        </w:rPr>
        <w:t>ohesion Fund</w:t>
      </w:r>
      <w:r w:rsidRPr="002D4179">
        <w:rPr>
          <w:sz w:val="20"/>
        </w:rPr>
        <w:t>, gender breakdown is in most cases not relevant. “M” = men, “W”=women, “T”=</w:t>
      </w:r>
      <w:r w:rsidRPr="00712017">
        <w:rPr>
          <w:sz w:val="20"/>
        </w:rPr>
        <w:t xml:space="preserve"> total. </w:t>
      </w:r>
    </w:p>
    <w:p w14:paraId="5CA8E930" w14:textId="77777777" w:rsidR="00274612" w:rsidRDefault="00274612" w:rsidP="00B5308A">
      <w:pPr>
        <w:spacing w:before="0" w:after="0"/>
        <w:ind w:left="720" w:hanging="720"/>
      </w:pPr>
    </w:p>
  </w:footnote>
  <w:footnote w:id="49">
    <w:p w14:paraId="5706C04F" w14:textId="77777777" w:rsidR="00274612" w:rsidRDefault="00274612" w:rsidP="00D14C5F">
      <w:pPr>
        <w:pStyle w:val="FootnoteText"/>
      </w:pPr>
      <w:r w:rsidRPr="0059156D">
        <w:rPr>
          <w:rStyle w:val="FootnoteReference"/>
        </w:rPr>
        <w:footnoteRef/>
      </w:r>
      <w:r w:rsidRPr="0059156D">
        <w:tab/>
      </w:r>
      <w:r w:rsidRPr="00243777">
        <w:t xml:space="preserve">Only for programmes supported by the ESF. </w:t>
      </w:r>
    </w:p>
  </w:footnote>
  <w:footnote w:id="50">
    <w:p w14:paraId="390C89CA" w14:textId="77777777" w:rsidR="00274612" w:rsidRDefault="00274612" w:rsidP="00D14C5F">
      <w:pPr>
        <w:pStyle w:val="FootnoteText"/>
      </w:pPr>
      <w:r w:rsidRPr="0059156D">
        <w:rPr>
          <w:rStyle w:val="FootnoteReference"/>
        </w:rPr>
        <w:footnoteRef/>
      </w:r>
      <w:r w:rsidRPr="0055056B">
        <w:tab/>
        <w:t>For the ESF, this list includes common output indicators for which a target value has been set and all programme-specific output indicators.</w:t>
      </w:r>
    </w:p>
  </w:footnote>
  <w:footnote w:id="51">
    <w:p w14:paraId="310EE439" w14:textId="77777777" w:rsidR="00274612" w:rsidRDefault="00274612" w:rsidP="00D14C5F">
      <w:pPr>
        <w:pStyle w:val="FootnoteText"/>
      </w:pPr>
      <w:r w:rsidRPr="0086059D">
        <w:rPr>
          <w:rStyle w:val="FootnoteReference"/>
        </w:rPr>
        <w:footnoteRef/>
      </w:r>
      <w:r w:rsidRPr="0086059D">
        <w:tab/>
        <w:t>Where YEI is implemented as part of a priority axis, YEI milestones and targets must be distinguished from other milestones and targets for the priority axis in accordance with implementing acts referred to in the fifth subparagraph of Article 22</w:t>
      </w:r>
      <w:r w:rsidRPr="008E0340">
        <w:t>(</w:t>
      </w:r>
      <w:r w:rsidRPr="0086059D">
        <w:t>7</w:t>
      </w:r>
      <w:r w:rsidRPr="008E0340">
        <w:t>)</w:t>
      </w:r>
      <w:r w:rsidRPr="003A5688">
        <w:t xml:space="preserve"> of Regulation (EU) No 1303/2013, as YEI resources (specific allocation and matching ESF support) are excluded from the performance reserve.</w:t>
      </w:r>
    </w:p>
  </w:footnote>
  <w:footnote w:id="52">
    <w:p w14:paraId="23563062" w14:textId="77777777" w:rsidR="00274612" w:rsidRPr="003A5688" w:rsidRDefault="00274612" w:rsidP="00D14C5F">
      <w:pPr>
        <w:spacing w:before="0" w:after="0"/>
        <w:ind w:left="720" w:hanging="720"/>
      </w:pPr>
      <w:r w:rsidRPr="00075D92">
        <w:rPr>
          <w:rStyle w:val="FootnoteReference"/>
        </w:rPr>
        <w:footnoteRef/>
      </w:r>
      <w:r w:rsidRPr="008E0340">
        <w:tab/>
      </w:r>
      <w:r w:rsidRPr="003A5688">
        <w:rPr>
          <w:sz w:val="20"/>
        </w:rPr>
        <w:t xml:space="preserve">Target values may be presented as a total (men+women) or broken down by gender. “M” = men, “W”=women, “T”= total. </w:t>
      </w:r>
    </w:p>
    <w:p w14:paraId="3C8AD2A1" w14:textId="77777777" w:rsidR="00274612" w:rsidRDefault="00274612" w:rsidP="00D14C5F">
      <w:pPr>
        <w:spacing w:before="0" w:after="0"/>
        <w:ind w:left="720" w:hanging="720"/>
      </w:pPr>
    </w:p>
  </w:footnote>
  <w:footnote w:id="53">
    <w:p w14:paraId="34BF38B7" w14:textId="77777777" w:rsidR="00274612" w:rsidRPr="00552FB9" w:rsidRDefault="00274612" w:rsidP="00D14C5F">
      <w:pPr>
        <w:pStyle w:val="FootnoteText"/>
        <w:rPr>
          <w:lang w:val="et-EE"/>
        </w:rPr>
      </w:pPr>
      <w:r w:rsidRPr="00C91585">
        <w:rPr>
          <w:rStyle w:val="FootnoteReference"/>
        </w:rPr>
        <w:footnoteRef/>
      </w:r>
      <w:r>
        <w:tab/>
      </w:r>
      <w:r w:rsidRPr="00243777">
        <w:rPr>
          <w:lang w:val="en-US"/>
        </w:rPr>
        <w:t>Amounts include total Union support (the main allocation and the allocation from the performance reserve).</w:t>
      </w:r>
      <w:r>
        <w:rPr>
          <w:lang w:val="et-EE"/>
        </w:rPr>
        <w:t xml:space="preserve"> </w:t>
      </w:r>
    </w:p>
    <w:p w14:paraId="26EF903C" w14:textId="77777777" w:rsidR="00274612" w:rsidRDefault="00274612" w:rsidP="00D14C5F">
      <w:pPr>
        <w:pStyle w:val="FootnoteText"/>
      </w:pPr>
    </w:p>
  </w:footnote>
  <w:footnote w:id="54">
    <w:p w14:paraId="4F7D19C6" w14:textId="77777777" w:rsidR="00274612" w:rsidRDefault="00274612" w:rsidP="00D14C5F">
      <w:pPr>
        <w:pStyle w:val="FootnoteText"/>
      </w:pPr>
      <w:r w:rsidRPr="003A5688">
        <w:rPr>
          <w:rStyle w:val="FootnoteReference"/>
        </w:rPr>
        <w:footnoteRef/>
      </w:r>
      <w:r w:rsidRPr="00D01289">
        <w:tab/>
        <w:t xml:space="preserve">Include, where appropriate,  quantified information on the ESF’s contribution to the thematic objectives referred to in points (1) to (7) of the first paragraph of Article 9 of Regulation (EU) </w:t>
      </w:r>
      <w:r w:rsidRPr="00681DC7">
        <w:t>N</w:t>
      </w:r>
      <w:r w:rsidRPr="00CE3EED">
        <w:t>o 1303/2013.</w:t>
      </w:r>
    </w:p>
  </w:footnote>
  <w:footnote w:id="55">
    <w:p w14:paraId="0D52A1D1" w14:textId="77777777" w:rsidR="00274612" w:rsidRPr="000E2684" w:rsidRDefault="00274612" w:rsidP="00C37144">
      <w:pPr>
        <w:spacing w:before="0" w:after="0"/>
        <w:ind w:left="720" w:hanging="720"/>
        <w:rPr>
          <w:lang w:val="en-US"/>
        </w:rPr>
      </w:pPr>
      <w:r w:rsidRPr="0086059D">
        <w:rPr>
          <w:rStyle w:val="FootnoteReference"/>
        </w:rPr>
        <w:footnoteRef/>
      </w:r>
      <w:r w:rsidRPr="0086059D">
        <w:rPr>
          <w:sz w:val="20"/>
        </w:rPr>
        <w:tab/>
        <w:t>For ERDF and the Cohesion Fund, the target values may be qualitative or quantitative.</w:t>
      </w:r>
    </w:p>
  </w:footnote>
  <w:footnote w:id="56">
    <w:p w14:paraId="36167D15" w14:textId="77777777" w:rsidR="00274612" w:rsidRDefault="00274612" w:rsidP="00C37144">
      <w:pPr>
        <w:spacing w:before="0" w:after="0"/>
        <w:ind w:left="720" w:hanging="720"/>
      </w:pPr>
      <w:r w:rsidRPr="003A5688">
        <w:rPr>
          <w:rStyle w:val="FootnoteReference"/>
        </w:rPr>
        <w:footnoteRef/>
      </w:r>
      <w:r w:rsidRPr="003A5688">
        <w:rPr>
          <w:sz w:val="20"/>
        </w:rPr>
        <w:tab/>
        <w:t xml:space="preserve">This list includes common result indicators for which a target value has been set and all programme-specific result indicators. Target values for common result indicators must be quantified; for programme-specific result indicators, they may be qualitative or quantitative. Target values may be presented as a total (men+women) or broken down by gender, the baseline values can be adjusted accordingly. “M” = men, “W”=women, “T”= total. </w:t>
      </w:r>
    </w:p>
  </w:footnote>
  <w:footnote w:id="57">
    <w:p w14:paraId="17C96446" w14:textId="77777777" w:rsidR="00274612" w:rsidRDefault="00274612" w:rsidP="00C37144">
      <w:pPr>
        <w:pStyle w:val="FootnoteText"/>
      </w:pPr>
      <w:r w:rsidRPr="00075D92">
        <w:rPr>
          <w:rStyle w:val="FootnoteReference"/>
        </w:rPr>
        <w:footnoteRef/>
      </w:r>
      <w:r w:rsidRPr="008E0340">
        <w:tab/>
      </w:r>
      <w:r w:rsidRPr="0086059D">
        <w:rPr>
          <w:sz w:val="22"/>
        </w:rPr>
        <w:t xml:space="preserve">Regulation </w:t>
      </w:r>
      <w:r w:rsidRPr="008E0340">
        <w:rPr>
          <w:sz w:val="22"/>
        </w:rPr>
        <w:t>(EU) No 1304/2013</w:t>
      </w:r>
      <w:r w:rsidRPr="003A5688">
        <w:rPr>
          <w:sz w:val="22"/>
        </w:rPr>
        <w:t xml:space="preserve"> </w:t>
      </w:r>
      <w:r w:rsidRPr="0086059D">
        <w:rPr>
          <w:sz w:val="22"/>
        </w:rPr>
        <w:t xml:space="preserve">of the European Parliament and of </w:t>
      </w:r>
      <w:r w:rsidRPr="008E0340">
        <w:rPr>
          <w:sz w:val="22"/>
        </w:rPr>
        <w:t>t</w:t>
      </w:r>
      <w:r w:rsidRPr="0086059D">
        <w:rPr>
          <w:sz w:val="22"/>
        </w:rPr>
        <w:t xml:space="preserve">he Council </w:t>
      </w:r>
      <w:r w:rsidRPr="008E0340">
        <w:rPr>
          <w:sz w:val="22"/>
        </w:rPr>
        <w:t xml:space="preserve">of 17 December 2013 </w:t>
      </w:r>
      <w:r w:rsidRPr="0086059D">
        <w:rPr>
          <w:sz w:val="22"/>
        </w:rPr>
        <w:t>on the European Social Fund and repealing Council Regulation (EC) No 1081/2006 (OJ L 347, 20.12.2013</w:t>
      </w:r>
      <w:r w:rsidRPr="008E0340">
        <w:rPr>
          <w:sz w:val="22"/>
        </w:rPr>
        <w:t>, p. 470</w:t>
      </w:r>
      <w:r w:rsidRPr="0086059D">
        <w:rPr>
          <w:sz w:val="22"/>
        </w:rPr>
        <w:t>)</w:t>
      </w:r>
    </w:p>
  </w:footnote>
  <w:footnote w:id="58">
    <w:p w14:paraId="24189C83" w14:textId="77777777" w:rsidR="00274612" w:rsidRPr="003A5688" w:rsidRDefault="00274612" w:rsidP="00C37144">
      <w:pPr>
        <w:spacing w:before="0" w:after="0"/>
        <w:ind w:left="720" w:hanging="720"/>
      </w:pPr>
      <w:r w:rsidRPr="008E0340">
        <w:rPr>
          <w:rStyle w:val="FootnoteReference"/>
        </w:rPr>
        <w:footnoteRef/>
      </w:r>
      <w:r w:rsidRPr="008E0340">
        <w:tab/>
        <w:t xml:space="preserve">This list includes common result indicators for which a target value has been set and all programme-specific </w:t>
      </w:r>
      <w:r w:rsidRPr="003A5688">
        <w:t>result indicators. Target values for common result indicators must be quantified; for programme-specific result indicators they may be qualitative or quantitative. All result indicators in Annex II to Regulation (EU) N</w:t>
      </w:r>
      <w:r w:rsidRPr="00D01289">
        <w:t xml:space="preserve">o </w:t>
      </w:r>
      <w:r w:rsidRPr="0086059D">
        <w:rPr>
          <w:sz w:val="22"/>
        </w:rPr>
        <w:t>1304/2013</w:t>
      </w:r>
      <w:r w:rsidRPr="008E0340">
        <w:rPr>
          <w:sz w:val="22"/>
        </w:rPr>
        <w:t xml:space="preserve"> </w:t>
      </w:r>
      <w:r w:rsidRPr="003A5688">
        <w:t xml:space="preserve">used to monitor YEI implementation must be linked to a quantified target value. Target values may be presented as a total (men+women) or broken down by gender, the baseline values may be adjusted accordingly. “M” = men, “W”=women, “T”= total. </w:t>
      </w:r>
    </w:p>
    <w:p w14:paraId="5F390137" w14:textId="77777777" w:rsidR="00274612" w:rsidRDefault="00274612" w:rsidP="00C37144">
      <w:pPr>
        <w:spacing w:before="0" w:after="0"/>
        <w:ind w:left="720" w:hanging="720"/>
      </w:pPr>
    </w:p>
  </w:footnote>
  <w:footnote w:id="59">
    <w:p w14:paraId="28F07A97" w14:textId="77777777" w:rsidR="00274612" w:rsidRPr="0086059D" w:rsidRDefault="00274612" w:rsidP="00C37144">
      <w:pPr>
        <w:spacing w:before="0" w:after="0"/>
        <w:ind w:left="720" w:hanging="720"/>
        <w:rPr>
          <w:sz w:val="20"/>
        </w:rPr>
      </w:pPr>
      <w:r w:rsidRPr="003A5688">
        <w:rPr>
          <w:rStyle w:val="FootnoteReference"/>
        </w:rPr>
        <w:footnoteRef/>
      </w:r>
      <w:r w:rsidRPr="003A5688">
        <w:tab/>
      </w:r>
      <w:r w:rsidRPr="00D01289">
        <w:rPr>
          <w:sz w:val="20"/>
        </w:rPr>
        <w:t xml:space="preserve">For the ESF, this list includes common output indicators for which a target value has been set. Target values may be presented as a total (men+women) or broken down by gender. For the ERDF and </w:t>
      </w:r>
      <w:r w:rsidRPr="00681DC7">
        <w:rPr>
          <w:sz w:val="20"/>
        </w:rPr>
        <w:t xml:space="preserve">the </w:t>
      </w:r>
      <w:r w:rsidRPr="00CE3EED">
        <w:rPr>
          <w:sz w:val="20"/>
        </w:rPr>
        <w:t>C</w:t>
      </w:r>
      <w:r w:rsidRPr="004A502C">
        <w:rPr>
          <w:sz w:val="20"/>
        </w:rPr>
        <w:t>ohesion Fund</w:t>
      </w:r>
      <w:r w:rsidRPr="00497531">
        <w:rPr>
          <w:sz w:val="20"/>
        </w:rPr>
        <w:t>, gender breakdown is in most cases not relevant. “M” = men, “W”=women, “T”=</w:t>
      </w:r>
      <w:r w:rsidRPr="0086059D">
        <w:rPr>
          <w:sz w:val="20"/>
        </w:rPr>
        <w:t xml:space="preserve"> total. </w:t>
      </w:r>
    </w:p>
    <w:p w14:paraId="2C9BC401" w14:textId="77777777" w:rsidR="00274612" w:rsidRDefault="00274612" w:rsidP="00C37144">
      <w:pPr>
        <w:spacing w:before="0" w:after="0"/>
        <w:ind w:left="720" w:hanging="720"/>
      </w:pPr>
    </w:p>
  </w:footnote>
  <w:footnote w:id="60">
    <w:p w14:paraId="66ECD2BA" w14:textId="77777777" w:rsidR="00274612" w:rsidRDefault="00274612" w:rsidP="00C37144">
      <w:pPr>
        <w:pStyle w:val="FootnoteText"/>
      </w:pPr>
      <w:r w:rsidRPr="00B17777">
        <w:rPr>
          <w:rStyle w:val="FootnoteReference"/>
        </w:rPr>
        <w:footnoteRef/>
      </w:r>
      <w:r w:rsidRPr="00B17777">
        <w:tab/>
      </w:r>
      <w:r w:rsidRPr="00243777">
        <w:t xml:space="preserve">Only for programmes supported by the ESF. </w:t>
      </w:r>
    </w:p>
  </w:footnote>
  <w:footnote w:id="61">
    <w:p w14:paraId="265D1099" w14:textId="77777777" w:rsidR="00274612" w:rsidRDefault="00274612" w:rsidP="00C37144">
      <w:pPr>
        <w:pStyle w:val="FootnoteText"/>
      </w:pPr>
      <w:r w:rsidRPr="00B17777">
        <w:rPr>
          <w:rStyle w:val="FootnoteReference"/>
        </w:rPr>
        <w:footnoteRef/>
      </w:r>
      <w:r w:rsidRPr="00232A3C">
        <w:tab/>
        <w:t xml:space="preserve">For the ESF, this list includes common output indicators for which a target value has been set </w:t>
      </w:r>
      <w:r w:rsidRPr="008B1712">
        <w:t>and all programme-specific output indicators.</w:t>
      </w:r>
    </w:p>
  </w:footnote>
  <w:footnote w:id="62">
    <w:p w14:paraId="5B528E0E" w14:textId="77777777" w:rsidR="00274612" w:rsidRDefault="00274612" w:rsidP="00C37144">
      <w:pPr>
        <w:pStyle w:val="FootnoteText"/>
      </w:pPr>
      <w:r w:rsidRPr="0086059D">
        <w:rPr>
          <w:rStyle w:val="FootnoteReference"/>
        </w:rPr>
        <w:footnoteRef/>
      </w:r>
      <w:r w:rsidRPr="0086059D">
        <w:tab/>
        <w:t>Where YEI is implemented as part of a priority axis, YEI milestones and targets must be distinguished from other milestones and targets for the priority axis in accordance with implementing acts referred to in the fifth subparagraph of Article 22</w:t>
      </w:r>
      <w:r w:rsidRPr="008E0340">
        <w:t>(</w:t>
      </w:r>
      <w:r w:rsidRPr="0086059D">
        <w:t>7</w:t>
      </w:r>
      <w:r w:rsidRPr="008E0340">
        <w:t>)</w:t>
      </w:r>
      <w:r w:rsidRPr="003A5688">
        <w:t xml:space="preserve"> of Regulation (EU) No 1303/2013, as YEI resources (specific allocation and matching ESF support) are excluded from the performance reserve.</w:t>
      </w:r>
    </w:p>
  </w:footnote>
  <w:footnote w:id="63">
    <w:p w14:paraId="09208C13" w14:textId="77777777" w:rsidR="00274612" w:rsidRPr="003A5688" w:rsidRDefault="00274612" w:rsidP="00C37144">
      <w:pPr>
        <w:spacing w:before="0" w:after="0"/>
        <w:ind w:left="720" w:hanging="720"/>
      </w:pPr>
      <w:r w:rsidRPr="00075D92">
        <w:rPr>
          <w:rStyle w:val="FootnoteReference"/>
        </w:rPr>
        <w:footnoteRef/>
      </w:r>
      <w:r w:rsidRPr="008E0340">
        <w:tab/>
      </w:r>
      <w:r w:rsidRPr="003A5688">
        <w:rPr>
          <w:sz w:val="20"/>
        </w:rPr>
        <w:t xml:space="preserve">Target values may be presented as a total (men+women) or broken down by gender. “M” = men, “W”=women, “T”= total. </w:t>
      </w:r>
    </w:p>
    <w:p w14:paraId="40AA7857" w14:textId="77777777" w:rsidR="00274612" w:rsidRDefault="00274612" w:rsidP="00C37144">
      <w:pPr>
        <w:spacing w:before="0" w:after="0"/>
        <w:ind w:left="720" w:hanging="720"/>
      </w:pPr>
    </w:p>
  </w:footnote>
  <w:footnote w:id="64">
    <w:p w14:paraId="66D7675D" w14:textId="77777777" w:rsidR="00274612" w:rsidRPr="00243777" w:rsidRDefault="00274612" w:rsidP="00C37144">
      <w:pPr>
        <w:pStyle w:val="FootnoteText"/>
      </w:pPr>
      <w:r w:rsidRPr="00BC30C9">
        <w:rPr>
          <w:rStyle w:val="FootnoteReference"/>
        </w:rPr>
        <w:footnoteRef/>
      </w:r>
      <w:r w:rsidRPr="009C4BBD">
        <w:tab/>
      </w:r>
      <w:r w:rsidRPr="00243777">
        <w:t xml:space="preserve">Amounts include total Union support (the main allocation and the allocation from the performance reserve). </w:t>
      </w:r>
    </w:p>
    <w:p w14:paraId="70A538BE" w14:textId="77777777" w:rsidR="00274612" w:rsidRDefault="00274612" w:rsidP="00C37144">
      <w:pPr>
        <w:pStyle w:val="FootnoteText"/>
      </w:pPr>
    </w:p>
  </w:footnote>
  <w:footnote w:id="65">
    <w:p w14:paraId="0D7EC8B0" w14:textId="77777777" w:rsidR="00274612" w:rsidRDefault="00274612" w:rsidP="00C37144">
      <w:pPr>
        <w:pStyle w:val="FootnoteText"/>
      </w:pPr>
      <w:r w:rsidRPr="003A5688">
        <w:rPr>
          <w:rStyle w:val="FootnoteReference"/>
        </w:rPr>
        <w:footnoteRef/>
      </w:r>
      <w:r w:rsidRPr="00D01289">
        <w:tab/>
        <w:t xml:space="preserve">Include, where appropriate, quantified information on the ESF’s contribution to the thematic objectives referred to in points (1) to (7) of the first paragraph of Article 9 of Regulation (EU) </w:t>
      </w:r>
      <w:r w:rsidRPr="00681DC7">
        <w:t>N</w:t>
      </w:r>
      <w:r w:rsidRPr="00CE3EED">
        <w:t>o 1303/2013.</w:t>
      </w:r>
    </w:p>
  </w:footnote>
  <w:footnote w:id="66">
    <w:p w14:paraId="64329F57" w14:textId="77777777" w:rsidR="00274612" w:rsidRDefault="00274612" w:rsidP="00CE70C7">
      <w:pPr>
        <w:spacing w:before="0" w:after="0"/>
      </w:pPr>
      <w:r>
        <w:rPr>
          <w:rStyle w:val="FootnoteReference"/>
          <w:sz w:val="20"/>
        </w:rPr>
        <w:footnoteRef/>
      </w:r>
      <w:r w:rsidRPr="0086059D">
        <w:rPr>
          <w:sz w:val="20"/>
        </w:rPr>
        <w:tab/>
        <w:t>For ERDF and the Cohesion Fund, the target values may be qualitative or quantitative.</w:t>
      </w:r>
    </w:p>
  </w:footnote>
  <w:footnote w:id="67">
    <w:p w14:paraId="6F1DDA79" w14:textId="77777777" w:rsidR="00274612" w:rsidRDefault="00274612" w:rsidP="005909DE">
      <w:pPr>
        <w:spacing w:before="0" w:after="0"/>
        <w:ind w:left="720" w:hanging="720"/>
      </w:pPr>
      <w:r w:rsidRPr="003A5688">
        <w:rPr>
          <w:rStyle w:val="FootnoteReference"/>
        </w:rPr>
        <w:footnoteRef/>
      </w:r>
      <w:r w:rsidRPr="003A5688">
        <w:rPr>
          <w:sz w:val="20"/>
        </w:rPr>
        <w:tab/>
        <w:t xml:space="preserve">This list includes common result indicators for which a target value has been set and all programme-specific result indicators. Target values for common result indicators must be quantified; for programme-specific result indicators, they may be qualitative or quantitative. Target values may be presented as a total (men+women) or broken down by gender, the baseline values can be adjusted accordingly. “M” = men, “W”=women, “T”= total. </w:t>
      </w:r>
    </w:p>
  </w:footnote>
  <w:footnote w:id="68">
    <w:p w14:paraId="3C661215" w14:textId="77777777" w:rsidR="00274612" w:rsidRDefault="00274612" w:rsidP="00DF01C5">
      <w:pPr>
        <w:pStyle w:val="FootnoteText"/>
      </w:pPr>
      <w:r w:rsidRPr="00075D92">
        <w:rPr>
          <w:rStyle w:val="FootnoteReference"/>
        </w:rPr>
        <w:footnoteRef/>
      </w:r>
      <w:r w:rsidRPr="008E0340">
        <w:tab/>
      </w:r>
      <w:r w:rsidRPr="0086059D">
        <w:rPr>
          <w:sz w:val="22"/>
        </w:rPr>
        <w:t xml:space="preserve">Regulation </w:t>
      </w:r>
      <w:r w:rsidRPr="008E0340">
        <w:rPr>
          <w:sz w:val="22"/>
        </w:rPr>
        <w:t>(EU) No 1304/2013</w:t>
      </w:r>
      <w:r w:rsidRPr="003A5688">
        <w:rPr>
          <w:sz w:val="22"/>
        </w:rPr>
        <w:t xml:space="preserve"> </w:t>
      </w:r>
      <w:r w:rsidRPr="0086059D">
        <w:rPr>
          <w:sz w:val="22"/>
        </w:rPr>
        <w:t xml:space="preserve">of the European Parliament and of </w:t>
      </w:r>
      <w:r w:rsidRPr="008E0340">
        <w:rPr>
          <w:sz w:val="22"/>
        </w:rPr>
        <w:t>t</w:t>
      </w:r>
      <w:r w:rsidRPr="0086059D">
        <w:rPr>
          <w:sz w:val="22"/>
        </w:rPr>
        <w:t xml:space="preserve">he Council </w:t>
      </w:r>
      <w:r w:rsidRPr="008E0340">
        <w:rPr>
          <w:sz w:val="22"/>
        </w:rPr>
        <w:t xml:space="preserve">of 17 December 2013 </w:t>
      </w:r>
      <w:r w:rsidRPr="0086059D">
        <w:rPr>
          <w:sz w:val="22"/>
        </w:rPr>
        <w:t>on the European Social Fund and repealing Council Regulation (EC) No 1081/2006 (OJ L 347, 20.12.2013</w:t>
      </w:r>
      <w:r w:rsidRPr="008E0340">
        <w:rPr>
          <w:sz w:val="22"/>
        </w:rPr>
        <w:t>, p. 470</w:t>
      </w:r>
      <w:r w:rsidRPr="0086059D">
        <w:rPr>
          <w:sz w:val="22"/>
        </w:rPr>
        <w:t>)</w:t>
      </w:r>
    </w:p>
  </w:footnote>
  <w:footnote w:id="69">
    <w:p w14:paraId="32D0801A" w14:textId="77777777" w:rsidR="00274612" w:rsidRPr="003A5688" w:rsidRDefault="00274612" w:rsidP="00DF01C5">
      <w:pPr>
        <w:spacing w:before="0" w:after="0"/>
        <w:ind w:left="720" w:hanging="720"/>
      </w:pPr>
      <w:r w:rsidRPr="008E0340">
        <w:rPr>
          <w:rStyle w:val="FootnoteReference"/>
        </w:rPr>
        <w:footnoteRef/>
      </w:r>
      <w:r w:rsidRPr="008E0340">
        <w:tab/>
        <w:t xml:space="preserve">This list includes common result indicators for which a target value has been set and all programme-specific </w:t>
      </w:r>
      <w:r w:rsidRPr="003A5688">
        <w:t>result indicators. Target values for common result indicators must be quantified; for programme-specific result indicators they may be qualitative or quantitative. All result indicators in Annex II to Regulation (EU) N</w:t>
      </w:r>
      <w:r w:rsidRPr="00D01289">
        <w:t xml:space="preserve">o </w:t>
      </w:r>
      <w:r w:rsidRPr="0086059D">
        <w:rPr>
          <w:sz w:val="22"/>
        </w:rPr>
        <w:t>1304/2013</w:t>
      </w:r>
      <w:r w:rsidRPr="008E0340">
        <w:rPr>
          <w:sz w:val="22"/>
        </w:rPr>
        <w:t xml:space="preserve"> </w:t>
      </w:r>
      <w:r w:rsidRPr="003A5688">
        <w:t xml:space="preserve">used to monitor YEI implementation must be linked to a quantified target value. Target values may be presented as a total (men+women) or broken down by gender, the baseline values may be adjusted accordingly. “M” = men, “W”=women, “T”= total. </w:t>
      </w:r>
    </w:p>
    <w:p w14:paraId="03CF426F" w14:textId="77777777" w:rsidR="00274612" w:rsidRDefault="00274612" w:rsidP="00DF01C5">
      <w:pPr>
        <w:spacing w:before="0" w:after="0"/>
        <w:ind w:left="720" w:hanging="720"/>
      </w:pPr>
    </w:p>
  </w:footnote>
  <w:footnote w:id="70">
    <w:p w14:paraId="62894B5B" w14:textId="77777777" w:rsidR="00274612" w:rsidRDefault="00274612" w:rsidP="00E97AE6">
      <w:pPr>
        <w:spacing w:before="0" w:after="0"/>
        <w:ind w:left="720" w:hanging="720"/>
      </w:pPr>
      <w:r w:rsidRPr="003A5688">
        <w:rPr>
          <w:rStyle w:val="FootnoteReference"/>
        </w:rPr>
        <w:footnoteRef/>
      </w:r>
      <w:r w:rsidRPr="003A5688">
        <w:tab/>
      </w:r>
      <w:r w:rsidRPr="00D01289">
        <w:rPr>
          <w:sz w:val="20"/>
        </w:rPr>
        <w:t xml:space="preserve">For the ESF, this list includes common output indicators for which a target value has been set. Target values may be presented as a total (men+women) or broken down by gender. For the ERDF and </w:t>
      </w:r>
      <w:r w:rsidRPr="00681DC7">
        <w:rPr>
          <w:sz w:val="20"/>
        </w:rPr>
        <w:t xml:space="preserve">the </w:t>
      </w:r>
      <w:r w:rsidRPr="00CE3EED">
        <w:rPr>
          <w:sz w:val="20"/>
        </w:rPr>
        <w:t>C</w:t>
      </w:r>
      <w:r w:rsidRPr="004A502C">
        <w:rPr>
          <w:sz w:val="20"/>
        </w:rPr>
        <w:t>ohesion Fund</w:t>
      </w:r>
      <w:r w:rsidRPr="00497531">
        <w:rPr>
          <w:sz w:val="20"/>
        </w:rPr>
        <w:t>, gender breakdown is in most cases not relevant. “M” = men, “W”=women, “T”=</w:t>
      </w:r>
      <w:r w:rsidRPr="0086059D">
        <w:rPr>
          <w:sz w:val="20"/>
        </w:rPr>
        <w:t xml:space="preserve"> total. </w:t>
      </w:r>
    </w:p>
  </w:footnote>
  <w:footnote w:id="71">
    <w:p w14:paraId="7460DD29" w14:textId="77777777" w:rsidR="00274612" w:rsidRDefault="00274612" w:rsidP="003B08DE">
      <w:pPr>
        <w:pStyle w:val="FootnoteText"/>
      </w:pPr>
      <w:r w:rsidRPr="00075D92">
        <w:rPr>
          <w:rStyle w:val="FootnoteReference"/>
        </w:rPr>
        <w:footnoteRef/>
      </w:r>
      <w:r>
        <w:tab/>
      </w:r>
      <w:r w:rsidRPr="0086059D">
        <w:rPr>
          <w:lang w:val="et-EE"/>
        </w:rPr>
        <w:t xml:space="preserve">Only for programmes supported by the ESF. </w:t>
      </w:r>
    </w:p>
  </w:footnote>
  <w:footnote w:id="72">
    <w:p w14:paraId="43115885" w14:textId="77777777" w:rsidR="00274612" w:rsidRDefault="00274612" w:rsidP="003B08DE">
      <w:pPr>
        <w:pStyle w:val="FootnoteText"/>
      </w:pPr>
      <w:r w:rsidRPr="0086059D">
        <w:rPr>
          <w:rStyle w:val="FootnoteReference"/>
        </w:rPr>
        <w:footnoteRef/>
      </w:r>
      <w:r w:rsidRPr="0086059D">
        <w:tab/>
        <w:t>For the ESF, this list includes common output indicators for which a target value has been set and all programme-specific output indicators.</w:t>
      </w:r>
    </w:p>
  </w:footnote>
  <w:footnote w:id="73">
    <w:p w14:paraId="6FC1E2AA" w14:textId="77777777" w:rsidR="00274612" w:rsidRDefault="00274612" w:rsidP="00AD7D99">
      <w:pPr>
        <w:pStyle w:val="FootnoteText"/>
      </w:pPr>
      <w:r w:rsidRPr="0086059D">
        <w:rPr>
          <w:rStyle w:val="FootnoteReference"/>
        </w:rPr>
        <w:footnoteRef/>
      </w:r>
      <w:r w:rsidRPr="0086059D">
        <w:tab/>
        <w:t>Where YEI is implemented as part of a priority axis, YEI milestones and targets must be distinguished from other milestones and targets for the priority axis in accordance with implementing acts referred to in the fifth subparagraph of Article 22</w:t>
      </w:r>
      <w:r w:rsidRPr="008E0340">
        <w:t>(</w:t>
      </w:r>
      <w:r w:rsidRPr="0086059D">
        <w:t>7</w:t>
      </w:r>
      <w:r w:rsidRPr="008E0340">
        <w:t>)</w:t>
      </w:r>
      <w:r w:rsidRPr="003A5688">
        <w:t xml:space="preserve"> of Regulation (EU) No 1303/2013, as YEI resources (specific allocation and matching ESF support) are excluded from the performance reserve.</w:t>
      </w:r>
    </w:p>
  </w:footnote>
  <w:footnote w:id="74">
    <w:p w14:paraId="7C2175D6" w14:textId="77777777" w:rsidR="00274612" w:rsidRPr="003A5688" w:rsidRDefault="00274612" w:rsidP="00AD7D99">
      <w:pPr>
        <w:spacing w:before="0" w:after="0"/>
        <w:ind w:left="720" w:hanging="720"/>
      </w:pPr>
      <w:r w:rsidRPr="00075D92">
        <w:rPr>
          <w:rStyle w:val="FootnoteReference"/>
        </w:rPr>
        <w:footnoteRef/>
      </w:r>
      <w:r w:rsidRPr="008E0340">
        <w:tab/>
      </w:r>
      <w:r w:rsidRPr="003A5688">
        <w:rPr>
          <w:sz w:val="20"/>
        </w:rPr>
        <w:t xml:space="preserve">Target values may be presented as a total (men+women) or broken down by gender. “M” = men, “W”=women, “T”= total. </w:t>
      </w:r>
    </w:p>
    <w:p w14:paraId="2AB28A1B" w14:textId="77777777" w:rsidR="00274612" w:rsidRDefault="00274612" w:rsidP="00AD7D99">
      <w:pPr>
        <w:spacing w:before="0" w:after="0"/>
        <w:ind w:left="720" w:hanging="720"/>
      </w:pPr>
    </w:p>
  </w:footnote>
  <w:footnote w:id="75">
    <w:p w14:paraId="12FC495A" w14:textId="77777777" w:rsidR="004A38AE" w:rsidRPr="00243777" w:rsidRDefault="004A38AE" w:rsidP="004A38AE">
      <w:pPr>
        <w:pStyle w:val="FootnoteText"/>
      </w:pPr>
      <w:r w:rsidRPr="00BC30C9">
        <w:rPr>
          <w:rStyle w:val="FootnoteReference"/>
        </w:rPr>
        <w:footnoteRef/>
      </w:r>
      <w:r w:rsidRPr="009C4BBD">
        <w:tab/>
      </w:r>
      <w:r w:rsidRPr="00243777">
        <w:t xml:space="preserve">Amounts include total Union support (the main allocation and the allocation from the performance reserve). </w:t>
      </w:r>
    </w:p>
    <w:p w14:paraId="7396B5B1" w14:textId="77777777" w:rsidR="004A38AE" w:rsidRDefault="004A38AE" w:rsidP="004A38AE">
      <w:pPr>
        <w:pStyle w:val="FootnoteText"/>
      </w:pPr>
    </w:p>
  </w:footnote>
  <w:footnote w:id="76">
    <w:p w14:paraId="77C549BF" w14:textId="77777777" w:rsidR="004A38AE" w:rsidRDefault="004A38AE" w:rsidP="004A38AE">
      <w:pPr>
        <w:pStyle w:val="FootnoteText"/>
      </w:pPr>
      <w:r w:rsidRPr="003A5688">
        <w:rPr>
          <w:rStyle w:val="FootnoteReference"/>
        </w:rPr>
        <w:footnoteRef/>
      </w:r>
      <w:r w:rsidRPr="00D01289">
        <w:tab/>
        <w:t xml:space="preserve">Include, where appropriate, quantified information on the ESF’s contribution to the thematic objectives referred to in points (1) to (7) of the first paragraph of Article 9 of Regulation (EU) </w:t>
      </w:r>
      <w:r w:rsidRPr="00681DC7">
        <w:t>N</w:t>
      </w:r>
      <w:r w:rsidRPr="00CE3EED">
        <w:t>o 1303/2013.</w:t>
      </w:r>
    </w:p>
  </w:footnote>
  <w:footnote w:id="77">
    <w:p w14:paraId="53E5BE8F" w14:textId="77777777" w:rsidR="00274612" w:rsidRDefault="00274612" w:rsidP="00B97B59">
      <w:pPr>
        <w:pStyle w:val="FootnoteText"/>
      </w:pPr>
      <w:r w:rsidRPr="00CE3EED">
        <w:rPr>
          <w:rStyle w:val="FootnoteReference"/>
        </w:rPr>
        <w:footnoteRef/>
      </w:r>
      <w:r w:rsidRPr="004A502C">
        <w:tab/>
        <w:t>Required where Union support for technical assistance in the programme exc</w:t>
      </w:r>
      <w:r w:rsidRPr="002D6F48">
        <w:t>eeds EUR</w:t>
      </w:r>
      <w:r w:rsidRPr="0086059D">
        <w:t xml:space="preserve"> 15 million </w:t>
      </w:r>
    </w:p>
  </w:footnote>
  <w:footnote w:id="78">
    <w:p w14:paraId="2FCC5DC0" w14:textId="77777777" w:rsidR="00274612" w:rsidRDefault="00274612" w:rsidP="00B97B59">
      <w:pPr>
        <w:pStyle w:val="FootnoteText"/>
      </w:pPr>
      <w:r w:rsidRPr="0086059D">
        <w:rPr>
          <w:rStyle w:val="FootnoteReference"/>
        </w:rPr>
        <w:footnoteRef/>
      </w:r>
      <w:r w:rsidRPr="0086059D">
        <w:tab/>
        <w:t>Required where objectively justified given the content of the action and where Union support for technical assistance in the programme exceeds EUR 15 million and where objectively justified by the given the content of the actions.</w:t>
      </w:r>
    </w:p>
  </w:footnote>
  <w:footnote w:id="79">
    <w:p w14:paraId="4E355482" w14:textId="77777777" w:rsidR="00274612" w:rsidRPr="00681DC7" w:rsidRDefault="00274612" w:rsidP="00947740">
      <w:pPr>
        <w:spacing w:before="0" w:after="0"/>
        <w:ind w:left="720" w:hanging="720"/>
      </w:pPr>
      <w:r w:rsidRPr="008E0340">
        <w:rPr>
          <w:rStyle w:val="FootnoteReference"/>
        </w:rPr>
        <w:footnoteRef/>
      </w:r>
      <w:r w:rsidRPr="008E0340">
        <w:tab/>
      </w:r>
      <w:r w:rsidRPr="003A5688">
        <w:rPr>
          <w:sz w:val="20"/>
        </w:rPr>
        <w:t xml:space="preserve">Target values may be qualitative or quantitative. Target values may be presented as a total (men+women) or broken down by gender, the baseline values </w:t>
      </w:r>
      <w:r w:rsidRPr="00D01289">
        <w:rPr>
          <w:sz w:val="20"/>
        </w:rPr>
        <w:t xml:space="preserve">may be adjusted accordingly. “M” = men, “W”=women, “T”= total. </w:t>
      </w:r>
    </w:p>
    <w:p w14:paraId="6EF7DD2F" w14:textId="77777777" w:rsidR="00274612" w:rsidRDefault="00274612" w:rsidP="00947740">
      <w:pPr>
        <w:spacing w:before="0" w:after="0"/>
        <w:ind w:left="720" w:hanging="720"/>
      </w:pPr>
    </w:p>
  </w:footnote>
  <w:footnote w:id="80">
    <w:p w14:paraId="35ED4BBC" w14:textId="77777777" w:rsidR="00274612" w:rsidRDefault="00274612" w:rsidP="00B97B59">
      <w:pPr>
        <w:pStyle w:val="FootnoteText"/>
      </w:pPr>
      <w:r w:rsidRPr="00681DC7">
        <w:rPr>
          <w:rStyle w:val="FootnoteReference"/>
        </w:rPr>
        <w:footnoteRef/>
      </w:r>
      <w:r w:rsidRPr="00CE3EED">
        <w:tab/>
        <w:t>For the ESF, this list includes all common output indicators for which targets have been set and all programme-specific output indicators.</w:t>
      </w:r>
    </w:p>
  </w:footnote>
  <w:footnote w:id="81">
    <w:p w14:paraId="6B7F4848" w14:textId="77777777" w:rsidR="00274612" w:rsidRDefault="00274612" w:rsidP="00BF3391">
      <w:pPr>
        <w:spacing w:before="0" w:after="0"/>
        <w:ind w:left="720" w:hanging="720"/>
      </w:pPr>
      <w:r w:rsidRPr="0086059D">
        <w:rPr>
          <w:rStyle w:val="FootnoteReference"/>
        </w:rPr>
        <w:footnoteRef/>
      </w:r>
      <w:r w:rsidRPr="008E0340">
        <w:rPr>
          <w:sz w:val="20"/>
        </w:rPr>
        <w:tab/>
        <w:t>Target values for output indicators under technical assistance are optional</w:t>
      </w:r>
      <w:r w:rsidRPr="003A5688">
        <w:rPr>
          <w:sz w:val="20"/>
        </w:rPr>
        <w:t xml:space="preserve"> .Target values may be presented as a total (men+women) or broken down by gender. “M” = men, “W”=women, “T”= total.  </w:t>
      </w:r>
    </w:p>
  </w:footnote>
  <w:footnote w:id="82">
    <w:p w14:paraId="0D04DBF5" w14:textId="77777777" w:rsidR="00274612" w:rsidRDefault="00274612">
      <w:pPr>
        <w:pStyle w:val="FootnoteText"/>
      </w:pPr>
      <w:r w:rsidRPr="00610656">
        <w:rPr>
          <w:rStyle w:val="FootnoteReference"/>
        </w:rPr>
        <w:footnoteRef/>
      </w:r>
      <w:r w:rsidRPr="00D0023C">
        <w:tab/>
      </w:r>
      <w:r w:rsidRPr="00243777">
        <w:t xml:space="preserve">Amounts include total Union support (the main allocation and the allocation from the performance reserve). </w:t>
      </w:r>
    </w:p>
  </w:footnote>
  <w:footnote w:id="83">
    <w:p w14:paraId="0E770BC4" w14:textId="77777777" w:rsidR="00274612" w:rsidRDefault="00274612" w:rsidP="005B4B64">
      <w:pPr>
        <w:pStyle w:val="FootnoteText"/>
      </w:pPr>
      <w:r w:rsidRPr="00D01289">
        <w:rPr>
          <w:rStyle w:val="FootnoteReference"/>
        </w:rPr>
        <w:footnoteRef/>
      </w:r>
      <w:r w:rsidRPr="00D01289">
        <w:tab/>
        <w:t>Total allocation (Union support) less allocation to performance reserve.</w:t>
      </w:r>
    </w:p>
  </w:footnote>
  <w:footnote w:id="84">
    <w:p w14:paraId="080B15CE" w14:textId="77777777" w:rsidR="00D833D7" w:rsidRDefault="00D833D7" w:rsidP="00BD5328">
      <w:pPr>
        <w:pStyle w:val="FootnoteText"/>
      </w:pPr>
      <w:r w:rsidRPr="00681DC7">
        <w:rPr>
          <w:rStyle w:val="FootnoteReference"/>
        </w:rPr>
        <w:footnoteRef/>
      </w:r>
      <w:r w:rsidRPr="00CE3EED">
        <w:tab/>
        <w:t>The national counterpart is divided pro-rata between the main allocation and the performance reserve.</w:t>
      </w:r>
    </w:p>
  </w:footnote>
  <w:footnote w:id="85">
    <w:p w14:paraId="2C502AC5" w14:textId="77777777" w:rsidR="00274612" w:rsidRDefault="00274612" w:rsidP="00B97B59">
      <w:pPr>
        <w:pStyle w:val="FootnoteText"/>
      </w:pPr>
      <w:r w:rsidRPr="0086059D">
        <w:rPr>
          <w:rStyle w:val="FootnoteReference"/>
        </w:rPr>
        <w:footnoteRef/>
      </w:r>
      <w:r w:rsidRPr="0086059D">
        <w:tab/>
        <w:t>To be completed for every (part of a) priority axis which implements the YEI.</w:t>
      </w:r>
    </w:p>
  </w:footnote>
  <w:footnote w:id="86">
    <w:p w14:paraId="1A85A47B" w14:textId="77777777" w:rsidR="00274612" w:rsidRDefault="00274612" w:rsidP="0072520C">
      <w:pPr>
        <w:pStyle w:val="FootnoteText"/>
      </w:pPr>
      <w:r w:rsidRPr="0086059D">
        <w:rPr>
          <w:rStyle w:val="FootnoteReference"/>
        </w:rPr>
        <w:footnoteRef/>
      </w:r>
      <w:r w:rsidRPr="0086059D">
        <w:tab/>
        <w:t>For the purposes of this table, the YEI (specific allocation and matching ESF support) is considered as a fund.</w:t>
      </w:r>
    </w:p>
  </w:footnote>
  <w:footnote w:id="87">
    <w:p w14:paraId="1403BF27" w14:textId="77777777" w:rsidR="00274612" w:rsidRDefault="00274612" w:rsidP="00B97B59">
      <w:pPr>
        <w:pStyle w:val="FootnoteText"/>
      </w:pPr>
      <w:r w:rsidRPr="0086059D">
        <w:rPr>
          <w:rStyle w:val="FootnoteReference"/>
        </w:rPr>
        <w:footnoteRef/>
      </w:r>
      <w:r w:rsidRPr="0086059D">
        <w:tab/>
        <w:t>This table is generated automatically on the basis of tables on categories of intervention under each priority axis.</w:t>
      </w:r>
    </w:p>
  </w:footnote>
  <w:footnote w:id="88">
    <w:p w14:paraId="6EC9050B" w14:textId="77777777" w:rsidR="00274612" w:rsidRDefault="00274612">
      <w:pPr>
        <w:pStyle w:val="FootnoteText"/>
      </w:pPr>
      <w:r w:rsidRPr="0086059D">
        <w:rPr>
          <w:rStyle w:val="FootnoteReference"/>
        </w:rPr>
        <w:footnoteRef/>
      </w:r>
      <w:r w:rsidRPr="0086059D">
        <w:tab/>
        <w:t xml:space="preserve">Regulation </w:t>
      </w:r>
      <w:r w:rsidRPr="003A5688">
        <w:t>(E</w:t>
      </w:r>
      <w:r w:rsidRPr="00D01289">
        <w:t xml:space="preserve">U) No 1301/2013 </w:t>
      </w:r>
      <w:r w:rsidRPr="0086059D">
        <w:t xml:space="preserve">of the European Parliament and of the Council </w:t>
      </w:r>
      <w:r w:rsidRPr="003A5688">
        <w:t xml:space="preserve">of 17 December 2013 </w:t>
      </w:r>
      <w:r w:rsidRPr="0086059D">
        <w:t>on the European Regional Development Fund and on specific provisions concerning the Investment for growth and jobs goal and repealing Regulation (EC) No 1080/2006 (OJ L 347, 20.12.2013</w:t>
      </w:r>
      <w:r w:rsidRPr="003A5688">
        <w:t>, p. 289</w:t>
      </w:r>
      <w:r w:rsidRPr="0086059D">
        <w:t>)</w:t>
      </w:r>
      <w:r w:rsidRPr="003A5688">
        <w:t>.</w:t>
      </w:r>
    </w:p>
  </w:footnote>
  <w:footnote w:id="89">
    <w:p w14:paraId="30D37AF2" w14:textId="77777777" w:rsidR="00274612" w:rsidRDefault="00274612" w:rsidP="00B97B59">
      <w:pPr>
        <w:pStyle w:val="FootnoteText"/>
      </w:pPr>
      <w:r w:rsidRPr="003A5688">
        <w:rPr>
          <w:rStyle w:val="FootnoteReference"/>
        </w:rPr>
        <w:footnoteRef/>
      </w:r>
      <w:r w:rsidRPr="00D01289">
        <w:tab/>
        <w:t>If the programme covers more than one category of region, a breakdown by category may be necessary.</w:t>
      </w:r>
    </w:p>
  </w:footnote>
  <w:footnote w:id="90">
    <w:p w14:paraId="3C206ACF" w14:textId="77777777" w:rsidR="00274612" w:rsidRDefault="00274612">
      <w:pPr>
        <w:pStyle w:val="FootnoteText"/>
      </w:pPr>
      <w:r w:rsidRPr="00D01289">
        <w:rPr>
          <w:rStyle w:val="FootnoteReference"/>
        </w:rPr>
        <w:footnoteRef/>
      </w:r>
      <w:r w:rsidRPr="00D01289">
        <w:tab/>
      </w:r>
      <w:r w:rsidRPr="00681DC7">
        <w:rPr>
          <w:lang w:eastAsia="ar-SA"/>
        </w:rPr>
        <w:t>Tables 25 and 26 cover only applicable general and thematic ex-ante co</w:t>
      </w:r>
      <w:r w:rsidRPr="00163EB6">
        <w:rPr>
          <w:lang w:eastAsia="ar-SA"/>
        </w:rPr>
        <w:t>nditionalities which are completely unfulfilled or partially fulfilled (see Table 24) at the time of submission of the programme.</w:t>
      </w:r>
    </w:p>
  </w:footnote>
  <w:footnote w:id="91">
    <w:p w14:paraId="42AE5952" w14:textId="77777777" w:rsidR="00274612" w:rsidRDefault="00274612" w:rsidP="00110F73">
      <w:pPr>
        <w:pStyle w:val="FootnoteText"/>
        <w:rPr>
          <w:lang w:val="bg-BG"/>
        </w:rPr>
      </w:pPr>
      <w:r>
        <w:rPr>
          <w:rStyle w:val="FootnoteReference"/>
        </w:rPr>
        <w:footnoteRef/>
      </w:r>
      <w:r w:rsidRPr="00486C49">
        <w:rPr>
          <w:lang w:val="et-EE"/>
        </w:rPr>
        <w:t xml:space="preserve"> </w:t>
      </w:r>
      <w:hyperlink r:id="rId8" w:history="1">
        <w:r w:rsidRPr="00D20298">
          <w:rPr>
            <w:rStyle w:val="Hyperlink"/>
            <w:lang w:val="et-EE"/>
          </w:rPr>
          <w:t>http://ec.europa.eu/clima/policies/adaptation/what/docs/non_paper_guidelines_project_managers_en.pdf</w:t>
        </w:r>
      </w:hyperlink>
    </w:p>
    <w:p w14:paraId="35A57BA0" w14:textId="77777777" w:rsidR="00274612" w:rsidRDefault="00274612" w:rsidP="00110F73">
      <w:pPr>
        <w:pStyle w:val="FootnoteText"/>
      </w:pPr>
    </w:p>
  </w:footnote>
  <w:footnote w:id="92">
    <w:p w14:paraId="288484FD" w14:textId="77777777" w:rsidR="00274612" w:rsidRDefault="00274612" w:rsidP="00B97B59">
      <w:pPr>
        <w:pStyle w:val="FootnoteText"/>
      </w:pPr>
      <w:r w:rsidRPr="00CE3EED">
        <w:rPr>
          <w:rStyle w:val="FootnoteReference"/>
        </w:rPr>
        <w:footnoteRef/>
      </w:r>
      <w:r w:rsidRPr="004A502C">
        <w:tab/>
        <w:t>The target value may be presented as a total (men+women) or broken down by gender.</w:t>
      </w:r>
      <w:r w:rsidRPr="0085711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41D5B" w14:textId="77777777" w:rsidR="00274612" w:rsidRPr="001E1D6F" w:rsidRDefault="00274612" w:rsidP="001E1D6F">
    <w:pPr>
      <w:pStyle w:val="HeaderLandscap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98CE6" w14:textId="77777777" w:rsidR="00274612" w:rsidRPr="001E1D6F" w:rsidRDefault="00274612" w:rsidP="001E1D6F">
    <w:pPr>
      <w:pStyle w:val="HeaderLandscap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68F71" w14:textId="77777777" w:rsidR="00274612" w:rsidRPr="001E1D6F" w:rsidRDefault="00274612" w:rsidP="001E1D6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C03BB" w14:textId="77777777" w:rsidR="00274612" w:rsidRPr="001E1D6F" w:rsidRDefault="00274612" w:rsidP="001E1D6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5CDB1" w14:textId="77777777" w:rsidR="00274612" w:rsidRPr="001E1D6F" w:rsidRDefault="00274612" w:rsidP="001E1D6F">
    <w:pPr>
      <w:pStyle w:val="HeaderLandscap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689EA" w14:textId="77777777" w:rsidR="00274612" w:rsidRPr="001E1D6F" w:rsidRDefault="00274612" w:rsidP="001E1D6F">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32021" w14:textId="77777777" w:rsidR="00274612" w:rsidRPr="001E1D6F" w:rsidRDefault="00274612" w:rsidP="001E1D6F">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65582" w14:textId="77777777" w:rsidR="00274612" w:rsidRPr="001E1D6F" w:rsidRDefault="00274612" w:rsidP="001E1D6F">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F0756" w14:textId="77777777" w:rsidR="00274612" w:rsidRPr="001E1D6F" w:rsidRDefault="00274612" w:rsidP="001E1D6F">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4F539" w14:textId="77777777" w:rsidR="00274612" w:rsidRPr="001E1D6F" w:rsidRDefault="00274612" w:rsidP="001E1D6F">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5C0CD" w14:textId="77777777" w:rsidR="00274612" w:rsidRPr="001E1D6F" w:rsidRDefault="00274612" w:rsidP="001E1D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8F959" w14:textId="77777777" w:rsidR="00274612" w:rsidRPr="001E1D6F" w:rsidRDefault="00274612" w:rsidP="001E1D6F">
    <w:pPr>
      <w:pStyle w:val="HeaderLandscap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08CA9" w14:textId="77777777" w:rsidR="00274612" w:rsidRPr="001E1D6F" w:rsidRDefault="00274612" w:rsidP="001E1D6F">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37E4" w14:textId="77777777" w:rsidR="00274612" w:rsidRPr="00951007" w:rsidRDefault="00274612" w:rsidP="001E1D6F">
    <w:pPr>
      <w:pStyle w:val="HeaderLandscap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37FB2" w14:textId="77777777" w:rsidR="00274612" w:rsidRPr="001E1D6F" w:rsidRDefault="00274612" w:rsidP="001E1D6F">
    <w:pPr>
      <w:pStyle w:val="HeaderLandscap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23ED2" w14:textId="77777777" w:rsidR="00274612" w:rsidRPr="00951007" w:rsidRDefault="00274612" w:rsidP="001E1D6F">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4FAE7" w14:textId="77777777" w:rsidR="00274612" w:rsidRPr="001E1D6F" w:rsidRDefault="00274612" w:rsidP="001E1D6F">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4E8F1" w14:textId="77777777" w:rsidR="00274612" w:rsidRPr="00951007" w:rsidRDefault="00274612" w:rsidP="001E1D6F">
    <w:pPr>
      <w:pStyle w:val="HeaderLandscap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CECE8" w14:textId="77777777" w:rsidR="00274612" w:rsidRPr="001E1D6F" w:rsidRDefault="00274612" w:rsidP="001E1D6F">
    <w:pPr>
      <w:pStyle w:val="HeaderLandscap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2A04B" w14:textId="77777777" w:rsidR="00274612" w:rsidRPr="00951007" w:rsidRDefault="00274612" w:rsidP="001E1D6F">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0D255" w14:textId="77777777" w:rsidR="00274612" w:rsidRPr="001E1D6F" w:rsidRDefault="00274612" w:rsidP="001E1D6F">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81080" w14:textId="77777777" w:rsidR="00274612" w:rsidRPr="00951007" w:rsidRDefault="00274612" w:rsidP="001E1D6F">
    <w:pPr>
      <w:pStyle w:val="HeaderLandscap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15F4F" w14:textId="77777777" w:rsidR="00274612" w:rsidRPr="001E1D6F" w:rsidRDefault="00274612" w:rsidP="001E1D6F">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4419E" w14:textId="77777777" w:rsidR="00274612" w:rsidRPr="001E1D6F" w:rsidRDefault="00274612" w:rsidP="001E1D6F">
    <w:pPr>
      <w:pStyle w:val="HeaderLandscap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20BB5" w14:textId="77777777" w:rsidR="00274612" w:rsidRPr="00951007" w:rsidRDefault="00274612" w:rsidP="001E1D6F">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E90C8" w14:textId="77777777" w:rsidR="00274612" w:rsidRPr="001E1D6F" w:rsidRDefault="00274612" w:rsidP="001E1D6F">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A02E1" w14:textId="77777777" w:rsidR="00274612" w:rsidRPr="00951007" w:rsidRDefault="00274612" w:rsidP="001E1D6F">
    <w:pPr>
      <w:pStyle w:val="HeaderLandscap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66ECB" w14:textId="77777777" w:rsidR="00274612" w:rsidRPr="001E1D6F" w:rsidRDefault="00274612" w:rsidP="001E1D6F">
    <w:pPr>
      <w:pStyle w:val="HeaderLandscap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4764B" w14:textId="77777777" w:rsidR="00274612" w:rsidRPr="00951007" w:rsidRDefault="00274612" w:rsidP="001E1D6F">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8369D" w14:textId="77777777" w:rsidR="00274612" w:rsidRPr="001E1D6F" w:rsidRDefault="00274612" w:rsidP="001E1D6F">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20982" w14:textId="77777777" w:rsidR="00274612" w:rsidRPr="00951007" w:rsidRDefault="00274612" w:rsidP="001E1D6F">
    <w:pPr>
      <w:pStyle w:val="HeaderLandscap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35F14" w14:textId="77777777" w:rsidR="00274612" w:rsidRPr="001E1D6F" w:rsidRDefault="00274612" w:rsidP="001E1D6F">
    <w:pPr>
      <w:pStyle w:val="HeaderLandscape"/>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28623" w14:textId="77777777" w:rsidR="00274612" w:rsidRPr="00951007" w:rsidRDefault="00274612" w:rsidP="001E1D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5C167" w14:textId="77777777" w:rsidR="00274612" w:rsidRPr="001E1D6F" w:rsidRDefault="00274612" w:rsidP="001E1D6F">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FE0B1" w14:textId="77777777" w:rsidR="00274612" w:rsidRPr="001E1D6F" w:rsidRDefault="00274612" w:rsidP="001E1D6F">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9F2E2" w14:textId="77777777" w:rsidR="00274612" w:rsidRPr="00951007" w:rsidRDefault="00274612" w:rsidP="001E1D6F">
    <w:pPr>
      <w:pStyle w:val="HeaderLandscape"/>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40923" w14:textId="77777777" w:rsidR="00274612" w:rsidRPr="001E1D6F" w:rsidRDefault="00274612" w:rsidP="001E1D6F">
    <w:pPr>
      <w:pStyle w:val="HeaderLandscap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35C6F" w14:textId="77777777" w:rsidR="00274612" w:rsidRPr="00951007" w:rsidRDefault="00274612" w:rsidP="001E1D6F">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A68D0" w14:textId="77777777" w:rsidR="00274612" w:rsidRPr="001E1D6F" w:rsidRDefault="00274612" w:rsidP="001E1D6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816E7" w14:textId="77777777" w:rsidR="00274612" w:rsidRPr="001E1D6F" w:rsidRDefault="00274612" w:rsidP="001E1D6F">
    <w:pPr>
      <w:pStyle w:val="HeaderLandscap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55933" w14:textId="77777777" w:rsidR="00274612" w:rsidRPr="001E1D6F" w:rsidRDefault="00274612" w:rsidP="001E1D6F">
    <w:pPr>
      <w:pStyle w:val="HeaderLandscap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427C1" w14:textId="77777777" w:rsidR="00274612" w:rsidRPr="001E1D6F" w:rsidRDefault="00274612" w:rsidP="001E1D6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2F4F0" w14:textId="77777777" w:rsidR="00274612" w:rsidRPr="001E1D6F" w:rsidRDefault="00274612" w:rsidP="001E1D6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3FD7F" w14:textId="77777777" w:rsidR="00274612" w:rsidRPr="001E1D6F" w:rsidRDefault="00274612" w:rsidP="001E1D6F">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83698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F061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BEFA5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6DCCB26"/>
    <w:lvl w:ilvl="0">
      <w:start w:val="1"/>
      <w:numFmt w:val="decimal"/>
      <w:pStyle w:val="Bullet0"/>
      <w:lvlText w:val="%1."/>
      <w:lvlJc w:val="left"/>
      <w:pPr>
        <w:tabs>
          <w:tab w:val="num" w:pos="643"/>
        </w:tabs>
        <w:ind w:left="643" w:hanging="360"/>
      </w:pPr>
      <w:rPr>
        <w:rFonts w:cs="Times New Roman"/>
      </w:rPr>
    </w:lvl>
  </w:abstractNum>
  <w:abstractNum w:abstractNumId="4" w15:restartNumberingAfterBreak="0">
    <w:nsid w:val="FFFFFF80"/>
    <w:multiLevelType w:val="singleLevel"/>
    <w:tmpl w:val="1FA456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244F1C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789AC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AF68F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16151"/>
    <w:multiLevelType w:val="hybridMultilevel"/>
    <w:tmpl w:val="622A7D3E"/>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2C27049"/>
    <w:multiLevelType w:val="hybridMultilevel"/>
    <w:tmpl w:val="CBCE5C3E"/>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050120C7"/>
    <w:multiLevelType w:val="hybridMultilevel"/>
    <w:tmpl w:val="31A88562"/>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055652B5"/>
    <w:multiLevelType w:val="multilevel"/>
    <w:tmpl w:val="B10A6748"/>
    <w:lvl w:ilvl="0">
      <w:start w:val="1"/>
      <w:numFmt w:val="decimal"/>
      <w:pStyle w:val="ListNumber3"/>
      <w:lvlText w:val="(%1)"/>
      <w:lvlJc w:val="left"/>
      <w:pPr>
        <w:tabs>
          <w:tab w:val="num" w:pos="2625"/>
        </w:tabs>
        <w:ind w:left="2625" w:hanging="709"/>
      </w:pPr>
      <w:rPr>
        <w:rFonts w:cs="Times New Roman"/>
      </w:rPr>
    </w:lvl>
    <w:lvl w:ilvl="1">
      <w:start w:val="1"/>
      <w:numFmt w:val="lowerLetter"/>
      <w:pStyle w:val="ListNumber3Level2"/>
      <w:lvlText w:val="(%2)"/>
      <w:lvlJc w:val="left"/>
      <w:pPr>
        <w:tabs>
          <w:tab w:val="num" w:pos="3333"/>
        </w:tabs>
        <w:ind w:left="3333" w:hanging="708"/>
      </w:pPr>
      <w:rPr>
        <w:rFonts w:cs="Times New Roman"/>
      </w:r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07305BA4"/>
    <w:multiLevelType w:val="hybridMultilevel"/>
    <w:tmpl w:val="C546C812"/>
    <w:lvl w:ilvl="0" w:tplc="073E1444">
      <w:start w:val="4"/>
      <w:numFmt w:val="bullet"/>
      <w:lvlText w:val="-"/>
      <w:lvlJc w:val="left"/>
      <w:pPr>
        <w:ind w:left="360" w:hanging="360"/>
      </w:pPr>
      <w:rPr>
        <w:rFonts w:ascii="Arial" w:eastAsia="Times New Roman" w:hAnsi="Aria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091760BC"/>
    <w:multiLevelType w:val="hybridMultilevel"/>
    <w:tmpl w:val="91722B2E"/>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09EE11D4"/>
    <w:multiLevelType w:val="hybridMultilevel"/>
    <w:tmpl w:val="A052FF48"/>
    <w:lvl w:ilvl="0" w:tplc="F7C297F4">
      <w:numFmt w:val="bullet"/>
      <w:lvlText w:val="-"/>
      <w:lvlJc w:val="left"/>
      <w:pPr>
        <w:ind w:left="720" w:hanging="360"/>
      </w:pPr>
      <w:rPr>
        <w:rFonts w:ascii="Times New Roman" w:eastAsia="Times New Roman" w:hAnsi="Times New Roman" w:hint="default"/>
        <w:color w:val="auto"/>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0B9169A0"/>
    <w:multiLevelType w:val="hybridMultilevel"/>
    <w:tmpl w:val="BD8C41FE"/>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10413672"/>
    <w:multiLevelType w:val="hybridMultilevel"/>
    <w:tmpl w:val="82EC22FC"/>
    <w:lvl w:ilvl="0" w:tplc="0E60EF50">
      <w:start w:val="1"/>
      <w:numFmt w:val="decimal"/>
      <w:pStyle w:val="StyleHeading1Left0cm"/>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12D95152"/>
    <w:multiLevelType w:val="hybridMultilevel"/>
    <w:tmpl w:val="0D70E4AA"/>
    <w:lvl w:ilvl="0" w:tplc="29B6A714">
      <w:start w:val="1"/>
      <w:numFmt w:val="decimal"/>
      <w:lvlText w:val="%1."/>
      <w:lvlJc w:val="left"/>
      <w:pPr>
        <w:ind w:left="720" w:hanging="360"/>
      </w:pPr>
      <w:rPr>
        <w:rFonts w:ascii="Times New Roman" w:hAnsi="Times New Roman" w:hint="default"/>
        <w:caps w:val="0"/>
        <w:strike w:val="0"/>
        <w:dstrike w:val="0"/>
        <w:vanish w:val="0"/>
        <w:sz w:val="24"/>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13E31DAC"/>
    <w:multiLevelType w:val="hybridMultilevel"/>
    <w:tmpl w:val="F2B252B8"/>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155A46F3"/>
    <w:multiLevelType w:val="hybridMultilevel"/>
    <w:tmpl w:val="E6304DB0"/>
    <w:lvl w:ilvl="0" w:tplc="79E6CB18">
      <w:numFmt w:val="bullet"/>
      <w:lvlText w:val="-"/>
      <w:lvlJc w:val="left"/>
      <w:pPr>
        <w:ind w:left="90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15D53E71"/>
    <w:multiLevelType w:val="hybridMultilevel"/>
    <w:tmpl w:val="6EC03F24"/>
    <w:lvl w:ilvl="0" w:tplc="8EF0182C">
      <w:start w:val="1"/>
      <w:numFmt w:val="bullet"/>
      <w:lvlText w:val="-"/>
      <w:lvlJc w:val="left"/>
      <w:pPr>
        <w:ind w:left="720" w:hanging="360"/>
      </w:pPr>
      <w:rPr>
        <w:rFonts w:ascii="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166136CC"/>
    <w:multiLevelType w:val="hybridMultilevel"/>
    <w:tmpl w:val="C3A0669A"/>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16CA799B"/>
    <w:multiLevelType w:val="hybridMultilevel"/>
    <w:tmpl w:val="C5A2783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86645B0"/>
    <w:multiLevelType w:val="hybridMultilevel"/>
    <w:tmpl w:val="7F50BB46"/>
    <w:lvl w:ilvl="0" w:tplc="79E6CB18">
      <w:numFmt w:val="bullet"/>
      <w:lvlText w:val="-"/>
      <w:lvlJc w:val="left"/>
      <w:pPr>
        <w:ind w:left="644" w:hanging="360"/>
      </w:pPr>
      <w:rPr>
        <w:rFonts w:ascii="Calibri" w:eastAsia="Times New Roman" w:hAnsi="Calibri"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27" w15:restartNumberingAfterBreak="0">
    <w:nsid w:val="1DF16B26"/>
    <w:multiLevelType w:val="hybridMultilevel"/>
    <w:tmpl w:val="D09220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1E9F69A2"/>
    <w:multiLevelType w:val="hybridMultilevel"/>
    <w:tmpl w:val="0592061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1F6E7C16"/>
    <w:multiLevelType w:val="hybridMultilevel"/>
    <w:tmpl w:val="435A24AC"/>
    <w:lvl w:ilvl="0" w:tplc="4C642252">
      <w:start w:val="1"/>
      <w:numFmt w:val="bullet"/>
      <w:lvlText w:val=""/>
      <w:lvlJc w:val="left"/>
      <w:pPr>
        <w:tabs>
          <w:tab w:val="num" w:pos="720"/>
        </w:tabs>
        <w:ind w:left="720" w:hanging="360"/>
      </w:pPr>
      <w:rPr>
        <w:rFonts w:ascii="Symbol" w:hAnsi="Symbol" w:hint="default"/>
        <w:sz w:val="24"/>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0297432"/>
    <w:multiLevelType w:val="hybridMultilevel"/>
    <w:tmpl w:val="E58CE008"/>
    <w:lvl w:ilvl="0" w:tplc="0402000B">
      <w:start w:val="1"/>
      <w:numFmt w:val="bullet"/>
      <w:lvlText w:val=""/>
      <w:lvlJc w:val="left"/>
      <w:pPr>
        <w:tabs>
          <w:tab w:val="num" w:pos="2136"/>
        </w:tabs>
        <w:ind w:left="2136"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24A2B0E"/>
    <w:multiLevelType w:val="hybridMultilevel"/>
    <w:tmpl w:val="F36AEF46"/>
    <w:lvl w:ilvl="0" w:tplc="073E1444">
      <w:start w:val="4"/>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34" w15:restartNumberingAfterBreak="0">
    <w:nsid w:val="2BCB3D6F"/>
    <w:multiLevelType w:val="hybridMultilevel"/>
    <w:tmpl w:val="5AC22344"/>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2C8820A2"/>
    <w:multiLevelType w:val="hybridMultilevel"/>
    <w:tmpl w:val="20C0C046"/>
    <w:lvl w:ilvl="0" w:tplc="2A6E383C">
      <w:start w:val="1"/>
      <w:numFmt w:val="bullet"/>
      <w:lvlText w:val=""/>
      <w:lvlJc w:val="left"/>
      <w:pPr>
        <w:ind w:left="720" w:hanging="360"/>
      </w:pPr>
      <w:rPr>
        <w:rFonts w:ascii="Symbol" w:hAnsi="Symbol" w:hint="default"/>
        <w:color w:val="auto"/>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8" w15:restartNumberingAfterBreak="0">
    <w:nsid w:val="2F481C52"/>
    <w:multiLevelType w:val="hybridMultilevel"/>
    <w:tmpl w:val="A45CE7A2"/>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9" w15:restartNumberingAfterBreak="0">
    <w:nsid w:val="30BF5828"/>
    <w:multiLevelType w:val="hybridMultilevel"/>
    <w:tmpl w:val="66449F50"/>
    <w:lvl w:ilvl="0" w:tplc="A87E5918">
      <w:start w:val="1"/>
      <w:numFmt w:val="bullet"/>
      <w:lvlText w:val="-"/>
      <w:lvlJc w:val="left"/>
      <w:pPr>
        <w:ind w:left="900" w:hanging="360"/>
      </w:pPr>
      <w:rPr>
        <w:rFonts w:ascii="Times New Roman" w:hAnsi="Times New Roman" w:cs="Times New Roman" w:hint="default"/>
        <w:color w:val="auto"/>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34F42129"/>
    <w:multiLevelType w:val="hybridMultilevel"/>
    <w:tmpl w:val="B6C2A23E"/>
    <w:lvl w:ilvl="0" w:tplc="80188AD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52F0735"/>
    <w:multiLevelType w:val="hybridMultilevel"/>
    <w:tmpl w:val="55B43788"/>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391C1D1F"/>
    <w:multiLevelType w:val="hybridMultilevel"/>
    <w:tmpl w:val="AA80A054"/>
    <w:lvl w:ilvl="0" w:tplc="D3667100">
      <w:start w:val="1"/>
      <w:numFmt w:val="bullet"/>
      <w:lvlText w:val=""/>
      <w:lvlJc w:val="left"/>
      <w:pPr>
        <w:ind w:left="720" w:hanging="360"/>
      </w:pPr>
      <w:rPr>
        <w:rFonts w:ascii="Symbol" w:hAnsi="Symbol" w:hint="default"/>
        <w:color w:val="365F91"/>
        <w:sz w:val="20"/>
      </w:rPr>
    </w:lvl>
    <w:lvl w:ilvl="1" w:tplc="04020003" w:tentative="1">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39DB3409"/>
    <w:multiLevelType w:val="hybridMultilevel"/>
    <w:tmpl w:val="0CAC857C"/>
    <w:lvl w:ilvl="0" w:tplc="2A6E383C">
      <w:start w:val="1"/>
      <w:numFmt w:val="bullet"/>
      <w:lvlText w:val=""/>
      <w:lvlJc w:val="left"/>
      <w:pPr>
        <w:ind w:left="720" w:hanging="360"/>
      </w:pPr>
      <w:rPr>
        <w:rFonts w:ascii="Symbol" w:hAnsi="Symbol" w:hint="default"/>
        <w:color w:val="auto"/>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3FE32C03"/>
    <w:multiLevelType w:val="hybridMultilevel"/>
    <w:tmpl w:val="AA8ADE3C"/>
    <w:lvl w:ilvl="0" w:tplc="A476AD6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FF029A0"/>
    <w:multiLevelType w:val="hybridMultilevel"/>
    <w:tmpl w:val="1ABC0846"/>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41C559FE"/>
    <w:multiLevelType w:val="hybridMultilevel"/>
    <w:tmpl w:val="79787FD4"/>
    <w:lvl w:ilvl="0" w:tplc="C9BCA3F6">
      <w:start w:val="1"/>
      <w:numFmt w:val="bullet"/>
      <w:lvlText w:val=""/>
      <w:lvlJc w:val="left"/>
      <w:pPr>
        <w:ind w:left="720" w:hanging="360"/>
      </w:pPr>
      <w:rPr>
        <w:rFonts w:ascii="Symbol" w:hAnsi="Symbol" w:hint="default"/>
        <w:color w:val="365F91"/>
      </w:rPr>
    </w:lvl>
    <w:lvl w:ilvl="1" w:tplc="04020003" w:tentative="1">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28415E7"/>
    <w:multiLevelType w:val="multilevel"/>
    <w:tmpl w:val="92100ADA"/>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5481EA4"/>
    <w:multiLevelType w:val="multilevel"/>
    <w:tmpl w:val="28525E6E"/>
    <w:lvl w:ilvl="0">
      <w:start w:val="1"/>
      <w:numFmt w:val="decimal"/>
      <w:pStyle w:val="ListNumber2"/>
      <w:lvlText w:val="(%1)"/>
      <w:lvlJc w:val="left"/>
      <w:pPr>
        <w:tabs>
          <w:tab w:val="num" w:pos="1786"/>
        </w:tabs>
        <w:ind w:left="1786" w:hanging="709"/>
      </w:pPr>
      <w:rPr>
        <w:rFonts w:cs="Times New Roman"/>
      </w:rPr>
    </w:lvl>
    <w:lvl w:ilvl="1">
      <w:start w:val="1"/>
      <w:numFmt w:val="lowerLetter"/>
      <w:pStyle w:val="ListNumber2Level2"/>
      <w:lvlText w:val="(%2)"/>
      <w:lvlJc w:val="left"/>
      <w:pPr>
        <w:tabs>
          <w:tab w:val="num" w:pos="2494"/>
        </w:tabs>
        <w:ind w:left="2494" w:hanging="708"/>
      </w:pPr>
      <w:rPr>
        <w:rFonts w:cs="Times New Roman"/>
      </w:r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15:restartNumberingAfterBreak="0">
    <w:nsid w:val="4552127F"/>
    <w:multiLevelType w:val="singleLevel"/>
    <w:tmpl w:val="057A5296"/>
    <w:name w:val="Bullet 0"/>
    <w:lvl w:ilvl="0">
      <w:start w:val="1"/>
      <w:numFmt w:val="bullet"/>
      <w:lvlRestart w:val="0"/>
      <w:lvlText w:val=""/>
      <w:lvlJc w:val="left"/>
      <w:pPr>
        <w:tabs>
          <w:tab w:val="num" w:pos="850"/>
        </w:tabs>
        <w:ind w:left="850" w:hanging="850"/>
      </w:pPr>
      <w:rPr>
        <w:rFonts w:ascii="Symbol" w:hAnsi="Symbol" w:hint="default"/>
      </w:rPr>
    </w:lvl>
  </w:abstractNum>
  <w:abstractNum w:abstractNumId="52" w15:restartNumberingAfterBreak="0">
    <w:nsid w:val="465D172F"/>
    <w:multiLevelType w:val="multilevel"/>
    <w:tmpl w:val="6AEE9BA4"/>
    <w:lvl w:ilvl="0">
      <w:start w:val="1"/>
      <w:numFmt w:val="decimal"/>
      <w:pStyle w:val="ListNumber1"/>
      <w:lvlText w:val="(%1)"/>
      <w:lvlJc w:val="left"/>
      <w:pPr>
        <w:tabs>
          <w:tab w:val="num" w:pos="1191"/>
        </w:tabs>
        <w:ind w:left="1191" w:hanging="709"/>
      </w:pPr>
      <w:rPr>
        <w:rFonts w:cs="Times New Roman"/>
      </w:rPr>
    </w:lvl>
    <w:lvl w:ilvl="1">
      <w:start w:val="1"/>
      <w:numFmt w:val="lowerLetter"/>
      <w:pStyle w:val="ListNumber1Level2"/>
      <w:lvlText w:val="(%2)"/>
      <w:lvlJc w:val="left"/>
      <w:pPr>
        <w:tabs>
          <w:tab w:val="num" w:pos="1899"/>
        </w:tabs>
        <w:ind w:left="1899" w:hanging="708"/>
      </w:pPr>
      <w:rPr>
        <w:rFonts w:cs="Times New Roman"/>
      </w:r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15:restartNumberingAfterBreak="0">
    <w:nsid w:val="47001760"/>
    <w:multiLevelType w:val="hybridMultilevel"/>
    <w:tmpl w:val="14009D12"/>
    <w:lvl w:ilvl="0" w:tplc="0402000B">
      <w:start w:val="1"/>
      <w:numFmt w:val="bullet"/>
      <w:lvlText w:val=""/>
      <w:lvlJc w:val="left"/>
      <w:pPr>
        <w:ind w:left="408" w:hanging="360"/>
      </w:pPr>
      <w:rPr>
        <w:rFonts w:ascii="Wingdings" w:hAnsi="Wingdings" w:hint="default"/>
      </w:rPr>
    </w:lvl>
    <w:lvl w:ilvl="1" w:tplc="04020003" w:tentative="1">
      <w:start w:val="1"/>
      <w:numFmt w:val="bullet"/>
      <w:lvlText w:val="o"/>
      <w:lvlJc w:val="left"/>
      <w:pPr>
        <w:ind w:left="1128" w:hanging="360"/>
      </w:pPr>
      <w:rPr>
        <w:rFonts w:ascii="Courier New" w:hAnsi="Courier New" w:hint="default"/>
      </w:rPr>
    </w:lvl>
    <w:lvl w:ilvl="2" w:tplc="04020005" w:tentative="1">
      <w:start w:val="1"/>
      <w:numFmt w:val="bullet"/>
      <w:lvlText w:val=""/>
      <w:lvlJc w:val="left"/>
      <w:pPr>
        <w:ind w:left="1848" w:hanging="360"/>
      </w:pPr>
      <w:rPr>
        <w:rFonts w:ascii="Wingdings" w:hAnsi="Wingdings" w:hint="default"/>
      </w:rPr>
    </w:lvl>
    <w:lvl w:ilvl="3" w:tplc="04020001" w:tentative="1">
      <w:start w:val="1"/>
      <w:numFmt w:val="bullet"/>
      <w:lvlText w:val=""/>
      <w:lvlJc w:val="left"/>
      <w:pPr>
        <w:ind w:left="2568" w:hanging="360"/>
      </w:pPr>
      <w:rPr>
        <w:rFonts w:ascii="Symbol" w:hAnsi="Symbol" w:hint="default"/>
      </w:rPr>
    </w:lvl>
    <w:lvl w:ilvl="4" w:tplc="04020003" w:tentative="1">
      <w:start w:val="1"/>
      <w:numFmt w:val="bullet"/>
      <w:lvlText w:val="o"/>
      <w:lvlJc w:val="left"/>
      <w:pPr>
        <w:ind w:left="3288" w:hanging="360"/>
      </w:pPr>
      <w:rPr>
        <w:rFonts w:ascii="Courier New" w:hAnsi="Courier New" w:hint="default"/>
      </w:rPr>
    </w:lvl>
    <w:lvl w:ilvl="5" w:tplc="04020005" w:tentative="1">
      <w:start w:val="1"/>
      <w:numFmt w:val="bullet"/>
      <w:lvlText w:val=""/>
      <w:lvlJc w:val="left"/>
      <w:pPr>
        <w:ind w:left="4008" w:hanging="360"/>
      </w:pPr>
      <w:rPr>
        <w:rFonts w:ascii="Wingdings" w:hAnsi="Wingdings" w:hint="default"/>
      </w:rPr>
    </w:lvl>
    <w:lvl w:ilvl="6" w:tplc="04020001" w:tentative="1">
      <w:start w:val="1"/>
      <w:numFmt w:val="bullet"/>
      <w:lvlText w:val=""/>
      <w:lvlJc w:val="left"/>
      <w:pPr>
        <w:ind w:left="4728" w:hanging="360"/>
      </w:pPr>
      <w:rPr>
        <w:rFonts w:ascii="Symbol" w:hAnsi="Symbol" w:hint="default"/>
      </w:rPr>
    </w:lvl>
    <w:lvl w:ilvl="7" w:tplc="04020003" w:tentative="1">
      <w:start w:val="1"/>
      <w:numFmt w:val="bullet"/>
      <w:lvlText w:val="o"/>
      <w:lvlJc w:val="left"/>
      <w:pPr>
        <w:ind w:left="5448" w:hanging="360"/>
      </w:pPr>
      <w:rPr>
        <w:rFonts w:ascii="Courier New" w:hAnsi="Courier New" w:hint="default"/>
      </w:rPr>
    </w:lvl>
    <w:lvl w:ilvl="8" w:tplc="04020005" w:tentative="1">
      <w:start w:val="1"/>
      <w:numFmt w:val="bullet"/>
      <w:lvlText w:val=""/>
      <w:lvlJc w:val="left"/>
      <w:pPr>
        <w:ind w:left="6168" w:hanging="360"/>
      </w:pPr>
      <w:rPr>
        <w:rFonts w:ascii="Wingdings" w:hAnsi="Wingdings" w:hint="default"/>
      </w:rPr>
    </w:lvl>
  </w:abstractNum>
  <w:abstractNum w:abstractNumId="54" w15:restartNumberingAfterBreak="0">
    <w:nsid w:val="48860AAB"/>
    <w:multiLevelType w:val="multilevel"/>
    <w:tmpl w:val="E8744BD2"/>
    <w:lvl w:ilvl="0">
      <w:start w:val="1"/>
      <w:numFmt w:val="decimal"/>
      <w:pStyle w:val="ListNumber4"/>
      <w:lvlText w:val="(%1)"/>
      <w:lvlJc w:val="left"/>
      <w:pPr>
        <w:tabs>
          <w:tab w:val="num" w:pos="3589"/>
        </w:tabs>
        <w:ind w:left="3589" w:hanging="709"/>
      </w:pPr>
      <w:rPr>
        <w:rFonts w:cs="Times New Roman"/>
      </w:rPr>
    </w:lvl>
    <w:lvl w:ilvl="1">
      <w:start w:val="1"/>
      <w:numFmt w:val="lowerLetter"/>
      <w:pStyle w:val="ListNumber4Level2"/>
      <w:lvlText w:val="(%2)"/>
      <w:lvlJc w:val="left"/>
      <w:pPr>
        <w:tabs>
          <w:tab w:val="num" w:pos="4297"/>
        </w:tabs>
        <w:ind w:left="4297" w:hanging="708"/>
      </w:pPr>
      <w:rPr>
        <w:rFonts w:cs="Times New Roman"/>
      </w:r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5" w15:restartNumberingAfterBreak="0">
    <w:nsid w:val="49225EF6"/>
    <w:multiLevelType w:val="hybridMultilevel"/>
    <w:tmpl w:val="90CEDBC6"/>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4A450F6D"/>
    <w:multiLevelType w:val="hybridMultilevel"/>
    <w:tmpl w:val="DE96CDA6"/>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15:restartNumberingAfterBreak="0">
    <w:nsid w:val="4CB63592"/>
    <w:multiLevelType w:val="hybridMultilevel"/>
    <w:tmpl w:val="D518B432"/>
    <w:lvl w:ilvl="0" w:tplc="A87E5918">
      <w:start w:val="1"/>
      <w:numFmt w:val="bullet"/>
      <w:lvlText w:val="-"/>
      <w:lvlJc w:val="left"/>
      <w:pPr>
        <w:ind w:left="720" w:hanging="360"/>
      </w:pPr>
      <w:rPr>
        <w:rFonts w:ascii="Times New Roman" w:hAnsi="Times New Roman" w:hint="default"/>
        <w:color w:val="auto"/>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4D0635B0"/>
    <w:multiLevelType w:val="hybridMultilevel"/>
    <w:tmpl w:val="D550DBCE"/>
    <w:lvl w:ilvl="0" w:tplc="0D5AA46C">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9" w15:restartNumberingAfterBreak="0">
    <w:nsid w:val="50046E48"/>
    <w:multiLevelType w:val="hybridMultilevel"/>
    <w:tmpl w:val="2B1E8176"/>
    <w:lvl w:ilvl="0" w:tplc="8EF0182C">
      <w:start w:val="1"/>
      <w:numFmt w:val="bullet"/>
      <w:lvlText w:val="-"/>
      <w:lvlJc w:val="left"/>
      <w:pPr>
        <w:ind w:left="720" w:hanging="360"/>
      </w:pPr>
      <w:rPr>
        <w:rFonts w:ascii="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15:restartNumberingAfterBreak="0">
    <w:nsid w:val="511C783E"/>
    <w:multiLevelType w:val="hybridMultilevel"/>
    <w:tmpl w:val="77043692"/>
    <w:lvl w:ilvl="0" w:tplc="A87E5918">
      <w:start w:val="1"/>
      <w:numFmt w:val="bullet"/>
      <w:lvlText w:val="-"/>
      <w:lvlJc w:val="left"/>
      <w:pPr>
        <w:ind w:left="900" w:hanging="360"/>
      </w:pPr>
      <w:rPr>
        <w:rFonts w:ascii="Times New Roman" w:hAnsi="Times New Roman" w:cs="Times New Roman" w:hint="default"/>
        <w:color w:val="auto"/>
      </w:rPr>
    </w:lvl>
    <w:lvl w:ilvl="1" w:tplc="04020003" w:tentative="1">
      <w:start w:val="1"/>
      <w:numFmt w:val="bullet"/>
      <w:lvlText w:val="o"/>
      <w:lvlJc w:val="left"/>
      <w:pPr>
        <w:ind w:left="1620" w:hanging="360"/>
      </w:pPr>
      <w:rPr>
        <w:rFonts w:ascii="Courier New" w:hAnsi="Courier New" w:cs="Courier New" w:hint="default"/>
      </w:rPr>
    </w:lvl>
    <w:lvl w:ilvl="2" w:tplc="04020005" w:tentative="1">
      <w:start w:val="1"/>
      <w:numFmt w:val="bullet"/>
      <w:lvlText w:val=""/>
      <w:lvlJc w:val="left"/>
      <w:pPr>
        <w:ind w:left="2340" w:hanging="360"/>
      </w:pPr>
      <w:rPr>
        <w:rFonts w:ascii="Wingdings" w:hAnsi="Wingdings" w:hint="default"/>
      </w:rPr>
    </w:lvl>
    <w:lvl w:ilvl="3" w:tplc="04020001" w:tentative="1">
      <w:start w:val="1"/>
      <w:numFmt w:val="bullet"/>
      <w:lvlText w:val=""/>
      <w:lvlJc w:val="left"/>
      <w:pPr>
        <w:ind w:left="3060" w:hanging="360"/>
      </w:pPr>
      <w:rPr>
        <w:rFonts w:ascii="Symbol" w:hAnsi="Symbol" w:hint="default"/>
      </w:rPr>
    </w:lvl>
    <w:lvl w:ilvl="4" w:tplc="04020003" w:tentative="1">
      <w:start w:val="1"/>
      <w:numFmt w:val="bullet"/>
      <w:lvlText w:val="o"/>
      <w:lvlJc w:val="left"/>
      <w:pPr>
        <w:ind w:left="3780" w:hanging="360"/>
      </w:pPr>
      <w:rPr>
        <w:rFonts w:ascii="Courier New" w:hAnsi="Courier New" w:cs="Courier New" w:hint="default"/>
      </w:rPr>
    </w:lvl>
    <w:lvl w:ilvl="5" w:tplc="04020005" w:tentative="1">
      <w:start w:val="1"/>
      <w:numFmt w:val="bullet"/>
      <w:lvlText w:val=""/>
      <w:lvlJc w:val="left"/>
      <w:pPr>
        <w:ind w:left="4500" w:hanging="360"/>
      </w:pPr>
      <w:rPr>
        <w:rFonts w:ascii="Wingdings" w:hAnsi="Wingdings" w:hint="default"/>
      </w:rPr>
    </w:lvl>
    <w:lvl w:ilvl="6" w:tplc="04020001" w:tentative="1">
      <w:start w:val="1"/>
      <w:numFmt w:val="bullet"/>
      <w:lvlText w:val=""/>
      <w:lvlJc w:val="left"/>
      <w:pPr>
        <w:ind w:left="5220" w:hanging="360"/>
      </w:pPr>
      <w:rPr>
        <w:rFonts w:ascii="Symbol" w:hAnsi="Symbol" w:hint="default"/>
      </w:rPr>
    </w:lvl>
    <w:lvl w:ilvl="7" w:tplc="04020003" w:tentative="1">
      <w:start w:val="1"/>
      <w:numFmt w:val="bullet"/>
      <w:lvlText w:val="o"/>
      <w:lvlJc w:val="left"/>
      <w:pPr>
        <w:ind w:left="5940" w:hanging="360"/>
      </w:pPr>
      <w:rPr>
        <w:rFonts w:ascii="Courier New" w:hAnsi="Courier New" w:cs="Courier New" w:hint="default"/>
      </w:rPr>
    </w:lvl>
    <w:lvl w:ilvl="8" w:tplc="04020005" w:tentative="1">
      <w:start w:val="1"/>
      <w:numFmt w:val="bullet"/>
      <w:lvlText w:val=""/>
      <w:lvlJc w:val="left"/>
      <w:pPr>
        <w:ind w:left="6660" w:hanging="360"/>
      </w:pPr>
      <w:rPr>
        <w:rFonts w:ascii="Wingdings" w:hAnsi="Wingdings" w:hint="default"/>
      </w:rPr>
    </w:lvl>
  </w:abstractNum>
  <w:abstractNum w:abstractNumId="61" w15:restartNumberingAfterBreak="0">
    <w:nsid w:val="52BC2CCB"/>
    <w:multiLevelType w:val="hybridMultilevel"/>
    <w:tmpl w:val="FF76FC74"/>
    <w:lvl w:ilvl="0" w:tplc="A7F049BC">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539F47F3"/>
    <w:multiLevelType w:val="hybridMultilevel"/>
    <w:tmpl w:val="12B85E3A"/>
    <w:lvl w:ilvl="0" w:tplc="79E6CB18">
      <w:numFmt w:val="bullet"/>
      <w:lvlText w:val="-"/>
      <w:lvlJc w:val="left"/>
      <w:pPr>
        <w:ind w:left="360" w:hanging="360"/>
      </w:pPr>
      <w:rPr>
        <w:rFonts w:ascii="Calibri" w:eastAsia="Times New Roman" w:hAnsi="Calibri"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3" w15:restartNumberingAfterBreak="0">
    <w:nsid w:val="544E7F78"/>
    <w:multiLevelType w:val="hybridMultilevel"/>
    <w:tmpl w:val="146855E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4627BEC"/>
    <w:multiLevelType w:val="hybridMultilevel"/>
    <w:tmpl w:val="00A28D0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6" w15:restartNumberingAfterBreak="0">
    <w:nsid w:val="56EF5C1B"/>
    <w:multiLevelType w:val="hybridMultilevel"/>
    <w:tmpl w:val="A45C0B98"/>
    <w:lvl w:ilvl="0" w:tplc="EAA696C4">
      <w:numFmt w:val="bullet"/>
      <w:lvlText w:val="•"/>
      <w:lvlJc w:val="left"/>
      <w:pPr>
        <w:ind w:left="720" w:hanging="360"/>
      </w:pPr>
      <w:rPr>
        <w:rFonts w:ascii="Times New Roman" w:hAnsi="Times New Roman" w:hint="default"/>
      </w:rPr>
    </w:lvl>
    <w:lvl w:ilvl="1" w:tplc="0F1E4EEA">
      <w:start w:val="10"/>
      <w:numFmt w:val="bullet"/>
      <w:lvlText w:val="•"/>
      <w:lvlJc w:val="left"/>
      <w:pPr>
        <w:ind w:left="1440" w:hanging="360"/>
      </w:pPr>
      <w:rPr>
        <w:rFonts w:ascii="Times New Roman" w:eastAsia="Times New Roman" w:hAnsi="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7" w15:restartNumberingAfterBreak="0">
    <w:nsid w:val="570A6F13"/>
    <w:multiLevelType w:val="hybridMultilevel"/>
    <w:tmpl w:val="F684EBCA"/>
    <w:lvl w:ilvl="0" w:tplc="2A6E383C">
      <w:start w:val="1"/>
      <w:numFmt w:val="bullet"/>
      <w:lvlText w:val=""/>
      <w:lvlJc w:val="left"/>
      <w:pPr>
        <w:ind w:left="720" w:hanging="360"/>
      </w:pPr>
      <w:rPr>
        <w:rFonts w:ascii="Symbol" w:hAnsi="Symbol" w:hint="default"/>
        <w:color w:val="auto"/>
        <w:sz w:val="20"/>
      </w:rPr>
    </w:lvl>
    <w:lvl w:ilvl="1" w:tplc="04020003" w:tentative="1">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15:restartNumberingAfterBreak="0">
    <w:nsid w:val="587D0A93"/>
    <w:multiLevelType w:val="hybridMultilevel"/>
    <w:tmpl w:val="14520918"/>
    <w:lvl w:ilvl="0" w:tplc="352424A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E193768"/>
    <w:multiLevelType w:val="hybridMultilevel"/>
    <w:tmpl w:val="AC444C5C"/>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3" w15:restartNumberingAfterBreak="0">
    <w:nsid w:val="5EF76C56"/>
    <w:multiLevelType w:val="multilevel"/>
    <w:tmpl w:val="A2668F7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4" w15:restartNumberingAfterBreak="0">
    <w:nsid w:val="5F853F7C"/>
    <w:multiLevelType w:val="hybridMultilevel"/>
    <w:tmpl w:val="113A5A10"/>
    <w:lvl w:ilvl="0" w:tplc="4A1098EC">
      <w:start w:val="1"/>
      <w:numFmt w:val="decimalZero"/>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15:restartNumberingAfterBreak="0">
    <w:nsid w:val="619A0CC1"/>
    <w:multiLevelType w:val="hybridMultilevel"/>
    <w:tmpl w:val="1646E0E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6" w15:restartNumberingAfterBreak="0">
    <w:nsid w:val="63C41766"/>
    <w:multiLevelType w:val="hybridMultilevel"/>
    <w:tmpl w:val="B25AC406"/>
    <w:lvl w:ilvl="0" w:tplc="9170F88A">
      <w:numFmt w:val="bullet"/>
      <w:lvlText w:val="-"/>
      <w:lvlJc w:val="left"/>
      <w:pPr>
        <w:ind w:left="3196"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rPr>
        <w:rFonts w:cs="Times New Roman"/>
      </w:rPr>
    </w:lvl>
    <w:lvl w:ilvl="1">
      <w:start w:val="1"/>
      <w:numFmt w:val="decimal"/>
      <w:pStyle w:val="Heading2"/>
      <w:lvlText w:val="%1.%2."/>
      <w:lvlJc w:val="left"/>
      <w:pPr>
        <w:tabs>
          <w:tab w:val="num" w:pos="850"/>
        </w:tabs>
        <w:ind w:left="850" w:hanging="850"/>
      </w:pPr>
      <w:rPr>
        <w:rFonts w:cs="Times New Roman"/>
      </w:rPr>
    </w:lvl>
    <w:lvl w:ilvl="2">
      <w:start w:val="1"/>
      <w:numFmt w:val="decimal"/>
      <w:pStyle w:val="Heading3"/>
      <w:lvlText w:val="%1.%2.%3."/>
      <w:lvlJc w:val="left"/>
      <w:pPr>
        <w:tabs>
          <w:tab w:val="num" w:pos="850"/>
        </w:tabs>
        <w:ind w:left="850" w:hanging="850"/>
      </w:pPr>
      <w:rPr>
        <w:rFonts w:cs="Times New Roman"/>
      </w:rPr>
    </w:lvl>
    <w:lvl w:ilvl="3">
      <w:start w:val="1"/>
      <w:numFmt w:val="decimal"/>
      <w:pStyle w:val="Heading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8" w15:restartNumberingAfterBreak="0">
    <w:nsid w:val="64AB3932"/>
    <w:multiLevelType w:val="hybridMultilevel"/>
    <w:tmpl w:val="C54C7280"/>
    <w:lvl w:ilvl="0" w:tplc="EAA696C4">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80" w15:restartNumberingAfterBreak="0">
    <w:nsid w:val="66410B2F"/>
    <w:multiLevelType w:val="hybridMultilevel"/>
    <w:tmpl w:val="781AED2A"/>
    <w:lvl w:ilvl="0" w:tplc="73CCE48E">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8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8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4" w15:restartNumberingAfterBreak="0">
    <w:nsid w:val="685C52E9"/>
    <w:multiLevelType w:val="hybridMultilevel"/>
    <w:tmpl w:val="AD066C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5" w15:restartNumberingAfterBreak="0">
    <w:nsid w:val="6D1A5426"/>
    <w:multiLevelType w:val="hybridMultilevel"/>
    <w:tmpl w:val="EBEC7014"/>
    <w:lvl w:ilvl="0" w:tplc="8E5E58C0">
      <w:numFmt w:val="bullet"/>
      <w:lvlText w:val="-"/>
      <w:lvlJc w:val="left"/>
      <w:pPr>
        <w:ind w:left="405" w:hanging="360"/>
      </w:pPr>
      <w:rPr>
        <w:rFonts w:ascii="Times New Roman" w:eastAsia="Times New Roman" w:hAnsi="Times New Roman" w:hint="default"/>
      </w:rPr>
    </w:lvl>
    <w:lvl w:ilvl="1" w:tplc="04020003" w:tentative="1">
      <w:start w:val="1"/>
      <w:numFmt w:val="bullet"/>
      <w:lvlText w:val="o"/>
      <w:lvlJc w:val="left"/>
      <w:pPr>
        <w:ind w:left="1125" w:hanging="360"/>
      </w:pPr>
      <w:rPr>
        <w:rFonts w:ascii="Courier New" w:hAnsi="Courier New" w:hint="default"/>
      </w:rPr>
    </w:lvl>
    <w:lvl w:ilvl="2" w:tplc="04020005" w:tentative="1">
      <w:start w:val="1"/>
      <w:numFmt w:val="bullet"/>
      <w:lvlText w:val=""/>
      <w:lvlJc w:val="left"/>
      <w:pPr>
        <w:ind w:left="1845" w:hanging="360"/>
      </w:pPr>
      <w:rPr>
        <w:rFonts w:ascii="Wingdings" w:hAnsi="Wingdings" w:hint="default"/>
      </w:rPr>
    </w:lvl>
    <w:lvl w:ilvl="3" w:tplc="04020001" w:tentative="1">
      <w:start w:val="1"/>
      <w:numFmt w:val="bullet"/>
      <w:lvlText w:val=""/>
      <w:lvlJc w:val="left"/>
      <w:pPr>
        <w:ind w:left="2565" w:hanging="360"/>
      </w:pPr>
      <w:rPr>
        <w:rFonts w:ascii="Symbol" w:hAnsi="Symbol" w:hint="default"/>
      </w:rPr>
    </w:lvl>
    <w:lvl w:ilvl="4" w:tplc="04020003" w:tentative="1">
      <w:start w:val="1"/>
      <w:numFmt w:val="bullet"/>
      <w:lvlText w:val="o"/>
      <w:lvlJc w:val="left"/>
      <w:pPr>
        <w:ind w:left="3285" w:hanging="360"/>
      </w:pPr>
      <w:rPr>
        <w:rFonts w:ascii="Courier New" w:hAnsi="Courier New" w:hint="default"/>
      </w:rPr>
    </w:lvl>
    <w:lvl w:ilvl="5" w:tplc="04020005" w:tentative="1">
      <w:start w:val="1"/>
      <w:numFmt w:val="bullet"/>
      <w:lvlText w:val=""/>
      <w:lvlJc w:val="left"/>
      <w:pPr>
        <w:ind w:left="4005" w:hanging="360"/>
      </w:pPr>
      <w:rPr>
        <w:rFonts w:ascii="Wingdings" w:hAnsi="Wingdings" w:hint="default"/>
      </w:rPr>
    </w:lvl>
    <w:lvl w:ilvl="6" w:tplc="04020001" w:tentative="1">
      <w:start w:val="1"/>
      <w:numFmt w:val="bullet"/>
      <w:lvlText w:val=""/>
      <w:lvlJc w:val="left"/>
      <w:pPr>
        <w:ind w:left="4725" w:hanging="360"/>
      </w:pPr>
      <w:rPr>
        <w:rFonts w:ascii="Symbol" w:hAnsi="Symbol" w:hint="default"/>
      </w:rPr>
    </w:lvl>
    <w:lvl w:ilvl="7" w:tplc="04020003" w:tentative="1">
      <w:start w:val="1"/>
      <w:numFmt w:val="bullet"/>
      <w:lvlText w:val="o"/>
      <w:lvlJc w:val="left"/>
      <w:pPr>
        <w:ind w:left="5445" w:hanging="360"/>
      </w:pPr>
      <w:rPr>
        <w:rFonts w:ascii="Courier New" w:hAnsi="Courier New" w:hint="default"/>
      </w:rPr>
    </w:lvl>
    <w:lvl w:ilvl="8" w:tplc="04020005" w:tentative="1">
      <w:start w:val="1"/>
      <w:numFmt w:val="bullet"/>
      <w:lvlText w:val=""/>
      <w:lvlJc w:val="left"/>
      <w:pPr>
        <w:ind w:left="6165" w:hanging="360"/>
      </w:pPr>
      <w:rPr>
        <w:rFonts w:ascii="Wingdings" w:hAnsi="Wingdings" w:hint="default"/>
      </w:rPr>
    </w:lvl>
  </w:abstractNum>
  <w:abstractNum w:abstractNumId="8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87" w15:restartNumberingAfterBreak="0">
    <w:nsid w:val="6FDB6716"/>
    <w:multiLevelType w:val="hybridMultilevel"/>
    <w:tmpl w:val="44B43BE2"/>
    <w:lvl w:ilvl="0" w:tplc="7C4CFB5A">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1BD26B0"/>
    <w:multiLevelType w:val="hybridMultilevel"/>
    <w:tmpl w:val="94201FD8"/>
    <w:lvl w:ilvl="0" w:tplc="8E5E58C0">
      <w:numFmt w:val="bullet"/>
      <w:lvlText w:val="-"/>
      <w:lvlJc w:val="left"/>
      <w:pPr>
        <w:ind w:left="720" w:hanging="360"/>
      </w:pPr>
      <w:rPr>
        <w:rFonts w:ascii="Times New Roman" w:eastAsia="Times New Roman" w:hAnsi="Times New Roman" w:hint="default"/>
      </w:rPr>
    </w:lvl>
    <w:lvl w:ilvl="1" w:tplc="0F1E4EEA">
      <w:start w:val="10"/>
      <w:numFmt w:val="bullet"/>
      <w:lvlText w:val="•"/>
      <w:lvlJc w:val="left"/>
      <w:pPr>
        <w:ind w:left="1440" w:hanging="360"/>
      </w:pPr>
      <w:rPr>
        <w:rFonts w:ascii="Times New Roman" w:eastAsia="Times New Roman" w:hAnsi="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9" w15:restartNumberingAfterBreak="0">
    <w:nsid w:val="72BE3165"/>
    <w:multiLevelType w:val="hybridMultilevel"/>
    <w:tmpl w:val="0C0EC67C"/>
    <w:lvl w:ilvl="0" w:tplc="073E1444">
      <w:start w:val="87"/>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32943D1"/>
    <w:multiLevelType w:val="hybridMultilevel"/>
    <w:tmpl w:val="4760A84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6462B9A"/>
    <w:multiLevelType w:val="hybridMultilevel"/>
    <w:tmpl w:val="F6688B38"/>
    <w:lvl w:ilvl="0" w:tplc="A87E5918">
      <w:start w:val="1"/>
      <w:numFmt w:val="bullet"/>
      <w:lvlText w:val="-"/>
      <w:lvlJc w:val="left"/>
      <w:pPr>
        <w:ind w:left="900" w:hanging="360"/>
      </w:pPr>
      <w:rPr>
        <w:rFonts w:ascii="Times New Roman" w:hAnsi="Times New Roman" w:cs="Times New Roman" w:hint="default"/>
        <w:color w:val="auto"/>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92" w15:restartNumberingAfterBreak="0">
    <w:nsid w:val="78F0727D"/>
    <w:multiLevelType w:val="hybridMultilevel"/>
    <w:tmpl w:val="0BF653BA"/>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rPr>
        <w:rFonts w:cs="Times New Roman"/>
      </w:rPr>
    </w:lvl>
  </w:abstractNum>
  <w:abstractNum w:abstractNumId="94" w15:restartNumberingAfterBreak="0">
    <w:nsid w:val="7EB35BE6"/>
    <w:multiLevelType w:val="hybridMultilevel"/>
    <w:tmpl w:val="F5649FE0"/>
    <w:lvl w:ilvl="0" w:tplc="0402000B">
      <w:start w:val="1"/>
      <w:numFmt w:val="bullet"/>
      <w:lvlText w:val=""/>
      <w:lvlJc w:val="left"/>
      <w:pPr>
        <w:ind w:left="180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5" w15:restartNumberingAfterBreak="0">
    <w:nsid w:val="7ECE6B57"/>
    <w:multiLevelType w:val="hybridMultilevel"/>
    <w:tmpl w:val="FE42CE06"/>
    <w:lvl w:ilvl="0" w:tplc="19C63BCA">
      <w:start w:val="1"/>
      <w:numFmt w:val="decimal"/>
      <w:lvlText w:val="%1."/>
      <w:lvlJc w:val="left"/>
      <w:pPr>
        <w:ind w:left="720" w:hanging="360"/>
      </w:pPr>
      <w:rPr>
        <w:rFonts w:ascii="Times New Roman" w:hAnsi="Times New Roman" w:hint="default"/>
        <w:caps w:val="0"/>
        <w:strike w:val="0"/>
        <w:dstrike w:val="0"/>
        <w:vanish w:val="0"/>
        <w:color w:val="auto"/>
        <w:sz w:val="24"/>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79"/>
  </w:num>
  <w:num w:numId="20">
    <w:abstractNumId w:val="82"/>
  </w:num>
  <w:num w:numId="21">
    <w:abstractNumId w:val="81"/>
  </w:num>
  <w:num w:numId="22">
    <w:abstractNumId w:val="86"/>
  </w:num>
  <w:num w:numId="23">
    <w:abstractNumId w:val="33"/>
  </w:num>
  <w:num w:numId="24">
    <w:abstractNumId w:val="48"/>
  </w:num>
  <w:num w:numId="25">
    <w:abstractNumId w:val="52"/>
  </w:num>
  <w:num w:numId="26">
    <w:abstractNumId w:val="50"/>
  </w:num>
  <w:num w:numId="27">
    <w:abstractNumId w:val="13"/>
  </w:num>
  <w:num w:numId="28">
    <w:abstractNumId w:val="54"/>
  </w:num>
  <w:num w:numId="29">
    <w:abstractNumId w:val="18"/>
  </w:num>
  <w:num w:numId="30">
    <w:abstractNumId w:val="51"/>
    <w:lvlOverride w:ilvl="0">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1"/>
  </w:num>
  <w:num w:numId="33">
    <w:abstractNumId w:val="47"/>
  </w:num>
  <w:num w:numId="34">
    <w:abstractNumId w:val="83"/>
  </w:num>
  <w:num w:numId="35">
    <w:abstractNumId w:val="37"/>
  </w:num>
  <w:num w:numId="36">
    <w:abstractNumId w:val="49"/>
  </w:num>
  <w:num w:numId="37">
    <w:abstractNumId w:val="32"/>
  </w:num>
  <w:num w:numId="38">
    <w:abstractNumId w:val="77"/>
  </w:num>
  <w:num w:numId="39">
    <w:abstractNumId w:val="26"/>
  </w:num>
  <w:num w:numId="40">
    <w:abstractNumId w:val="69"/>
  </w:num>
  <w:num w:numId="41">
    <w:abstractNumId w:val="70"/>
  </w:num>
  <w:num w:numId="42">
    <w:abstractNumId w:val="36"/>
  </w:num>
  <w:num w:numId="43">
    <w:abstractNumId w:val="65"/>
  </w:num>
  <w:num w:numId="44">
    <w:abstractNumId w:val="93"/>
  </w:num>
  <w:num w:numId="45">
    <w:abstractNumId w:val="64"/>
  </w:num>
  <w:num w:numId="46">
    <w:abstractNumId w:val="29"/>
  </w:num>
  <w:num w:numId="47">
    <w:abstractNumId w:val="24"/>
  </w:num>
  <w:num w:numId="48">
    <w:abstractNumId w:val="90"/>
  </w:num>
  <w:num w:numId="49">
    <w:abstractNumId w:val="63"/>
  </w:num>
  <w:num w:numId="50">
    <w:abstractNumId w:val="21"/>
  </w:num>
  <w:num w:numId="51">
    <w:abstractNumId w:val="38"/>
  </w:num>
  <w:num w:numId="52">
    <w:abstractNumId w:val="25"/>
  </w:num>
  <w:num w:numId="53">
    <w:abstractNumId w:val="89"/>
  </w:num>
  <w:num w:numId="54">
    <w:abstractNumId w:val="31"/>
  </w:num>
  <w:num w:numId="55">
    <w:abstractNumId w:val="76"/>
  </w:num>
  <w:num w:numId="56">
    <w:abstractNumId w:val="30"/>
  </w:num>
  <w:num w:numId="57">
    <w:abstractNumId w:val="14"/>
  </w:num>
  <w:num w:numId="58">
    <w:abstractNumId w:val="22"/>
  </w:num>
  <w:num w:numId="59">
    <w:abstractNumId w:val="59"/>
  </w:num>
  <w:num w:numId="60">
    <w:abstractNumId w:val="62"/>
  </w:num>
  <w:num w:numId="61">
    <w:abstractNumId w:val="28"/>
  </w:num>
  <w:num w:numId="62">
    <w:abstractNumId w:val="94"/>
  </w:num>
  <w:num w:numId="63">
    <w:abstractNumId w:val="53"/>
  </w:num>
  <w:num w:numId="64">
    <w:abstractNumId w:val="85"/>
  </w:num>
  <w:num w:numId="65">
    <w:abstractNumId w:val="16"/>
  </w:num>
  <w:num w:numId="66">
    <w:abstractNumId w:val="88"/>
  </w:num>
  <w:num w:numId="67">
    <w:abstractNumId w:val="87"/>
  </w:num>
  <w:num w:numId="68">
    <w:abstractNumId w:val="44"/>
  </w:num>
  <w:num w:numId="69">
    <w:abstractNumId w:val="80"/>
  </w:num>
  <w:num w:numId="70">
    <w:abstractNumId w:val="75"/>
  </w:num>
  <w:num w:numId="71">
    <w:abstractNumId w:val="66"/>
  </w:num>
  <w:num w:numId="72">
    <w:abstractNumId w:val="78"/>
  </w:num>
  <w:num w:numId="73">
    <w:abstractNumId w:val="46"/>
  </w:num>
  <w:num w:numId="74">
    <w:abstractNumId w:val="27"/>
  </w:num>
  <w:num w:numId="75">
    <w:abstractNumId w:val="57"/>
  </w:num>
  <w:num w:numId="76">
    <w:abstractNumId w:val="42"/>
  </w:num>
  <w:num w:numId="77">
    <w:abstractNumId w:val="67"/>
  </w:num>
  <w:num w:numId="78">
    <w:abstractNumId w:val="95"/>
  </w:num>
  <w:num w:numId="79">
    <w:abstractNumId w:val="19"/>
  </w:num>
  <w:num w:numId="80">
    <w:abstractNumId w:val="43"/>
  </w:num>
  <w:num w:numId="81">
    <w:abstractNumId w:val="35"/>
  </w:num>
  <w:num w:numId="82">
    <w:abstractNumId w:val="72"/>
  </w:num>
  <w:num w:numId="83">
    <w:abstractNumId w:val="20"/>
  </w:num>
  <w:num w:numId="84">
    <w:abstractNumId w:val="15"/>
  </w:num>
  <w:num w:numId="85">
    <w:abstractNumId w:val="11"/>
  </w:num>
  <w:num w:numId="86">
    <w:abstractNumId w:val="23"/>
  </w:num>
  <w:num w:numId="87">
    <w:abstractNumId w:val="92"/>
  </w:num>
  <w:num w:numId="88">
    <w:abstractNumId w:val="39"/>
  </w:num>
  <w:num w:numId="89">
    <w:abstractNumId w:val="91"/>
  </w:num>
  <w:num w:numId="90">
    <w:abstractNumId w:val="17"/>
  </w:num>
  <w:num w:numId="91">
    <w:abstractNumId w:val="45"/>
  </w:num>
  <w:num w:numId="92">
    <w:abstractNumId w:val="34"/>
  </w:num>
  <w:num w:numId="93">
    <w:abstractNumId w:val="56"/>
  </w:num>
  <w:num w:numId="94">
    <w:abstractNumId w:val="60"/>
  </w:num>
  <w:num w:numId="95">
    <w:abstractNumId w:val="12"/>
  </w:num>
  <w:num w:numId="96">
    <w:abstractNumId w:val="41"/>
  </w:num>
  <w:num w:numId="97">
    <w:abstractNumId w:val="55"/>
  </w:num>
  <w:num w:numId="98">
    <w:abstractNumId w:val="74"/>
  </w:num>
  <w:num w:numId="99">
    <w:abstractNumId w:val="79"/>
  </w:num>
  <w:num w:numId="100">
    <w:abstractNumId w:val="79"/>
  </w:num>
  <w:num w:numId="101">
    <w:abstractNumId w:val="79"/>
  </w:num>
  <w:num w:numId="102">
    <w:abstractNumId w:val="79"/>
  </w:num>
  <w:num w:numId="103">
    <w:abstractNumId w:val="79"/>
  </w:num>
  <w:num w:numId="104">
    <w:abstractNumId w:val="58"/>
  </w:num>
  <w:num w:numId="105">
    <w:abstractNumId w:val="68"/>
  </w:num>
  <w:num w:numId="106">
    <w:abstractNumId w:val="40"/>
  </w:num>
  <w:num w:numId="107">
    <w:abstractNumId w:val="73"/>
  </w:num>
  <w:num w:numId="108">
    <w:abstractNumId w:val="61"/>
  </w:num>
  <w:num w:numId="109">
    <w:abstractNumId w:val="84"/>
  </w:num>
  <w:num w:numId="110">
    <w:abstractNumId w:val="10"/>
  </w:num>
  <w:numIdMacAtCleanup w:val="10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va Chervenkova">
    <w15:presenceInfo w15:providerId="None" w15:userId="Iva Chervenk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ttachedTemplate r:id="rId1"/>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VERPAGE_EXISTS" w:val="True"/>
    <w:docVar w:name="DQCDateTime" w:val="2013-12-20 16:13:47"/>
    <w:docVar w:name="DQCRepairStyles" w:val=";Footnote Text;Text 1;NumPar 1;NumPar 2;NumPar 3;NumPar 4;Manual NumPar 1;Bullet 0;Langue;Footnote Text;"/>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06"/>
    <w:docVar w:name="DQCResult_ModifiedMarkers" w:val="0;0"/>
    <w:docVar w:name="DQCResult_ModifiedNumbering" w:val="0;0"/>
    <w:docVar w:name="DQCResult_Objects" w:val="0;0"/>
    <w:docVar w:name="DQCResult_Sections" w:val="0;0"/>
    <w:docVar w:name="DQCResult_StructureCheck" w:val="0;0"/>
    <w:docVar w:name="DQCResult_SuperfluousWhitespace" w:val="0;184"/>
    <w:docVar w:name="DQCResult_UnknownFonts" w:val="0;0"/>
    <w:docVar w:name="DQCResult_UnknownStyles" w:val="0;9"/>
    <w:docVar w:name="DQCStatus" w:val="Yellow"/>
    <w:docVar w:name="DQCVersion" w:val="3"/>
    <w:docVar w:name="DQCWithWarnings" w:val="0"/>
    <w:docVar w:name="LW_ACCOMPAGNANT.CP" w:val="to the"/>
    <w:docVar w:name="LW_ANNEX_NBR_FIRST" w:val="1"/>
    <w:docVar w:name="LW_ANNEX_NBR_LAST" w:val="1"/>
    <w:docVar w:name="LW_CONFIDENCE" w:val=" "/>
    <w:docVar w:name="LW_CONST_RESTREINT_UE" w:val="RESTREINT UE"/>
    <w:docVar w:name="LW_CORRIGENDUM" w:val="&lt;UNUSED&gt;"/>
    <w:docVar w:name="LW_COVERPAGE_GUID" w:val="9C84D41E82574C8F8A818B378A718E1E"/>
    <w:docVar w:name="LW_CROSSREFERENCE" w:val="&lt;UNUSED&gt;"/>
    <w:docVar w:name="LW_DocType" w:val="ANNEX"/>
    <w:docVar w:name="LW_EMISSION" w:val="&lt;EMPTY&gt;"/>
    <w:docVar w:name="LW_EMISSION_ISODATE" w:val="&lt;EMPTY&gt;"/>
    <w:docVar w:name="LW_EMISSION_LOCATION" w:val="BRX"/>
    <w:docVar w:name="LW_EMISSION_PREFIX" w:val="Brussels, "/>
    <w:docVar w:name="LW_EMISSION_SUFFIX" w:val=" "/>
    <w:docVar w:name="LW_ID_DOCSTRUCTURE" w:val="COM/ANNEX"/>
    <w:docVar w:name="LW_ID_DOCTYPE" w:val="SG-068"/>
    <w:docVar w:name="LW_LANGUE" w:val="EN"/>
    <w:docVar w:name="LW_MARKING" w:val="&lt;UNUSED&gt;"/>
    <w:docVar w:name="LW_NOM.INST" w:val="EUROPEAN COMMISSION"/>
    <w:docVar w:name="LW_NOM.INST_JOINTDOC" w:val="&lt;EMPTY&gt;"/>
    <w:docVar w:name="LW_OBJETACTEPRINCIPAL.CP" w:val="laying down rules pursuant to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with regard to models for operational programmes under the Investment for growth and jobs goal and pursuant to Regulation (EU) No 1299/2013 of the European Parliament and of the Council on specific provisions for the support from the European Regional Development Fund to the European territorial cooperation goal with regard to models for cooperation programmes under the European territorial cooperation goal"/>
    <w:docVar w:name="LW_PART_NBR" w:val="1"/>
    <w:docVar w:name="LW_PART_NBR_TOTAL" w:val="1"/>
    <w:docVar w:name="LW_REF.INST.NEW" w:val="&lt;EMPTY&gt;"/>
    <w:docVar w:name="LW_REF.INST.NEW_ADOPTED" w:val="draft"/>
    <w:docVar w:name="LW_REF.INST.NEW_TEXT" w:val="(2013) XXX"/>
    <w:docVar w:name="LW_REF.INTERNE" w:val="&lt;UNUSED&gt;"/>
    <w:docVar w:name="LW_SUPERTITRE" w:val="&lt;UNUSED&gt;"/>
    <w:docVar w:name="LW_TITRE.OBJ.CP" w:val="Model for operational programmes under the Investment for growth and jobs goal"/>
    <w:docVar w:name="LW_TYPE.DOC.CP" w:val="ANNEX"/>
    <w:docVar w:name="LW_TYPEACTEPRINCIPAL.CP" w:val="COMMISSION IMPLEMENTING REGULATION (EU) No \u8230?/.."/>
  </w:docVars>
  <w:rsids>
    <w:rsidRoot w:val="00292003"/>
    <w:rsid w:val="00000488"/>
    <w:rsid w:val="00000CB7"/>
    <w:rsid w:val="00000FB0"/>
    <w:rsid w:val="00001268"/>
    <w:rsid w:val="000026EE"/>
    <w:rsid w:val="000028A0"/>
    <w:rsid w:val="000030AA"/>
    <w:rsid w:val="000032EA"/>
    <w:rsid w:val="00003D44"/>
    <w:rsid w:val="000048DC"/>
    <w:rsid w:val="00005164"/>
    <w:rsid w:val="00005204"/>
    <w:rsid w:val="000054E5"/>
    <w:rsid w:val="00005A39"/>
    <w:rsid w:val="00006112"/>
    <w:rsid w:val="00006473"/>
    <w:rsid w:val="0000725D"/>
    <w:rsid w:val="00007313"/>
    <w:rsid w:val="000077DB"/>
    <w:rsid w:val="00010E50"/>
    <w:rsid w:val="00010F41"/>
    <w:rsid w:val="0001114D"/>
    <w:rsid w:val="000116BC"/>
    <w:rsid w:val="00011C27"/>
    <w:rsid w:val="00011DA5"/>
    <w:rsid w:val="00011E40"/>
    <w:rsid w:val="0001202C"/>
    <w:rsid w:val="00012127"/>
    <w:rsid w:val="000125E8"/>
    <w:rsid w:val="00012A1F"/>
    <w:rsid w:val="00012DFF"/>
    <w:rsid w:val="000136E7"/>
    <w:rsid w:val="00013817"/>
    <w:rsid w:val="00013DA9"/>
    <w:rsid w:val="00013EDA"/>
    <w:rsid w:val="0001431F"/>
    <w:rsid w:val="00014534"/>
    <w:rsid w:val="000148BD"/>
    <w:rsid w:val="00014AD8"/>
    <w:rsid w:val="00015E18"/>
    <w:rsid w:val="00016192"/>
    <w:rsid w:val="00016360"/>
    <w:rsid w:val="00016AD2"/>
    <w:rsid w:val="00016D30"/>
    <w:rsid w:val="000171A5"/>
    <w:rsid w:val="00017244"/>
    <w:rsid w:val="00017296"/>
    <w:rsid w:val="00017600"/>
    <w:rsid w:val="00017E1D"/>
    <w:rsid w:val="00020173"/>
    <w:rsid w:val="000203B9"/>
    <w:rsid w:val="00020475"/>
    <w:rsid w:val="00020938"/>
    <w:rsid w:val="00020ADD"/>
    <w:rsid w:val="000214D1"/>
    <w:rsid w:val="00021BBB"/>
    <w:rsid w:val="00022AC7"/>
    <w:rsid w:val="000232E4"/>
    <w:rsid w:val="00023562"/>
    <w:rsid w:val="000236C1"/>
    <w:rsid w:val="0002385A"/>
    <w:rsid w:val="0002389A"/>
    <w:rsid w:val="000243C0"/>
    <w:rsid w:val="000246CC"/>
    <w:rsid w:val="00024B59"/>
    <w:rsid w:val="00024E7D"/>
    <w:rsid w:val="00025B34"/>
    <w:rsid w:val="00025F34"/>
    <w:rsid w:val="000261B6"/>
    <w:rsid w:val="000262DF"/>
    <w:rsid w:val="00026A1F"/>
    <w:rsid w:val="00027BD9"/>
    <w:rsid w:val="00027C1B"/>
    <w:rsid w:val="00030CB6"/>
    <w:rsid w:val="00030F60"/>
    <w:rsid w:val="000316A7"/>
    <w:rsid w:val="00031E26"/>
    <w:rsid w:val="000320F1"/>
    <w:rsid w:val="000320FE"/>
    <w:rsid w:val="00032464"/>
    <w:rsid w:val="000327C6"/>
    <w:rsid w:val="000328CA"/>
    <w:rsid w:val="00033527"/>
    <w:rsid w:val="00033627"/>
    <w:rsid w:val="00033F22"/>
    <w:rsid w:val="000340A6"/>
    <w:rsid w:val="000340CE"/>
    <w:rsid w:val="000343CF"/>
    <w:rsid w:val="00034452"/>
    <w:rsid w:val="00034765"/>
    <w:rsid w:val="000349C2"/>
    <w:rsid w:val="00034B4E"/>
    <w:rsid w:val="0003581D"/>
    <w:rsid w:val="0003587F"/>
    <w:rsid w:val="00035D5D"/>
    <w:rsid w:val="00035DCC"/>
    <w:rsid w:val="00035FD3"/>
    <w:rsid w:val="0003611B"/>
    <w:rsid w:val="0003628A"/>
    <w:rsid w:val="00036B4C"/>
    <w:rsid w:val="00036CC5"/>
    <w:rsid w:val="00036E65"/>
    <w:rsid w:val="00036EDF"/>
    <w:rsid w:val="000377D1"/>
    <w:rsid w:val="000400C5"/>
    <w:rsid w:val="0004027F"/>
    <w:rsid w:val="00040EA7"/>
    <w:rsid w:val="00041013"/>
    <w:rsid w:val="0004122A"/>
    <w:rsid w:val="00041281"/>
    <w:rsid w:val="000412D8"/>
    <w:rsid w:val="00041413"/>
    <w:rsid w:val="00041D94"/>
    <w:rsid w:val="0004289D"/>
    <w:rsid w:val="00042DBC"/>
    <w:rsid w:val="00043163"/>
    <w:rsid w:val="00043437"/>
    <w:rsid w:val="0004365B"/>
    <w:rsid w:val="00043C9E"/>
    <w:rsid w:val="00044201"/>
    <w:rsid w:val="00044828"/>
    <w:rsid w:val="00044D88"/>
    <w:rsid w:val="00045500"/>
    <w:rsid w:val="00045561"/>
    <w:rsid w:val="00045944"/>
    <w:rsid w:val="00045D53"/>
    <w:rsid w:val="00046142"/>
    <w:rsid w:val="00046C75"/>
    <w:rsid w:val="0004704D"/>
    <w:rsid w:val="00047328"/>
    <w:rsid w:val="0004742F"/>
    <w:rsid w:val="00047A13"/>
    <w:rsid w:val="0005058C"/>
    <w:rsid w:val="000505C8"/>
    <w:rsid w:val="00050B7A"/>
    <w:rsid w:val="00051082"/>
    <w:rsid w:val="000514EE"/>
    <w:rsid w:val="0005174C"/>
    <w:rsid w:val="00051A16"/>
    <w:rsid w:val="00051DA3"/>
    <w:rsid w:val="00051F30"/>
    <w:rsid w:val="00052116"/>
    <w:rsid w:val="00052730"/>
    <w:rsid w:val="000528D1"/>
    <w:rsid w:val="00052DB7"/>
    <w:rsid w:val="00052FAB"/>
    <w:rsid w:val="0005315C"/>
    <w:rsid w:val="00053246"/>
    <w:rsid w:val="000533A4"/>
    <w:rsid w:val="000533CE"/>
    <w:rsid w:val="00053547"/>
    <w:rsid w:val="00053C45"/>
    <w:rsid w:val="00054015"/>
    <w:rsid w:val="0005417C"/>
    <w:rsid w:val="000544E0"/>
    <w:rsid w:val="00054693"/>
    <w:rsid w:val="00054E2C"/>
    <w:rsid w:val="00054F14"/>
    <w:rsid w:val="0005505B"/>
    <w:rsid w:val="000550D7"/>
    <w:rsid w:val="000551AE"/>
    <w:rsid w:val="000553A7"/>
    <w:rsid w:val="000556D4"/>
    <w:rsid w:val="000558A2"/>
    <w:rsid w:val="00055AC8"/>
    <w:rsid w:val="00055F6C"/>
    <w:rsid w:val="000563F5"/>
    <w:rsid w:val="00056C84"/>
    <w:rsid w:val="00056E46"/>
    <w:rsid w:val="00057BF8"/>
    <w:rsid w:val="00060415"/>
    <w:rsid w:val="00060767"/>
    <w:rsid w:val="00060E6C"/>
    <w:rsid w:val="000614E3"/>
    <w:rsid w:val="00061533"/>
    <w:rsid w:val="000618F2"/>
    <w:rsid w:val="0006209D"/>
    <w:rsid w:val="000620F7"/>
    <w:rsid w:val="0006346E"/>
    <w:rsid w:val="00063A72"/>
    <w:rsid w:val="0006492A"/>
    <w:rsid w:val="000653A5"/>
    <w:rsid w:val="00065522"/>
    <w:rsid w:val="0006573E"/>
    <w:rsid w:val="00065ACB"/>
    <w:rsid w:val="00065FA6"/>
    <w:rsid w:val="00066054"/>
    <w:rsid w:val="00066184"/>
    <w:rsid w:val="000663A3"/>
    <w:rsid w:val="00067350"/>
    <w:rsid w:val="000675FE"/>
    <w:rsid w:val="00067686"/>
    <w:rsid w:val="00067F4B"/>
    <w:rsid w:val="00070107"/>
    <w:rsid w:val="00070561"/>
    <w:rsid w:val="000706C5"/>
    <w:rsid w:val="00070DFC"/>
    <w:rsid w:val="000713A7"/>
    <w:rsid w:val="0007189B"/>
    <w:rsid w:val="00071C51"/>
    <w:rsid w:val="000725DC"/>
    <w:rsid w:val="00072666"/>
    <w:rsid w:val="00072873"/>
    <w:rsid w:val="00072B15"/>
    <w:rsid w:val="00072E8D"/>
    <w:rsid w:val="00072E94"/>
    <w:rsid w:val="000734A1"/>
    <w:rsid w:val="00073DA1"/>
    <w:rsid w:val="00073F40"/>
    <w:rsid w:val="000741B0"/>
    <w:rsid w:val="000743C2"/>
    <w:rsid w:val="000746FC"/>
    <w:rsid w:val="00074A3F"/>
    <w:rsid w:val="00074EFF"/>
    <w:rsid w:val="00074FE6"/>
    <w:rsid w:val="00075700"/>
    <w:rsid w:val="00075A02"/>
    <w:rsid w:val="00075BB6"/>
    <w:rsid w:val="00075D92"/>
    <w:rsid w:val="00076580"/>
    <w:rsid w:val="00076724"/>
    <w:rsid w:val="00076838"/>
    <w:rsid w:val="000769D5"/>
    <w:rsid w:val="00076A17"/>
    <w:rsid w:val="00076ECA"/>
    <w:rsid w:val="000771A4"/>
    <w:rsid w:val="00077F11"/>
    <w:rsid w:val="00077FA9"/>
    <w:rsid w:val="00080158"/>
    <w:rsid w:val="0008025E"/>
    <w:rsid w:val="00080383"/>
    <w:rsid w:val="00080435"/>
    <w:rsid w:val="00080695"/>
    <w:rsid w:val="00080B86"/>
    <w:rsid w:val="00080BB5"/>
    <w:rsid w:val="00080C7C"/>
    <w:rsid w:val="00080F16"/>
    <w:rsid w:val="000817EA"/>
    <w:rsid w:val="000818BB"/>
    <w:rsid w:val="00081B3B"/>
    <w:rsid w:val="00081F8C"/>
    <w:rsid w:val="00082223"/>
    <w:rsid w:val="00082783"/>
    <w:rsid w:val="00082A14"/>
    <w:rsid w:val="000831E5"/>
    <w:rsid w:val="000835A3"/>
    <w:rsid w:val="000835F9"/>
    <w:rsid w:val="00083754"/>
    <w:rsid w:val="000837B9"/>
    <w:rsid w:val="00083B64"/>
    <w:rsid w:val="00083ED5"/>
    <w:rsid w:val="000840C7"/>
    <w:rsid w:val="00084459"/>
    <w:rsid w:val="000849FA"/>
    <w:rsid w:val="00084F56"/>
    <w:rsid w:val="00085121"/>
    <w:rsid w:val="000853FD"/>
    <w:rsid w:val="000855E2"/>
    <w:rsid w:val="0008563A"/>
    <w:rsid w:val="000856FB"/>
    <w:rsid w:val="00085977"/>
    <w:rsid w:val="00085A3E"/>
    <w:rsid w:val="00085AA3"/>
    <w:rsid w:val="00085D8C"/>
    <w:rsid w:val="00085F8F"/>
    <w:rsid w:val="00086299"/>
    <w:rsid w:val="00086534"/>
    <w:rsid w:val="000867CA"/>
    <w:rsid w:val="000867DD"/>
    <w:rsid w:val="00086803"/>
    <w:rsid w:val="00086A7E"/>
    <w:rsid w:val="00086F56"/>
    <w:rsid w:val="00087396"/>
    <w:rsid w:val="00087877"/>
    <w:rsid w:val="000879F3"/>
    <w:rsid w:val="00087A39"/>
    <w:rsid w:val="00090182"/>
    <w:rsid w:val="00090E89"/>
    <w:rsid w:val="000911EB"/>
    <w:rsid w:val="0009129F"/>
    <w:rsid w:val="00091402"/>
    <w:rsid w:val="000917A0"/>
    <w:rsid w:val="00091A42"/>
    <w:rsid w:val="00091B90"/>
    <w:rsid w:val="00091FB0"/>
    <w:rsid w:val="000926B8"/>
    <w:rsid w:val="00092C57"/>
    <w:rsid w:val="00092C6F"/>
    <w:rsid w:val="000938F1"/>
    <w:rsid w:val="00093CF8"/>
    <w:rsid w:val="0009401B"/>
    <w:rsid w:val="0009439F"/>
    <w:rsid w:val="000943E7"/>
    <w:rsid w:val="000945AF"/>
    <w:rsid w:val="00094744"/>
    <w:rsid w:val="00094894"/>
    <w:rsid w:val="000953F1"/>
    <w:rsid w:val="000959FB"/>
    <w:rsid w:val="00095E90"/>
    <w:rsid w:val="000960DF"/>
    <w:rsid w:val="000965A9"/>
    <w:rsid w:val="0009688D"/>
    <w:rsid w:val="000968F2"/>
    <w:rsid w:val="0009708B"/>
    <w:rsid w:val="000978A3"/>
    <w:rsid w:val="000979B0"/>
    <w:rsid w:val="00097CC8"/>
    <w:rsid w:val="000A0096"/>
    <w:rsid w:val="000A00A8"/>
    <w:rsid w:val="000A00CD"/>
    <w:rsid w:val="000A0A6E"/>
    <w:rsid w:val="000A148A"/>
    <w:rsid w:val="000A14B4"/>
    <w:rsid w:val="000A1667"/>
    <w:rsid w:val="000A1673"/>
    <w:rsid w:val="000A1AF5"/>
    <w:rsid w:val="000A1D74"/>
    <w:rsid w:val="000A1DB4"/>
    <w:rsid w:val="000A1DDE"/>
    <w:rsid w:val="000A2455"/>
    <w:rsid w:val="000A25B8"/>
    <w:rsid w:val="000A2704"/>
    <w:rsid w:val="000A324C"/>
    <w:rsid w:val="000A3736"/>
    <w:rsid w:val="000A3CFC"/>
    <w:rsid w:val="000A40A0"/>
    <w:rsid w:val="000A41FC"/>
    <w:rsid w:val="000A4709"/>
    <w:rsid w:val="000A4786"/>
    <w:rsid w:val="000A4A1D"/>
    <w:rsid w:val="000A4C66"/>
    <w:rsid w:val="000A5044"/>
    <w:rsid w:val="000A5B2E"/>
    <w:rsid w:val="000A60A7"/>
    <w:rsid w:val="000A60ED"/>
    <w:rsid w:val="000A655B"/>
    <w:rsid w:val="000A669E"/>
    <w:rsid w:val="000A78C2"/>
    <w:rsid w:val="000A7BB0"/>
    <w:rsid w:val="000A7F3D"/>
    <w:rsid w:val="000B0580"/>
    <w:rsid w:val="000B068F"/>
    <w:rsid w:val="000B0DE9"/>
    <w:rsid w:val="000B0E3E"/>
    <w:rsid w:val="000B10CE"/>
    <w:rsid w:val="000B112A"/>
    <w:rsid w:val="000B2765"/>
    <w:rsid w:val="000B2E21"/>
    <w:rsid w:val="000B2EC4"/>
    <w:rsid w:val="000B2ECC"/>
    <w:rsid w:val="000B2F46"/>
    <w:rsid w:val="000B31E8"/>
    <w:rsid w:val="000B35DA"/>
    <w:rsid w:val="000B3888"/>
    <w:rsid w:val="000B3C22"/>
    <w:rsid w:val="000B3FA7"/>
    <w:rsid w:val="000B43FD"/>
    <w:rsid w:val="000B4431"/>
    <w:rsid w:val="000B4F27"/>
    <w:rsid w:val="000B567F"/>
    <w:rsid w:val="000B59AC"/>
    <w:rsid w:val="000B5C04"/>
    <w:rsid w:val="000B5C65"/>
    <w:rsid w:val="000B5F50"/>
    <w:rsid w:val="000B63DC"/>
    <w:rsid w:val="000B66D1"/>
    <w:rsid w:val="000B6DA4"/>
    <w:rsid w:val="000B6E86"/>
    <w:rsid w:val="000B732E"/>
    <w:rsid w:val="000B7386"/>
    <w:rsid w:val="000B7672"/>
    <w:rsid w:val="000B774B"/>
    <w:rsid w:val="000B7769"/>
    <w:rsid w:val="000B77A1"/>
    <w:rsid w:val="000B78EE"/>
    <w:rsid w:val="000B7C6B"/>
    <w:rsid w:val="000B7D3A"/>
    <w:rsid w:val="000C05A2"/>
    <w:rsid w:val="000C0AF2"/>
    <w:rsid w:val="000C0D8F"/>
    <w:rsid w:val="000C17F6"/>
    <w:rsid w:val="000C1893"/>
    <w:rsid w:val="000C19DF"/>
    <w:rsid w:val="000C23C6"/>
    <w:rsid w:val="000C23EF"/>
    <w:rsid w:val="000C286B"/>
    <w:rsid w:val="000C2A7D"/>
    <w:rsid w:val="000C2D18"/>
    <w:rsid w:val="000C2FED"/>
    <w:rsid w:val="000C31A8"/>
    <w:rsid w:val="000C32A3"/>
    <w:rsid w:val="000C3374"/>
    <w:rsid w:val="000C370A"/>
    <w:rsid w:val="000C3861"/>
    <w:rsid w:val="000C4AA3"/>
    <w:rsid w:val="000C4B28"/>
    <w:rsid w:val="000C4F0B"/>
    <w:rsid w:val="000C50A8"/>
    <w:rsid w:val="000C526E"/>
    <w:rsid w:val="000C546B"/>
    <w:rsid w:val="000C591C"/>
    <w:rsid w:val="000C6534"/>
    <w:rsid w:val="000C6B14"/>
    <w:rsid w:val="000C6E56"/>
    <w:rsid w:val="000C6EDF"/>
    <w:rsid w:val="000C6F10"/>
    <w:rsid w:val="000C727C"/>
    <w:rsid w:val="000C72B6"/>
    <w:rsid w:val="000C7965"/>
    <w:rsid w:val="000D019D"/>
    <w:rsid w:val="000D0346"/>
    <w:rsid w:val="000D0758"/>
    <w:rsid w:val="000D0D64"/>
    <w:rsid w:val="000D14D2"/>
    <w:rsid w:val="000D18B5"/>
    <w:rsid w:val="000D1D51"/>
    <w:rsid w:val="000D2200"/>
    <w:rsid w:val="000D24FE"/>
    <w:rsid w:val="000D267B"/>
    <w:rsid w:val="000D269A"/>
    <w:rsid w:val="000D305B"/>
    <w:rsid w:val="000D3105"/>
    <w:rsid w:val="000D3176"/>
    <w:rsid w:val="000D4525"/>
    <w:rsid w:val="000D4772"/>
    <w:rsid w:val="000D4795"/>
    <w:rsid w:val="000D4A6D"/>
    <w:rsid w:val="000D4D33"/>
    <w:rsid w:val="000D4EC2"/>
    <w:rsid w:val="000D4FB0"/>
    <w:rsid w:val="000D501F"/>
    <w:rsid w:val="000D52EC"/>
    <w:rsid w:val="000D5450"/>
    <w:rsid w:val="000D54A0"/>
    <w:rsid w:val="000D5877"/>
    <w:rsid w:val="000D6084"/>
    <w:rsid w:val="000D6241"/>
    <w:rsid w:val="000D65A9"/>
    <w:rsid w:val="000D6A4B"/>
    <w:rsid w:val="000D7100"/>
    <w:rsid w:val="000D731D"/>
    <w:rsid w:val="000D7358"/>
    <w:rsid w:val="000D74D4"/>
    <w:rsid w:val="000D7997"/>
    <w:rsid w:val="000D7B93"/>
    <w:rsid w:val="000E01A5"/>
    <w:rsid w:val="000E02F6"/>
    <w:rsid w:val="000E05C6"/>
    <w:rsid w:val="000E09FA"/>
    <w:rsid w:val="000E0D1D"/>
    <w:rsid w:val="000E0DA5"/>
    <w:rsid w:val="000E1115"/>
    <w:rsid w:val="000E1856"/>
    <w:rsid w:val="000E1894"/>
    <w:rsid w:val="000E1F24"/>
    <w:rsid w:val="000E212F"/>
    <w:rsid w:val="000E2198"/>
    <w:rsid w:val="000E21D5"/>
    <w:rsid w:val="000E23C9"/>
    <w:rsid w:val="000E2639"/>
    <w:rsid w:val="000E2684"/>
    <w:rsid w:val="000E2816"/>
    <w:rsid w:val="000E2825"/>
    <w:rsid w:val="000E2AC8"/>
    <w:rsid w:val="000E2AF7"/>
    <w:rsid w:val="000E2B06"/>
    <w:rsid w:val="000E310E"/>
    <w:rsid w:val="000E3877"/>
    <w:rsid w:val="000E3DC8"/>
    <w:rsid w:val="000E4063"/>
    <w:rsid w:val="000E41AC"/>
    <w:rsid w:val="000E434A"/>
    <w:rsid w:val="000E440E"/>
    <w:rsid w:val="000E47CF"/>
    <w:rsid w:val="000E4B15"/>
    <w:rsid w:val="000E5104"/>
    <w:rsid w:val="000E52D5"/>
    <w:rsid w:val="000E5317"/>
    <w:rsid w:val="000E54F4"/>
    <w:rsid w:val="000E5D94"/>
    <w:rsid w:val="000E6D35"/>
    <w:rsid w:val="000E7501"/>
    <w:rsid w:val="000E75C4"/>
    <w:rsid w:val="000E75E4"/>
    <w:rsid w:val="000E7613"/>
    <w:rsid w:val="000E7766"/>
    <w:rsid w:val="000E797C"/>
    <w:rsid w:val="000F064E"/>
    <w:rsid w:val="000F073D"/>
    <w:rsid w:val="000F080E"/>
    <w:rsid w:val="000F080F"/>
    <w:rsid w:val="000F0930"/>
    <w:rsid w:val="000F1745"/>
    <w:rsid w:val="000F1CD4"/>
    <w:rsid w:val="000F217E"/>
    <w:rsid w:val="000F26F0"/>
    <w:rsid w:val="000F2EBB"/>
    <w:rsid w:val="000F30FA"/>
    <w:rsid w:val="000F3340"/>
    <w:rsid w:val="000F3C5C"/>
    <w:rsid w:val="000F3CCD"/>
    <w:rsid w:val="000F4359"/>
    <w:rsid w:val="000F47C5"/>
    <w:rsid w:val="000F4A6D"/>
    <w:rsid w:val="000F4C3E"/>
    <w:rsid w:val="000F529B"/>
    <w:rsid w:val="000F5A07"/>
    <w:rsid w:val="000F5C22"/>
    <w:rsid w:val="000F6928"/>
    <w:rsid w:val="000F6E80"/>
    <w:rsid w:val="000F6FCB"/>
    <w:rsid w:val="000F7250"/>
    <w:rsid w:val="000F7502"/>
    <w:rsid w:val="000F7983"/>
    <w:rsid w:val="000F7CDD"/>
    <w:rsid w:val="000F7CF3"/>
    <w:rsid w:val="000F7E53"/>
    <w:rsid w:val="001005E2"/>
    <w:rsid w:val="001007FC"/>
    <w:rsid w:val="00100CED"/>
    <w:rsid w:val="00100D01"/>
    <w:rsid w:val="00100FD1"/>
    <w:rsid w:val="00101202"/>
    <w:rsid w:val="001017B1"/>
    <w:rsid w:val="00101A7A"/>
    <w:rsid w:val="00102309"/>
    <w:rsid w:val="001023AB"/>
    <w:rsid w:val="00102521"/>
    <w:rsid w:val="00102D60"/>
    <w:rsid w:val="001032F2"/>
    <w:rsid w:val="001035A9"/>
    <w:rsid w:val="00103717"/>
    <w:rsid w:val="001039C3"/>
    <w:rsid w:val="00104296"/>
    <w:rsid w:val="0010431C"/>
    <w:rsid w:val="001043B4"/>
    <w:rsid w:val="001045CB"/>
    <w:rsid w:val="001049D7"/>
    <w:rsid w:val="00104A6E"/>
    <w:rsid w:val="00104CB3"/>
    <w:rsid w:val="001056B9"/>
    <w:rsid w:val="00105DF9"/>
    <w:rsid w:val="001062F0"/>
    <w:rsid w:val="00106660"/>
    <w:rsid w:val="00106FF1"/>
    <w:rsid w:val="00107010"/>
    <w:rsid w:val="001074C1"/>
    <w:rsid w:val="001076C0"/>
    <w:rsid w:val="00107C5F"/>
    <w:rsid w:val="00107E6F"/>
    <w:rsid w:val="00107F26"/>
    <w:rsid w:val="001100E3"/>
    <w:rsid w:val="00110C6B"/>
    <w:rsid w:val="00110F73"/>
    <w:rsid w:val="0011106A"/>
    <w:rsid w:val="001118A4"/>
    <w:rsid w:val="00111901"/>
    <w:rsid w:val="00111FB6"/>
    <w:rsid w:val="001125AA"/>
    <w:rsid w:val="00112891"/>
    <w:rsid w:val="00112A41"/>
    <w:rsid w:val="00112C08"/>
    <w:rsid w:val="00112F10"/>
    <w:rsid w:val="0011369A"/>
    <w:rsid w:val="00113777"/>
    <w:rsid w:val="00114124"/>
    <w:rsid w:val="00114468"/>
    <w:rsid w:val="00114C03"/>
    <w:rsid w:val="00114FDC"/>
    <w:rsid w:val="001152DE"/>
    <w:rsid w:val="00115A91"/>
    <w:rsid w:val="00115B34"/>
    <w:rsid w:val="00115BCB"/>
    <w:rsid w:val="00115C2C"/>
    <w:rsid w:val="00115D06"/>
    <w:rsid w:val="0011643F"/>
    <w:rsid w:val="001168FD"/>
    <w:rsid w:val="00116D1D"/>
    <w:rsid w:val="001170F2"/>
    <w:rsid w:val="001174CC"/>
    <w:rsid w:val="0011765B"/>
    <w:rsid w:val="001177D8"/>
    <w:rsid w:val="001178AA"/>
    <w:rsid w:val="00117A88"/>
    <w:rsid w:val="00120128"/>
    <w:rsid w:val="001210C1"/>
    <w:rsid w:val="00121172"/>
    <w:rsid w:val="001214F2"/>
    <w:rsid w:val="00121C19"/>
    <w:rsid w:val="00121CA0"/>
    <w:rsid w:val="00121D61"/>
    <w:rsid w:val="00121F9F"/>
    <w:rsid w:val="001224FD"/>
    <w:rsid w:val="00123487"/>
    <w:rsid w:val="00123C4F"/>
    <w:rsid w:val="00124A41"/>
    <w:rsid w:val="00124F94"/>
    <w:rsid w:val="001250BE"/>
    <w:rsid w:val="00125677"/>
    <w:rsid w:val="00125E56"/>
    <w:rsid w:val="0012610D"/>
    <w:rsid w:val="001268BF"/>
    <w:rsid w:val="00127827"/>
    <w:rsid w:val="00127E71"/>
    <w:rsid w:val="00130093"/>
    <w:rsid w:val="00130702"/>
    <w:rsid w:val="0013075A"/>
    <w:rsid w:val="00130E4B"/>
    <w:rsid w:val="00131189"/>
    <w:rsid w:val="00131565"/>
    <w:rsid w:val="00131631"/>
    <w:rsid w:val="00131A50"/>
    <w:rsid w:val="00131B15"/>
    <w:rsid w:val="00132491"/>
    <w:rsid w:val="001326CE"/>
    <w:rsid w:val="001328FF"/>
    <w:rsid w:val="00132BC9"/>
    <w:rsid w:val="00132D1A"/>
    <w:rsid w:val="00132D7E"/>
    <w:rsid w:val="00133466"/>
    <w:rsid w:val="001335C5"/>
    <w:rsid w:val="00133877"/>
    <w:rsid w:val="00133A7F"/>
    <w:rsid w:val="001341F5"/>
    <w:rsid w:val="00134BF4"/>
    <w:rsid w:val="0013595E"/>
    <w:rsid w:val="00135EDA"/>
    <w:rsid w:val="001361F6"/>
    <w:rsid w:val="00136576"/>
    <w:rsid w:val="00136BA3"/>
    <w:rsid w:val="00137C56"/>
    <w:rsid w:val="00140112"/>
    <w:rsid w:val="001401D4"/>
    <w:rsid w:val="001402D6"/>
    <w:rsid w:val="00141ACE"/>
    <w:rsid w:val="00142921"/>
    <w:rsid w:val="001430A4"/>
    <w:rsid w:val="001433C7"/>
    <w:rsid w:val="001436DA"/>
    <w:rsid w:val="00143A2A"/>
    <w:rsid w:val="00143F7E"/>
    <w:rsid w:val="00144084"/>
    <w:rsid w:val="0014411A"/>
    <w:rsid w:val="00144244"/>
    <w:rsid w:val="001446AD"/>
    <w:rsid w:val="00144725"/>
    <w:rsid w:val="00144982"/>
    <w:rsid w:val="00144E45"/>
    <w:rsid w:val="00145473"/>
    <w:rsid w:val="00145A3C"/>
    <w:rsid w:val="00145B71"/>
    <w:rsid w:val="00146785"/>
    <w:rsid w:val="00146A5D"/>
    <w:rsid w:val="00146E76"/>
    <w:rsid w:val="0014753E"/>
    <w:rsid w:val="001476E2"/>
    <w:rsid w:val="001477AD"/>
    <w:rsid w:val="0014794A"/>
    <w:rsid w:val="00150164"/>
    <w:rsid w:val="0015018D"/>
    <w:rsid w:val="00150214"/>
    <w:rsid w:val="00150518"/>
    <w:rsid w:val="00150E6E"/>
    <w:rsid w:val="00151312"/>
    <w:rsid w:val="00151786"/>
    <w:rsid w:val="00151F8B"/>
    <w:rsid w:val="0015235A"/>
    <w:rsid w:val="00152A7A"/>
    <w:rsid w:val="001534D7"/>
    <w:rsid w:val="00154269"/>
    <w:rsid w:val="001547EA"/>
    <w:rsid w:val="001549F9"/>
    <w:rsid w:val="00154D6D"/>
    <w:rsid w:val="00154FB3"/>
    <w:rsid w:val="001551DB"/>
    <w:rsid w:val="00155468"/>
    <w:rsid w:val="001556FB"/>
    <w:rsid w:val="0015573F"/>
    <w:rsid w:val="0015589D"/>
    <w:rsid w:val="00155DB7"/>
    <w:rsid w:val="00155EDD"/>
    <w:rsid w:val="001561A0"/>
    <w:rsid w:val="00156253"/>
    <w:rsid w:val="00156BF5"/>
    <w:rsid w:val="00156CA0"/>
    <w:rsid w:val="00156CA5"/>
    <w:rsid w:val="00157221"/>
    <w:rsid w:val="001572CD"/>
    <w:rsid w:val="00157E6C"/>
    <w:rsid w:val="001614B5"/>
    <w:rsid w:val="00161F7A"/>
    <w:rsid w:val="00162046"/>
    <w:rsid w:val="0016261B"/>
    <w:rsid w:val="0016265B"/>
    <w:rsid w:val="00162963"/>
    <w:rsid w:val="00162E2C"/>
    <w:rsid w:val="00162E9E"/>
    <w:rsid w:val="001632A9"/>
    <w:rsid w:val="00163423"/>
    <w:rsid w:val="0016350C"/>
    <w:rsid w:val="0016361F"/>
    <w:rsid w:val="0016380D"/>
    <w:rsid w:val="00163BEF"/>
    <w:rsid w:val="00163D22"/>
    <w:rsid w:val="00163EB6"/>
    <w:rsid w:val="00163F90"/>
    <w:rsid w:val="0016401D"/>
    <w:rsid w:val="00164CDD"/>
    <w:rsid w:val="001654DE"/>
    <w:rsid w:val="00165517"/>
    <w:rsid w:val="0016596C"/>
    <w:rsid w:val="001659C7"/>
    <w:rsid w:val="00165CA9"/>
    <w:rsid w:val="00165D80"/>
    <w:rsid w:val="001667EE"/>
    <w:rsid w:val="00166CDE"/>
    <w:rsid w:val="001670AF"/>
    <w:rsid w:val="00167763"/>
    <w:rsid w:val="00167DD9"/>
    <w:rsid w:val="00170217"/>
    <w:rsid w:val="0017021F"/>
    <w:rsid w:val="00170235"/>
    <w:rsid w:val="0017046A"/>
    <w:rsid w:val="00171635"/>
    <w:rsid w:val="00171637"/>
    <w:rsid w:val="001716A2"/>
    <w:rsid w:val="00171778"/>
    <w:rsid w:val="0017187C"/>
    <w:rsid w:val="00171936"/>
    <w:rsid w:val="00171961"/>
    <w:rsid w:val="00171C3F"/>
    <w:rsid w:val="00171DE0"/>
    <w:rsid w:val="001721DF"/>
    <w:rsid w:val="001721FC"/>
    <w:rsid w:val="001726C5"/>
    <w:rsid w:val="00172808"/>
    <w:rsid w:val="00172ADD"/>
    <w:rsid w:val="00173635"/>
    <w:rsid w:val="0017414C"/>
    <w:rsid w:val="001742CF"/>
    <w:rsid w:val="001742F2"/>
    <w:rsid w:val="001743B7"/>
    <w:rsid w:val="0017445D"/>
    <w:rsid w:val="0017496F"/>
    <w:rsid w:val="00174D00"/>
    <w:rsid w:val="00174F3A"/>
    <w:rsid w:val="001756F6"/>
    <w:rsid w:val="0017593F"/>
    <w:rsid w:val="00176089"/>
    <w:rsid w:val="00176294"/>
    <w:rsid w:val="00176604"/>
    <w:rsid w:val="001766CB"/>
    <w:rsid w:val="0017686F"/>
    <w:rsid w:val="00176DC9"/>
    <w:rsid w:val="001774B6"/>
    <w:rsid w:val="00177576"/>
    <w:rsid w:val="00177717"/>
    <w:rsid w:val="0017784D"/>
    <w:rsid w:val="00177CF6"/>
    <w:rsid w:val="001800DF"/>
    <w:rsid w:val="001807F9"/>
    <w:rsid w:val="00180AC9"/>
    <w:rsid w:val="00180D39"/>
    <w:rsid w:val="00181789"/>
    <w:rsid w:val="00181C92"/>
    <w:rsid w:val="00181E0C"/>
    <w:rsid w:val="00182003"/>
    <w:rsid w:val="001820CD"/>
    <w:rsid w:val="00183434"/>
    <w:rsid w:val="001834F6"/>
    <w:rsid w:val="00183636"/>
    <w:rsid w:val="00183710"/>
    <w:rsid w:val="00183A5C"/>
    <w:rsid w:val="00183A90"/>
    <w:rsid w:val="00184557"/>
    <w:rsid w:val="00185B6B"/>
    <w:rsid w:val="00186062"/>
    <w:rsid w:val="0018620A"/>
    <w:rsid w:val="00186304"/>
    <w:rsid w:val="00186640"/>
    <w:rsid w:val="0018774D"/>
    <w:rsid w:val="00187812"/>
    <w:rsid w:val="00190047"/>
    <w:rsid w:val="001903D2"/>
    <w:rsid w:val="001906C2"/>
    <w:rsid w:val="0019070E"/>
    <w:rsid w:val="0019082B"/>
    <w:rsid w:val="00190A12"/>
    <w:rsid w:val="001910AE"/>
    <w:rsid w:val="001915DA"/>
    <w:rsid w:val="00191A53"/>
    <w:rsid w:val="00191B3C"/>
    <w:rsid w:val="00191EEC"/>
    <w:rsid w:val="001925D9"/>
    <w:rsid w:val="0019287F"/>
    <w:rsid w:val="001928FD"/>
    <w:rsid w:val="00192D46"/>
    <w:rsid w:val="0019374C"/>
    <w:rsid w:val="00193762"/>
    <w:rsid w:val="001938D1"/>
    <w:rsid w:val="00194858"/>
    <w:rsid w:val="001949FC"/>
    <w:rsid w:val="00195E48"/>
    <w:rsid w:val="00195E77"/>
    <w:rsid w:val="00195EAD"/>
    <w:rsid w:val="00195F83"/>
    <w:rsid w:val="00196542"/>
    <w:rsid w:val="00196680"/>
    <w:rsid w:val="001966AC"/>
    <w:rsid w:val="00196ACF"/>
    <w:rsid w:val="00196D84"/>
    <w:rsid w:val="00196F05"/>
    <w:rsid w:val="001971A8"/>
    <w:rsid w:val="001976F3"/>
    <w:rsid w:val="001A0230"/>
    <w:rsid w:val="001A0302"/>
    <w:rsid w:val="001A03DC"/>
    <w:rsid w:val="001A0B8D"/>
    <w:rsid w:val="001A0CFC"/>
    <w:rsid w:val="001A1A20"/>
    <w:rsid w:val="001A1AF4"/>
    <w:rsid w:val="001A1B9F"/>
    <w:rsid w:val="001A2E6C"/>
    <w:rsid w:val="001A3085"/>
    <w:rsid w:val="001A31B1"/>
    <w:rsid w:val="001A3DB3"/>
    <w:rsid w:val="001A45E3"/>
    <w:rsid w:val="001A4C07"/>
    <w:rsid w:val="001A4D98"/>
    <w:rsid w:val="001A5454"/>
    <w:rsid w:val="001A5CAE"/>
    <w:rsid w:val="001A5EE9"/>
    <w:rsid w:val="001A63E8"/>
    <w:rsid w:val="001A663B"/>
    <w:rsid w:val="001A6751"/>
    <w:rsid w:val="001A6F2F"/>
    <w:rsid w:val="001A7200"/>
    <w:rsid w:val="001A7720"/>
    <w:rsid w:val="001A7753"/>
    <w:rsid w:val="001A7A47"/>
    <w:rsid w:val="001A7D36"/>
    <w:rsid w:val="001B012A"/>
    <w:rsid w:val="001B0E1F"/>
    <w:rsid w:val="001B0F9E"/>
    <w:rsid w:val="001B138A"/>
    <w:rsid w:val="001B1499"/>
    <w:rsid w:val="001B15D8"/>
    <w:rsid w:val="001B16CF"/>
    <w:rsid w:val="001B1972"/>
    <w:rsid w:val="001B1AE0"/>
    <w:rsid w:val="001B1F93"/>
    <w:rsid w:val="001B22B7"/>
    <w:rsid w:val="001B24CC"/>
    <w:rsid w:val="001B2954"/>
    <w:rsid w:val="001B2AAD"/>
    <w:rsid w:val="001B2AC2"/>
    <w:rsid w:val="001B3101"/>
    <w:rsid w:val="001B3341"/>
    <w:rsid w:val="001B3879"/>
    <w:rsid w:val="001B395D"/>
    <w:rsid w:val="001B45FA"/>
    <w:rsid w:val="001B5775"/>
    <w:rsid w:val="001B6126"/>
    <w:rsid w:val="001B6157"/>
    <w:rsid w:val="001B646E"/>
    <w:rsid w:val="001B661C"/>
    <w:rsid w:val="001B686D"/>
    <w:rsid w:val="001B6E28"/>
    <w:rsid w:val="001B6E51"/>
    <w:rsid w:val="001B756D"/>
    <w:rsid w:val="001B7D79"/>
    <w:rsid w:val="001B7FC1"/>
    <w:rsid w:val="001C019F"/>
    <w:rsid w:val="001C0590"/>
    <w:rsid w:val="001C09B4"/>
    <w:rsid w:val="001C0B70"/>
    <w:rsid w:val="001C0BBE"/>
    <w:rsid w:val="001C0BDD"/>
    <w:rsid w:val="001C0DAD"/>
    <w:rsid w:val="001C0F11"/>
    <w:rsid w:val="001C133A"/>
    <w:rsid w:val="001C13FE"/>
    <w:rsid w:val="001C18D0"/>
    <w:rsid w:val="001C1950"/>
    <w:rsid w:val="001C1E89"/>
    <w:rsid w:val="001C2513"/>
    <w:rsid w:val="001C2523"/>
    <w:rsid w:val="001C2772"/>
    <w:rsid w:val="001C2A0F"/>
    <w:rsid w:val="001C3326"/>
    <w:rsid w:val="001C33E2"/>
    <w:rsid w:val="001C361D"/>
    <w:rsid w:val="001C36DC"/>
    <w:rsid w:val="001C3FDD"/>
    <w:rsid w:val="001C423A"/>
    <w:rsid w:val="001C439B"/>
    <w:rsid w:val="001C484E"/>
    <w:rsid w:val="001C4D13"/>
    <w:rsid w:val="001C4EA8"/>
    <w:rsid w:val="001C51CE"/>
    <w:rsid w:val="001C525D"/>
    <w:rsid w:val="001C56C1"/>
    <w:rsid w:val="001C5A1A"/>
    <w:rsid w:val="001C625A"/>
    <w:rsid w:val="001C6B17"/>
    <w:rsid w:val="001C6D5E"/>
    <w:rsid w:val="001C6EF4"/>
    <w:rsid w:val="001C70B0"/>
    <w:rsid w:val="001C731E"/>
    <w:rsid w:val="001C748E"/>
    <w:rsid w:val="001C78BE"/>
    <w:rsid w:val="001D0492"/>
    <w:rsid w:val="001D07D4"/>
    <w:rsid w:val="001D0E5C"/>
    <w:rsid w:val="001D141C"/>
    <w:rsid w:val="001D165B"/>
    <w:rsid w:val="001D1769"/>
    <w:rsid w:val="001D2018"/>
    <w:rsid w:val="001D22C4"/>
    <w:rsid w:val="001D23F0"/>
    <w:rsid w:val="001D256D"/>
    <w:rsid w:val="001D2B2B"/>
    <w:rsid w:val="001D2E54"/>
    <w:rsid w:val="001D2EF1"/>
    <w:rsid w:val="001D2F5F"/>
    <w:rsid w:val="001D2FD3"/>
    <w:rsid w:val="001D3626"/>
    <w:rsid w:val="001D393D"/>
    <w:rsid w:val="001D3D95"/>
    <w:rsid w:val="001D3E99"/>
    <w:rsid w:val="001D4490"/>
    <w:rsid w:val="001D4B2C"/>
    <w:rsid w:val="001D50C6"/>
    <w:rsid w:val="001D515A"/>
    <w:rsid w:val="001D5459"/>
    <w:rsid w:val="001D570B"/>
    <w:rsid w:val="001D5B31"/>
    <w:rsid w:val="001D61FA"/>
    <w:rsid w:val="001D6BA8"/>
    <w:rsid w:val="001D6CDE"/>
    <w:rsid w:val="001D6DC4"/>
    <w:rsid w:val="001D6FB4"/>
    <w:rsid w:val="001D7278"/>
    <w:rsid w:val="001D7347"/>
    <w:rsid w:val="001E0206"/>
    <w:rsid w:val="001E05FE"/>
    <w:rsid w:val="001E0609"/>
    <w:rsid w:val="001E0E15"/>
    <w:rsid w:val="001E1575"/>
    <w:rsid w:val="001E1B45"/>
    <w:rsid w:val="001E1D6F"/>
    <w:rsid w:val="001E275E"/>
    <w:rsid w:val="001E2B6C"/>
    <w:rsid w:val="001E2C03"/>
    <w:rsid w:val="001E2C4D"/>
    <w:rsid w:val="001E3220"/>
    <w:rsid w:val="001E32A8"/>
    <w:rsid w:val="001E3527"/>
    <w:rsid w:val="001E3CC8"/>
    <w:rsid w:val="001E4363"/>
    <w:rsid w:val="001E4588"/>
    <w:rsid w:val="001E47F1"/>
    <w:rsid w:val="001E52AB"/>
    <w:rsid w:val="001E55E9"/>
    <w:rsid w:val="001E614E"/>
    <w:rsid w:val="001E61F1"/>
    <w:rsid w:val="001E622D"/>
    <w:rsid w:val="001E63E7"/>
    <w:rsid w:val="001E6642"/>
    <w:rsid w:val="001E676E"/>
    <w:rsid w:val="001E6D72"/>
    <w:rsid w:val="001E75ED"/>
    <w:rsid w:val="001E7B24"/>
    <w:rsid w:val="001E7C04"/>
    <w:rsid w:val="001F06CE"/>
    <w:rsid w:val="001F1103"/>
    <w:rsid w:val="001F1117"/>
    <w:rsid w:val="001F14BA"/>
    <w:rsid w:val="001F15BD"/>
    <w:rsid w:val="001F15D3"/>
    <w:rsid w:val="001F1621"/>
    <w:rsid w:val="001F1670"/>
    <w:rsid w:val="001F1BCE"/>
    <w:rsid w:val="001F1D26"/>
    <w:rsid w:val="001F1F0A"/>
    <w:rsid w:val="001F1FC1"/>
    <w:rsid w:val="001F2A15"/>
    <w:rsid w:val="001F2C8A"/>
    <w:rsid w:val="001F2CC0"/>
    <w:rsid w:val="001F2E71"/>
    <w:rsid w:val="001F3093"/>
    <w:rsid w:val="001F36DC"/>
    <w:rsid w:val="001F3EA0"/>
    <w:rsid w:val="001F413E"/>
    <w:rsid w:val="001F42AC"/>
    <w:rsid w:val="001F44F9"/>
    <w:rsid w:val="001F4865"/>
    <w:rsid w:val="001F4BC3"/>
    <w:rsid w:val="001F6553"/>
    <w:rsid w:val="001F6646"/>
    <w:rsid w:val="001F67E3"/>
    <w:rsid w:val="001F6C4E"/>
    <w:rsid w:val="001F6C76"/>
    <w:rsid w:val="001F73FA"/>
    <w:rsid w:val="001F7403"/>
    <w:rsid w:val="001F7547"/>
    <w:rsid w:val="001F7711"/>
    <w:rsid w:val="001F7757"/>
    <w:rsid w:val="001F777B"/>
    <w:rsid w:val="001F7936"/>
    <w:rsid w:val="001F7C62"/>
    <w:rsid w:val="0020014C"/>
    <w:rsid w:val="002009EF"/>
    <w:rsid w:val="00200B65"/>
    <w:rsid w:val="00200C68"/>
    <w:rsid w:val="00200DFA"/>
    <w:rsid w:val="00201502"/>
    <w:rsid w:val="00201839"/>
    <w:rsid w:val="00201912"/>
    <w:rsid w:val="0020196A"/>
    <w:rsid w:val="00201DB2"/>
    <w:rsid w:val="00202061"/>
    <w:rsid w:val="002023D8"/>
    <w:rsid w:val="00202645"/>
    <w:rsid w:val="00202803"/>
    <w:rsid w:val="002029C5"/>
    <w:rsid w:val="00202BE7"/>
    <w:rsid w:val="00202D96"/>
    <w:rsid w:val="00203374"/>
    <w:rsid w:val="002034A6"/>
    <w:rsid w:val="002045F5"/>
    <w:rsid w:val="00204A29"/>
    <w:rsid w:val="00204BFC"/>
    <w:rsid w:val="00205114"/>
    <w:rsid w:val="0020524E"/>
    <w:rsid w:val="00205484"/>
    <w:rsid w:val="0020559C"/>
    <w:rsid w:val="00205B96"/>
    <w:rsid w:val="00205DA8"/>
    <w:rsid w:val="0020636E"/>
    <w:rsid w:val="002065C2"/>
    <w:rsid w:val="002065DD"/>
    <w:rsid w:val="002069B7"/>
    <w:rsid w:val="00206BAF"/>
    <w:rsid w:val="00206C34"/>
    <w:rsid w:val="00206CCE"/>
    <w:rsid w:val="00206EFE"/>
    <w:rsid w:val="00207866"/>
    <w:rsid w:val="002078DC"/>
    <w:rsid w:val="00207E74"/>
    <w:rsid w:val="00210479"/>
    <w:rsid w:val="00210A4D"/>
    <w:rsid w:val="00210DAA"/>
    <w:rsid w:val="00210DFE"/>
    <w:rsid w:val="00210ED1"/>
    <w:rsid w:val="00210FE6"/>
    <w:rsid w:val="0021100B"/>
    <w:rsid w:val="00211462"/>
    <w:rsid w:val="002115F9"/>
    <w:rsid w:val="0021203D"/>
    <w:rsid w:val="002121A8"/>
    <w:rsid w:val="0021227D"/>
    <w:rsid w:val="00212317"/>
    <w:rsid w:val="00212CE4"/>
    <w:rsid w:val="00213043"/>
    <w:rsid w:val="002130D0"/>
    <w:rsid w:val="0021332A"/>
    <w:rsid w:val="002138A0"/>
    <w:rsid w:val="0021399E"/>
    <w:rsid w:val="00213F11"/>
    <w:rsid w:val="00213FDA"/>
    <w:rsid w:val="0021416A"/>
    <w:rsid w:val="00214745"/>
    <w:rsid w:val="002147E2"/>
    <w:rsid w:val="0021498D"/>
    <w:rsid w:val="0021590E"/>
    <w:rsid w:val="00215A5A"/>
    <w:rsid w:val="00215C6F"/>
    <w:rsid w:val="00215EC0"/>
    <w:rsid w:val="00216199"/>
    <w:rsid w:val="002161AE"/>
    <w:rsid w:val="002162EA"/>
    <w:rsid w:val="00216F62"/>
    <w:rsid w:val="00216FAE"/>
    <w:rsid w:val="00217156"/>
    <w:rsid w:val="002172EF"/>
    <w:rsid w:val="00217665"/>
    <w:rsid w:val="002176C5"/>
    <w:rsid w:val="002178E7"/>
    <w:rsid w:val="00217C36"/>
    <w:rsid w:val="00220033"/>
    <w:rsid w:val="002202A9"/>
    <w:rsid w:val="00220CB4"/>
    <w:rsid w:val="0022132C"/>
    <w:rsid w:val="00221364"/>
    <w:rsid w:val="00221963"/>
    <w:rsid w:val="0022272D"/>
    <w:rsid w:val="00222750"/>
    <w:rsid w:val="002227CE"/>
    <w:rsid w:val="002234F3"/>
    <w:rsid w:val="00223781"/>
    <w:rsid w:val="002247F0"/>
    <w:rsid w:val="0022491C"/>
    <w:rsid w:val="00225163"/>
    <w:rsid w:val="002257EF"/>
    <w:rsid w:val="00226248"/>
    <w:rsid w:val="002262A4"/>
    <w:rsid w:val="002265F6"/>
    <w:rsid w:val="00226608"/>
    <w:rsid w:val="0022684F"/>
    <w:rsid w:val="00226EB3"/>
    <w:rsid w:val="0022768A"/>
    <w:rsid w:val="00227BEF"/>
    <w:rsid w:val="00227DCA"/>
    <w:rsid w:val="00227FC1"/>
    <w:rsid w:val="00227FEE"/>
    <w:rsid w:val="00230649"/>
    <w:rsid w:val="002308AA"/>
    <w:rsid w:val="00230984"/>
    <w:rsid w:val="00230E3B"/>
    <w:rsid w:val="00231196"/>
    <w:rsid w:val="00231274"/>
    <w:rsid w:val="0023192D"/>
    <w:rsid w:val="002320A9"/>
    <w:rsid w:val="0023222A"/>
    <w:rsid w:val="00232A02"/>
    <w:rsid w:val="00232A3C"/>
    <w:rsid w:val="00232AB3"/>
    <w:rsid w:val="00232C2A"/>
    <w:rsid w:val="00232FFB"/>
    <w:rsid w:val="00233074"/>
    <w:rsid w:val="0023330B"/>
    <w:rsid w:val="00233678"/>
    <w:rsid w:val="002337F5"/>
    <w:rsid w:val="00233DB0"/>
    <w:rsid w:val="00233F0F"/>
    <w:rsid w:val="00233F51"/>
    <w:rsid w:val="002344EF"/>
    <w:rsid w:val="002346C3"/>
    <w:rsid w:val="00234809"/>
    <w:rsid w:val="00234903"/>
    <w:rsid w:val="0023496F"/>
    <w:rsid w:val="00234E2D"/>
    <w:rsid w:val="00234E71"/>
    <w:rsid w:val="002350D9"/>
    <w:rsid w:val="002357B9"/>
    <w:rsid w:val="002365F3"/>
    <w:rsid w:val="00236D0F"/>
    <w:rsid w:val="00237554"/>
    <w:rsid w:val="00237690"/>
    <w:rsid w:val="002378B6"/>
    <w:rsid w:val="002379E2"/>
    <w:rsid w:val="00237A9E"/>
    <w:rsid w:val="00237B9A"/>
    <w:rsid w:val="00237C2C"/>
    <w:rsid w:val="00240867"/>
    <w:rsid w:val="00240D5C"/>
    <w:rsid w:val="002416CC"/>
    <w:rsid w:val="00241966"/>
    <w:rsid w:val="00241B6B"/>
    <w:rsid w:val="00241C3B"/>
    <w:rsid w:val="00241EDF"/>
    <w:rsid w:val="00242A3B"/>
    <w:rsid w:val="00242E4C"/>
    <w:rsid w:val="00242ED7"/>
    <w:rsid w:val="0024301B"/>
    <w:rsid w:val="00243777"/>
    <w:rsid w:val="00243C8F"/>
    <w:rsid w:val="00243FC0"/>
    <w:rsid w:val="002441A5"/>
    <w:rsid w:val="00244A8D"/>
    <w:rsid w:val="00244C83"/>
    <w:rsid w:val="0024500F"/>
    <w:rsid w:val="002456B7"/>
    <w:rsid w:val="00245CE4"/>
    <w:rsid w:val="00245DFD"/>
    <w:rsid w:val="00245F6B"/>
    <w:rsid w:val="00246666"/>
    <w:rsid w:val="00246919"/>
    <w:rsid w:val="00246E34"/>
    <w:rsid w:val="00247417"/>
    <w:rsid w:val="0024746B"/>
    <w:rsid w:val="0024763A"/>
    <w:rsid w:val="00247DAF"/>
    <w:rsid w:val="00247E58"/>
    <w:rsid w:val="00247E6A"/>
    <w:rsid w:val="00250DF3"/>
    <w:rsid w:val="00250E77"/>
    <w:rsid w:val="002513E3"/>
    <w:rsid w:val="002515D9"/>
    <w:rsid w:val="00251752"/>
    <w:rsid w:val="00251918"/>
    <w:rsid w:val="002519FE"/>
    <w:rsid w:val="00251DF4"/>
    <w:rsid w:val="002521B9"/>
    <w:rsid w:val="00252381"/>
    <w:rsid w:val="0025240A"/>
    <w:rsid w:val="002525CE"/>
    <w:rsid w:val="00252839"/>
    <w:rsid w:val="00252BA5"/>
    <w:rsid w:val="00252BC8"/>
    <w:rsid w:val="00252BCA"/>
    <w:rsid w:val="00252E87"/>
    <w:rsid w:val="00253988"/>
    <w:rsid w:val="00253A37"/>
    <w:rsid w:val="00253AB1"/>
    <w:rsid w:val="00253B3A"/>
    <w:rsid w:val="00253DEA"/>
    <w:rsid w:val="00254A15"/>
    <w:rsid w:val="0025557B"/>
    <w:rsid w:val="00255CB3"/>
    <w:rsid w:val="00256C88"/>
    <w:rsid w:val="00256D03"/>
    <w:rsid w:val="00257B92"/>
    <w:rsid w:val="00257DAC"/>
    <w:rsid w:val="00260952"/>
    <w:rsid w:val="00261264"/>
    <w:rsid w:val="00261619"/>
    <w:rsid w:val="002618D6"/>
    <w:rsid w:val="00261A02"/>
    <w:rsid w:val="00261B7A"/>
    <w:rsid w:val="00261FC9"/>
    <w:rsid w:val="00262123"/>
    <w:rsid w:val="00262503"/>
    <w:rsid w:val="0026252B"/>
    <w:rsid w:val="002629D4"/>
    <w:rsid w:val="00263449"/>
    <w:rsid w:val="00263987"/>
    <w:rsid w:val="00263B38"/>
    <w:rsid w:val="002642A1"/>
    <w:rsid w:val="00264A44"/>
    <w:rsid w:val="00265278"/>
    <w:rsid w:val="00266044"/>
    <w:rsid w:val="0026660F"/>
    <w:rsid w:val="002666BA"/>
    <w:rsid w:val="0026692F"/>
    <w:rsid w:val="0026699B"/>
    <w:rsid w:val="0026699C"/>
    <w:rsid w:val="00267B43"/>
    <w:rsid w:val="00270FC4"/>
    <w:rsid w:val="00271730"/>
    <w:rsid w:val="002717D5"/>
    <w:rsid w:val="002719F4"/>
    <w:rsid w:val="002723E2"/>
    <w:rsid w:val="002726A0"/>
    <w:rsid w:val="00272EFC"/>
    <w:rsid w:val="0027317F"/>
    <w:rsid w:val="002736E0"/>
    <w:rsid w:val="002739D0"/>
    <w:rsid w:val="00273D29"/>
    <w:rsid w:val="00273E9C"/>
    <w:rsid w:val="00274299"/>
    <w:rsid w:val="00274612"/>
    <w:rsid w:val="00274FA5"/>
    <w:rsid w:val="00274FC2"/>
    <w:rsid w:val="002752A3"/>
    <w:rsid w:val="002755BA"/>
    <w:rsid w:val="00275815"/>
    <w:rsid w:val="002759CE"/>
    <w:rsid w:val="00275B78"/>
    <w:rsid w:val="00276637"/>
    <w:rsid w:val="00276ABD"/>
    <w:rsid w:val="00276ED1"/>
    <w:rsid w:val="00276F4F"/>
    <w:rsid w:val="00276FF6"/>
    <w:rsid w:val="002776E0"/>
    <w:rsid w:val="002777F7"/>
    <w:rsid w:val="00280847"/>
    <w:rsid w:val="002810BF"/>
    <w:rsid w:val="0028242B"/>
    <w:rsid w:val="00282454"/>
    <w:rsid w:val="002827DA"/>
    <w:rsid w:val="00282AEF"/>
    <w:rsid w:val="002834BC"/>
    <w:rsid w:val="00283C0F"/>
    <w:rsid w:val="002840EA"/>
    <w:rsid w:val="002843EB"/>
    <w:rsid w:val="00284B4C"/>
    <w:rsid w:val="0028500C"/>
    <w:rsid w:val="00285196"/>
    <w:rsid w:val="00285813"/>
    <w:rsid w:val="0028598E"/>
    <w:rsid w:val="00285C89"/>
    <w:rsid w:val="00286968"/>
    <w:rsid w:val="00286A57"/>
    <w:rsid w:val="00286A8F"/>
    <w:rsid w:val="00287013"/>
    <w:rsid w:val="0028714B"/>
    <w:rsid w:val="0028758A"/>
    <w:rsid w:val="00287BAC"/>
    <w:rsid w:val="00287FC1"/>
    <w:rsid w:val="00290138"/>
    <w:rsid w:val="00290198"/>
    <w:rsid w:val="002902F0"/>
    <w:rsid w:val="00290CA7"/>
    <w:rsid w:val="00291201"/>
    <w:rsid w:val="002914F4"/>
    <w:rsid w:val="00291878"/>
    <w:rsid w:val="00291E3C"/>
    <w:rsid w:val="00292003"/>
    <w:rsid w:val="0029213C"/>
    <w:rsid w:val="00292CDF"/>
    <w:rsid w:val="00292F73"/>
    <w:rsid w:val="00292FD4"/>
    <w:rsid w:val="00293069"/>
    <w:rsid w:val="00293455"/>
    <w:rsid w:val="0029394B"/>
    <w:rsid w:val="00293D67"/>
    <w:rsid w:val="0029451D"/>
    <w:rsid w:val="00294C1F"/>
    <w:rsid w:val="00294D20"/>
    <w:rsid w:val="00294E2B"/>
    <w:rsid w:val="0029525B"/>
    <w:rsid w:val="00295712"/>
    <w:rsid w:val="00295AD8"/>
    <w:rsid w:val="00296460"/>
    <w:rsid w:val="0029649A"/>
    <w:rsid w:val="0029666D"/>
    <w:rsid w:val="002968F5"/>
    <w:rsid w:val="00296EC1"/>
    <w:rsid w:val="00297033"/>
    <w:rsid w:val="002974D8"/>
    <w:rsid w:val="00297572"/>
    <w:rsid w:val="002A0108"/>
    <w:rsid w:val="002A0273"/>
    <w:rsid w:val="002A0326"/>
    <w:rsid w:val="002A08F3"/>
    <w:rsid w:val="002A14FD"/>
    <w:rsid w:val="002A1686"/>
    <w:rsid w:val="002A1C93"/>
    <w:rsid w:val="002A213E"/>
    <w:rsid w:val="002A23C4"/>
    <w:rsid w:val="002A28C5"/>
    <w:rsid w:val="002A2916"/>
    <w:rsid w:val="002A2E72"/>
    <w:rsid w:val="002A3BE2"/>
    <w:rsid w:val="002A3DA3"/>
    <w:rsid w:val="002A499E"/>
    <w:rsid w:val="002A4F5B"/>
    <w:rsid w:val="002A4FBD"/>
    <w:rsid w:val="002A522C"/>
    <w:rsid w:val="002A5279"/>
    <w:rsid w:val="002A5D7F"/>
    <w:rsid w:val="002A61BE"/>
    <w:rsid w:val="002A622F"/>
    <w:rsid w:val="002A6377"/>
    <w:rsid w:val="002A64FE"/>
    <w:rsid w:val="002A6E33"/>
    <w:rsid w:val="002A707F"/>
    <w:rsid w:val="002A7B20"/>
    <w:rsid w:val="002B01C2"/>
    <w:rsid w:val="002B076A"/>
    <w:rsid w:val="002B08C6"/>
    <w:rsid w:val="002B0D33"/>
    <w:rsid w:val="002B1B2C"/>
    <w:rsid w:val="002B1EE1"/>
    <w:rsid w:val="002B206C"/>
    <w:rsid w:val="002B238F"/>
    <w:rsid w:val="002B278C"/>
    <w:rsid w:val="002B295D"/>
    <w:rsid w:val="002B2B08"/>
    <w:rsid w:val="002B2F15"/>
    <w:rsid w:val="002B321E"/>
    <w:rsid w:val="002B3EE7"/>
    <w:rsid w:val="002B43BB"/>
    <w:rsid w:val="002B482A"/>
    <w:rsid w:val="002B491C"/>
    <w:rsid w:val="002B4A70"/>
    <w:rsid w:val="002B5199"/>
    <w:rsid w:val="002B527F"/>
    <w:rsid w:val="002B5B3C"/>
    <w:rsid w:val="002B5D90"/>
    <w:rsid w:val="002B5E7C"/>
    <w:rsid w:val="002B5EAB"/>
    <w:rsid w:val="002B60C2"/>
    <w:rsid w:val="002B6273"/>
    <w:rsid w:val="002B6502"/>
    <w:rsid w:val="002B667E"/>
    <w:rsid w:val="002B671B"/>
    <w:rsid w:val="002B7585"/>
    <w:rsid w:val="002B79BE"/>
    <w:rsid w:val="002B7B1B"/>
    <w:rsid w:val="002B7DC0"/>
    <w:rsid w:val="002B7E09"/>
    <w:rsid w:val="002C01F7"/>
    <w:rsid w:val="002C02C7"/>
    <w:rsid w:val="002C0358"/>
    <w:rsid w:val="002C099F"/>
    <w:rsid w:val="002C0CF6"/>
    <w:rsid w:val="002C0FC4"/>
    <w:rsid w:val="002C1241"/>
    <w:rsid w:val="002C1465"/>
    <w:rsid w:val="002C1995"/>
    <w:rsid w:val="002C1B85"/>
    <w:rsid w:val="002C20BA"/>
    <w:rsid w:val="002C2EF3"/>
    <w:rsid w:val="002C366A"/>
    <w:rsid w:val="002C37E8"/>
    <w:rsid w:val="002C3A2A"/>
    <w:rsid w:val="002C45ED"/>
    <w:rsid w:val="002C52D9"/>
    <w:rsid w:val="002C589D"/>
    <w:rsid w:val="002C5B7E"/>
    <w:rsid w:val="002C5E07"/>
    <w:rsid w:val="002C6091"/>
    <w:rsid w:val="002C61BD"/>
    <w:rsid w:val="002C6258"/>
    <w:rsid w:val="002C67B6"/>
    <w:rsid w:val="002C6851"/>
    <w:rsid w:val="002C6C80"/>
    <w:rsid w:val="002C6CE7"/>
    <w:rsid w:val="002C6D76"/>
    <w:rsid w:val="002C7136"/>
    <w:rsid w:val="002C77CB"/>
    <w:rsid w:val="002C7ED3"/>
    <w:rsid w:val="002D0543"/>
    <w:rsid w:val="002D090D"/>
    <w:rsid w:val="002D0A1E"/>
    <w:rsid w:val="002D1043"/>
    <w:rsid w:val="002D16C9"/>
    <w:rsid w:val="002D25F6"/>
    <w:rsid w:val="002D299F"/>
    <w:rsid w:val="002D3495"/>
    <w:rsid w:val="002D3B94"/>
    <w:rsid w:val="002D3ED9"/>
    <w:rsid w:val="002D4179"/>
    <w:rsid w:val="002D41CE"/>
    <w:rsid w:val="002D46B4"/>
    <w:rsid w:val="002D46DB"/>
    <w:rsid w:val="002D4806"/>
    <w:rsid w:val="002D495B"/>
    <w:rsid w:val="002D49CC"/>
    <w:rsid w:val="002D4FD0"/>
    <w:rsid w:val="002D5542"/>
    <w:rsid w:val="002D5603"/>
    <w:rsid w:val="002D57B4"/>
    <w:rsid w:val="002D5EBC"/>
    <w:rsid w:val="002D5FA0"/>
    <w:rsid w:val="002D6196"/>
    <w:rsid w:val="002D6BBE"/>
    <w:rsid w:val="002D6D76"/>
    <w:rsid w:val="002D6F47"/>
    <w:rsid w:val="002D6F48"/>
    <w:rsid w:val="002D73AF"/>
    <w:rsid w:val="002D765B"/>
    <w:rsid w:val="002D7754"/>
    <w:rsid w:val="002E129B"/>
    <w:rsid w:val="002E2515"/>
    <w:rsid w:val="002E2660"/>
    <w:rsid w:val="002E2716"/>
    <w:rsid w:val="002E2AAF"/>
    <w:rsid w:val="002E2DB1"/>
    <w:rsid w:val="002E2E45"/>
    <w:rsid w:val="002E36EA"/>
    <w:rsid w:val="002E39FA"/>
    <w:rsid w:val="002E3E19"/>
    <w:rsid w:val="002E3F5F"/>
    <w:rsid w:val="002E3F81"/>
    <w:rsid w:val="002E458D"/>
    <w:rsid w:val="002E485B"/>
    <w:rsid w:val="002E4DA2"/>
    <w:rsid w:val="002E5430"/>
    <w:rsid w:val="002E5543"/>
    <w:rsid w:val="002E5916"/>
    <w:rsid w:val="002E5F82"/>
    <w:rsid w:val="002E6057"/>
    <w:rsid w:val="002E61E2"/>
    <w:rsid w:val="002E6339"/>
    <w:rsid w:val="002E64DB"/>
    <w:rsid w:val="002E6CE6"/>
    <w:rsid w:val="002E7591"/>
    <w:rsid w:val="002F011E"/>
    <w:rsid w:val="002F0149"/>
    <w:rsid w:val="002F0377"/>
    <w:rsid w:val="002F0B56"/>
    <w:rsid w:val="002F0F99"/>
    <w:rsid w:val="002F1258"/>
    <w:rsid w:val="002F1D3E"/>
    <w:rsid w:val="002F1EB0"/>
    <w:rsid w:val="002F203D"/>
    <w:rsid w:val="002F2222"/>
    <w:rsid w:val="002F23C6"/>
    <w:rsid w:val="002F283A"/>
    <w:rsid w:val="002F29AB"/>
    <w:rsid w:val="002F2A24"/>
    <w:rsid w:val="002F2BB2"/>
    <w:rsid w:val="002F3233"/>
    <w:rsid w:val="002F33F9"/>
    <w:rsid w:val="002F3802"/>
    <w:rsid w:val="002F3E1D"/>
    <w:rsid w:val="002F3F3C"/>
    <w:rsid w:val="002F3F75"/>
    <w:rsid w:val="002F3FCA"/>
    <w:rsid w:val="002F413C"/>
    <w:rsid w:val="002F43E3"/>
    <w:rsid w:val="002F4439"/>
    <w:rsid w:val="002F4E45"/>
    <w:rsid w:val="002F4F00"/>
    <w:rsid w:val="002F55AA"/>
    <w:rsid w:val="002F58C6"/>
    <w:rsid w:val="002F5AEF"/>
    <w:rsid w:val="002F5CB1"/>
    <w:rsid w:val="002F5DFA"/>
    <w:rsid w:val="002F5FB8"/>
    <w:rsid w:val="002F6529"/>
    <w:rsid w:val="002F7195"/>
    <w:rsid w:val="002F724B"/>
    <w:rsid w:val="002F7396"/>
    <w:rsid w:val="002F758E"/>
    <w:rsid w:val="002F7635"/>
    <w:rsid w:val="002F780E"/>
    <w:rsid w:val="002F7E7C"/>
    <w:rsid w:val="00300C3C"/>
    <w:rsid w:val="00300DA6"/>
    <w:rsid w:val="003012B6"/>
    <w:rsid w:val="003014E5"/>
    <w:rsid w:val="003016EE"/>
    <w:rsid w:val="00301E7E"/>
    <w:rsid w:val="00302556"/>
    <w:rsid w:val="00302F65"/>
    <w:rsid w:val="003032BC"/>
    <w:rsid w:val="0030449F"/>
    <w:rsid w:val="00304AFB"/>
    <w:rsid w:val="00304CDF"/>
    <w:rsid w:val="00304FBE"/>
    <w:rsid w:val="00304FD2"/>
    <w:rsid w:val="00305663"/>
    <w:rsid w:val="003067B9"/>
    <w:rsid w:val="0030681A"/>
    <w:rsid w:val="00306B65"/>
    <w:rsid w:val="00306E7C"/>
    <w:rsid w:val="00307832"/>
    <w:rsid w:val="00307CAC"/>
    <w:rsid w:val="00307E99"/>
    <w:rsid w:val="0031034E"/>
    <w:rsid w:val="003105FD"/>
    <w:rsid w:val="0031075E"/>
    <w:rsid w:val="00310A7A"/>
    <w:rsid w:val="00310F1B"/>
    <w:rsid w:val="00311CA9"/>
    <w:rsid w:val="00312133"/>
    <w:rsid w:val="00312153"/>
    <w:rsid w:val="00312B8E"/>
    <w:rsid w:val="00312CAB"/>
    <w:rsid w:val="00312F47"/>
    <w:rsid w:val="003130B7"/>
    <w:rsid w:val="0031364A"/>
    <w:rsid w:val="0031402A"/>
    <w:rsid w:val="003145A4"/>
    <w:rsid w:val="00314E5E"/>
    <w:rsid w:val="00315032"/>
    <w:rsid w:val="00315203"/>
    <w:rsid w:val="00315879"/>
    <w:rsid w:val="00316501"/>
    <w:rsid w:val="00316596"/>
    <w:rsid w:val="003169B2"/>
    <w:rsid w:val="00316E59"/>
    <w:rsid w:val="00316EBF"/>
    <w:rsid w:val="003170FC"/>
    <w:rsid w:val="003173DE"/>
    <w:rsid w:val="00320DCA"/>
    <w:rsid w:val="00320E18"/>
    <w:rsid w:val="00320FA0"/>
    <w:rsid w:val="0032122C"/>
    <w:rsid w:val="003213F5"/>
    <w:rsid w:val="0032175A"/>
    <w:rsid w:val="0032195F"/>
    <w:rsid w:val="00321A98"/>
    <w:rsid w:val="00321DD3"/>
    <w:rsid w:val="00322A12"/>
    <w:rsid w:val="00322AAA"/>
    <w:rsid w:val="00322C73"/>
    <w:rsid w:val="00322C92"/>
    <w:rsid w:val="00322E80"/>
    <w:rsid w:val="00322FA9"/>
    <w:rsid w:val="00322FC0"/>
    <w:rsid w:val="00323042"/>
    <w:rsid w:val="003233C1"/>
    <w:rsid w:val="00323676"/>
    <w:rsid w:val="0032476B"/>
    <w:rsid w:val="00324869"/>
    <w:rsid w:val="00324A0C"/>
    <w:rsid w:val="00324A17"/>
    <w:rsid w:val="00324DC5"/>
    <w:rsid w:val="00324F53"/>
    <w:rsid w:val="00325018"/>
    <w:rsid w:val="0032503C"/>
    <w:rsid w:val="0032511D"/>
    <w:rsid w:val="003254B1"/>
    <w:rsid w:val="003256E2"/>
    <w:rsid w:val="00325BB8"/>
    <w:rsid w:val="00326E5F"/>
    <w:rsid w:val="00326FEE"/>
    <w:rsid w:val="003273FF"/>
    <w:rsid w:val="003277D2"/>
    <w:rsid w:val="003279DE"/>
    <w:rsid w:val="00327E5B"/>
    <w:rsid w:val="003300E2"/>
    <w:rsid w:val="00330D8A"/>
    <w:rsid w:val="00330DF9"/>
    <w:rsid w:val="00330F21"/>
    <w:rsid w:val="00331135"/>
    <w:rsid w:val="003315D3"/>
    <w:rsid w:val="003316CF"/>
    <w:rsid w:val="00331847"/>
    <w:rsid w:val="00331B24"/>
    <w:rsid w:val="00331B92"/>
    <w:rsid w:val="0033295B"/>
    <w:rsid w:val="003334E2"/>
    <w:rsid w:val="0033355E"/>
    <w:rsid w:val="003339E0"/>
    <w:rsid w:val="003341B8"/>
    <w:rsid w:val="00334C79"/>
    <w:rsid w:val="003357C7"/>
    <w:rsid w:val="00335C86"/>
    <w:rsid w:val="00335E5D"/>
    <w:rsid w:val="00335F44"/>
    <w:rsid w:val="00335F52"/>
    <w:rsid w:val="003362F7"/>
    <w:rsid w:val="0033656A"/>
    <w:rsid w:val="00336577"/>
    <w:rsid w:val="0033669D"/>
    <w:rsid w:val="0033690D"/>
    <w:rsid w:val="00336BAD"/>
    <w:rsid w:val="00337427"/>
    <w:rsid w:val="003374DE"/>
    <w:rsid w:val="003375B4"/>
    <w:rsid w:val="00337CA8"/>
    <w:rsid w:val="003408A3"/>
    <w:rsid w:val="003408E6"/>
    <w:rsid w:val="00340920"/>
    <w:rsid w:val="003411FA"/>
    <w:rsid w:val="003414FB"/>
    <w:rsid w:val="00341836"/>
    <w:rsid w:val="00342094"/>
    <w:rsid w:val="00342267"/>
    <w:rsid w:val="00342539"/>
    <w:rsid w:val="00342585"/>
    <w:rsid w:val="003426F3"/>
    <w:rsid w:val="00342908"/>
    <w:rsid w:val="003431AB"/>
    <w:rsid w:val="003433E4"/>
    <w:rsid w:val="003437FE"/>
    <w:rsid w:val="003439FF"/>
    <w:rsid w:val="003441CA"/>
    <w:rsid w:val="0034445E"/>
    <w:rsid w:val="0034460D"/>
    <w:rsid w:val="003447CC"/>
    <w:rsid w:val="00344A50"/>
    <w:rsid w:val="00344BFD"/>
    <w:rsid w:val="00344D16"/>
    <w:rsid w:val="0034523F"/>
    <w:rsid w:val="003453C3"/>
    <w:rsid w:val="003456C9"/>
    <w:rsid w:val="003456FF"/>
    <w:rsid w:val="00345744"/>
    <w:rsid w:val="00345762"/>
    <w:rsid w:val="00345776"/>
    <w:rsid w:val="0034634E"/>
    <w:rsid w:val="003467B0"/>
    <w:rsid w:val="003468E3"/>
    <w:rsid w:val="00346A59"/>
    <w:rsid w:val="00347CDD"/>
    <w:rsid w:val="00347EEF"/>
    <w:rsid w:val="00350167"/>
    <w:rsid w:val="00350212"/>
    <w:rsid w:val="003504A5"/>
    <w:rsid w:val="0035054F"/>
    <w:rsid w:val="00350784"/>
    <w:rsid w:val="0035087B"/>
    <w:rsid w:val="00350EB0"/>
    <w:rsid w:val="00351517"/>
    <w:rsid w:val="00351A8C"/>
    <w:rsid w:val="00351BC6"/>
    <w:rsid w:val="00351CDA"/>
    <w:rsid w:val="00351D68"/>
    <w:rsid w:val="00351E9C"/>
    <w:rsid w:val="00352026"/>
    <w:rsid w:val="0035269F"/>
    <w:rsid w:val="003526C3"/>
    <w:rsid w:val="00353848"/>
    <w:rsid w:val="0035399A"/>
    <w:rsid w:val="00354855"/>
    <w:rsid w:val="00354A13"/>
    <w:rsid w:val="00354C9E"/>
    <w:rsid w:val="00354EC7"/>
    <w:rsid w:val="0035567D"/>
    <w:rsid w:val="00355925"/>
    <w:rsid w:val="00355BA5"/>
    <w:rsid w:val="00356AC8"/>
    <w:rsid w:val="00357483"/>
    <w:rsid w:val="00357A2E"/>
    <w:rsid w:val="00357B48"/>
    <w:rsid w:val="00357C10"/>
    <w:rsid w:val="00357D0D"/>
    <w:rsid w:val="00357E44"/>
    <w:rsid w:val="00357E83"/>
    <w:rsid w:val="00360EC9"/>
    <w:rsid w:val="003616FB"/>
    <w:rsid w:val="003616FD"/>
    <w:rsid w:val="00361C81"/>
    <w:rsid w:val="0036203C"/>
    <w:rsid w:val="003620B1"/>
    <w:rsid w:val="00362417"/>
    <w:rsid w:val="0036248A"/>
    <w:rsid w:val="00362615"/>
    <w:rsid w:val="00362740"/>
    <w:rsid w:val="00362A4A"/>
    <w:rsid w:val="00362CDA"/>
    <w:rsid w:val="00363419"/>
    <w:rsid w:val="00363F60"/>
    <w:rsid w:val="00363FCD"/>
    <w:rsid w:val="003640B1"/>
    <w:rsid w:val="00364289"/>
    <w:rsid w:val="00364400"/>
    <w:rsid w:val="00364C40"/>
    <w:rsid w:val="00365836"/>
    <w:rsid w:val="0036652C"/>
    <w:rsid w:val="00366F65"/>
    <w:rsid w:val="0036733D"/>
    <w:rsid w:val="00367D9D"/>
    <w:rsid w:val="00367FA8"/>
    <w:rsid w:val="0037055A"/>
    <w:rsid w:val="003705D9"/>
    <w:rsid w:val="00371520"/>
    <w:rsid w:val="003718DD"/>
    <w:rsid w:val="00371D06"/>
    <w:rsid w:val="00371E10"/>
    <w:rsid w:val="00371FBB"/>
    <w:rsid w:val="003723F5"/>
    <w:rsid w:val="003724DA"/>
    <w:rsid w:val="00372E57"/>
    <w:rsid w:val="003730AD"/>
    <w:rsid w:val="003730D5"/>
    <w:rsid w:val="00373186"/>
    <w:rsid w:val="00373A5F"/>
    <w:rsid w:val="00373A76"/>
    <w:rsid w:val="00373DE9"/>
    <w:rsid w:val="00373E3B"/>
    <w:rsid w:val="00374BEF"/>
    <w:rsid w:val="00374EAA"/>
    <w:rsid w:val="00374F4F"/>
    <w:rsid w:val="00375ADD"/>
    <w:rsid w:val="003763CE"/>
    <w:rsid w:val="0037644B"/>
    <w:rsid w:val="003776F1"/>
    <w:rsid w:val="00377B53"/>
    <w:rsid w:val="00377DCE"/>
    <w:rsid w:val="003805AD"/>
    <w:rsid w:val="0038072E"/>
    <w:rsid w:val="003810AE"/>
    <w:rsid w:val="003811BA"/>
    <w:rsid w:val="00381241"/>
    <w:rsid w:val="003816A1"/>
    <w:rsid w:val="0038171A"/>
    <w:rsid w:val="00381886"/>
    <w:rsid w:val="00381DB4"/>
    <w:rsid w:val="00382A7E"/>
    <w:rsid w:val="00382E8E"/>
    <w:rsid w:val="00382F75"/>
    <w:rsid w:val="0038431F"/>
    <w:rsid w:val="003843BC"/>
    <w:rsid w:val="00384725"/>
    <w:rsid w:val="0038499D"/>
    <w:rsid w:val="003855ED"/>
    <w:rsid w:val="003856EA"/>
    <w:rsid w:val="00385C6A"/>
    <w:rsid w:val="00385CCC"/>
    <w:rsid w:val="00385D72"/>
    <w:rsid w:val="00385F49"/>
    <w:rsid w:val="00386118"/>
    <w:rsid w:val="00386C63"/>
    <w:rsid w:val="00387053"/>
    <w:rsid w:val="0038770C"/>
    <w:rsid w:val="00387F41"/>
    <w:rsid w:val="003905A8"/>
    <w:rsid w:val="00390791"/>
    <w:rsid w:val="00390ABD"/>
    <w:rsid w:val="00390B2F"/>
    <w:rsid w:val="00390D3C"/>
    <w:rsid w:val="00391880"/>
    <w:rsid w:val="00391B4F"/>
    <w:rsid w:val="00392717"/>
    <w:rsid w:val="00392B14"/>
    <w:rsid w:val="00392E84"/>
    <w:rsid w:val="003939D4"/>
    <w:rsid w:val="00393B19"/>
    <w:rsid w:val="003943EC"/>
    <w:rsid w:val="00394526"/>
    <w:rsid w:val="003945AC"/>
    <w:rsid w:val="003945F2"/>
    <w:rsid w:val="00395038"/>
    <w:rsid w:val="003951B6"/>
    <w:rsid w:val="0039541F"/>
    <w:rsid w:val="00395640"/>
    <w:rsid w:val="00395D57"/>
    <w:rsid w:val="00395F44"/>
    <w:rsid w:val="00396179"/>
    <w:rsid w:val="0039638A"/>
    <w:rsid w:val="0039641B"/>
    <w:rsid w:val="003975DD"/>
    <w:rsid w:val="00397A9D"/>
    <w:rsid w:val="003A0C0C"/>
    <w:rsid w:val="003A0D42"/>
    <w:rsid w:val="003A1132"/>
    <w:rsid w:val="003A1170"/>
    <w:rsid w:val="003A1192"/>
    <w:rsid w:val="003A167F"/>
    <w:rsid w:val="003A18B1"/>
    <w:rsid w:val="003A18C4"/>
    <w:rsid w:val="003A2917"/>
    <w:rsid w:val="003A29DA"/>
    <w:rsid w:val="003A346C"/>
    <w:rsid w:val="003A3654"/>
    <w:rsid w:val="003A367E"/>
    <w:rsid w:val="003A397A"/>
    <w:rsid w:val="003A3A08"/>
    <w:rsid w:val="003A3B93"/>
    <w:rsid w:val="003A3F28"/>
    <w:rsid w:val="003A400C"/>
    <w:rsid w:val="003A4599"/>
    <w:rsid w:val="003A4915"/>
    <w:rsid w:val="003A491D"/>
    <w:rsid w:val="003A4AE4"/>
    <w:rsid w:val="003A4AEC"/>
    <w:rsid w:val="003A4CFC"/>
    <w:rsid w:val="003A4D43"/>
    <w:rsid w:val="003A4DE9"/>
    <w:rsid w:val="003A4F25"/>
    <w:rsid w:val="003A4FF1"/>
    <w:rsid w:val="003A5009"/>
    <w:rsid w:val="003A503A"/>
    <w:rsid w:val="003A50E9"/>
    <w:rsid w:val="003A52F0"/>
    <w:rsid w:val="003A5688"/>
    <w:rsid w:val="003A5B3F"/>
    <w:rsid w:val="003A5F9C"/>
    <w:rsid w:val="003A63B5"/>
    <w:rsid w:val="003A6530"/>
    <w:rsid w:val="003A691D"/>
    <w:rsid w:val="003A6F1D"/>
    <w:rsid w:val="003A71ED"/>
    <w:rsid w:val="003A7756"/>
    <w:rsid w:val="003A7DEA"/>
    <w:rsid w:val="003B014F"/>
    <w:rsid w:val="003B073B"/>
    <w:rsid w:val="003B08DE"/>
    <w:rsid w:val="003B0DF5"/>
    <w:rsid w:val="003B10EB"/>
    <w:rsid w:val="003B180F"/>
    <w:rsid w:val="003B1A6E"/>
    <w:rsid w:val="003B1BC7"/>
    <w:rsid w:val="003B2275"/>
    <w:rsid w:val="003B26D4"/>
    <w:rsid w:val="003B274C"/>
    <w:rsid w:val="003B2D8E"/>
    <w:rsid w:val="003B2FE4"/>
    <w:rsid w:val="003B3561"/>
    <w:rsid w:val="003B3C8B"/>
    <w:rsid w:val="003B40E6"/>
    <w:rsid w:val="003B44F8"/>
    <w:rsid w:val="003B45C4"/>
    <w:rsid w:val="003B4787"/>
    <w:rsid w:val="003B4937"/>
    <w:rsid w:val="003B4ECD"/>
    <w:rsid w:val="003B5653"/>
    <w:rsid w:val="003B57A1"/>
    <w:rsid w:val="003B600B"/>
    <w:rsid w:val="003B604A"/>
    <w:rsid w:val="003B609E"/>
    <w:rsid w:val="003B60AB"/>
    <w:rsid w:val="003B6369"/>
    <w:rsid w:val="003B6475"/>
    <w:rsid w:val="003B663F"/>
    <w:rsid w:val="003B6659"/>
    <w:rsid w:val="003B67D1"/>
    <w:rsid w:val="003B6978"/>
    <w:rsid w:val="003B6AA1"/>
    <w:rsid w:val="003B7495"/>
    <w:rsid w:val="003C0EF4"/>
    <w:rsid w:val="003C0F97"/>
    <w:rsid w:val="003C15EB"/>
    <w:rsid w:val="003C172D"/>
    <w:rsid w:val="003C1BFD"/>
    <w:rsid w:val="003C217C"/>
    <w:rsid w:val="003C234B"/>
    <w:rsid w:val="003C2394"/>
    <w:rsid w:val="003C2719"/>
    <w:rsid w:val="003C2B7D"/>
    <w:rsid w:val="003C2F77"/>
    <w:rsid w:val="003C30A2"/>
    <w:rsid w:val="003C32F7"/>
    <w:rsid w:val="003C33DE"/>
    <w:rsid w:val="003C34C3"/>
    <w:rsid w:val="003C39CD"/>
    <w:rsid w:val="003C3B83"/>
    <w:rsid w:val="003C3BC0"/>
    <w:rsid w:val="003C4006"/>
    <w:rsid w:val="003C452C"/>
    <w:rsid w:val="003C4857"/>
    <w:rsid w:val="003C4B39"/>
    <w:rsid w:val="003C506C"/>
    <w:rsid w:val="003C53D5"/>
    <w:rsid w:val="003C5411"/>
    <w:rsid w:val="003C611F"/>
    <w:rsid w:val="003C61EB"/>
    <w:rsid w:val="003C62D7"/>
    <w:rsid w:val="003C685D"/>
    <w:rsid w:val="003C707D"/>
    <w:rsid w:val="003C76E9"/>
    <w:rsid w:val="003C7768"/>
    <w:rsid w:val="003D0099"/>
    <w:rsid w:val="003D02A5"/>
    <w:rsid w:val="003D03C1"/>
    <w:rsid w:val="003D07D9"/>
    <w:rsid w:val="003D0FB5"/>
    <w:rsid w:val="003D1314"/>
    <w:rsid w:val="003D188A"/>
    <w:rsid w:val="003D1D12"/>
    <w:rsid w:val="003D20D5"/>
    <w:rsid w:val="003D22DD"/>
    <w:rsid w:val="003D3159"/>
    <w:rsid w:val="003D3392"/>
    <w:rsid w:val="003D3794"/>
    <w:rsid w:val="003D3898"/>
    <w:rsid w:val="003D3EA5"/>
    <w:rsid w:val="003D4052"/>
    <w:rsid w:val="003D4915"/>
    <w:rsid w:val="003D4B45"/>
    <w:rsid w:val="003D4C76"/>
    <w:rsid w:val="003D4F54"/>
    <w:rsid w:val="003D53BD"/>
    <w:rsid w:val="003D55D8"/>
    <w:rsid w:val="003D614F"/>
    <w:rsid w:val="003D6467"/>
    <w:rsid w:val="003D6DE7"/>
    <w:rsid w:val="003D7210"/>
    <w:rsid w:val="003D7363"/>
    <w:rsid w:val="003D7C2A"/>
    <w:rsid w:val="003E020D"/>
    <w:rsid w:val="003E0261"/>
    <w:rsid w:val="003E0379"/>
    <w:rsid w:val="003E0A51"/>
    <w:rsid w:val="003E1665"/>
    <w:rsid w:val="003E16FF"/>
    <w:rsid w:val="003E1818"/>
    <w:rsid w:val="003E18DD"/>
    <w:rsid w:val="003E1BFE"/>
    <w:rsid w:val="003E226F"/>
    <w:rsid w:val="003E2363"/>
    <w:rsid w:val="003E26FB"/>
    <w:rsid w:val="003E3394"/>
    <w:rsid w:val="003E3A0D"/>
    <w:rsid w:val="003E3EBC"/>
    <w:rsid w:val="003E4210"/>
    <w:rsid w:val="003E48F2"/>
    <w:rsid w:val="003E4D02"/>
    <w:rsid w:val="003E527E"/>
    <w:rsid w:val="003E5AE2"/>
    <w:rsid w:val="003E6019"/>
    <w:rsid w:val="003E604E"/>
    <w:rsid w:val="003E6340"/>
    <w:rsid w:val="003E6491"/>
    <w:rsid w:val="003E6663"/>
    <w:rsid w:val="003E66E8"/>
    <w:rsid w:val="003E67AA"/>
    <w:rsid w:val="003E687C"/>
    <w:rsid w:val="003E691A"/>
    <w:rsid w:val="003E6AED"/>
    <w:rsid w:val="003E72E1"/>
    <w:rsid w:val="003E7B41"/>
    <w:rsid w:val="003E7F2A"/>
    <w:rsid w:val="003F0416"/>
    <w:rsid w:val="003F0A7B"/>
    <w:rsid w:val="003F110C"/>
    <w:rsid w:val="003F1D55"/>
    <w:rsid w:val="003F1E28"/>
    <w:rsid w:val="003F2517"/>
    <w:rsid w:val="003F2F16"/>
    <w:rsid w:val="003F3AD1"/>
    <w:rsid w:val="003F3DE1"/>
    <w:rsid w:val="003F4192"/>
    <w:rsid w:val="003F4424"/>
    <w:rsid w:val="003F4632"/>
    <w:rsid w:val="003F4786"/>
    <w:rsid w:val="003F4833"/>
    <w:rsid w:val="003F4953"/>
    <w:rsid w:val="003F4E39"/>
    <w:rsid w:val="003F537C"/>
    <w:rsid w:val="003F53DD"/>
    <w:rsid w:val="003F54FE"/>
    <w:rsid w:val="003F59B6"/>
    <w:rsid w:val="003F5A07"/>
    <w:rsid w:val="003F5EAF"/>
    <w:rsid w:val="003F7023"/>
    <w:rsid w:val="003F7192"/>
    <w:rsid w:val="003F7693"/>
    <w:rsid w:val="003F7FAD"/>
    <w:rsid w:val="003F7FD3"/>
    <w:rsid w:val="0040012B"/>
    <w:rsid w:val="00400130"/>
    <w:rsid w:val="00400397"/>
    <w:rsid w:val="004003BA"/>
    <w:rsid w:val="0040088B"/>
    <w:rsid w:val="00400E50"/>
    <w:rsid w:val="0040154A"/>
    <w:rsid w:val="00401A8A"/>
    <w:rsid w:val="00401EB4"/>
    <w:rsid w:val="00402737"/>
    <w:rsid w:val="004029CA"/>
    <w:rsid w:val="00402F76"/>
    <w:rsid w:val="0040398E"/>
    <w:rsid w:val="004039DF"/>
    <w:rsid w:val="00403EAB"/>
    <w:rsid w:val="00403FED"/>
    <w:rsid w:val="00404492"/>
    <w:rsid w:val="00404E0D"/>
    <w:rsid w:val="00404E72"/>
    <w:rsid w:val="00404ED7"/>
    <w:rsid w:val="0040505C"/>
    <w:rsid w:val="0040549F"/>
    <w:rsid w:val="00405A2B"/>
    <w:rsid w:val="00405F39"/>
    <w:rsid w:val="00406732"/>
    <w:rsid w:val="004067C3"/>
    <w:rsid w:val="004069CD"/>
    <w:rsid w:val="00406A4C"/>
    <w:rsid w:val="00406B99"/>
    <w:rsid w:val="00406BCA"/>
    <w:rsid w:val="0040729B"/>
    <w:rsid w:val="0040770A"/>
    <w:rsid w:val="004100F0"/>
    <w:rsid w:val="00410671"/>
    <w:rsid w:val="00410C59"/>
    <w:rsid w:val="00410CF6"/>
    <w:rsid w:val="00410EAC"/>
    <w:rsid w:val="004115FB"/>
    <w:rsid w:val="004117F8"/>
    <w:rsid w:val="00411A95"/>
    <w:rsid w:val="00411C0A"/>
    <w:rsid w:val="00411C2D"/>
    <w:rsid w:val="00412306"/>
    <w:rsid w:val="0041240E"/>
    <w:rsid w:val="00412D1F"/>
    <w:rsid w:val="0041314E"/>
    <w:rsid w:val="00413319"/>
    <w:rsid w:val="00413904"/>
    <w:rsid w:val="00413A88"/>
    <w:rsid w:val="00413C4C"/>
    <w:rsid w:val="004140F5"/>
    <w:rsid w:val="00414260"/>
    <w:rsid w:val="004142F9"/>
    <w:rsid w:val="00414411"/>
    <w:rsid w:val="004144A3"/>
    <w:rsid w:val="004144B8"/>
    <w:rsid w:val="00414C5E"/>
    <w:rsid w:val="00414D03"/>
    <w:rsid w:val="00414E82"/>
    <w:rsid w:val="00415013"/>
    <w:rsid w:val="004153E7"/>
    <w:rsid w:val="00415537"/>
    <w:rsid w:val="00415599"/>
    <w:rsid w:val="00416100"/>
    <w:rsid w:val="0041693A"/>
    <w:rsid w:val="00416D04"/>
    <w:rsid w:val="00416E36"/>
    <w:rsid w:val="00417229"/>
    <w:rsid w:val="004173F4"/>
    <w:rsid w:val="0041796C"/>
    <w:rsid w:val="00417EC4"/>
    <w:rsid w:val="00420BC4"/>
    <w:rsid w:val="00420F53"/>
    <w:rsid w:val="00420F7F"/>
    <w:rsid w:val="004210E2"/>
    <w:rsid w:val="0042170C"/>
    <w:rsid w:val="00421EAE"/>
    <w:rsid w:val="0042210B"/>
    <w:rsid w:val="00422694"/>
    <w:rsid w:val="00423695"/>
    <w:rsid w:val="004237E7"/>
    <w:rsid w:val="00423896"/>
    <w:rsid w:val="00423906"/>
    <w:rsid w:val="00423C3A"/>
    <w:rsid w:val="0042422B"/>
    <w:rsid w:val="004243D3"/>
    <w:rsid w:val="00424712"/>
    <w:rsid w:val="004248E1"/>
    <w:rsid w:val="0042527F"/>
    <w:rsid w:val="004258D8"/>
    <w:rsid w:val="00425DE1"/>
    <w:rsid w:val="00425EAB"/>
    <w:rsid w:val="004260D4"/>
    <w:rsid w:val="00426ED7"/>
    <w:rsid w:val="00430785"/>
    <w:rsid w:val="0043081E"/>
    <w:rsid w:val="00430AC2"/>
    <w:rsid w:val="00430B41"/>
    <w:rsid w:val="00430D57"/>
    <w:rsid w:val="00431104"/>
    <w:rsid w:val="004314FE"/>
    <w:rsid w:val="00431AE9"/>
    <w:rsid w:val="0043230D"/>
    <w:rsid w:val="004335A1"/>
    <w:rsid w:val="004338C3"/>
    <w:rsid w:val="0043480C"/>
    <w:rsid w:val="00434CF2"/>
    <w:rsid w:val="00435278"/>
    <w:rsid w:val="00435386"/>
    <w:rsid w:val="00435640"/>
    <w:rsid w:val="00435678"/>
    <w:rsid w:val="0043577E"/>
    <w:rsid w:val="00435A86"/>
    <w:rsid w:val="00435AC3"/>
    <w:rsid w:val="00435DB4"/>
    <w:rsid w:val="00435E4F"/>
    <w:rsid w:val="00435F12"/>
    <w:rsid w:val="004362BB"/>
    <w:rsid w:val="0043637E"/>
    <w:rsid w:val="00436999"/>
    <w:rsid w:val="00436B07"/>
    <w:rsid w:val="004370D8"/>
    <w:rsid w:val="004375DC"/>
    <w:rsid w:val="004375FB"/>
    <w:rsid w:val="0043765A"/>
    <w:rsid w:val="00437660"/>
    <w:rsid w:val="004379A1"/>
    <w:rsid w:val="00437C27"/>
    <w:rsid w:val="00440012"/>
    <w:rsid w:val="0044018B"/>
    <w:rsid w:val="00440E9A"/>
    <w:rsid w:val="00441094"/>
    <w:rsid w:val="004411EE"/>
    <w:rsid w:val="0044146A"/>
    <w:rsid w:val="004418F2"/>
    <w:rsid w:val="004421C1"/>
    <w:rsid w:val="00442368"/>
    <w:rsid w:val="004424A7"/>
    <w:rsid w:val="004425B2"/>
    <w:rsid w:val="00442A46"/>
    <w:rsid w:val="00442DAF"/>
    <w:rsid w:val="00442DE6"/>
    <w:rsid w:val="00443923"/>
    <w:rsid w:val="00443A9E"/>
    <w:rsid w:val="00443AC1"/>
    <w:rsid w:val="00443BB1"/>
    <w:rsid w:val="00443C04"/>
    <w:rsid w:val="00443C68"/>
    <w:rsid w:val="00444155"/>
    <w:rsid w:val="0044424B"/>
    <w:rsid w:val="0044452F"/>
    <w:rsid w:val="00444537"/>
    <w:rsid w:val="004445E0"/>
    <w:rsid w:val="00444602"/>
    <w:rsid w:val="00444623"/>
    <w:rsid w:val="004446B9"/>
    <w:rsid w:val="00444CAA"/>
    <w:rsid w:val="00445A44"/>
    <w:rsid w:val="00445A5E"/>
    <w:rsid w:val="00445D2B"/>
    <w:rsid w:val="00446ADA"/>
    <w:rsid w:val="00446E6F"/>
    <w:rsid w:val="00447334"/>
    <w:rsid w:val="00447841"/>
    <w:rsid w:val="00447A75"/>
    <w:rsid w:val="00447ECC"/>
    <w:rsid w:val="00447F06"/>
    <w:rsid w:val="004501A9"/>
    <w:rsid w:val="004504FC"/>
    <w:rsid w:val="00451349"/>
    <w:rsid w:val="004514C9"/>
    <w:rsid w:val="004518F8"/>
    <w:rsid w:val="00451FD1"/>
    <w:rsid w:val="004528F4"/>
    <w:rsid w:val="00452CEB"/>
    <w:rsid w:val="0045303F"/>
    <w:rsid w:val="00453174"/>
    <w:rsid w:val="00453571"/>
    <w:rsid w:val="004536FE"/>
    <w:rsid w:val="00454061"/>
    <w:rsid w:val="00454165"/>
    <w:rsid w:val="00454692"/>
    <w:rsid w:val="004550CA"/>
    <w:rsid w:val="00455F65"/>
    <w:rsid w:val="004563CA"/>
    <w:rsid w:val="004564BD"/>
    <w:rsid w:val="004570CC"/>
    <w:rsid w:val="004573DA"/>
    <w:rsid w:val="00457B85"/>
    <w:rsid w:val="00457F5B"/>
    <w:rsid w:val="0046049F"/>
    <w:rsid w:val="00460BF1"/>
    <w:rsid w:val="00460FB1"/>
    <w:rsid w:val="004611D1"/>
    <w:rsid w:val="0046132E"/>
    <w:rsid w:val="00461D53"/>
    <w:rsid w:val="00462E23"/>
    <w:rsid w:val="0046317A"/>
    <w:rsid w:val="00463285"/>
    <w:rsid w:val="00463324"/>
    <w:rsid w:val="00463330"/>
    <w:rsid w:val="00463398"/>
    <w:rsid w:val="0046347C"/>
    <w:rsid w:val="004639A3"/>
    <w:rsid w:val="00463A6B"/>
    <w:rsid w:val="00464007"/>
    <w:rsid w:val="0046403E"/>
    <w:rsid w:val="0046448A"/>
    <w:rsid w:val="00464F38"/>
    <w:rsid w:val="00465578"/>
    <w:rsid w:val="0046569A"/>
    <w:rsid w:val="00465D94"/>
    <w:rsid w:val="00465ED6"/>
    <w:rsid w:val="00466000"/>
    <w:rsid w:val="00466008"/>
    <w:rsid w:val="00466437"/>
    <w:rsid w:val="00466DDC"/>
    <w:rsid w:val="0046789C"/>
    <w:rsid w:val="00467A54"/>
    <w:rsid w:val="00467E2A"/>
    <w:rsid w:val="004700F3"/>
    <w:rsid w:val="00471004"/>
    <w:rsid w:val="0047174A"/>
    <w:rsid w:val="00471AC8"/>
    <w:rsid w:val="00472064"/>
    <w:rsid w:val="004722B4"/>
    <w:rsid w:val="00472376"/>
    <w:rsid w:val="00472D33"/>
    <w:rsid w:val="004737A3"/>
    <w:rsid w:val="0047428E"/>
    <w:rsid w:val="0047431F"/>
    <w:rsid w:val="00474A8D"/>
    <w:rsid w:val="004754B0"/>
    <w:rsid w:val="0047570E"/>
    <w:rsid w:val="00475994"/>
    <w:rsid w:val="00475D22"/>
    <w:rsid w:val="00475DD9"/>
    <w:rsid w:val="00476183"/>
    <w:rsid w:val="0047674B"/>
    <w:rsid w:val="00476B13"/>
    <w:rsid w:val="00476B5F"/>
    <w:rsid w:val="00476FEF"/>
    <w:rsid w:val="004774A9"/>
    <w:rsid w:val="004775D7"/>
    <w:rsid w:val="0047760E"/>
    <w:rsid w:val="00477BEA"/>
    <w:rsid w:val="00477DEC"/>
    <w:rsid w:val="00477FA0"/>
    <w:rsid w:val="00480298"/>
    <w:rsid w:val="0048045F"/>
    <w:rsid w:val="00480460"/>
    <w:rsid w:val="00480768"/>
    <w:rsid w:val="00481063"/>
    <w:rsid w:val="00481103"/>
    <w:rsid w:val="0048126B"/>
    <w:rsid w:val="004813B9"/>
    <w:rsid w:val="0048140B"/>
    <w:rsid w:val="0048165B"/>
    <w:rsid w:val="004817DD"/>
    <w:rsid w:val="00482621"/>
    <w:rsid w:val="0048282B"/>
    <w:rsid w:val="00482C21"/>
    <w:rsid w:val="00483471"/>
    <w:rsid w:val="004840D9"/>
    <w:rsid w:val="0048419F"/>
    <w:rsid w:val="00485198"/>
    <w:rsid w:val="004851A5"/>
    <w:rsid w:val="0048537B"/>
    <w:rsid w:val="004856BA"/>
    <w:rsid w:val="00485733"/>
    <w:rsid w:val="00485829"/>
    <w:rsid w:val="004858B0"/>
    <w:rsid w:val="00485C79"/>
    <w:rsid w:val="00486074"/>
    <w:rsid w:val="00486089"/>
    <w:rsid w:val="00486164"/>
    <w:rsid w:val="0048648A"/>
    <w:rsid w:val="00486711"/>
    <w:rsid w:val="00486798"/>
    <w:rsid w:val="00486C49"/>
    <w:rsid w:val="00486D88"/>
    <w:rsid w:val="004874A9"/>
    <w:rsid w:val="00487F44"/>
    <w:rsid w:val="00490189"/>
    <w:rsid w:val="004902C0"/>
    <w:rsid w:val="004905C7"/>
    <w:rsid w:val="00490C01"/>
    <w:rsid w:val="00490C94"/>
    <w:rsid w:val="00490C97"/>
    <w:rsid w:val="00491531"/>
    <w:rsid w:val="00491A29"/>
    <w:rsid w:val="00492009"/>
    <w:rsid w:val="004926A6"/>
    <w:rsid w:val="00492C85"/>
    <w:rsid w:val="004935FA"/>
    <w:rsid w:val="00493706"/>
    <w:rsid w:val="00493A19"/>
    <w:rsid w:val="00493DB4"/>
    <w:rsid w:val="00493FA9"/>
    <w:rsid w:val="00494B1C"/>
    <w:rsid w:val="00494B70"/>
    <w:rsid w:val="00494B74"/>
    <w:rsid w:val="00494C72"/>
    <w:rsid w:val="00494D66"/>
    <w:rsid w:val="00495015"/>
    <w:rsid w:val="004950CB"/>
    <w:rsid w:val="00495138"/>
    <w:rsid w:val="004956FB"/>
    <w:rsid w:val="00495B41"/>
    <w:rsid w:val="00495B88"/>
    <w:rsid w:val="00495ED3"/>
    <w:rsid w:val="004964D7"/>
    <w:rsid w:val="0049679F"/>
    <w:rsid w:val="00496CCF"/>
    <w:rsid w:val="00496DD0"/>
    <w:rsid w:val="00496E0E"/>
    <w:rsid w:val="00496ED7"/>
    <w:rsid w:val="004971B4"/>
    <w:rsid w:val="00497379"/>
    <w:rsid w:val="004973BF"/>
    <w:rsid w:val="00497531"/>
    <w:rsid w:val="00497600"/>
    <w:rsid w:val="00497BF6"/>
    <w:rsid w:val="00497E3C"/>
    <w:rsid w:val="004A03D9"/>
    <w:rsid w:val="004A058E"/>
    <w:rsid w:val="004A09FA"/>
    <w:rsid w:val="004A0E4B"/>
    <w:rsid w:val="004A0EAC"/>
    <w:rsid w:val="004A2085"/>
    <w:rsid w:val="004A21E6"/>
    <w:rsid w:val="004A21F3"/>
    <w:rsid w:val="004A236F"/>
    <w:rsid w:val="004A2A59"/>
    <w:rsid w:val="004A2AD1"/>
    <w:rsid w:val="004A30A1"/>
    <w:rsid w:val="004A371E"/>
    <w:rsid w:val="004A3729"/>
    <w:rsid w:val="004A38AE"/>
    <w:rsid w:val="004A38D4"/>
    <w:rsid w:val="004A38D7"/>
    <w:rsid w:val="004A3934"/>
    <w:rsid w:val="004A495D"/>
    <w:rsid w:val="004A4F65"/>
    <w:rsid w:val="004A502C"/>
    <w:rsid w:val="004A511A"/>
    <w:rsid w:val="004A544F"/>
    <w:rsid w:val="004A608A"/>
    <w:rsid w:val="004A6869"/>
    <w:rsid w:val="004A6A1B"/>
    <w:rsid w:val="004A6C3A"/>
    <w:rsid w:val="004A6CE6"/>
    <w:rsid w:val="004A7BBB"/>
    <w:rsid w:val="004B0A12"/>
    <w:rsid w:val="004B0D2C"/>
    <w:rsid w:val="004B0D51"/>
    <w:rsid w:val="004B1101"/>
    <w:rsid w:val="004B1463"/>
    <w:rsid w:val="004B15D4"/>
    <w:rsid w:val="004B1996"/>
    <w:rsid w:val="004B1EA8"/>
    <w:rsid w:val="004B1EB2"/>
    <w:rsid w:val="004B2250"/>
    <w:rsid w:val="004B25C3"/>
    <w:rsid w:val="004B2ACC"/>
    <w:rsid w:val="004B2D96"/>
    <w:rsid w:val="004B3003"/>
    <w:rsid w:val="004B30A8"/>
    <w:rsid w:val="004B3242"/>
    <w:rsid w:val="004B330E"/>
    <w:rsid w:val="004B3331"/>
    <w:rsid w:val="004B379D"/>
    <w:rsid w:val="004B40E2"/>
    <w:rsid w:val="004B4196"/>
    <w:rsid w:val="004B453F"/>
    <w:rsid w:val="004B4940"/>
    <w:rsid w:val="004B4D69"/>
    <w:rsid w:val="004B535C"/>
    <w:rsid w:val="004B546D"/>
    <w:rsid w:val="004B59F4"/>
    <w:rsid w:val="004B5A58"/>
    <w:rsid w:val="004B656B"/>
    <w:rsid w:val="004B70D5"/>
    <w:rsid w:val="004B77FF"/>
    <w:rsid w:val="004B795B"/>
    <w:rsid w:val="004B7C40"/>
    <w:rsid w:val="004B7DA9"/>
    <w:rsid w:val="004C0891"/>
    <w:rsid w:val="004C0C61"/>
    <w:rsid w:val="004C0D6B"/>
    <w:rsid w:val="004C11CF"/>
    <w:rsid w:val="004C128E"/>
    <w:rsid w:val="004C132C"/>
    <w:rsid w:val="004C1676"/>
    <w:rsid w:val="004C1768"/>
    <w:rsid w:val="004C1A72"/>
    <w:rsid w:val="004C1B08"/>
    <w:rsid w:val="004C2188"/>
    <w:rsid w:val="004C2599"/>
    <w:rsid w:val="004C2ACF"/>
    <w:rsid w:val="004C2C96"/>
    <w:rsid w:val="004C2D29"/>
    <w:rsid w:val="004C2E10"/>
    <w:rsid w:val="004C35A6"/>
    <w:rsid w:val="004C4D2C"/>
    <w:rsid w:val="004C53F4"/>
    <w:rsid w:val="004C585B"/>
    <w:rsid w:val="004C62E9"/>
    <w:rsid w:val="004C637E"/>
    <w:rsid w:val="004C69EC"/>
    <w:rsid w:val="004C752E"/>
    <w:rsid w:val="004C7895"/>
    <w:rsid w:val="004C7EE2"/>
    <w:rsid w:val="004C7F46"/>
    <w:rsid w:val="004D025D"/>
    <w:rsid w:val="004D0AF2"/>
    <w:rsid w:val="004D0B0B"/>
    <w:rsid w:val="004D0E05"/>
    <w:rsid w:val="004D11F4"/>
    <w:rsid w:val="004D13CB"/>
    <w:rsid w:val="004D28A5"/>
    <w:rsid w:val="004D3102"/>
    <w:rsid w:val="004D31B1"/>
    <w:rsid w:val="004D350D"/>
    <w:rsid w:val="004D3553"/>
    <w:rsid w:val="004D3FFA"/>
    <w:rsid w:val="004D46AE"/>
    <w:rsid w:val="004D49BC"/>
    <w:rsid w:val="004D5228"/>
    <w:rsid w:val="004D5C4F"/>
    <w:rsid w:val="004D5E81"/>
    <w:rsid w:val="004D5F13"/>
    <w:rsid w:val="004D6044"/>
    <w:rsid w:val="004D68F8"/>
    <w:rsid w:val="004D6EE0"/>
    <w:rsid w:val="004D6F88"/>
    <w:rsid w:val="004D764C"/>
    <w:rsid w:val="004D790F"/>
    <w:rsid w:val="004D7BBB"/>
    <w:rsid w:val="004E0006"/>
    <w:rsid w:val="004E008C"/>
    <w:rsid w:val="004E05BD"/>
    <w:rsid w:val="004E063E"/>
    <w:rsid w:val="004E06ED"/>
    <w:rsid w:val="004E0DFF"/>
    <w:rsid w:val="004E0E7F"/>
    <w:rsid w:val="004E0FF2"/>
    <w:rsid w:val="004E127A"/>
    <w:rsid w:val="004E1485"/>
    <w:rsid w:val="004E1975"/>
    <w:rsid w:val="004E2398"/>
    <w:rsid w:val="004E258E"/>
    <w:rsid w:val="004E2790"/>
    <w:rsid w:val="004E27D2"/>
    <w:rsid w:val="004E28D2"/>
    <w:rsid w:val="004E3144"/>
    <w:rsid w:val="004E3262"/>
    <w:rsid w:val="004E329F"/>
    <w:rsid w:val="004E3964"/>
    <w:rsid w:val="004E41E0"/>
    <w:rsid w:val="004E444C"/>
    <w:rsid w:val="004E4614"/>
    <w:rsid w:val="004E4C2E"/>
    <w:rsid w:val="004E5DF5"/>
    <w:rsid w:val="004E60E1"/>
    <w:rsid w:val="004E62DC"/>
    <w:rsid w:val="004E65F3"/>
    <w:rsid w:val="004E6B3D"/>
    <w:rsid w:val="004E7570"/>
    <w:rsid w:val="004E7A03"/>
    <w:rsid w:val="004E7A3F"/>
    <w:rsid w:val="004F0114"/>
    <w:rsid w:val="004F03F1"/>
    <w:rsid w:val="004F07F5"/>
    <w:rsid w:val="004F0B74"/>
    <w:rsid w:val="004F0D97"/>
    <w:rsid w:val="004F10F4"/>
    <w:rsid w:val="004F1334"/>
    <w:rsid w:val="004F18A4"/>
    <w:rsid w:val="004F1F6E"/>
    <w:rsid w:val="004F26C0"/>
    <w:rsid w:val="004F2B7C"/>
    <w:rsid w:val="004F2E2E"/>
    <w:rsid w:val="004F2F5A"/>
    <w:rsid w:val="004F3C09"/>
    <w:rsid w:val="004F4002"/>
    <w:rsid w:val="004F422F"/>
    <w:rsid w:val="004F4460"/>
    <w:rsid w:val="004F44A3"/>
    <w:rsid w:val="004F4795"/>
    <w:rsid w:val="004F490E"/>
    <w:rsid w:val="004F4E42"/>
    <w:rsid w:val="004F4E93"/>
    <w:rsid w:val="004F56FC"/>
    <w:rsid w:val="004F58A5"/>
    <w:rsid w:val="004F5DFC"/>
    <w:rsid w:val="004F5E44"/>
    <w:rsid w:val="004F6173"/>
    <w:rsid w:val="004F6412"/>
    <w:rsid w:val="004F661F"/>
    <w:rsid w:val="004F725C"/>
    <w:rsid w:val="004F7FE0"/>
    <w:rsid w:val="00500261"/>
    <w:rsid w:val="005006FC"/>
    <w:rsid w:val="00500FD5"/>
    <w:rsid w:val="005014D4"/>
    <w:rsid w:val="00501769"/>
    <w:rsid w:val="005017F3"/>
    <w:rsid w:val="00501D68"/>
    <w:rsid w:val="0050200B"/>
    <w:rsid w:val="005024B5"/>
    <w:rsid w:val="00502A42"/>
    <w:rsid w:val="00503162"/>
    <w:rsid w:val="00503172"/>
    <w:rsid w:val="0050339F"/>
    <w:rsid w:val="00503448"/>
    <w:rsid w:val="005034EE"/>
    <w:rsid w:val="00503C79"/>
    <w:rsid w:val="00503D3D"/>
    <w:rsid w:val="00503E76"/>
    <w:rsid w:val="0050417E"/>
    <w:rsid w:val="0050418B"/>
    <w:rsid w:val="0050434B"/>
    <w:rsid w:val="0050459C"/>
    <w:rsid w:val="00504B94"/>
    <w:rsid w:val="00504EE9"/>
    <w:rsid w:val="005053FF"/>
    <w:rsid w:val="00505978"/>
    <w:rsid w:val="005059ED"/>
    <w:rsid w:val="0050602A"/>
    <w:rsid w:val="00506069"/>
    <w:rsid w:val="005060B8"/>
    <w:rsid w:val="005071A1"/>
    <w:rsid w:val="00507283"/>
    <w:rsid w:val="005074C8"/>
    <w:rsid w:val="00507E4D"/>
    <w:rsid w:val="00507F93"/>
    <w:rsid w:val="0051011A"/>
    <w:rsid w:val="005106BC"/>
    <w:rsid w:val="00510CAE"/>
    <w:rsid w:val="00510D8A"/>
    <w:rsid w:val="005111B2"/>
    <w:rsid w:val="005114FB"/>
    <w:rsid w:val="00511507"/>
    <w:rsid w:val="00511674"/>
    <w:rsid w:val="0051178B"/>
    <w:rsid w:val="0051180A"/>
    <w:rsid w:val="00511B5C"/>
    <w:rsid w:val="00511F0D"/>
    <w:rsid w:val="00511FA7"/>
    <w:rsid w:val="00512931"/>
    <w:rsid w:val="00512BA1"/>
    <w:rsid w:val="0051307E"/>
    <w:rsid w:val="00513292"/>
    <w:rsid w:val="0051360C"/>
    <w:rsid w:val="00513831"/>
    <w:rsid w:val="0051386F"/>
    <w:rsid w:val="00513878"/>
    <w:rsid w:val="00513CD4"/>
    <w:rsid w:val="00514122"/>
    <w:rsid w:val="00514A20"/>
    <w:rsid w:val="00514AD6"/>
    <w:rsid w:val="00514EFA"/>
    <w:rsid w:val="00514FED"/>
    <w:rsid w:val="00515273"/>
    <w:rsid w:val="0051552C"/>
    <w:rsid w:val="005156E2"/>
    <w:rsid w:val="0051584D"/>
    <w:rsid w:val="00515897"/>
    <w:rsid w:val="00516034"/>
    <w:rsid w:val="00516039"/>
    <w:rsid w:val="00516476"/>
    <w:rsid w:val="00517217"/>
    <w:rsid w:val="00517545"/>
    <w:rsid w:val="0051761C"/>
    <w:rsid w:val="005178B7"/>
    <w:rsid w:val="00520528"/>
    <w:rsid w:val="00520562"/>
    <w:rsid w:val="00520878"/>
    <w:rsid w:val="005208D7"/>
    <w:rsid w:val="00520BA3"/>
    <w:rsid w:val="00520E1D"/>
    <w:rsid w:val="00521032"/>
    <w:rsid w:val="00521B08"/>
    <w:rsid w:val="00521B30"/>
    <w:rsid w:val="0052200A"/>
    <w:rsid w:val="00522055"/>
    <w:rsid w:val="00522359"/>
    <w:rsid w:val="00523632"/>
    <w:rsid w:val="00523682"/>
    <w:rsid w:val="0052368C"/>
    <w:rsid w:val="00523DC9"/>
    <w:rsid w:val="005248D0"/>
    <w:rsid w:val="00524AB2"/>
    <w:rsid w:val="00524CA6"/>
    <w:rsid w:val="00524CBA"/>
    <w:rsid w:val="00525172"/>
    <w:rsid w:val="00525752"/>
    <w:rsid w:val="00525B71"/>
    <w:rsid w:val="00525EA2"/>
    <w:rsid w:val="005264AA"/>
    <w:rsid w:val="00526A89"/>
    <w:rsid w:val="00526A8C"/>
    <w:rsid w:val="005270B1"/>
    <w:rsid w:val="00527187"/>
    <w:rsid w:val="00527676"/>
    <w:rsid w:val="005276B2"/>
    <w:rsid w:val="00527D28"/>
    <w:rsid w:val="00530940"/>
    <w:rsid w:val="00530B65"/>
    <w:rsid w:val="00530EDE"/>
    <w:rsid w:val="005311F2"/>
    <w:rsid w:val="00531321"/>
    <w:rsid w:val="00531D55"/>
    <w:rsid w:val="00532022"/>
    <w:rsid w:val="00532101"/>
    <w:rsid w:val="00532556"/>
    <w:rsid w:val="005327B4"/>
    <w:rsid w:val="005327EE"/>
    <w:rsid w:val="00532B23"/>
    <w:rsid w:val="00532B51"/>
    <w:rsid w:val="0053301F"/>
    <w:rsid w:val="00533416"/>
    <w:rsid w:val="005334D4"/>
    <w:rsid w:val="00533965"/>
    <w:rsid w:val="00533FC3"/>
    <w:rsid w:val="00534D1C"/>
    <w:rsid w:val="005352EA"/>
    <w:rsid w:val="00535B58"/>
    <w:rsid w:val="00535B5F"/>
    <w:rsid w:val="00536712"/>
    <w:rsid w:val="00536C74"/>
    <w:rsid w:val="0053769E"/>
    <w:rsid w:val="00537970"/>
    <w:rsid w:val="00537A91"/>
    <w:rsid w:val="005405D5"/>
    <w:rsid w:val="00540656"/>
    <w:rsid w:val="00540B57"/>
    <w:rsid w:val="00540C63"/>
    <w:rsid w:val="0054136F"/>
    <w:rsid w:val="00541874"/>
    <w:rsid w:val="0054249E"/>
    <w:rsid w:val="00542BEC"/>
    <w:rsid w:val="00542DB8"/>
    <w:rsid w:val="0054309E"/>
    <w:rsid w:val="0054340E"/>
    <w:rsid w:val="00543C34"/>
    <w:rsid w:val="00543CDE"/>
    <w:rsid w:val="00543E0D"/>
    <w:rsid w:val="0054408B"/>
    <w:rsid w:val="005441D1"/>
    <w:rsid w:val="005446F7"/>
    <w:rsid w:val="00544D11"/>
    <w:rsid w:val="00544D75"/>
    <w:rsid w:val="00545138"/>
    <w:rsid w:val="005452F9"/>
    <w:rsid w:val="00545CFF"/>
    <w:rsid w:val="005465A6"/>
    <w:rsid w:val="00546618"/>
    <w:rsid w:val="00546744"/>
    <w:rsid w:val="0054722A"/>
    <w:rsid w:val="00547877"/>
    <w:rsid w:val="005479C0"/>
    <w:rsid w:val="00547ED5"/>
    <w:rsid w:val="00547F3A"/>
    <w:rsid w:val="00550258"/>
    <w:rsid w:val="005502A6"/>
    <w:rsid w:val="0055056B"/>
    <w:rsid w:val="00550AAC"/>
    <w:rsid w:val="00550D56"/>
    <w:rsid w:val="00551A4C"/>
    <w:rsid w:val="00551EDE"/>
    <w:rsid w:val="00551F95"/>
    <w:rsid w:val="0055222F"/>
    <w:rsid w:val="0055248E"/>
    <w:rsid w:val="00552FB9"/>
    <w:rsid w:val="005530BF"/>
    <w:rsid w:val="00553222"/>
    <w:rsid w:val="0055326B"/>
    <w:rsid w:val="00553938"/>
    <w:rsid w:val="00553A69"/>
    <w:rsid w:val="00553B08"/>
    <w:rsid w:val="00553C8D"/>
    <w:rsid w:val="00553FF5"/>
    <w:rsid w:val="005545DC"/>
    <w:rsid w:val="0055480C"/>
    <w:rsid w:val="00554B0F"/>
    <w:rsid w:val="00554C71"/>
    <w:rsid w:val="00554C8F"/>
    <w:rsid w:val="0055547F"/>
    <w:rsid w:val="00555872"/>
    <w:rsid w:val="00555BF8"/>
    <w:rsid w:val="00556514"/>
    <w:rsid w:val="0055656C"/>
    <w:rsid w:val="00556887"/>
    <w:rsid w:val="00556A09"/>
    <w:rsid w:val="00556A91"/>
    <w:rsid w:val="00556C99"/>
    <w:rsid w:val="00556F90"/>
    <w:rsid w:val="00557085"/>
    <w:rsid w:val="00557D8D"/>
    <w:rsid w:val="00557EB4"/>
    <w:rsid w:val="00560388"/>
    <w:rsid w:val="005605A2"/>
    <w:rsid w:val="00560811"/>
    <w:rsid w:val="00560B58"/>
    <w:rsid w:val="00560D32"/>
    <w:rsid w:val="005616F7"/>
    <w:rsid w:val="00561CE2"/>
    <w:rsid w:val="00562529"/>
    <w:rsid w:val="005628FE"/>
    <w:rsid w:val="00562C6C"/>
    <w:rsid w:val="00563279"/>
    <w:rsid w:val="00563547"/>
    <w:rsid w:val="00563631"/>
    <w:rsid w:val="005637C4"/>
    <w:rsid w:val="00563855"/>
    <w:rsid w:val="00563C8D"/>
    <w:rsid w:val="00564172"/>
    <w:rsid w:val="005644EC"/>
    <w:rsid w:val="00564787"/>
    <w:rsid w:val="00564B6B"/>
    <w:rsid w:val="005650FD"/>
    <w:rsid w:val="0056547B"/>
    <w:rsid w:val="00565DC9"/>
    <w:rsid w:val="0056605E"/>
    <w:rsid w:val="005672FC"/>
    <w:rsid w:val="00567C81"/>
    <w:rsid w:val="00570110"/>
    <w:rsid w:val="005701DF"/>
    <w:rsid w:val="00570469"/>
    <w:rsid w:val="005704BA"/>
    <w:rsid w:val="005709ED"/>
    <w:rsid w:val="00570B7A"/>
    <w:rsid w:val="0057139C"/>
    <w:rsid w:val="00571451"/>
    <w:rsid w:val="00571483"/>
    <w:rsid w:val="0057165A"/>
    <w:rsid w:val="005718E9"/>
    <w:rsid w:val="0057229A"/>
    <w:rsid w:val="005722A7"/>
    <w:rsid w:val="00572554"/>
    <w:rsid w:val="0057278A"/>
    <w:rsid w:val="00572C20"/>
    <w:rsid w:val="00572D09"/>
    <w:rsid w:val="00573B21"/>
    <w:rsid w:val="00573E75"/>
    <w:rsid w:val="00574AD7"/>
    <w:rsid w:val="00574DA8"/>
    <w:rsid w:val="005752D4"/>
    <w:rsid w:val="0057532E"/>
    <w:rsid w:val="005753A0"/>
    <w:rsid w:val="005755C0"/>
    <w:rsid w:val="00575713"/>
    <w:rsid w:val="00576554"/>
    <w:rsid w:val="00576A85"/>
    <w:rsid w:val="00576AC7"/>
    <w:rsid w:val="00576C3D"/>
    <w:rsid w:val="00577ACE"/>
    <w:rsid w:val="00577FCF"/>
    <w:rsid w:val="00580988"/>
    <w:rsid w:val="00580FE4"/>
    <w:rsid w:val="00581339"/>
    <w:rsid w:val="00581553"/>
    <w:rsid w:val="0058162F"/>
    <w:rsid w:val="0058170A"/>
    <w:rsid w:val="005819AA"/>
    <w:rsid w:val="00581DC7"/>
    <w:rsid w:val="00581E76"/>
    <w:rsid w:val="00582150"/>
    <w:rsid w:val="005827BA"/>
    <w:rsid w:val="00582AF2"/>
    <w:rsid w:val="00582F03"/>
    <w:rsid w:val="00582FBD"/>
    <w:rsid w:val="005832F8"/>
    <w:rsid w:val="00583874"/>
    <w:rsid w:val="00583918"/>
    <w:rsid w:val="00583D77"/>
    <w:rsid w:val="00583D89"/>
    <w:rsid w:val="005840E0"/>
    <w:rsid w:val="005849C7"/>
    <w:rsid w:val="00584DD7"/>
    <w:rsid w:val="00584E1B"/>
    <w:rsid w:val="00585084"/>
    <w:rsid w:val="005852C8"/>
    <w:rsid w:val="00585755"/>
    <w:rsid w:val="00585B48"/>
    <w:rsid w:val="00585FBB"/>
    <w:rsid w:val="00586219"/>
    <w:rsid w:val="00586661"/>
    <w:rsid w:val="00586E6D"/>
    <w:rsid w:val="0058745D"/>
    <w:rsid w:val="0058759D"/>
    <w:rsid w:val="00587A2E"/>
    <w:rsid w:val="00587BDB"/>
    <w:rsid w:val="005900BA"/>
    <w:rsid w:val="00590192"/>
    <w:rsid w:val="00590316"/>
    <w:rsid w:val="005906B2"/>
    <w:rsid w:val="00590890"/>
    <w:rsid w:val="005909DE"/>
    <w:rsid w:val="00590AC5"/>
    <w:rsid w:val="00591004"/>
    <w:rsid w:val="0059156D"/>
    <w:rsid w:val="0059182C"/>
    <w:rsid w:val="005922AE"/>
    <w:rsid w:val="00592308"/>
    <w:rsid w:val="0059267E"/>
    <w:rsid w:val="005927F1"/>
    <w:rsid w:val="00592A88"/>
    <w:rsid w:val="00592A9F"/>
    <w:rsid w:val="00592B08"/>
    <w:rsid w:val="00592E7F"/>
    <w:rsid w:val="00593250"/>
    <w:rsid w:val="00593377"/>
    <w:rsid w:val="0059355C"/>
    <w:rsid w:val="00593796"/>
    <w:rsid w:val="00593862"/>
    <w:rsid w:val="00593864"/>
    <w:rsid w:val="00593AD4"/>
    <w:rsid w:val="00593B3C"/>
    <w:rsid w:val="00593F60"/>
    <w:rsid w:val="00594059"/>
    <w:rsid w:val="005940AC"/>
    <w:rsid w:val="005940E6"/>
    <w:rsid w:val="00594EED"/>
    <w:rsid w:val="005955A5"/>
    <w:rsid w:val="00595BFB"/>
    <w:rsid w:val="00595F5E"/>
    <w:rsid w:val="005962D6"/>
    <w:rsid w:val="00596A9C"/>
    <w:rsid w:val="00596E82"/>
    <w:rsid w:val="00596FA8"/>
    <w:rsid w:val="00597258"/>
    <w:rsid w:val="00597273"/>
    <w:rsid w:val="005972E5"/>
    <w:rsid w:val="0059776B"/>
    <w:rsid w:val="00597CF6"/>
    <w:rsid w:val="00597D9E"/>
    <w:rsid w:val="00597E7E"/>
    <w:rsid w:val="005A0949"/>
    <w:rsid w:val="005A0D3B"/>
    <w:rsid w:val="005A1016"/>
    <w:rsid w:val="005A199F"/>
    <w:rsid w:val="005A221E"/>
    <w:rsid w:val="005A2353"/>
    <w:rsid w:val="005A26B1"/>
    <w:rsid w:val="005A272C"/>
    <w:rsid w:val="005A2C63"/>
    <w:rsid w:val="005A3044"/>
    <w:rsid w:val="005A34C7"/>
    <w:rsid w:val="005A373B"/>
    <w:rsid w:val="005A3971"/>
    <w:rsid w:val="005A3BE0"/>
    <w:rsid w:val="005A3C3A"/>
    <w:rsid w:val="005A3CF6"/>
    <w:rsid w:val="005A4265"/>
    <w:rsid w:val="005A4528"/>
    <w:rsid w:val="005A494B"/>
    <w:rsid w:val="005A53DE"/>
    <w:rsid w:val="005A57FB"/>
    <w:rsid w:val="005A5A48"/>
    <w:rsid w:val="005A5CCB"/>
    <w:rsid w:val="005A60D8"/>
    <w:rsid w:val="005A65E9"/>
    <w:rsid w:val="005A67E2"/>
    <w:rsid w:val="005A6A47"/>
    <w:rsid w:val="005A6ADD"/>
    <w:rsid w:val="005A7084"/>
    <w:rsid w:val="005A7882"/>
    <w:rsid w:val="005A7B48"/>
    <w:rsid w:val="005A7D85"/>
    <w:rsid w:val="005B0319"/>
    <w:rsid w:val="005B036B"/>
    <w:rsid w:val="005B153A"/>
    <w:rsid w:val="005B1712"/>
    <w:rsid w:val="005B1F9E"/>
    <w:rsid w:val="005B1FFC"/>
    <w:rsid w:val="005B2092"/>
    <w:rsid w:val="005B220F"/>
    <w:rsid w:val="005B23F8"/>
    <w:rsid w:val="005B240C"/>
    <w:rsid w:val="005B265C"/>
    <w:rsid w:val="005B321C"/>
    <w:rsid w:val="005B3A20"/>
    <w:rsid w:val="005B3C02"/>
    <w:rsid w:val="005B474E"/>
    <w:rsid w:val="005B494F"/>
    <w:rsid w:val="005B4B64"/>
    <w:rsid w:val="005B4EE2"/>
    <w:rsid w:val="005B5A3C"/>
    <w:rsid w:val="005B5D2E"/>
    <w:rsid w:val="005B685C"/>
    <w:rsid w:val="005B69B5"/>
    <w:rsid w:val="005B6AF9"/>
    <w:rsid w:val="005B6F77"/>
    <w:rsid w:val="005B718C"/>
    <w:rsid w:val="005B7517"/>
    <w:rsid w:val="005B76BA"/>
    <w:rsid w:val="005C0259"/>
    <w:rsid w:val="005C02AB"/>
    <w:rsid w:val="005C043D"/>
    <w:rsid w:val="005C0467"/>
    <w:rsid w:val="005C04BF"/>
    <w:rsid w:val="005C0A89"/>
    <w:rsid w:val="005C0E51"/>
    <w:rsid w:val="005C1418"/>
    <w:rsid w:val="005C14A8"/>
    <w:rsid w:val="005C160C"/>
    <w:rsid w:val="005C22A1"/>
    <w:rsid w:val="005C2A03"/>
    <w:rsid w:val="005C358E"/>
    <w:rsid w:val="005C3840"/>
    <w:rsid w:val="005C4095"/>
    <w:rsid w:val="005C437F"/>
    <w:rsid w:val="005C44D8"/>
    <w:rsid w:val="005C4AC1"/>
    <w:rsid w:val="005C4C2B"/>
    <w:rsid w:val="005C4E0D"/>
    <w:rsid w:val="005C4F04"/>
    <w:rsid w:val="005C54AA"/>
    <w:rsid w:val="005C5E20"/>
    <w:rsid w:val="005C6113"/>
    <w:rsid w:val="005C6345"/>
    <w:rsid w:val="005C6438"/>
    <w:rsid w:val="005C669A"/>
    <w:rsid w:val="005C6C87"/>
    <w:rsid w:val="005C6D55"/>
    <w:rsid w:val="005C6E8D"/>
    <w:rsid w:val="005C6F93"/>
    <w:rsid w:val="005C7516"/>
    <w:rsid w:val="005C75B3"/>
    <w:rsid w:val="005C7A54"/>
    <w:rsid w:val="005C7DE6"/>
    <w:rsid w:val="005D0A06"/>
    <w:rsid w:val="005D0CFF"/>
    <w:rsid w:val="005D1084"/>
    <w:rsid w:val="005D16E3"/>
    <w:rsid w:val="005D17BB"/>
    <w:rsid w:val="005D17C7"/>
    <w:rsid w:val="005D17D5"/>
    <w:rsid w:val="005D1BA5"/>
    <w:rsid w:val="005D1C9B"/>
    <w:rsid w:val="005D1F0B"/>
    <w:rsid w:val="005D2031"/>
    <w:rsid w:val="005D2198"/>
    <w:rsid w:val="005D2293"/>
    <w:rsid w:val="005D26F5"/>
    <w:rsid w:val="005D331C"/>
    <w:rsid w:val="005D3596"/>
    <w:rsid w:val="005D38BA"/>
    <w:rsid w:val="005D39A7"/>
    <w:rsid w:val="005D3AE4"/>
    <w:rsid w:val="005D3CEB"/>
    <w:rsid w:val="005D3E92"/>
    <w:rsid w:val="005D411D"/>
    <w:rsid w:val="005D417B"/>
    <w:rsid w:val="005D43D9"/>
    <w:rsid w:val="005D4581"/>
    <w:rsid w:val="005D4761"/>
    <w:rsid w:val="005D47D5"/>
    <w:rsid w:val="005D4B71"/>
    <w:rsid w:val="005D4D65"/>
    <w:rsid w:val="005D4EAC"/>
    <w:rsid w:val="005D5315"/>
    <w:rsid w:val="005D56B1"/>
    <w:rsid w:val="005D5C18"/>
    <w:rsid w:val="005D5F0D"/>
    <w:rsid w:val="005D6027"/>
    <w:rsid w:val="005D639F"/>
    <w:rsid w:val="005D69B5"/>
    <w:rsid w:val="005D777F"/>
    <w:rsid w:val="005E0247"/>
    <w:rsid w:val="005E095A"/>
    <w:rsid w:val="005E09D6"/>
    <w:rsid w:val="005E0D37"/>
    <w:rsid w:val="005E1020"/>
    <w:rsid w:val="005E11CB"/>
    <w:rsid w:val="005E1231"/>
    <w:rsid w:val="005E13CB"/>
    <w:rsid w:val="005E1AE5"/>
    <w:rsid w:val="005E1B5A"/>
    <w:rsid w:val="005E20E1"/>
    <w:rsid w:val="005E2163"/>
    <w:rsid w:val="005E21E0"/>
    <w:rsid w:val="005E263A"/>
    <w:rsid w:val="005E2A6B"/>
    <w:rsid w:val="005E37E5"/>
    <w:rsid w:val="005E3901"/>
    <w:rsid w:val="005E3CD2"/>
    <w:rsid w:val="005E3D52"/>
    <w:rsid w:val="005E3DFB"/>
    <w:rsid w:val="005E3E4B"/>
    <w:rsid w:val="005E4235"/>
    <w:rsid w:val="005E46E0"/>
    <w:rsid w:val="005E4CCF"/>
    <w:rsid w:val="005E5738"/>
    <w:rsid w:val="005E574B"/>
    <w:rsid w:val="005E5AAE"/>
    <w:rsid w:val="005E5C00"/>
    <w:rsid w:val="005E5DBD"/>
    <w:rsid w:val="005E63C5"/>
    <w:rsid w:val="005E6453"/>
    <w:rsid w:val="005E66A5"/>
    <w:rsid w:val="005E69D5"/>
    <w:rsid w:val="005E6D06"/>
    <w:rsid w:val="005E70CD"/>
    <w:rsid w:val="005E7606"/>
    <w:rsid w:val="005E7A8D"/>
    <w:rsid w:val="005E7E04"/>
    <w:rsid w:val="005F025B"/>
    <w:rsid w:val="005F0467"/>
    <w:rsid w:val="005F05AA"/>
    <w:rsid w:val="005F10A3"/>
    <w:rsid w:val="005F126E"/>
    <w:rsid w:val="005F1405"/>
    <w:rsid w:val="005F1B52"/>
    <w:rsid w:val="005F1CD8"/>
    <w:rsid w:val="005F1E5D"/>
    <w:rsid w:val="005F2492"/>
    <w:rsid w:val="005F2B9A"/>
    <w:rsid w:val="005F2BE2"/>
    <w:rsid w:val="005F302B"/>
    <w:rsid w:val="005F323D"/>
    <w:rsid w:val="005F37E7"/>
    <w:rsid w:val="005F39CF"/>
    <w:rsid w:val="005F3DDD"/>
    <w:rsid w:val="005F434A"/>
    <w:rsid w:val="005F45EB"/>
    <w:rsid w:val="005F4712"/>
    <w:rsid w:val="005F4C19"/>
    <w:rsid w:val="005F4FE4"/>
    <w:rsid w:val="005F521D"/>
    <w:rsid w:val="005F5707"/>
    <w:rsid w:val="005F589C"/>
    <w:rsid w:val="005F640F"/>
    <w:rsid w:val="005F6D74"/>
    <w:rsid w:val="005F6ED8"/>
    <w:rsid w:val="005F6F6A"/>
    <w:rsid w:val="005F6F9E"/>
    <w:rsid w:val="005F70BC"/>
    <w:rsid w:val="005F74F5"/>
    <w:rsid w:val="005F75A3"/>
    <w:rsid w:val="005F7699"/>
    <w:rsid w:val="005F7EAE"/>
    <w:rsid w:val="005F7EB9"/>
    <w:rsid w:val="00600114"/>
    <w:rsid w:val="00600E99"/>
    <w:rsid w:val="006010C2"/>
    <w:rsid w:val="00601862"/>
    <w:rsid w:val="00601A1C"/>
    <w:rsid w:val="006020FE"/>
    <w:rsid w:val="006028D7"/>
    <w:rsid w:val="006029F6"/>
    <w:rsid w:val="00602AA9"/>
    <w:rsid w:val="006030F1"/>
    <w:rsid w:val="00603957"/>
    <w:rsid w:val="00604010"/>
    <w:rsid w:val="00604048"/>
    <w:rsid w:val="0060413A"/>
    <w:rsid w:val="006044E9"/>
    <w:rsid w:val="00604DC1"/>
    <w:rsid w:val="00604DDF"/>
    <w:rsid w:val="006056A4"/>
    <w:rsid w:val="006061AE"/>
    <w:rsid w:val="0060675F"/>
    <w:rsid w:val="006068C0"/>
    <w:rsid w:val="00606AAE"/>
    <w:rsid w:val="0060703F"/>
    <w:rsid w:val="006071C1"/>
    <w:rsid w:val="0060793E"/>
    <w:rsid w:val="006079CB"/>
    <w:rsid w:val="00607DBD"/>
    <w:rsid w:val="00607E03"/>
    <w:rsid w:val="00607EC1"/>
    <w:rsid w:val="006104A7"/>
    <w:rsid w:val="00610656"/>
    <w:rsid w:val="006109F7"/>
    <w:rsid w:val="00610A55"/>
    <w:rsid w:val="00610AA5"/>
    <w:rsid w:val="00610AEC"/>
    <w:rsid w:val="00610CBA"/>
    <w:rsid w:val="00611DB8"/>
    <w:rsid w:val="00611FB7"/>
    <w:rsid w:val="00612BEE"/>
    <w:rsid w:val="00612C8F"/>
    <w:rsid w:val="00612FF6"/>
    <w:rsid w:val="0061331E"/>
    <w:rsid w:val="00613651"/>
    <w:rsid w:val="00613A64"/>
    <w:rsid w:val="00613AB0"/>
    <w:rsid w:val="00613D87"/>
    <w:rsid w:val="0061436F"/>
    <w:rsid w:val="00614575"/>
    <w:rsid w:val="006148F9"/>
    <w:rsid w:val="00614A38"/>
    <w:rsid w:val="00614F30"/>
    <w:rsid w:val="006156AB"/>
    <w:rsid w:val="006159DE"/>
    <w:rsid w:val="006164AF"/>
    <w:rsid w:val="00616726"/>
    <w:rsid w:val="00616980"/>
    <w:rsid w:val="00617160"/>
    <w:rsid w:val="0061736F"/>
    <w:rsid w:val="006174DF"/>
    <w:rsid w:val="0061794B"/>
    <w:rsid w:val="00617F57"/>
    <w:rsid w:val="00620673"/>
    <w:rsid w:val="00620B68"/>
    <w:rsid w:val="00620DAB"/>
    <w:rsid w:val="0062159F"/>
    <w:rsid w:val="00621602"/>
    <w:rsid w:val="006219FA"/>
    <w:rsid w:val="00621DEB"/>
    <w:rsid w:val="00621DF8"/>
    <w:rsid w:val="006222AA"/>
    <w:rsid w:val="00622733"/>
    <w:rsid w:val="0062274A"/>
    <w:rsid w:val="00622C6F"/>
    <w:rsid w:val="0062328A"/>
    <w:rsid w:val="00623613"/>
    <w:rsid w:val="00623C30"/>
    <w:rsid w:val="006246DC"/>
    <w:rsid w:val="006246E1"/>
    <w:rsid w:val="006247F5"/>
    <w:rsid w:val="00624A13"/>
    <w:rsid w:val="00624A8F"/>
    <w:rsid w:val="00624F11"/>
    <w:rsid w:val="00625458"/>
    <w:rsid w:val="00625BC3"/>
    <w:rsid w:val="00625D73"/>
    <w:rsid w:val="00625EA1"/>
    <w:rsid w:val="00626133"/>
    <w:rsid w:val="00626201"/>
    <w:rsid w:val="00626526"/>
    <w:rsid w:val="00626D3C"/>
    <w:rsid w:val="00627557"/>
    <w:rsid w:val="00627588"/>
    <w:rsid w:val="006276B0"/>
    <w:rsid w:val="00627E99"/>
    <w:rsid w:val="00630220"/>
    <w:rsid w:val="00630456"/>
    <w:rsid w:val="006318A3"/>
    <w:rsid w:val="00631B3B"/>
    <w:rsid w:val="00631BF6"/>
    <w:rsid w:val="0063205D"/>
    <w:rsid w:val="006322B2"/>
    <w:rsid w:val="00632392"/>
    <w:rsid w:val="006333B9"/>
    <w:rsid w:val="006337DD"/>
    <w:rsid w:val="00633A31"/>
    <w:rsid w:val="00634713"/>
    <w:rsid w:val="006349CA"/>
    <w:rsid w:val="00634A87"/>
    <w:rsid w:val="00634DA5"/>
    <w:rsid w:val="00635275"/>
    <w:rsid w:val="00635457"/>
    <w:rsid w:val="0063580C"/>
    <w:rsid w:val="00635884"/>
    <w:rsid w:val="00635BD9"/>
    <w:rsid w:val="00635CC2"/>
    <w:rsid w:val="00635DCA"/>
    <w:rsid w:val="00635F14"/>
    <w:rsid w:val="0063637B"/>
    <w:rsid w:val="006363DC"/>
    <w:rsid w:val="0063715E"/>
    <w:rsid w:val="006375B0"/>
    <w:rsid w:val="0063786E"/>
    <w:rsid w:val="00637DEC"/>
    <w:rsid w:val="00637F5B"/>
    <w:rsid w:val="0064092F"/>
    <w:rsid w:val="006409CA"/>
    <w:rsid w:val="00640E32"/>
    <w:rsid w:val="0064144A"/>
    <w:rsid w:val="00641619"/>
    <w:rsid w:val="00641BC6"/>
    <w:rsid w:val="00641DA6"/>
    <w:rsid w:val="00641F9F"/>
    <w:rsid w:val="006420DE"/>
    <w:rsid w:val="0064240D"/>
    <w:rsid w:val="00642476"/>
    <w:rsid w:val="006424EB"/>
    <w:rsid w:val="006425B2"/>
    <w:rsid w:val="0064264E"/>
    <w:rsid w:val="006428B2"/>
    <w:rsid w:val="006429EC"/>
    <w:rsid w:val="00642CBC"/>
    <w:rsid w:val="00643101"/>
    <w:rsid w:val="006438C6"/>
    <w:rsid w:val="0064392B"/>
    <w:rsid w:val="006439BE"/>
    <w:rsid w:val="00644250"/>
    <w:rsid w:val="00644771"/>
    <w:rsid w:val="0064479E"/>
    <w:rsid w:val="00644825"/>
    <w:rsid w:val="00644A46"/>
    <w:rsid w:val="00644AB4"/>
    <w:rsid w:val="00644D6B"/>
    <w:rsid w:val="0064516F"/>
    <w:rsid w:val="00645395"/>
    <w:rsid w:val="00645A56"/>
    <w:rsid w:val="00645ED5"/>
    <w:rsid w:val="006460B5"/>
    <w:rsid w:val="006462DB"/>
    <w:rsid w:val="006462F1"/>
    <w:rsid w:val="00646B5E"/>
    <w:rsid w:val="006472B0"/>
    <w:rsid w:val="006474AF"/>
    <w:rsid w:val="00647B50"/>
    <w:rsid w:val="00647F57"/>
    <w:rsid w:val="00650C29"/>
    <w:rsid w:val="00650FB7"/>
    <w:rsid w:val="00651145"/>
    <w:rsid w:val="0065115D"/>
    <w:rsid w:val="00651E6B"/>
    <w:rsid w:val="00651F98"/>
    <w:rsid w:val="0065201D"/>
    <w:rsid w:val="00652638"/>
    <w:rsid w:val="0065286A"/>
    <w:rsid w:val="00652B37"/>
    <w:rsid w:val="00652C2C"/>
    <w:rsid w:val="00652CAF"/>
    <w:rsid w:val="00652F0C"/>
    <w:rsid w:val="00652F6A"/>
    <w:rsid w:val="00653E1E"/>
    <w:rsid w:val="0065414B"/>
    <w:rsid w:val="006543E8"/>
    <w:rsid w:val="00654BAD"/>
    <w:rsid w:val="00654DAA"/>
    <w:rsid w:val="006553A6"/>
    <w:rsid w:val="00655418"/>
    <w:rsid w:val="00655EA2"/>
    <w:rsid w:val="00655FD9"/>
    <w:rsid w:val="00656231"/>
    <w:rsid w:val="006565A2"/>
    <w:rsid w:val="00656748"/>
    <w:rsid w:val="00656982"/>
    <w:rsid w:val="00656AF2"/>
    <w:rsid w:val="00656CB4"/>
    <w:rsid w:val="0065716D"/>
    <w:rsid w:val="0065723E"/>
    <w:rsid w:val="006572DA"/>
    <w:rsid w:val="00657350"/>
    <w:rsid w:val="00657573"/>
    <w:rsid w:val="00657D0B"/>
    <w:rsid w:val="0066022C"/>
    <w:rsid w:val="006603E8"/>
    <w:rsid w:val="00660A8B"/>
    <w:rsid w:val="00660FCA"/>
    <w:rsid w:val="006618A7"/>
    <w:rsid w:val="00661CB9"/>
    <w:rsid w:val="00662054"/>
    <w:rsid w:val="006626C9"/>
    <w:rsid w:val="006629C7"/>
    <w:rsid w:val="00662EDB"/>
    <w:rsid w:val="00663533"/>
    <w:rsid w:val="00663887"/>
    <w:rsid w:val="00663E76"/>
    <w:rsid w:val="00664207"/>
    <w:rsid w:val="00664211"/>
    <w:rsid w:val="006646BD"/>
    <w:rsid w:val="00664E9E"/>
    <w:rsid w:val="00664EBC"/>
    <w:rsid w:val="006651A8"/>
    <w:rsid w:val="006659F9"/>
    <w:rsid w:val="00665C0D"/>
    <w:rsid w:val="00666489"/>
    <w:rsid w:val="00667002"/>
    <w:rsid w:val="00667210"/>
    <w:rsid w:val="0066789A"/>
    <w:rsid w:val="00670294"/>
    <w:rsid w:val="00670C65"/>
    <w:rsid w:val="00670C89"/>
    <w:rsid w:val="00670F44"/>
    <w:rsid w:val="006711B0"/>
    <w:rsid w:val="006715E7"/>
    <w:rsid w:val="00671F5D"/>
    <w:rsid w:val="0067246B"/>
    <w:rsid w:val="006724EF"/>
    <w:rsid w:val="006725AD"/>
    <w:rsid w:val="00672A1A"/>
    <w:rsid w:val="00672F8E"/>
    <w:rsid w:val="00673053"/>
    <w:rsid w:val="006734C8"/>
    <w:rsid w:val="00673A35"/>
    <w:rsid w:val="00673C31"/>
    <w:rsid w:val="006743DC"/>
    <w:rsid w:val="006749A9"/>
    <w:rsid w:val="00674A21"/>
    <w:rsid w:val="00674C8E"/>
    <w:rsid w:val="00675013"/>
    <w:rsid w:val="006759B6"/>
    <w:rsid w:val="0067622F"/>
    <w:rsid w:val="006762B5"/>
    <w:rsid w:val="00676688"/>
    <w:rsid w:val="006769CD"/>
    <w:rsid w:val="00676CD2"/>
    <w:rsid w:val="00676D83"/>
    <w:rsid w:val="00677822"/>
    <w:rsid w:val="006779BB"/>
    <w:rsid w:val="00677F9B"/>
    <w:rsid w:val="00680822"/>
    <w:rsid w:val="006809E2"/>
    <w:rsid w:val="00680AB1"/>
    <w:rsid w:val="00681434"/>
    <w:rsid w:val="006814F0"/>
    <w:rsid w:val="006816F9"/>
    <w:rsid w:val="00681789"/>
    <w:rsid w:val="00681DC7"/>
    <w:rsid w:val="00682021"/>
    <w:rsid w:val="00682267"/>
    <w:rsid w:val="00682521"/>
    <w:rsid w:val="00682C7E"/>
    <w:rsid w:val="00682E88"/>
    <w:rsid w:val="0068337C"/>
    <w:rsid w:val="00683430"/>
    <w:rsid w:val="006835F2"/>
    <w:rsid w:val="006837D5"/>
    <w:rsid w:val="006838B4"/>
    <w:rsid w:val="006846D0"/>
    <w:rsid w:val="00684DB2"/>
    <w:rsid w:val="00684ECB"/>
    <w:rsid w:val="00685063"/>
    <w:rsid w:val="00685A8D"/>
    <w:rsid w:val="00685E0C"/>
    <w:rsid w:val="006868AA"/>
    <w:rsid w:val="00686A86"/>
    <w:rsid w:val="00687417"/>
    <w:rsid w:val="00687571"/>
    <w:rsid w:val="0068794B"/>
    <w:rsid w:val="00687D02"/>
    <w:rsid w:val="00687D20"/>
    <w:rsid w:val="00687DF6"/>
    <w:rsid w:val="00690182"/>
    <w:rsid w:val="00690254"/>
    <w:rsid w:val="006904DC"/>
    <w:rsid w:val="006914A5"/>
    <w:rsid w:val="006915B3"/>
    <w:rsid w:val="00691870"/>
    <w:rsid w:val="00691FCF"/>
    <w:rsid w:val="0069218C"/>
    <w:rsid w:val="00692352"/>
    <w:rsid w:val="006924BD"/>
    <w:rsid w:val="00692FF9"/>
    <w:rsid w:val="0069321E"/>
    <w:rsid w:val="006935FC"/>
    <w:rsid w:val="00694110"/>
    <w:rsid w:val="0069441B"/>
    <w:rsid w:val="00694B20"/>
    <w:rsid w:val="00694F2E"/>
    <w:rsid w:val="0069532C"/>
    <w:rsid w:val="0069545A"/>
    <w:rsid w:val="0069575B"/>
    <w:rsid w:val="00695E2D"/>
    <w:rsid w:val="006960AF"/>
    <w:rsid w:val="006963B0"/>
    <w:rsid w:val="006966C5"/>
    <w:rsid w:val="00696888"/>
    <w:rsid w:val="0069691D"/>
    <w:rsid w:val="00696D3A"/>
    <w:rsid w:val="00697720"/>
    <w:rsid w:val="00697930"/>
    <w:rsid w:val="00697E17"/>
    <w:rsid w:val="006A004C"/>
    <w:rsid w:val="006A05CC"/>
    <w:rsid w:val="006A0799"/>
    <w:rsid w:val="006A0840"/>
    <w:rsid w:val="006A0B29"/>
    <w:rsid w:val="006A0C68"/>
    <w:rsid w:val="006A1207"/>
    <w:rsid w:val="006A1480"/>
    <w:rsid w:val="006A1F9B"/>
    <w:rsid w:val="006A253C"/>
    <w:rsid w:val="006A270C"/>
    <w:rsid w:val="006A2849"/>
    <w:rsid w:val="006A2874"/>
    <w:rsid w:val="006A2AA3"/>
    <w:rsid w:val="006A2F44"/>
    <w:rsid w:val="006A3055"/>
    <w:rsid w:val="006A3262"/>
    <w:rsid w:val="006A3280"/>
    <w:rsid w:val="006A337B"/>
    <w:rsid w:val="006A3CF2"/>
    <w:rsid w:val="006A3D3D"/>
    <w:rsid w:val="006A4106"/>
    <w:rsid w:val="006A44AA"/>
    <w:rsid w:val="006A455D"/>
    <w:rsid w:val="006A46B7"/>
    <w:rsid w:val="006A49A2"/>
    <w:rsid w:val="006A4AAC"/>
    <w:rsid w:val="006A50E7"/>
    <w:rsid w:val="006A5307"/>
    <w:rsid w:val="006A5555"/>
    <w:rsid w:val="006A572E"/>
    <w:rsid w:val="006A5A32"/>
    <w:rsid w:val="006A6E85"/>
    <w:rsid w:val="006A7156"/>
    <w:rsid w:val="006A72F7"/>
    <w:rsid w:val="006A7917"/>
    <w:rsid w:val="006B020E"/>
    <w:rsid w:val="006B0701"/>
    <w:rsid w:val="006B0740"/>
    <w:rsid w:val="006B0AE7"/>
    <w:rsid w:val="006B0BF6"/>
    <w:rsid w:val="006B0E1B"/>
    <w:rsid w:val="006B10EA"/>
    <w:rsid w:val="006B199A"/>
    <w:rsid w:val="006B1ED8"/>
    <w:rsid w:val="006B20AC"/>
    <w:rsid w:val="006B23DB"/>
    <w:rsid w:val="006B2427"/>
    <w:rsid w:val="006B273E"/>
    <w:rsid w:val="006B28C0"/>
    <w:rsid w:val="006B29EF"/>
    <w:rsid w:val="006B318C"/>
    <w:rsid w:val="006B3371"/>
    <w:rsid w:val="006B3DDF"/>
    <w:rsid w:val="006B3DE8"/>
    <w:rsid w:val="006B3F5C"/>
    <w:rsid w:val="006B402F"/>
    <w:rsid w:val="006B41D0"/>
    <w:rsid w:val="006B4260"/>
    <w:rsid w:val="006B4A38"/>
    <w:rsid w:val="006B4FB8"/>
    <w:rsid w:val="006B50F7"/>
    <w:rsid w:val="006B5493"/>
    <w:rsid w:val="006B54AB"/>
    <w:rsid w:val="006B574E"/>
    <w:rsid w:val="006B5B6A"/>
    <w:rsid w:val="006B5DBE"/>
    <w:rsid w:val="006B63FC"/>
    <w:rsid w:val="006B65F8"/>
    <w:rsid w:val="006B67BF"/>
    <w:rsid w:val="006B6FDF"/>
    <w:rsid w:val="006B707D"/>
    <w:rsid w:val="006B731C"/>
    <w:rsid w:val="006B731D"/>
    <w:rsid w:val="006B769A"/>
    <w:rsid w:val="006B7906"/>
    <w:rsid w:val="006B7A0C"/>
    <w:rsid w:val="006B7CBD"/>
    <w:rsid w:val="006B7D12"/>
    <w:rsid w:val="006C04CD"/>
    <w:rsid w:val="006C0C5D"/>
    <w:rsid w:val="006C1991"/>
    <w:rsid w:val="006C19D0"/>
    <w:rsid w:val="006C1D51"/>
    <w:rsid w:val="006C230C"/>
    <w:rsid w:val="006C238E"/>
    <w:rsid w:val="006C2881"/>
    <w:rsid w:val="006C2901"/>
    <w:rsid w:val="006C2CD4"/>
    <w:rsid w:val="006C2DE8"/>
    <w:rsid w:val="006C2F72"/>
    <w:rsid w:val="006C3544"/>
    <w:rsid w:val="006C448F"/>
    <w:rsid w:val="006C4555"/>
    <w:rsid w:val="006C4F43"/>
    <w:rsid w:val="006C58C0"/>
    <w:rsid w:val="006C5ABD"/>
    <w:rsid w:val="006C6271"/>
    <w:rsid w:val="006C6374"/>
    <w:rsid w:val="006C714B"/>
    <w:rsid w:val="006C71CD"/>
    <w:rsid w:val="006C778F"/>
    <w:rsid w:val="006C7806"/>
    <w:rsid w:val="006C7E1B"/>
    <w:rsid w:val="006C7E7B"/>
    <w:rsid w:val="006C7F44"/>
    <w:rsid w:val="006C7FF1"/>
    <w:rsid w:val="006D0058"/>
    <w:rsid w:val="006D02F1"/>
    <w:rsid w:val="006D06EA"/>
    <w:rsid w:val="006D0739"/>
    <w:rsid w:val="006D0D43"/>
    <w:rsid w:val="006D0D74"/>
    <w:rsid w:val="006D11B4"/>
    <w:rsid w:val="006D14EC"/>
    <w:rsid w:val="006D1C66"/>
    <w:rsid w:val="006D1F6B"/>
    <w:rsid w:val="006D20A5"/>
    <w:rsid w:val="006D21D8"/>
    <w:rsid w:val="006D2241"/>
    <w:rsid w:val="006D228B"/>
    <w:rsid w:val="006D25A0"/>
    <w:rsid w:val="006D2D05"/>
    <w:rsid w:val="006D3042"/>
    <w:rsid w:val="006D312D"/>
    <w:rsid w:val="006D32DC"/>
    <w:rsid w:val="006D34E4"/>
    <w:rsid w:val="006D3D61"/>
    <w:rsid w:val="006D4945"/>
    <w:rsid w:val="006D503A"/>
    <w:rsid w:val="006D53A0"/>
    <w:rsid w:val="006D56B1"/>
    <w:rsid w:val="006D57FF"/>
    <w:rsid w:val="006D5EB2"/>
    <w:rsid w:val="006D6125"/>
    <w:rsid w:val="006D6379"/>
    <w:rsid w:val="006D6CE3"/>
    <w:rsid w:val="006D6E26"/>
    <w:rsid w:val="006D70CA"/>
    <w:rsid w:val="006D744E"/>
    <w:rsid w:val="006D7960"/>
    <w:rsid w:val="006D7FCA"/>
    <w:rsid w:val="006E0055"/>
    <w:rsid w:val="006E0339"/>
    <w:rsid w:val="006E0343"/>
    <w:rsid w:val="006E0686"/>
    <w:rsid w:val="006E11B9"/>
    <w:rsid w:val="006E184B"/>
    <w:rsid w:val="006E1BE8"/>
    <w:rsid w:val="006E1EDB"/>
    <w:rsid w:val="006E204D"/>
    <w:rsid w:val="006E25BC"/>
    <w:rsid w:val="006E298F"/>
    <w:rsid w:val="006E2BAE"/>
    <w:rsid w:val="006E31AF"/>
    <w:rsid w:val="006E3734"/>
    <w:rsid w:val="006E380C"/>
    <w:rsid w:val="006E3999"/>
    <w:rsid w:val="006E3ADB"/>
    <w:rsid w:val="006E3F96"/>
    <w:rsid w:val="006E4065"/>
    <w:rsid w:val="006E439B"/>
    <w:rsid w:val="006E462F"/>
    <w:rsid w:val="006E48F1"/>
    <w:rsid w:val="006E4BEF"/>
    <w:rsid w:val="006E502E"/>
    <w:rsid w:val="006E524F"/>
    <w:rsid w:val="006E580A"/>
    <w:rsid w:val="006E5E05"/>
    <w:rsid w:val="006E653A"/>
    <w:rsid w:val="006E670D"/>
    <w:rsid w:val="006E69A3"/>
    <w:rsid w:val="006E7499"/>
    <w:rsid w:val="006E77FB"/>
    <w:rsid w:val="006E79FA"/>
    <w:rsid w:val="006E7BBC"/>
    <w:rsid w:val="006E7BC8"/>
    <w:rsid w:val="006F01C7"/>
    <w:rsid w:val="006F034C"/>
    <w:rsid w:val="006F0A26"/>
    <w:rsid w:val="006F11CE"/>
    <w:rsid w:val="006F1543"/>
    <w:rsid w:val="006F2052"/>
    <w:rsid w:val="006F2348"/>
    <w:rsid w:val="006F24C9"/>
    <w:rsid w:val="006F272B"/>
    <w:rsid w:val="006F2930"/>
    <w:rsid w:val="006F29F0"/>
    <w:rsid w:val="006F2C4F"/>
    <w:rsid w:val="006F2FC5"/>
    <w:rsid w:val="006F34A6"/>
    <w:rsid w:val="006F358D"/>
    <w:rsid w:val="006F3A51"/>
    <w:rsid w:val="006F430E"/>
    <w:rsid w:val="006F4F75"/>
    <w:rsid w:val="006F52B3"/>
    <w:rsid w:val="006F52F2"/>
    <w:rsid w:val="006F57DD"/>
    <w:rsid w:val="006F58A1"/>
    <w:rsid w:val="006F5F02"/>
    <w:rsid w:val="006F6890"/>
    <w:rsid w:val="006F6AF6"/>
    <w:rsid w:val="006F6D3E"/>
    <w:rsid w:val="006F6EDD"/>
    <w:rsid w:val="006F7026"/>
    <w:rsid w:val="006F79FA"/>
    <w:rsid w:val="006F7C76"/>
    <w:rsid w:val="006F7E43"/>
    <w:rsid w:val="006F7F8D"/>
    <w:rsid w:val="007001A3"/>
    <w:rsid w:val="007004CD"/>
    <w:rsid w:val="00700C29"/>
    <w:rsid w:val="007012BE"/>
    <w:rsid w:val="0070143B"/>
    <w:rsid w:val="007014C4"/>
    <w:rsid w:val="00701E52"/>
    <w:rsid w:val="0070208D"/>
    <w:rsid w:val="00702CE7"/>
    <w:rsid w:val="0070303F"/>
    <w:rsid w:val="00703878"/>
    <w:rsid w:val="007039B7"/>
    <w:rsid w:val="00703B94"/>
    <w:rsid w:val="00703DC5"/>
    <w:rsid w:val="00704564"/>
    <w:rsid w:val="007056A8"/>
    <w:rsid w:val="007066B3"/>
    <w:rsid w:val="00707048"/>
    <w:rsid w:val="007071A0"/>
    <w:rsid w:val="007071D0"/>
    <w:rsid w:val="00710222"/>
    <w:rsid w:val="00710A6A"/>
    <w:rsid w:val="00710E31"/>
    <w:rsid w:val="00711069"/>
    <w:rsid w:val="007111F4"/>
    <w:rsid w:val="00711B5D"/>
    <w:rsid w:val="00711C34"/>
    <w:rsid w:val="00711EDA"/>
    <w:rsid w:val="00711F32"/>
    <w:rsid w:val="00712017"/>
    <w:rsid w:val="0071223F"/>
    <w:rsid w:val="007124F9"/>
    <w:rsid w:val="007129AC"/>
    <w:rsid w:val="007131B1"/>
    <w:rsid w:val="00713398"/>
    <w:rsid w:val="00713C69"/>
    <w:rsid w:val="007140B7"/>
    <w:rsid w:val="00714473"/>
    <w:rsid w:val="00714F2C"/>
    <w:rsid w:val="0071563E"/>
    <w:rsid w:val="00715820"/>
    <w:rsid w:val="00715C3B"/>
    <w:rsid w:val="0071603F"/>
    <w:rsid w:val="007160BA"/>
    <w:rsid w:val="007168B7"/>
    <w:rsid w:val="00716CB2"/>
    <w:rsid w:val="00716FCB"/>
    <w:rsid w:val="00720062"/>
    <w:rsid w:val="00720E0C"/>
    <w:rsid w:val="00720ECC"/>
    <w:rsid w:val="00720FE6"/>
    <w:rsid w:val="00721721"/>
    <w:rsid w:val="00721752"/>
    <w:rsid w:val="00721A15"/>
    <w:rsid w:val="00721A29"/>
    <w:rsid w:val="00721A75"/>
    <w:rsid w:val="00721B55"/>
    <w:rsid w:val="00721DA1"/>
    <w:rsid w:val="00721EF4"/>
    <w:rsid w:val="00721F31"/>
    <w:rsid w:val="007221C5"/>
    <w:rsid w:val="00723347"/>
    <w:rsid w:val="0072342E"/>
    <w:rsid w:val="00723745"/>
    <w:rsid w:val="007237A3"/>
    <w:rsid w:val="00723AE5"/>
    <w:rsid w:val="00723E41"/>
    <w:rsid w:val="00724567"/>
    <w:rsid w:val="0072520C"/>
    <w:rsid w:val="007256A5"/>
    <w:rsid w:val="00725C8A"/>
    <w:rsid w:val="00725D24"/>
    <w:rsid w:val="00725EF4"/>
    <w:rsid w:val="00725F97"/>
    <w:rsid w:val="00726179"/>
    <w:rsid w:val="00726569"/>
    <w:rsid w:val="00726A9B"/>
    <w:rsid w:val="00727139"/>
    <w:rsid w:val="00727153"/>
    <w:rsid w:val="00727688"/>
    <w:rsid w:val="00727A98"/>
    <w:rsid w:val="00727AD4"/>
    <w:rsid w:val="00727C02"/>
    <w:rsid w:val="00730015"/>
    <w:rsid w:val="0073018A"/>
    <w:rsid w:val="007307AE"/>
    <w:rsid w:val="00730879"/>
    <w:rsid w:val="00730938"/>
    <w:rsid w:val="00730B61"/>
    <w:rsid w:val="00730BBE"/>
    <w:rsid w:val="00730E7C"/>
    <w:rsid w:val="007312F3"/>
    <w:rsid w:val="00731430"/>
    <w:rsid w:val="007318FB"/>
    <w:rsid w:val="0073193F"/>
    <w:rsid w:val="007320F0"/>
    <w:rsid w:val="007323A8"/>
    <w:rsid w:val="007323F0"/>
    <w:rsid w:val="0073288F"/>
    <w:rsid w:val="0073292E"/>
    <w:rsid w:val="007339FD"/>
    <w:rsid w:val="007341BD"/>
    <w:rsid w:val="0073454E"/>
    <w:rsid w:val="00734A84"/>
    <w:rsid w:val="007354C6"/>
    <w:rsid w:val="0073558D"/>
    <w:rsid w:val="007355EB"/>
    <w:rsid w:val="00736372"/>
    <w:rsid w:val="007363BD"/>
    <w:rsid w:val="007367F8"/>
    <w:rsid w:val="00736FB3"/>
    <w:rsid w:val="007372FA"/>
    <w:rsid w:val="007377A8"/>
    <w:rsid w:val="007378A5"/>
    <w:rsid w:val="00737A66"/>
    <w:rsid w:val="00737D63"/>
    <w:rsid w:val="00740309"/>
    <w:rsid w:val="0074070D"/>
    <w:rsid w:val="007407B3"/>
    <w:rsid w:val="00740DEF"/>
    <w:rsid w:val="00740E7A"/>
    <w:rsid w:val="00741128"/>
    <w:rsid w:val="00741151"/>
    <w:rsid w:val="007414FC"/>
    <w:rsid w:val="007416EB"/>
    <w:rsid w:val="00741749"/>
    <w:rsid w:val="00741A0D"/>
    <w:rsid w:val="00741BEE"/>
    <w:rsid w:val="007421C2"/>
    <w:rsid w:val="00742CCF"/>
    <w:rsid w:val="007430C6"/>
    <w:rsid w:val="00743170"/>
    <w:rsid w:val="00743ADF"/>
    <w:rsid w:val="00743E91"/>
    <w:rsid w:val="00743FE0"/>
    <w:rsid w:val="00744006"/>
    <w:rsid w:val="00744056"/>
    <w:rsid w:val="00744351"/>
    <w:rsid w:val="0074478D"/>
    <w:rsid w:val="007458E8"/>
    <w:rsid w:val="007459E1"/>
    <w:rsid w:val="00745B7E"/>
    <w:rsid w:val="00746298"/>
    <w:rsid w:val="00746634"/>
    <w:rsid w:val="007467F3"/>
    <w:rsid w:val="00746B52"/>
    <w:rsid w:val="00746D13"/>
    <w:rsid w:val="0074710F"/>
    <w:rsid w:val="00747A15"/>
    <w:rsid w:val="00747BAB"/>
    <w:rsid w:val="00747FBB"/>
    <w:rsid w:val="00750A8F"/>
    <w:rsid w:val="00750AB2"/>
    <w:rsid w:val="007515DD"/>
    <w:rsid w:val="00751CF7"/>
    <w:rsid w:val="007523B7"/>
    <w:rsid w:val="0075277A"/>
    <w:rsid w:val="00752C70"/>
    <w:rsid w:val="00753152"/>
    <w:rsid w:val="007537D0"/>
    <w:rsid w:val="00754357"/>
    <w:rsid w:val="00754D8E"/>
    <w:rsid w:val="00754DDA"/>
    <w:rsid w:val="00754F91"/>
    <w:rsid w:val="0075503A"/>
    <w:rsid w:val="00755D6B"/>
    <w:rsid w:val="00756747"/>
    <w:rsid w:val="00756F8C"/>
    <w:rsid w:val="00757024"/>
    <w:rsid w:val="00757563"/>
    <w:rsid w:val="00757FC8"/>
    <w:rsid w:val="00757FEF"/>
    <w:rsid w:val="0076034D"/>
    <w:rsid w:val="007608E1"/>
    <w:rsid w:val="00760BB2"/>
    <w:rsid w:val="00760C34"/>
    <w:rsid w:val="007610E6"/>
    <w:rsid w:val="00762344"/>
    <w:rsid w:val="007624B2"/>
    <w:rsid w:val="00762B03"/>
    <w:rsid w:val="0076330E"/>
    <w:rsid w:val="0076386E"/>
    <w:rsid w:val="00763900"/>
    <w:rsid w:val="00763960"/>
    <w:rsid w:val="00763C77"/>
    <w:rsid w:val="00764273"/>
    <w:rsid w:val="007649A1"/>
    <w:rsid w:val="00764B49"/>
    <w:rsid w:val="00764E83"/>
    <w:rsid w:val="00764F3D"/>
    <w:rsid w:val="0076587B"/>
    <w:rsid w:val="00765CC4"/>
    <w:rsid w:val="00765EBF"/>
    <w:rsid w:val="007664B3"/>
    <w:rsid w:val="00766DD8"/>
    <w:rsid w:val="00767960"/>
    <w:rsid w:val="007679E5"/>
    <w:rsid w:val="00767B4A"/>
    <w:rsid w:val="00767EC6"/>
    <w:rsid w:val="00770578"/>
    <w:rsid w:val="0077078F"/>
    <w:rsid w:val="007708F9"/>
    <w:rsid w:val="00770CD7"/>
    <w:rsid w:val="00771160"/>
    <w:rsid w:val="00771276"/>
    <w:rsid w:val="00771495"/>
    <w:rsid w:val="00771C1F"/>
    <w:rsid w:val="0077287F"/>
    <w:rsid w:val="0077289A"/>
    <w:rsid w:val="00772958"/>
    <w:rsid w:val="00772AAE"/>
    <w:rsid w:val="00772B12"/>
    <w:rsid w:val="00772E20"/>
    <w:rsid w:val="0077346C"/>
    <w:rsid w:val="0077369B"/>
    <w:rsid w:val="00773833"/>
    <w:rsid w:val="00773AB3"/>
    <w:rsid w:val="00773AB7"/>
    <w:rsid w:val="0077409D"/>
    <w:rsid w:val="007748CC"/>
    <w:rsid w:val="00774BCB"/>
    <w:rsid w:val="00774CC5"/>
    <w:rsid w:val="00774F27"/>
    <w:rsid w:val="007750E6"/>
    <w:rsid w:val="007751B7"/>
    <w:rsid w:val="00775338"/>
    <w:rsid w:val="00775670"/>
    <w:rsid w:val="00775E9E"/>
    <w:rsid w:val="00776065"/>
    <w:rsid w:val="007762BC"/>
    <w:rsid w:val="007765E9"/>
    <w:rsid w:val="00776BAD"/>
    <w:rsid w:val="00776C54"/>
    <w:rsid w:val="00776FC5"/>
    <w:rsid w:val="00777433"/>
    <w:rsid w:val="0077744B"/>
    <w:rsid w:val="00777FF1"/>
    <w:rsid w:val="007804B6"/>
    <w:rsid w:val="00780968"/>
    <w:rsid w:val="00780A78"/>
    <w:rsid w:val="00780A94"/>
    <w:rsid w:val="00780BAC"/>
    <w:rsid w:val="00780C5D"/>
    <w:rsid w:val="00780C83"/>
    <w:rsid w:val="00780E06"/>
    <w:rsid w:val="00780E2A"/>
    <w:rsid w:val="00780FF0"/>
    <w:rsid w:val="007811D2"/>
    <w:rsid w:val="00781289"/>
    <w:rsid w:val="007813F7"/>
    <w:rsid w:val="00781741"/>
    <w:rsid w:val="00781905"/>
    <w:rsid w:val="00781B02"/>
    <w:rsid w:val="00781C7A"/>
    <w:rsid w:val="00781DF9"/>
    <w:rsid w:val="00782707"/>
    <w:rsid w:val="007828E3"/>
    <w:rsid w:val="00782E9E"/>
    <w:rsid w:val="00783398"/>
    <w:rsid w:val="0078454A"/>
    <w:rsid w:val="007846DC"/>
    <w:rsid w:val="00784A2B"/>
    <w:rsid w:val="00784C2C"/>
    <w:rsid w:val="007851F7"/>
    <w:rsid w:val="007852AD"/>
    <w:rsid w:val="007859D7"/>
    <w:rsid w:val="00785B3A"/>
    <w:rsid w:val="0078617B"/>
    <w:rsid w:val="0078621D"/>
    <w:rsid w:val="0078683A"/>
    <w:rsid w:val="00786EF4"/>
    <w:rsid w:val="00786F2F"/>
    <w:rsid w:val="0078733E"/>
    <w:rsid w:val="00787883"/>
    <w:rsid w:val="007878DA"/>
    <w:rsid w:val="007879A3"/>
    <w:rsid w:val="00787DFC"/>
    <w:rsid w:val="00787E0F"/>
    <w:rsid w:val="00787ECA"/>
    <w:rsid w:val="00790042"/>
    <w:rsid w:val="00790993"/>
    <w:rsid w:val="00790A72"/>
    <w:rsid w:val="00790BD6"/>
    <w:rsid w:val="00791144"/>
    <w:rsid w:val="00791217"/>
    <w:rsid w:val="00791A36"/>
    <w:rsid w:val="00791BBA"/>
    <w:rsid w:val="007924DF"/>
    <w:rsid w:val="00792500"/>
    <w:rsid w:val="007928B5"/>
    <w:rsid w:val="00792E10"/>
    <w:rsid w:val="00792FF5"/>
    <w:rsid w:val="00793831"/>
    <w:rsid w:val="007939CB"/>
    <w:rsid w:val="00794291"/>
    <w:rsid w:val="007948A3"/>
    <w:rsid w:val="00794FAF"/>
    <w:rsid w:val="0079509F"/>
    <w:rsid w:val="0079581C"/>
    <w:rsid w:val="00795C17"/>
    <w:rsid w:val="00795F74"/>
    <w:rsid w:val="00796454"/>
    <w:rsid w:val="00796970"/>
    <w:rsid w:val="00796D71"/>
    <w:rsid w:val="00796EA3"/>
    <w:rsid w:val="00797AAA"/>
    <w:rsid w:val="007A09BA"/>
    <w:rsid w:val="007A0C24"/>
    <w:rsid w:val="007A0E1E"/>
    <w:rsid w:val="007A1086"/>
    <w:rsid w:val="007A1225"/>
    <w:rsid w:val="007A17BE"/>
    <w:rsid w:val="007A1D26"/>
    <w:rsid w:val="007A1EAF"/>
    <w:rsid w:val="007A2330"/>
    <w:rsid w:val="007A2692"/>
    <w:rsid w:val="007A2831"/>
    <w:rsid w:val="007A3012"/>
    <w:rsid w:val="007A30F3"/>
    <w:rsid w:val="007A31D9"/>
    <w:rsid w:val="007A322F"/>
    <w:rsid w:val="007A328E"/>
    <w:rsid w:val="007A32A4"/>
    <w:rsid w:val="007A357C"/>
    <w:rsid w:val="007A37DA"/>
    <w:rsid w:val="007A39AE"/>
    <w:rsid w:val="007A39FC"/>
    <w:rsid w:val="007A3A2A"/>
    <w:rsid w:val="007A3ADE"/>
    <w:rsid w:val="007A46FA"/>
    <w:rsid w:val="007A4F95"/>
    <w:rsid w:val="007A66E0"/>
    <w:rsid w:val="007A67AB"/>
    <w:rsid w:val="007A6987"/>
    <w:rsid w:val="007A731F"/>
    <w:rsid w:val="007A7357"/>
    <w:rsid w:val="007A763E"/>
    <w:rsid w:val="007A7BBE"/>
    <w:rsid w:val="007A7CA3"/>
    <w:rsid w:val="007A7CEC"/>
    <w:rsid w:val="007B0243"/>
    <w:rsid w:val="007B0942"/>
    <w:rsid w:val="007B0B8E"/>
    <w:rsid w:val="007B0C64"/>
    <w:rsid w:val="007B0DC5"/>
    <w:rsid w:val="007B13C2"/>
    <w:rsid w:val="007B13D6"/>
    <w:rsid w:val="007B1BA5"/>
    <w:rsid w:val="007B295C"/>
    <w:rsid w:val="007B3DBD"/>
    <w:rsid w:val="007B4235"/>
    <w:rsid w:val="007B45A9"/>
    <w:rsid w:val="007B4AED"/>
    <w:rsid w:val="007B4B42"/>
    <w:rsid w:val="007B601C"/>
    <w:rsid w:val="007B60B1"/>
    <w:rsid w:val="007B6523"/>
    <w:rsid w:val="007B6534"/>
    <w:rsid w:val="007B6613"/>
    <w:rsid w:val="007B694B"/>
    <w:rsid w:val="007B6AEA"/>
    <w:rsid w:val="007B71DA"/>
    <w:rsid w:val="007B76FF"/>
    <w:rsid w:val="007B78BC"/>
    <w:rsid w:val="007B7971"/>
    <w:rsid w:val="007B79E4"/>
    <w:rsid w:val="007B7B31"/>
    <w:rsid w:val="007B7C77"/>
    <w:rsid w:val="007B7CBA"/>
    <w:rsid w:val="007C08E8"/>
    <w:rsid w:val="007C0AD8"/>
    <w:rsid w:val="007C0C40"/>
    <w:rsid w:val="007C1295"/>
    <w:rsid w:val="007C13CB"/>
    <w:rsid w:val="007C149F"/>
    <w:rsid w:val="007C17DD"/>
    <w:rsid w:val="007C189E"/>
    <w:rsid w:val="007C1D48"/>
    <w:rsid w:val="007C1D79"/>
    <w:rsid w:val="007C2145"/>
    <w:rsid w:val="007C3594"/>
    <w:rsid w:val="007C3A36"/>
    <w:rsid w:val="007C3AEC"/>
    <w:rsid w:val="007C3BCC"/>
    <w:rsid w:val="007C4A32"/>
    <w:rsid w:val="007C4D26"/>
    <w:rsid w:val="007C4E8B"/>
    <w:rsid w:val="007C4EDA"/>
    <w:rsid w:val="007C51C2"/>
    <w:rsid w:val="007C5454"/>
    <w:rsid w:val="007C5669"/>
    <w:rsid w:val="007C5B85"/>
    <w:rsid w:val="007C65CC"/>
    <w:rsid w:val="007C6914"/>
    <w:rsid w:val="007C6B20"/>
    <w:rsid w:val="007C6EAB"/>
    <w:rsid w:val="007C747B"/>
    <w:rsid w:val="007C74F9"/>
    <w:rsid w:val="007C793C"/>
    <w:rsid w:val="007C7C1E"/>
    <w:rsid w:val="007D012C"/>
    <w:rsid w:val="007D067A"/>
    <w:rsid w:val="007D067B"/>
    <w:rsid w:val="007D06FB"/>
    <w:rsid w:val="007D0715"/>
    <w:rsid w:val="007D0874"/>
    <w:rsid w:val="007D0998"/>
    <w:rsid w:val="007D0DAD"/>
    <w:rsid w:val="007D165C"/>
    <w:rsid w:val="007D21A6"/>
    <w:rsid w:val="007D2630"/>
    <w:rsid w:val="007D26AE"/>
    <w:rsid w:val="007D28F5"/>
    <w:rsid w:val="007D2E93"/>
    <w:rsid w:val="007D303D"/>
    <w:rsid w:val="007D3324"/>
    <w:rsid w:val="007D3BDB"/>
    <w:rsid w:val="007D3E17"/>
    <w:rsid w:val="007D3FEE"/>
    <w:rsid w:val="007D4166"/>
    <w:rsid w:val="007D438D"/>
    <w:rsid w:val="007D4B93"/>
    <w:rsid w:val="007D4F6B"/>
    <w:rsid w:val="007D60F4"/>
    <w:rsid w:val="007D61F4"/>
    <w:rsid w:val="007D6572"/>
    <w:rsid w:val="007D67A3"/>
    <w:rsid w:val="007D69DD"/>
    <w:rsid w:val="007D6BB4"/>
    <w:rsid w:val="007D6BDA"/>
    <w:rsid w:val="007D6DE0"/>
    <w:rsid w:val="007D7936"/>
    <w:rsid w:val="007D7BB8"/>
    <w:rsid w:val="007E06FB"/>
    <w:rsid w:val="007E0716"/>
    <w:rsid w:val="007E0788"/>
    <w:rsid w:val="007E086F"/>
    <w:rsid w:val="007E0908"/>
    <w:rsid w:val="007E0996"/>
    <w:rsid w:val="007E0E4A"/>
    <w:rsid w:val="007E0E61"/>
    <w:rsid w:val="007E1010"/>
    <w:rsid w:val="007E16DE"/>
    <w:rsid w:val="007E1B46"/>
    <w:rsid w:val="007E1F9E"/>
    <w:rsid w:val="007E277B"/>
    <w:rsid w:val="007E2845"/>
    <w:rsid w:val="007E2D5A"/>
    <w:rsid w:val="007E2DE7"/>
    <w:rsid w:val="007E3048"/>
    <w:rsid w:val="007E3160"/>
    <w:rsid w:val="007E36BC"/>
    <w:rsid w:val="007E3D64"/>
    <w:rsid w:val="007E5054"/>
    <w:rsid w:val="007E5101"/>
    <w:rsid w:val="007E5116"/>
    <w:rsid w:val="007E511F"/>
    <w:rsid w:val="007E537E"/>
    <w:rsid w:val="007E59EF"/>
    <w:rsid w:val="007E5A83"/>
    <w:rsid w:val="007E61DB"/>
    <w:rsid w:val="007E61F9"/>
    <w:rsid w:val="007E627F"/>
    <w:rsid w:val="007E63A9"/>
    <w:rsid w:val="007E68AF"/>
    <w:rsid w:val="007E6C5C"/>
    <w:rsid w:val="007E6CDA"/>
    <w:rsid w:val="007E6D16"/>
    <w:rsid w:val="007E6DA0"/>
    <w:rsid w:val="007E7026"/>
    <w:rsid w:val="007E772F"/>
    <w:rsid w:val="007E7A1A"/>
    <w:rsid w:val="007E7ACC"/>
    <w:rsid w:val="007E7F19"/>
    <w:rsid w:val="007F0767"/>
    <w:rsid w:val="007F0BBF"/>
    <w:rsid w:val="007F0D98"/>
    <w:rsid w:val="007F1008"/>
    <w:rsid w:val="007F11DF"/>
    <w:rsid w:val="007F134C"/>
    <w:rsid w:val="007F15C9"/>
    <w:rsid w:val="007F1B7B"/>
    <w:rsid w:val="007F1E09"/>
    <w:rsid w:val="007F21D2"/>
    <w:rsid w:val="007F2281"/>
    <w:rsid w:val="007F23F5"/>
    <w:rsid w:val="007F290A"/>
    <w:rsid w:val="007F2D4F"/>
    <w:rsid w:val="007F2F80"/>
    <w:rsid w:val="007F3003"/>
    <w:rsid w:val="007F341B"/>
    <w:rsid w:val="007F361D"/>
    <w:rsid w:val="007F3A48"/>
    <w:rsid w:val="007F4905"/>
    <w:rsid w:val="007F4C70"/>
    <w:rsid w:val="007F5195"/>
    <w:rsid w:val="007F547C"/>
    <w:rsid w:val="007F5691"/>
    <w:rsid w:val="007F5837"/>
    <w:rsid w:val="007F6188"/>
    <w:rsid w:val="007F64BD"/>
    <w:rsid w:val="007F64D2"/>
    <w:rsid w:val="007F69AC"/>
    <w:rsid w:val="007F6C0A"/>
    <w:rsid w:val="007F712D"/>
    <w:rsid w:val="007F7171"/>
    <w:rsid w:val="007F7409"/>
    <w:rsid w:val="007F75D9"/>
    <w:rsid w:val="007F7661"/>
    <w:rsid w:val="007F7850"/>
    <w:rsid w:val="007F7F44"/>
    <w:rsid w:val="008001C8"/>
    <w:rsid w:val="0080090D"/>
    <w:rsid w:val="00801510"/>
    <w:rsid w:val="008015C6"/>
    <w:rsid w:val="008017B5"/>
    <w:rsid w:val="008017DA"/>
    <w:rsid w:val="008019C9"/>
    <w:rsid w:val="00801B39"/>
    <w:rsid w:val="00801B53"/>
    <w:rsid w:val="00802137"/>
    <w:rsid w:val="0080251C"/>
    <w:rsid w:val="00802CD9"/>
    <w:rsid w:val="008031CE"/>
    <w:rsid w:val="0080323F"/>
    <w:rsid w:val="00803307"/>
    <w:rsid w:val="00803377"/>
    <w:rsid w:val="008033C7"/>
    <w:rsid w:val="00803415"/>
    <w:rsid w:val="00803656"/>
    <w:rsid w:val="00803750"/>
    <w:rsid w:val="00803A45"/>
    <w:rsid w:val="00803D2B"/>
    <w:rsid w:val="00803D5B"/>
    <w:rsid w:val="00803E57"/>
    <w:rsid w:val="00803F02"/>
    <w:rsid w:val="00804256"/>
    <w:rsid w:val="0080459F"/>
    <w:rsid w:val="008046FD"/>
    <w:rsid w:val="00804C4E"/>
    <w:rsid w:val="00804C69"/>
    <w:rsid w:val="00804D40"/>
    <w:rsid w:val="00804F5D"/>
    <w:rsid w:val="008054E7"/>
    <w:rsid w:val="00805AA2"/>
    <w:rsid w:val="00805F04"/>
    <w:rsid w:val="00806458"/>
    <w:rsid w:val="008064B8"/>
    <w:rsid w:val="00806668"/>
    <w:rsid w:val="00806853"/>
    <w:rsid w:val="008074C0"/>
    <w:rsid w:val="00807CF4"/>
    <w:rsid w:val="008106F0"/>
    <w:rsid w:val="00810ABC"/>
    <w:rsid w:val="00810B85"/>
    <w:rsid w:val="00810C25"/>
    <w:rsid w:val="00810C79"/>
    <w:rsid w:val="00810C7F"/>
    <w:rsid w:val="00811257"/>
    <w:rsid w:val="00811490"/>
    <w:rsid w:val="008116A3"/>
    <w:rsid w:val="00811CB3"/>
    <w:rsid w:val="00811EDA"/>
    <w:rsid w:val="0081294E"/>
    <w:rsid w:val="00812B13"/>
    <w:rsid w:val="00812B53"/>
    <w:rsid w:val="00813066"/>
    <w:rsid w:val="0081324D"/>
    <w:rsid w:val="0081373A"/>
    <w:rsid w:val="0081392E"/>
    <w:rsid w:val="00813F49"/>
    <w:rsid w:val="00813FB9"/>
    <w:rsid w:val="00814063"/>
    <w:rsid w:val="0081453F"/>
    <w:rsid w:val="00814AD5"/>
    <w:rsid w:val="00814DB0"/>
    <w:rsid w:val="00814DBA"/>
    <w:rsid w:val="00814F04"/>
    <w:rsid w:val="008156D0"/>
    <w:rsid w:val="008156DB"/>
    <w:rsid w:val="00815820"/>
    <w:rsid w:val="008158FA"/>
    <w:rsid w:val="00815AAF"/>
    <w:rsid w:val="00815D88"/>
    <w:rsid w:val="00815F2D"/>
    <w:rsid w:val="00815F68"/>
    <w:rsid w:val="008161EA"/>
    <w:rsid w:val="00816AF1"/>
    <w:rsid w:val="00816C8B"/>
    <w:rsid w:val="008170E1"/>
    <w:rsid w:val="008170F0"/>
    <w:rsid w:val="00817250"/>
    <w:rsid w:val="00817A6F"/>
    <w:rsid w:val="00817EB3"/>
    <w:rsid w:val="00820044"/>
    <w:rsid w:val="008202EC"/>
    <w:rsid w:val="008205CB"/>
    <w:rsid w:val="008208A9"/>
    <w:rsid w:val="00820E6B"/>
    <w:rsid w:val="0082133E"/>
    <w:rsid w:val="008218C8"/>
    <w:rsid w:val="00821C06"/>
    <w:rsid w:val="008228E5"/>
    <w:rsid w:val="00822BC7"/>
    <w:rsid w:val="00822D58"/>
    <w:rsid w:val="008239F9"/>
    <w:rsid w:val="00823F29"/>
    <w:rsid w:val="008246F8"/>
    <w:rsid w:val="00824888"/>
    <w:rsid w:val="008250F8"/>
    <w:rsid w:val="00825173"/>
    <w:rsid w:val="0082538F"/>
    <w:rsid w:val="00825553"/>
    <w:rsid w:val="00825ABC"/>
    <w:rsid w:val="00825C4F"/>
    <w:rsid w:val="00825DE5"/>
    <w:rsid w:val="00825E88"/>
    <w:rsid w:val="008261F3"/>
    <w:rsid w:val="00826613"/>
    <w:rsid w:val="0082683F"/>
    <w:rsid w:val="00826B6C"/>
    <w:rsid w:val="00827148"/>
    <w:rsid w:val="00827921"/>
    <w:rsid w:val="00827CFC"/>
    <w:rsid w:val="008301F0"/>
    <w:rsid w:val="00830ABD"/>
    <w:rsid w:val="00830D14"/>
    <w:rsid w:val="00831699"/>
    <w:rsid w:val="008316D0"/>
    <w:rsid w:val="00831B9A"/>
    <w:rsid w:val="00831C00"/>
    <w:rsid w:val="00832014"/>
    <w:rsid w:val="00832861"/>
    <w:rsid w:val="008333EF"/>
    <w:rsid w:val="0083384B"/>
    <w:rsid w:val="00833EDC"/>
    <w:rsid w:val="008340BB"/>
    <w:rsid w:val="008341CE"/>
    <w:rsid w:val="0083426E"/>
    <w:rsid w:val="00834675"/>
    <w:rsid w:val="00834ACE"/>
    <w:rsid w:val="00834C9A"/>
    <w:rsid w:val="00834E4B"/>
    <w:rsid w:val="008353E3"/>
    <w:rsid w:val="0083582E"/>
    <w:rsid w:val="0083598F"/>
    <w:rsid w:val="0083608B"/>
    <w:rsid w:val="00836501"/>
    <w:rsid w:val="008367F6"/>
    <w:rsid w:val="00836F1E"/>
    <w:rsid w:val="008374D6"/>
    <w:rsid w:val="008379BD"/>
    <w:rsid w:val="00837CF1"/>
    <w:rsid w:val="008404A6"/>
    <w:rsid w:val="0084067C"/>
    <w:rsid w:val="00840B72"/>
    <w:rsid w:val="00841675"/>
    <w:rsid w:val="00841788"/>
    <w:rsid w:val="008422EF"/>
    <w:rsid w:val="008425D4"/>
    <w:rsid w:val="00842930"/>
    <w:rsid w:val="008429EE"/>
    <w:rsid w:val="00842F46"/>
    <w:rsid w:val="00842FD5"/>
    <w:rsid w:val="0084302D"/>
    <w:rsid w:val="008433ED"/>
    <w:rsid w:val="00843842"/>
    <w:rsid w:val="00843C0D"/>
    <w:rsid w:val="0084418B"/>
    <w:rsid w:val="0084449F"/>
    <w:rsid w:val="00844741"/>
    <w:rsid w:val="0084510B"/>
    <w:rsid w:val="008455CD"/>
    <w:rsid w:val="008457E8"/>
    <w:rsid w:val="00845C1C"/>
    <w:rsid w:val="00845F9D"/>
    <w:rsid w:val="00846646"/>
    <w:rsid w:val="00846DC6"/>
    <w:rsid w:val="00846E0C"/>
    <w:rsid w:val="00847B46"/>
    <w:rsid w:val="00847E37"/>
    <w:rsid w:val="00847F5E"/>
    <w:rsid w:val="00850281"/>
    <w:rsid w:val="0085074B"/>
    <w:rsid w:val="00850C87"/>
    <w:rsid w:val="00850D93"/>
    <w:rsid w:val="008514E3"/>
    <w:rsid w:val="008518E5"/>
    <w:rsid w:val="0085195F"/>
    <w:rsid w:val="00851B9B"/>
    <w:rsid w:val="00851E33"/>
    <w:rsid w:val="00852201"/>
    <w:rsid w:val="0085260C"/>
    <w:rsid w:val="00852C31"/>
    <w:rsid w:val="00853225"/>
    <w:rsid w:val="00854024"/>
    <w:rsid w:val="0085422C"/>
    <w:rsid w:val="0085527B"/>
    <w:rsid w:val="00855595"/>
    <w:rsid w:val="00855CFB"/>
    <w:rsid w:val="00855D4D"/>
    <w:rsid w:val="00855D6E"/>
    <w:rsid w:val="00855FDF"/>
    <w:rsid w:val="00856444"/>
    <w:rsid w:val="0085711A"/>
    <w:rsid w:val="00857CA3"/>
    <w:rsid w:val="00860062"/>
    <w:rsid w:val="0086059C"/>
    <w:rsid w:val="0086059D"/>
    <w:rsid w:val="00860B79"/>
    <w:rsid w:val="0086155C"/>
    <w:rsid w:val="0086158B"/>
    <w:rsid w:val="0086174D"/>
    <w:rsid w:val="00861773"/>
    <w:rsid w:val="00861EBC"/>
    <w:rsid w:val="0086204B"/>
    <w:rsid w:val="00862099"/>
    <w:rsid w:val="0086217E"/>
    <w:rsid w:val="00862456"/>
    <w:rsid w:val="00862515"/>
    <w:rsid w:val="0086261F"/>
    <w:rsid w:val="00862650"/>
    <w:rsid w:val="0086299F"/>
    <w:rsid w:val="00862AE2"/>
    <w:rsid w:val="00862BD1"/>
    <w:rsid w:val="008639FC"/>
    <w:rsid w:val="00863B7D"/>
    <w:rsid w:val="00863DF1"/>
    <w:rsid w:val="00864338"/>
    <w:rsid w:val="0086459D"/>
    <w:rsid w:val="00864771"/>
    <w:rsid w:val="00864ADC"/>
    <w:rsid w:val="00864D11"/>
    <w:rsid w:val="00864E05"/>
    <w:rsid w:val="00865563"/>
    <w:rsid w:val="00865708"/>
    <w:rsid w:val="00865A54"/>
    <w:rsid w:val="00865D79"/>
    <w:rsid w:val="008660F5"/>
    <w:rsid w:val="008663EF"/>
    <w:rsid w:val="00866D57"/>
    <w:rsid w:val="00866F3E"/>
    <w:rsid w:val="00866FE4"/>
    <w:rsid w:val="008672FC"/>
    <w:rsid w:val="0086760C"/>
    <w:rsid w:val="0086786F"/>
    <w:rsid w:val="00867D9C"/>
    <w:rsid w:val="00867FC2"/>
    <w:rsid w:val="0087019E"/>
    <w:rsid w:val="008701FB"/>
    <w:rsid w:val="008704FD"/>
    <w:rsid w:val="00870BD8"/>
    <w:rsid w:val="00871732"/>
    <w:rsid w:val="00871B49"/>
    <w:rsid w:val="00871BBA"/>
    <w:rsid w:val="00871F0B"/>
    <w:rsid w:val="00872E31"/>
    <w:rsid w:val="00873013"/>
    <w:rsid w:val="0087335E"/>
    <w:rsid w:val="008747E7"/>
    <w:rsid w:val="00874BE2"/>
    <w:rsid w:val="00874FD9"/>
    <w:rsid w:val="008750BC"/>
    <w:rsid w:val="00875549"/>
    <w:rsid w:val="008755F4"/>
    <w:rsid w:val="00875746"/>
    <w:rsid w:val="00875BC8"/>
    <w:rsid w:val="00876835"/>
    <w:rsid w:val="00876A77"/>
    <w:rsid w:val="00876BA7"/>
    <w:rsid w:val="00877337"/>
    <w:rsid w:val="008775FA"/>
    <w:rsid w:val="00877DB8"/>
    <w:rsid w:val="0088058C"/>
    <w:rsid w:val="00881288"/>
    <w:rsid w:val="008813A5"/>
    <w:rsid w:val="008814DF"/>
    <w:rsid w:val="00881C70"/>
    <w:rsid w:val="0088230D"/>
    <w:rsid w:val="0088269D"/>
    <w:rsid w:val="00882744"/>
    <w:rsid w:val="00882A12"/>
    <w:rsid w:val="00882D81"/>
    <w:rsid w:val="008831F0"/>
    <w:rsid w:val="00883433"/>
    <w:rsid w:val="008838CE"/>
    <w:rsid w:val="008839FD"/>
    <w:rsid w:val="00883E42"/>
    <w:rsid w:val="00883EAC"/>
    <w:rsid w:val="00883F38"/>
    <w:rsid w:val="0088413C"/>
    <w:rsid w:val="008844DA"/>
    <w:rsid w:val="00884CE0"/>
    <w:rsid w:val="00885A32"/>
    <w:rsid w:val="00885CD4"/>
    <w:rsid w:val="00885EEA"/>
    <w:rsid w:val="00886218"/>
    <w:rsid w:val="0088695C"/>
    <w:rsid w:val="00886A76"/>
    <w:rsid w:val="00887026"/>
    <w:rsid w:val="008873B4"/>
    <w:rsid w:val="00887CA5"/>
    <w:rsid w:val="00890060"/>
    <w:rsid w:val="00890368"/>
    <w:rsid w:val="00890383"/>
    <w:rsid w:val="008906C9"/>
    <w:rsid w:val="00890965"/>
    <w:rsid w:val="008910F2"/>
    <w:rsid w:val="008913FE"/>
    <w:rsid w:val="0089161E"/>
    <w:rsid w:val="00891AB6"/>
    <w:rsid w:val="008920A8"/>
    <w:rsid w:val="008924F1"/>
    <w:rsid w:val="008926D8"/>
    <w:rsid w:val="00892E10"/>
    <w:rsid w:val="00892EA0"/>
    <w:rsid w:val="00892F42"/>
    <w:rsid w:val="008932EF"/>
    <w:rsid w:val="008932F3"/>
    <w:rsid w:val="008935AB"/>
    <w:rsid w:val="008938C5"/>
    <w:rsid w:val="00893CC5"/>
    <w:rsid w:val="00893E6A"/>
    <w:rsid w:val="008940AB"/>
    <w:rsid w:val="0089478E"/>
    <w:rsid w:val="0089545B"/>
    <w:rsid w:val="008955E7"/>
    <w:rsid w:val="00895F0C"/>
    <w:rsid w:val="00896032"/>
    <w:rsid w:val="008962C2"/>
    <w:rsid w:val="0089634A"/>
    <w:rsid w:val="0089656D"/>
    <w:rsid w:val="00896998"/>
    <w:rsid w:val="00896CC8"/>
    <w:rsid w:val="00896FA2"/>
    <w:rsid w:val="0089758C"/>
    <w:rsid w:val="00897739"/>
    <w:rsid w:val="00897BCC"/>
    <w:rsid w:val="008A0D8C"/>
    <w:rsid w:val="008A1193"/>
    <w:rsid w:val="008A1499"/>
    <w:rsid w:val="008A16D2"/>
    <w:rsid w:val="008A1F22"/>
    <w:rsid w:val="008A26AB"/>
    <w:rsid w:val="008A26F7"/>
    <w:rsid w:val="008A2A3C"/>
    <w:rsid w:val="008A2EE0"/>
    <w:rsid w:val="008A2FBB"/>
    <w:rsid w:val="008A315B"/>
    <w:rsid w:val="008A346E"/>
    <w:rsid w:val="008A391E"/>
    <w:rsid w:val="008A3BA2"/>
    <w:rsid w:val="008A4424"/>
    <w:rsid w:val="008A4AC7"/>
    <w:rsid w:val="008A4DBB"/>
    <w:rsid w:val="008A51B8"/>
    <w:rsid w:val="008A52FC"/>
    <w:rsid w:val="008A5435"/>
    <w:rsid w:val="008A5D25"/>
    <w:rsid w:val="008A5D5C"/>
    <w:rsid w:val="008A5EA9"/>
    <w:rsid w:val="008A6436"/>
    <w:rsid w:val="008A64AD"/>
    <w:rsid w:val="008A751A"/>
    <w:rsid w:val="008A758A"/>
    <w:rsid w:val="008A7644"/>
    <w:rsid w:val="008A7B29"/>
    <w:rsid w:val="008B062E"/>
    <w:rsid w:val="008B0B3B"/>
    <w:rsid w:val="008B0CF3"/>
    <w:rsid w:val="008B16E7"/>
    <w:rsid w:val="008B1712"/>
    <w:rsid w:val="008B2833"/>
    <w:rsid w:val="008B2879"/>
    <w:rsid w:val="008B28EF"/>
    <w:rsid w:val="008B3080"/>
    <w:rsid w:val="008B3107"/>
    <w:rsid w:val="008B374D"/>
    <w:rsid w:val="008B3B6F"/>
    <w:rsid w:val="008B3B76"/>
    <w:rsid w:val="008B3BFD"/>
    <w:rsid w:val="008B3D26"/>
    <w:rsid w:val="008B415C"/>
    <w:rsid w:val="008B4180"/>
    <w:rsid w:val="008B42CA"/>
    <w:rsid w:val="008B4929"/>
    <w:rsid w:val="008B51DF"/>
    <w:rsid w:val="008B535C"/>
    <w:rsid w:val="008B53B1"/>
    <w:rsid w:val="008B58B7"/>
    <w:rsid w:val="008B5A82"/>
    <w:rsid w:val="008B673B"/>
    <w:rsid w:val="008B771B"/>
    <w:rsid w:val="008B7925"/>
    <w:rsid w:val="008B7ECF"/>
    <w:rsid w:val="008C00DE"/>
    <w:rsid w:val="008C0272"/>
    <w:rsid w:val="008C03A8"/>
    <w:rsid w:val="008C1053"/>
    <w:rsid w:val="008C1305"/>
    <w:rsid w:val="008C1FFD"/>
    <w:rsid w:val="008C2287"/>
    <w:rsid w:val="008C29A4"/>
    <w:rsid w:val="008C3213"/>
    <w:rsid w:val="008C37B7"/>
    <w:rsid w:val="008C37EE"/>
    <w:rsid w:val="008C3888"/>
    <w:rsid w:val="008C4421"/>
    <w:rsid w:val="008C465E"/>
    <w:rsid w:val="008C4ABD"/>
    <w:rsid w:val="008C4B56"/>
    <w:rsid w:val="008C4C85"/>
    <w:rsid w:val="008C5858"/>
    <w:rsid w:val="008C59AC"/>
    <w:rsid w:val="008C5B7C"/>
    <w:rsid w:val="008C5D28"/>
    <w:rsid w:val="008C5DAD"/>
    <w:rsid w:val="008C5E4D"/>
    <w:rsid w:val="008C646D"/>
    <w:rsid w:val="008C64E7"/>
    <w:rsid w:val="008C66F2"/>
    <w:rsid w:val="008C6F34"/>
    <w:rsid w:val="008C7611"/>
    <w:rsid w:val="008C7A38"/>
    <w:rsid w:val="008C7FC4"/>
    <w:rsid w:val="008D00F8"/>
    <w:rsid w:val="008D07EB"/>
    <w:rsid w:val="008D0D3A"/>
    <w:rsid w:val="008D0E27"/>
    <w:rsid w:val="008D10E0"/>
    <w:rsid w:val="008D122B"/>
    <w:rsid w:val="008D12A9"/>
    <w:rsid w:val="008D1474"/>
    <w:rsid w:val="008D17BE"/>
    <w:rsid w:val="008D1857"/>
    <w:rsid w:val="008D1A0C"/>
    <w:rsid w:val="008D247B"/>
    <w:rsid w:val="008D286E"/>
    <w:rsid w:val="008D2B44"/>
    <w:rsid w:val="008D2CEF"/>
    <w:rsid w:val="008D2D05"/>
    <w:rsid w:val="008D2D94"/>
    <w:rsid w:val="008D304C"/>
    <w:rsid w:val="008D321C"/>
    <w:rsid w:val="008D3840"/>
    <w:rsid w:val="008D3F8B"/>
    <w:rsid w:val="008D3FF6"/>
    <w:rsid w:val="008D4771"/>
    <w:rsid w:val="008D49F3"/>
    <w:rsid w:val="008D4B04"/>
    <w:rsid w:val="008D5162"/>
    <w:rsid w:val="008D51F9"/>
    <w:rsid w:val="008D55A1"/>
    <w:rsid w:val="008D571E"/>
    <w:rsid w:val="008D5C11"/>
    <w:rsid w:val="008D5CEA"/>
    <w:rsid w:val="008D615F"/>
    <w:rsid w:val="008D63AD"/>
    <w:rsid w:val="008D6A93"/>
    <w:rsid w:val="008D6ABD"/>
    <w:rsid w:val="008D6B03"/>
    <w:rsid w:val="008D6B88"/>
    <w:rsid w:val="008D6EE0"/>
    <w:rsid w:val="008D7F83"/>
    <w:rsid w:val="008E0151"/>
    <w:rsid w:val="008E0340"/>
    <w:rsid w:val="008E05DA"/>
    <w:rsid w:val="008E0A9C"/>
    <w:rsid w:val="008E0B3C"/>
    <w:rsid w:val="008E0BA9"/>
    <w:rsid w:val="008E0E52"/>
    <w:rsid w:val="008E1756"/>
    <w:rsid w:val="008E17A0"/>
    <w:rsid w:val="008E18DA"/>
    <w:rsid w:val="008E1C80"/>
    <w:rsid w:val="008E2441"/>
    <w:rsid w:val="008E2F30"/>
    <w:rsid w:val="008E31E8"/>
    <w:rsid w:val="008E32E5"/>
    <w:rsid w:val="008E373E"/>
    <w:rsid w:val="008E388E"/>
    <w:rsid w:val="008E3A33"/>
    <w:rsid w:val="008E3B19"/>
    <w:rsid w:val="008E3BA1"/>
    <w:rsid w:val="008E4105"/>
    <w:rsid w:val="008E41C7"/>
    <w:rsid w:val="008E4343"/>
    <w:rsid w:val="008E434C"/>
    <w:rsid w:val="008E49F2"/>
    <w:rsid w:val="008E4E20"/>
    <w:rsid w:val="008E5047"/>
    <w:rsid w:val="008E51ED"/>
    <w:rsid w:val="008E55AE"/>
    <w:rsid w:val="008E56DD"/>
    <w:rsid w:val="008E58EB"/>
    <w:rsid w:val="008E5D12"/>
    <w:rsid w:val="008E5FCA"/>
    <w:rsid w:val="008E6145"/>
    <w:rsid w:val="008E62BE"/>
    <w:rsid w:val="008E6372"/>
    <w:rsid w:val="008E6665"/>
    <w:rsid w:val="008E6698"/>
    <w:rsid w:val="008E70A2"/>
    <w:rsid w:val="008E725D"/>
    <w:rsid w:val="008E7266"/>
    <w:rsid w:val="008E7847"/>
    <w:rsid w:val="008E7A7E"/>
    <w:rsid w:val="008E7EBA"/>
    <w:rsid w:val="008E7FA4"/>
    <w:rsid w:val="008F062C"/>
    <w:rsid w:val="008F06B8"/>
    <w:rsid w:val="008F08A2"/>
    <w:rsid w:val="008F0992"/>
    <w:rsid w:val="008F0A06"/>
    <w:rsid w:val="008F0ABB"/>
    <w:rsid w:val="008F1214"/>
    <w:rsid w:val="008F1513"/>
    <w:rsid w:val="008F16E7"/>
    <w:rsid w:val="008F1880"/>
    <w:rsid w:val="008F2023"/>
    <w:rsid w:val="008F22A3"/>
    <w:rsid w:val="008F234C"/>
    <w:rsid w:val="008F2F06"/>
    <w:rsid w:val="008F378D"/>
    <w:rsid w:val="008F4678"/>
    <w:rsid w:val="008F4870"/>
    <w:rsid w:val="008F4A8B"/>
    <w:rsid w:val="008F4B27"/>
    <w:rsid w:val="008F4C7B"/>
    <w:rsid w:val="008F512E"/>
    <w:rsid w:val="008F523F"/>
    <w:rsid w:val="008F5422"/>
    <w:rsid w:val="008F548D"/>
    <w:rsid w:val="008F568C"/>
    <w:rsid w:val="008F58B6"/>
    <w:rsid w:val="008F668D"/>
    <w:rsid w:val="008F66BA"/>
    <w:rsid w:val="008F6857"/>
    <w:rsid w:val="008F70E2"/>
    <w:rsid w:val="008F70FE"/>
    <w:rsid w:val="008F71DD"/>
    <w:rsid w:val="008F72DB"/>
    <w:rsid w:val="008F752F"/>
    <w:rsid w:val="008F7C3E"/>
    <w:rsid w:val="009000FF"/>
    <w:rsid w:val="00900694"/>
    <w:rsid w:val="00900721"/>
    <w:rsid w:val="00900D71"/>
    <w:rsid w:val="009010EA"/>
    <w:rsid w:val="009014FA"/>
    <w:rsid w:val="009018D4"/>
    <w:rsid w:val="00901C4C"/>
    <w:rsid w:val="0090243E"/>
    <w:rsid w:val="00902472"/>
    <w:rsid w:val="00902DA4"/>
    <w:rsid w:val="00902E30"/>
    <w:rsid w:val="00902FEA"/>
    <w:rsid w:val="009030F1"/>
    <w:rsid w:val="009035A3"/>
    <w:rsid w:val="00903609"/>
    <w:rsid w:val="00903675"/>
    <w:rsid w:val="009037CE"/>
    <w:rsid w:val="009042A6"/>
    <w:rsid w:val="0090435F"/>
    <w:rsid w:val="00904974"/>
    <w:rsid w:val="0090512F"/>
    <w:rsid w:val="00905B0D"/>
    <w:rsid w:val="00906471"/>
    <w:rsid w:val="00906773"/>
    <w:rsid w:val="00906C25"/>
    <w:rsid w:val="00907052"/>
    <w:rsid w:val="009076A0"/>
    <w:rsid w:val="0090795A"/>
    <w:rsid w:val="0091073B"/>
    <w:rsid w:val="00910D0F"/>
    <w:rsid w:val="00910F55"/>
    <w:rsid w:val="009115C9"/>
    <w:rsid w:val="009116A0"/>
    <w:rsid w:val="00911B1C"/>
    <w:rsid w:val="009121EE"/>
    <w:rsid w:val="0091232F"/>
    <w:rsid w:val="00912539"/>
    <w:rsid w:val="009126D7"/>
    <w:rsid w:val="00912E8A"/>
    <w:rsid w:val="009131A6"/>
    <w:rsid w:val="00913641"/>
    <w:rsid w:val="009137B2"/>
    <w:rsid w:val="00913CA1"/>
    <w:rsid w:val="00913E08"/>
    <w:rsid w:val="009145F0"/>
    <w:rsid w:val="0091473E"/>
    <w:rsid w:val="00914B02"/>
    <w:rsid w:val="00915099"/>
    <w:rsid w:val="0091515A"/>
    <w:rsid w:val="00915192"/>
    <w:rsid w:val="009156A6"/>
    <w:rsid w:val="00915E40"/>
    <w:rsid w:val="00916636"/>
    <w:rsid w:val="009166AF"/>
    <w:rsid w:val="009166CD"/>
    <w:rsid w:val="00916814"/>
    <w:rsid w:val="00916970"/>
    <w:rsid w:val="00916CB6"/>
    <w:rsid w:val="00916E43"/>
    <w:rsid w:val="00916F00"/>
    <w:rsid w:val="0091738F"/>
    <w:rsid w:val="009207AD"/>
    <w:rsid w:val="009208F6"/>
    <w:rsid w:val="00920CFE"/>
    <w:rsid w:val="00920E62"/>
    <w:rsid w:val="009210BB"/>
    <w:rsid w:val="00921480"/>
    <w:rsid w:val="009214BC"/>
    <w:rsid w:val="00921C81"/>
    <w:rsid w:val="00921DF0"/>
    <w:rsid w:val="00921E36"/>
    <w:rsid w:val="00921ED2"/>
    <w:rsid w:val="009229BF"/>
    <w:rsid w:val="00922C54"/>
    <w:rsid w:val="00922D6F"/>
    <w:rsid w:val="009232A7"/>
    <w:rsid w:val="0092350D"/>
    <w:rsid w:val="00924203"/>
    <w:rsid w:val="00924389"/>
    <w:rsid w:val="009243BE"/>
    <w:rsid w:val="00924550"/>
    <w:rsid w:val="00924A40"/>
    <w:rsid w:val="00924BBA"/>
    <w:rsid w:val="00924BF2"/>
    <w:rsid w:val="00924CE1"/>
    <w:rsid w:val="00925A28"/>
    <w:rsid w:val="00925CB7"/>
    <w:rsid w:val="009262C4"/>
    <w:rsid w:val="009263A2"/>
    <w:rsid w:val="0092790F"/>
    <w:rsid w:val="00927A34"/>
    <w:rsid w:val="00927F63"/>
    <w:rsid w:val="0093002C"/>
    <w:rsid w:val="0093084C"/>
    <w:rsid w:val="009309BE"/>
    <w:rsid w:val="00930D47"/>
    <w:rsid w:val="00930EFF"/>
    <w:rsid w:val="00931046"/>
    <w:rsid w:val="009319CA"/>
    <w:rsid w:val="00931BFF"/>
    <w:rsid w:val="00932085"/>
    <w:rsid w:val="009321D3"/>
    <w:rsid w:val="009323BB"/>
    <w:rsid w:val="009325C9"/>
    <w:rsid w:val="00932CF4"/>
    <w:rsid w:val="00933080"/>
    <w:rsid w:val="0093339A"/>
    <w:rsid w:val="0093359C"/>
    <w:rsid w:val="00933891"/>
    <w:rsid w:val="009338D2"/>
    <w:rsid w:val="00933AB8"/>
    <w:rsid w:val="00933BD8"/>
    <w:rsid w:val="00933C95"/>
    <w:rsid w:val="00934144"/>
    <w:rsid w:val="009342E7"/>
    <w:rsid w:val="009344B3"/>
    <w:rsid w:val="009345B1"/>
    <w:rsid w:val="0093474B"/>
    <w:rsid w:val="00934875"/>
    <w:rsid w:val="009349ED"/>
    <w:rsid w:val="00934AA9"/>
    <w:rsid w:val="00934BA4"/>
    <w:rsid w:val="00934DB5"/>
    <w:rsid w:val="00934DCC"/>
    <w:rsid w:val="00934F2C"/>
    <w:rsid w:val="00935561"/>
    <w:rsid w:val="00935969"/>
    <w:rsid w:val="00935AB4"/>
    <w:rsid w:val="00935C0D"/>
    <w:rsid w:val="00935E40"/>
    <w:rsid w:val="009361FA"/>
    <w:rsid w:val="00936390"/>
    <w:rsid w:val="00936B74"/>
    <w:rsid w:val="00936DDB"/>
    <w:rsid w:val="009373E6"/>
    <w:rsid w:val="009373F4"/>
    <w:rsid w:val="00937CCD"/>
    <w:rsid w:val="00940110"/>
    <w:rsid w:val="009403A6"/>
    <w:rsid w:val="009405AA"/>
    <w:rsid w:val="009405B8"/>
    <w:rsid w:val="00940805"/>
    <w:rsid w:val="0094088E"/>
    <w:rsid w:val="00940E22"/>
    <w:rsid w:val="009412E2"/>
    <w:rsid w:val="0094145E"/>
    <w:rsid w:val="00941663"/>
    <w:rsid w:val="0094185D"/>
    <w:rsid w:val="00941E41"/>
    <w:rsid w:val="0094212F"/>
    <w:rsid w:val="00942180"/>
    <w:rsid w:val="0094246C"/>
    <w:rsid w:val="0094262A"/>
    <w:rsid w:val="00943247"/>
    <w:rsid w:val="00943625"/>
    <w:rsid w:val="00943870"/>
    <w:rsid w:val="00943B2F"/>
    <w:rsid w:val="0094404B"/>
    <w:rsid w:val="009440AC"/>
    <w:rsid w:val="00944486"/>
    <w:rsid w:val="0094487E"/>
    <w:rsid w:val="00944CD7"/>
    <w:rsid w:val="00944DB7"/>
    <w:rsid w:val="0094511F"/>
    <w:rsid w:val="0094514B"/>
    <w:rsid w:val="00945835"/>
    <w:rsid w:val="00945852"/>
    <w:rsid w:val="00945A38"/>
    <w:rsid w:val="00945C77"/>
    <w:rsid w:val="00945E7D"/>
    <w:rsid w:val="00945F01"/>
    <w:rsid w:val="00945F99"/>
    <w:rsid w:val="00946544"/>
    <w:rsid w:val="0094667C"/>
    <w:rsid w:val="009467B1"/>
    <w:rsid w:val="00946ACC"/>
    <w:rsid w:val="00946B6B"/>
    <w:rsid w:val="00946FED"/>
    <w:rsid w:val="009470A3"/>
    <w:rsid w:val="00947740"/>
    <w:rsid w:val="00947801"/>
    <w:rsid w:val="00947D2A"/>
    <w:rsid w:val="009507A9"/>
    <w:rsid w:val="00950C52"/>
    <w:rsid w:val="00951007"/>
    <w:rsid w:val="0095112F"/>
    <w:rsid w:val="009512A8"/>
    <w:rsid w:val="009517E8"/>
    <w:rsid w:val="00951C36"/>
    <w:rsid w:val="00952171"/>
    <w:rsid w:val="0095224C"/>
    <w:rsid w:val="00952C7E"/>
    <w:rsid w:val="00952FDE"/>
    <w:rsid w:val="00953097"/>
    <w:rsid w:val="009532DC"/>
    <w:rsid w:val="009536DF"/>
    <w:rsid w:val="00953CA0"/>
    <w:rsid w:val="00953D9C"/>
    <w:rsid w:val="0095410D"/>
    <w:rsid w:val="009543A4"/>
    <w:rsid w:val="009543F5"/>
    <w:rsid w:val="00954CCA"/>
    <w:rsid w:val="009551FA"/>
    <w:rsid w:val="0095563C"/>
    <w:rsid w:val="009565BA"/>
    <w:rsid w:val="009566B1"/>
    <w:rsid w:val="00956D6F"/>
    <w:rsid w:val="00956E76"/>
    <w:rsid w:val="00957015"/>
    <w:rsid w:val="0095728C"/>
    <w:rsid w:val="0095770A"/>
    <w:rsid w:val="00957784"/>
    <w:rsid w:val="0095780D"/>
    <w:rsid w:val="009602FA"/>
    <w:rsid w:val="00960675"/>
    <w:rsid w:val="00960C47"/>
    <w:rsid w:val="00960EE4"/>
    <w:rsid w:val="009611AA"/>
    <w:rsid w:val="00961324"/>
    <w:rsid w:val="009616B8"/>
    <w:rsid w:val="00961976"/>
    <w:rsid w:val="00961ACE"/>
    <w:rsid w:val="00961B83"/>
    <w:rsid w:val="00961DDA"/>
    <w:rsid w:val="0096209F"/>
    <w:rsid w:val="00962164"/>
    <w:rsid w:val="0096246E"/>
    <w:rsid w:val="00962644"/>
    <w:rsid w:val="009627D6"/>
    <w:rsid w:val="00962952"/>
    <w:rsid w:val="00962B84"/>
    <w:rsid w:val="00962D39"/>
    <w:rsid w:val="00962E6A"/>
    <w:rsid w:val="009635F2"/>
    <w:rsid w:val="009636A1"/>
    <w:rsid w:val="009636FB"/>
    <w:rsid w:val="00963B0E"/>
    <w:rsid w:val="009640BE"/>
    <w:rsid w:val="009642AA"/>
    <w:rsid w:val="00964588"/>
    <w:rsid w:val="00964A18"/>
    <w:rsid w:val="00964B68"/>
    <w:rsid w:val="00964F5B"/>
    <w:rsid w:val="009650EB"/>
    <w:rsid w:val="009651B1"/>
    <w:rsid w:val="00965AE7"/>
    <w:rsid w:val="00965BEA"/>
    <w:rsid w:val="00965D2B"/>
    <w:rsid w:val="0096626A"/>
    <w:rsid w:val="00967226"/>
    <w:rsid w:val="009674DD"/>
    <w:rsid w:val="00967788"/>
    <w:rsid w:val="00970376"/>
    <w:rsid w:val="009704D9"/>
    <w:rsid w:val="0097079A"/>
    <w:rsid w:val="00970A0A"/>
    <w:rsid w:val="00970D0A"/>
    <w:rsid w:val="00971300"/>
    <w:rsid w:val="009714CB"/>
    <w:rsid w:val="009722DD"/>
    <w:rsid w:val="00972C24"/>
    <w:rsid w:val="00972D93"/>
    <w:rsid w:val="00972DFD"/>
    <w:rsid w:val="00972E3F"/>
    <w:rsid w:val="00972EA7"/>
    <w:rsid w:val="00973151"/>
    <w:rsid w:val="00973353"/>
    <w:rsid w:val="0097359E"/>
    <w:rsid w:val="009739B4"/>
    <w:rsid w:val="00973D72"/>
    <w:rsid w:val="00973DD5"/>
    <w:rsid w:val="00973E59"/>
    <w:rsid w:val="00973FBD"/>
    <w:rsid w:val="009747E6"/>
    <w:rsid w:val="00975189"/>
    <w:rsid w:val="00975794"/>
    <w:rsid w:val="00975939"/>
    <w:rsid w:val="00975992"/>
    <w:rsid w:val="00975C12"/>
    <w:rsid w:val="0097686F"/>
    <w:rsid w:val="00976914"/>
    <w:rsid w:val="00976FB2"/>
    <w:rsid w:val="00977631"/>
    <w:rsid w:val="0097774D"/>
    <w:rsid w:val="009778B1"/>
    <w:rsid w:val="00977A09"/>
    <w:rsid w:val="00977D26"/>
    <w:rsid w:val="00977EB4"/>
    <w:rsid w:val="00980006"/>
    <w:rsid w:val="0098060B"/>
    <w:rsid w:val="00980773"/>
    <w:rsid w:val="00980A8E"/>
    <w:rsid w:val="00980F4B"/>
    <w:rsid w:val="009810BD"/>
    <w:rsid w:val="00981684"/>
    <w:rsid w:val="00981759"/>
    <w:rsid w:val="009822A8"/>
    <w:rsid w:val="00982E54"/>
    <w:rsid w:val="009834FF"/>
    <w:rsid w:val="009838F6"/>
    <w:rsid w:val="00983B6F"/>
    <w:rsid w:val="009845F2"/>
    <w:rsid w:val="009849E2"/>
    <w:rsid w:val="00984A06"/>
    <w:rsid w:val="00984C3E"/>
    <w:rsid w:val="00984FB1"/>
    <w:rsid w:val="009853EF"/>
    <w:rsid w:val="009854DC"/>
    <w:rsid w:val="0098571C"/>
    <w:rsid w:val="00985928"/>
    <w:rsid w:val="00985DA8"/>
    <w:rsid w:val="009860F1"/>
    <w:rsid w:val="009866B4"/>
    <w:rsid w:val="00987A09"/>
    <w:rsid w:val="00987B87"/>
    <w:rsid w:val="00987D11"/>
    <w:rsid w:val="00987D55"/>
    <w:rsid w:val="00987EE0"/>
    <w:rsid w:val="0099064A"/>
    <w:rsid w:val="00990A5A"/>
    <w:rsid w:val="00990B6B"/>
    <w:rsid w:val="00990BC9"/>
    <w:rsid w:val="00990C55"/>
    <w:rsid w:val="00990CC4"/>
    <w:rsid w:val="00991522"/>
    <w:rsid w:val="00991AA9"/>
    <w:rsid w:val="00991EE8"/>
    <w:rsid w:val="00991F7A"/>
    <w:rsid w:val="00992E61"/>
    <w:rsid w:val="00992FC6"/>
    <w:rsid w:val="009930AD"/>
    <w:rsid w:val="0099370A"/>
    <w:rsid w:val="00993A76"/>
    <w:rsid w:val="00993D5B"/>
    <w:rsid w:val="00994212"/>
    <w:rsid w:val="0099535D"/>
    <w:rsid w:val="009953F9"/>
    <w:rsid w:val="00995BD3"/>
    <w:rsid w:val="00995D64"/>
    <w:rsid w:val="00995F32"/>
    <w:rsid w:val="0099628D"/>
    <w:rsid w:val="009964AF"/>
    <w:rsid w:val="00996958"/>
    <w:rsid w:val="009969D2"/>
    <w:rsid w:val="00996A30"/>
    <w:rsid w:val="00996A9B"/>
    <w:rsid w:val="00996C26"/>
    <w:rsid w:val="00996F15"/>
    <w:rsid w:val="00996F18"/>
    <w:rsid w:val="00996FD3"/>
    <w:rsid w:val="00997020"/>
    <w:rsid w:val="0099720D"/>
    <w:rsid w:val="009972F4"/>
    <w:rsid w:val="00997340"/>
    <w:rsid w:val="009973DA"/>
    <w:rsid w:val="009975F8"/>
    <w:rsid w:val="0099787D"/>
    <w:rsid w:val="00997E66"/>
    <w:rsid w:val="009A0131"/>
    <w:rsid w:val="009A0CDB"/>
    <w:rsid w:val="009A1206"/>
    <w:rsid w:val="009A15F6"/>
    <w:rsid w:val="009A1E7D"/>
    <w:rsid w:val="009A1EBD"/>
    <w:rsid w:val="009A2860"/>
    <w:rsid w:val="009A28F9"/>
    <w:rsid w:val="009A306D"/>
    <w:rsid w:val="009A5415"/>
    <w:rsid w:val="009A589D"/>
    <w:rsid w:val="009A60D2"/>
    <w:rsid w:val="009A64D4"/>
    <w:rsid w:val="009A663B"/>
    <w:rsid w:val="009A6970"/>
    <w:rsid w:val="009A6BE8"/>
    <w:rsid w:val="009A6D22"/>
    <w:rsid w:val="009A710D"/>
    <w:rsid w:val="009A7A21"/>
    <w:rsid w:val="009A7B89"/>
    <w:rsid w:val="009B0D23"/>
    <w:rsid w:val="009B1144"/>
    <w:rsid w:val="009B13F1"/>
    <w:rsid w:val="009B1543"/>
    <w:rsid w:val="009B1B66"/>
    <w:rsid w:val="009B1DD8"/>
    <w:rsid w:val="009B2310"/>
    <w:rsid w:val="009B26B6"/>
    <w:rsid w:val="009B30F2"/>
    <w:rsid w:val="009B316A"/>
    <w:rsid w:val="009B3274"/>
    <w:rsid w:val="009B45E5"/>
    <w:rsid w:val="009B475E"/>
    <w:rsid w:val="009B4F71"/>
    <w:rsid w:val="009B59BD"/>
    <w:rsid w:val="009B5E31"/>
    <w:rsid w:val="009B60A8"/>
    <w:rsid w:val="009B6340"/>
    <w:rsid w:val="009B6D5F"/>
    <w:rsid w:val="009B762C"/>
    <w:rsid w:val="009B76EB"/>
    <w:rsid w:val="009B78B2"/>
    <w:rsid w:val="009B790D"/>
    <w:rsid w:val="009C0027"/>
    <w:rsid w:val="009C01AF"/>
    <w:rsid w:val="009C0360"/>
    <w:rsid w:val="009C0467"/>
    <w:rsid w:val="009C05FB"/>
    <w:rsid w:val="009C061F"/>
    <w:rsid w:val="009C0BF9"/>
    <w:rsid w:val="009C10E2"/>
    <w:rsid w:val="009C111A"/>
    <w:rsid w:val="009C15A7"/>
    <w:rsid w:val="009C1644"/>
    <w:rsid w:val="009C1819"/>
    <w:rsid w:val="009C2112"/>
    <w:rsid w:val="009C2677"/>
    <w:rsid w:val="009C28A4"/>
    <w:rsid w:val="009C29C5"/>
    <w:rsid w:val="009C39DC"/>
    <w:rsid w:val="009C4243"/>
    <w:rsid w:val="009C433F"/>
    <w:rsid w:val="009C46C3"/>
    <w:rsid w:val="009C4B49"/>
    <w:rsid w:val="009C4BBD"/>
    <w:rsid w:val="009C50F2"/>
    <w:rsid w:val="009C5A83"/>
    <w:rsid w:val="009C5BE8"/>
    <w:rsid w:val="009C63CA"/>
    <w:rsid w:val="009C6553"/>
    <w:rsid w:val="009C65B6"/>
    <w:rsid w:val="009C670F"/>
    <w:rsid w:val="009C7201"/>
    <w:rsid w:val="009C7470"/>
    <w:rsid w:val="009C75E5"/>
    <w:rsid w:val="009C763A"/>
    <w:rsid w:val="009C763B"/>
    <w:rsid w:val="009C780C"/>
    <w:rsid w:val="009C79F5"/>
    <w:rsid w:val="009C7BCF"/>
    <w:rsid w:val="009C7C7D"/>
    <w:rsid w:val="009D0D89"/>
    <w:rsid w:val="009D0EF7"/>
    <w:rsid w:val="009D0F6E"/>
    <w:rsid w:val="009D13F0"/>
    <w:rsid w:val="009D16BD"/>
    <w:rsid w:val="009D1E6A"/>
    <w:rsid w:val="009D20EF"/>
    <w:rsid w:val="009D23BD"/>
    <w:rsid w:val="009D264E"/>
    <w:rsid w:val="009D3098"/>
    <w:rsid w:val="009D3317"/>
    <w:rsid w:val="009D34EB"/>
    <w:rsid w:val="009D35CC"/>
    <w:rsid w:val="009D3882"/>
    <w:rsid w:val="009D3B8C"/>
    <w:rsid w:val="009D3C67"/>
    <w:rsid w:val="009D3EDE"/>
    <w:rsid w:val="009D3EEE"/>
    <w:rsid w:val="009D41F4"/>
    <w:rsid w:val="009D4667"/>
    <w:rsid w:val="009D4890"/>
    <w:rsid w:val="009D54A2"/>
    <w:rsid w:val="009D574A"/>
    <w:rsid w:val="009D58C0"/>
    <w:rsid w:val="009D5FDF"/>
    <w:rsid w:val="009D64BB"/>
    <w:rsid w:val="009D650F"/>
    <w:rsid w:val="009D6807"/>
    <w:rsid w:val="009D6973"/>
    <w:rsid w:val="009D7136"/>
    <w:rsid w:val="009D7338"/>
    <w:rsid w:val="009D7481"/>
    <w:rsid w:val="009D7EF4"/>
    <w:rsid w:val="009E0BF3"/>
    <w:rsid w:val="009E0DFD"/>
    <w:rsid w:val="009E1177"/>
    <w:rsid w:val="009E1E11"/>
    <w:rsid w:val="009E1E7B"/>
    <w:rsid w:val="009E1E81"/>
    <w:rsid w:val="009E2009"/>
    <w:rsid w:val="009E2CEF"/>
    <w:rsid w:val="009E3044"/>
    <w:rsid w:val="009E31D9"/>
    <w:rsid w:val="009E3BCF"/>
    <w:rsid w:val="009E4065"/>
    <w:rsid w:val="009E43AE"/>
    <w:rsid w:val="009E46FB"/>
    <w:rsid w:val="009E48C8"/>
    <w:rsid w:val="009E4BC5"/>
    <w:rsid w:val="009E5047"/>
    <w:rsid w:val="009E542B"/>
    <w:rsid w:val="009E5F08"/>
    <w:rsid w:val="009E67B2"/>
    <w:rsid w:val="009E6922"/>
    <w:rsid w:val="009E739E"/>
    <w:rsid w:val="009E7657"/>
    <w:rsid w:val="009E7746"/>
    <w:rsid w:val="009E79B6"/>
    <w:rsid w:val="009E7DB6"/>
    <w:rsid w:val="009F014B"/>
    <w:rsid w:val="009F02E8"/>
    <w:rsid w:val="009F036E"/>
    <w:rsid w:val="009F045D"/>
    <w:rsid w:val="009F04BC"/>
    <w:rsid w:val="009F0BAA"/>
    <w:rsid w:val="009F0FA7"/>
    <w:rsid w:val="009F1393"/>
    <w:rsid w:val="009F149D"/>
    <w:rsid w:val="009F17BE"/>
    <w:rsid w:val="009F2075"/>
    <w:rsid w:val="009F22BB"/>
    <w:rsid w:val="009F249A"/>
    <w:rsid w:val="009F2641"/>
    <w:rsid w:val="009F265B"/>
    <w:rsid w:val="009F27A7"/>
    <w:rsid w:val="009F281C"/>
    <w:rsid w:val="009F2DA8"/>
    <w:rsid w:val="009F38B8"/>
    <w:rsid w:val="009F3985"/>
    <w:rsid w:val="009F3AB1"/>
    <w:rsid w:val="009F3E59"/>
    <w:rsid w:val="009F3F94"/>
    <w:rsid w:val="009F42E8"/>
    <w:rsid w:val="009F4323"/>
    <w:rsid w:val="009F4409"/>
    <w:rsid w:val="009F4EF2"/>
    <w:rsid w:val="009F5137"/>
    <w:rsid w:val="009F5B8D"/>
    <w:rsid w:val="009F63D3"/>
    <w:rsid w:val="009F65B8"/>
    <w:rsid w:val="009F694B"/>
    <w:rsid w:val="009F6985"/>
    <w:rsid w:val="009F6F66"/>
    <w:rsid w:val="009F6FA3"/>
    <w:rsid w:val="009F70DA"/>
    <w:rsid w:val="009F72DF"/>
    <w:rsid w:val="009F7471"/>
    <w:rsid w:val="009F7AB4"/>
    <w:rsid w:val="009F7AC0"/>
    <w:rsid w:val="00A00112"/>
    <w:rsid w:val="00A0069D"/>
    <w:rsid w:val="00A00A10"/>
    <w:rsid w:val="00A00B20"/>
    <w:rsid w:val="00A01001"/>
    <w:rsid w:val="00A01812"/>
    <w:rsid w:val="00A0185B"/>
    <w:rsid w:val="00A01E1B"/>
    <w:rsid w:val="00A02035"/>
    <w:rsid w:val="00A02044"/>
    <w:rsid w:val="00A020D8"/>
    <w:rsid w:val="00A021C4"/>
    <w:rsid w:val="00A02312"/>
    <w:rsid w:val="00A02492"/>
    <w:rsid w:val="00A02544"/>
    <w:rsid w:val="00A02754"/>
    <w:rsid w:val="00A02A3E"/>
    <w:rsid w:val="00A02AFE"/>
    <w:rsid w:val="00A03D4C"/>
    <w:rsid w:val="00A03F93"/>
    <w:rsid w:val="00A041CB"/>
    <w:rsid w:val="00A044DE"/>
    <w:rsid w:val="00A04B5F"/>
    <w:rsid w:val="00A04D9C"/>
    <w:rsid w:val="00A057F6"/>
    <w:rsid w:val="00A0639D"/>
    <w:rsid w:val="00A06488"/>
    <w:rsid w:val="00A064C4"/>
    <w:rsid w:val="00A06781"/>
    <w:rsid w:val="00A067FD"/>
    <w:rsid w:val="00A0684D"/>
    <w:rsid w:val="00A068C2"/>
    <w:rsid w:val="00A06C22"/>
    <w:rsid w:val="00A06C28"/>
    <w:rsid w:val="00A0775B"/>
    <w:rsid w:val="00A079FD"/>
    <w:rsid w:val="00A07C68"/>
    <w:rsid w:val="00A1029C"/>
    <w:rsid w:val="00A1043B"/>
    <w:rsid w:val="00A1053E"/>
    <w:rsid w:val="00A1054B"/>
    <w:rsid w:val="00A10580"/>
    <w:rsid w:val="00A10AEE"/>
    <w:rsid w:val="00A11273"/>
    <w:rsid w:val="00A11F61"/>
    <w:rsid w:val="00A125B4"/>
    <w:rsid w:val="00A12715"/>
    <w:rsid w:val="00A12759"/>
    <w:rsid w:val="00A12823"/>
    <w:rsid w:val="00A12D5D"/>
    <w:rsid w:val="00A13A6F"/>
    <w:rsid w:val="00A13B9D"/>
    <w:rsid w:val="00A13C37"/>
    <w:rsid w:val="00A13C8B"/>
    <w:rsid w:val="00A14090"/>
    <w:rsid w:val="00A14224"/>
    <w:rsid w:val="00A143FD"/>
    <w:rsid w:val="00A14849"/>
    <w:rsid w:val="00A14A69"/>
    <w:rsid w:val="00A14B36"/>
    <w:rsid w:val="00A14C84"/>
    <w:rsid w:val="00A14D00"/>
    <w:rsid w:val="00A15FB2"/>
    <w:rsid w:val="00A15FE0"/>
    <w:rsid w:val="00A16458"/>
    <w:rsid w:val="00A16E1F"/>
    <w:rsid w:val="00A16F8F"/>
    <w:rsid w:val="00A16FCE"/>
    <w:rsid w:val="00A17198"/>
    <w:rsid w:val="00A17BD2"/>
    <w:rsid w:val="00A20688"/>
    <w:rsid w:val="00A2085E"/>
    <w:rsid w:val="00A20C80"/>
    <w:rsid w:val="00A2123F"/>
    <w:rsid w:val="00A21C47"/>
    <w:rsid w:val="00A21C65"/>
    <w:rsid w:val="00A21D59"/>
    <w:rsid w:val="00A22119"/>
    <w:rsid w:val="00A22482"/>
    <w:rsid w:val="00A22875"/>
    <w:rsid w:val="00A23501"/>
    <w:rsid w:val="00A238C5"/>
    <w:rsid w:val="00A23D33"/>
    <w:rsid w:val="00A248F0"/>
    <w:rsid w:val="00A24CF6"/>
    <w:rsid w:val="00A26002"/>
    <w:rsid w:val="00A260D2"/>
    <w:rsid w:val="00A263D7"/>
    <w:rsid w:val="00A2651A"/>
    <w:rsid w:val="00A267EA"/>
    <w:rsid w:val="00A26B6F"/>
    <w:rsid w:val="00A279A1"/>
    <w:rsid w:val="00A27BEC"/>
    <w:rsid w:val="00A27D57"/>
    <w:rsid w:val="00A27D83"/>
    <w:rsid w:val="00A304FC"/>
    <w:rsid w:val="00A30511"/>
    <w:rsid w:val="00A3052A"/>
    <w:rsid w:val="00A30BCE"/>
    <w:rsid w:val="00A30C72"/>
    <w:rsid w:val="00A30CB1"/>
    <w:rsid w:val="00A313C9"/>
    <w:rsid w:val="00A3162C"/>
    <w:rsid w:val="00A32272"/>
    <w:rsid w:val="00A32353"/>
    <w:rsid w:val="00A32367"/>
    <w:rsid w:val="00A32810"/>
    <w:rsid w:val="00A329F4"/>
    <w:rsid w:val="00A32B47"/>
    <w:rsid w:val="00A32FA7"/>
    <w:rsid w:val="00A33A8D"/>
    <w:rsid w:val="00A34CF5"/>
    <w:rsid w:val="00A34DAB"/>
    <w:rsid w:val="00A35518"/>
    <w:rsid w:val="00A3551A"/>
    <w:rsid w:val="00A355DC"/>
    <w:rsid w:val="00A357DE"/>
    <w:rsid w:val="00A3616C"/>
    <w:rsid w:val="00A369C3"/>
    <w:rsid w:val="00A36DD5"/>
    <w:rsid w:val="00A3702E"/>
    <w:rsid w:val="00A3706F"/>
    <w:rsid w:val="00A37579"/>
    <w:rsid w:val="00A376FE"/>
    <w:rsid w:val="00A378E9"/>
    <w:rsid w:val="00A379FD"/>
    <w:rsid w:val="00A37B2F"/>
    <w:rsid w:val="00A40307"/>
    <w:rsid w:val="00A40368"/>
    <w:rsid w:val="00A40AC4"/>
    <w:rsid w:val="00A40D7B"/>
    <w:rsid w:val="00A4172B"/>
    <w:rsid w:val="00A41FA5"/>
    <w:rsid w:val="00A421AD"/>
    <w:rsid w:val="00A42275"/>
    <w:rsid w:val="00A42383"/>
    <w:rsid w:val="00A42C5C"/>
    <w:rsid w:val="00A42EAE"/>
    <w:rsid w:val="00A43021"/>
    <w:rsid w:val="00A434B5"/>
    <w:rsid w:val="00A43A0D"/>
    <w:rsid w:val="00A43BB0"/>
    <w:rsid w:val="00A44429"/>
    <w:rsid w:val="00A4468C"/>
    <w:rsid w:val="00A4554D"/>
    <w:rsid w:val="00A458EC"/>
    <w:rsid w:val="00A459A1"/>
    <w:rsid w:val="00A45BB8"/>
    <w:rsid w:val="00A4603D"/>
    <w:rsid w:val="00A4603E"/>
    <w:rsid w:val="00A46201"/>
    <w:rsid w:val="00A462F5"/>
    <w:rsid w:val="00A46A3C"/>
    <w:rsid w:val="00A46AD5"/>
    <w:rsid w:val="00A46D1B"/>
    <w:rsid w:val="00A46D58"/>
    <w:rsid w:val="00A4726B"/>
    <w:rsid w:val="00A47BC3"/>
    <w:rsid w:val="00A47D0A"/>
    <w:rsid w:val="00A5031E"/>
    <w:rsid w:val="00A5037C"/>
    <w:rsid w:val="00A505DA"/>
    <w:rsid w:val="00A508AE"/>
    <w:rsid w:val="00A50DE4"/>
    <w:rsid w:val="00A50F83"/>
    <w:rsid w:val="00A510D7"/>
    <w:rsid w:val="00A5165F"/>
    <w:rsid w:val="00A516D1"/>
    <w:rsid w:val="00A51960"/>
    <w:rsid w:val="00A51B24"/>
    <w:rsid w:val="00A51D3C"/>
    <w:rsid w:val="00A52370"/>
    <w:rsid w:val="00A53203"/>
    <w:rsid w:val="00A5333B"/>
    <w:rsid w:val="00A53421"/>
    <w:rsid w:val="00A537E9"/>
    <w:rsid w:val="00A538C4"/>
    <w:rsid w:val="00A538E1"/>
    <w:rsid w:val="00A539A0"/>
    <w:rsid w:val="00A53F4D"/>
    <w:rsid w:val="00A543B3"/>
    <w:rsid w:val="00A5468F"/>
    <w:rsid w:val="00A549C4"/>
    <w:rsid w:val="00A55000"/>
    <w:rsid w:val="00A55047"/>
    <w:rsid w:val="00A55372"/>
    <w:rsid w:val="00A555D0"/>
    <w:rsid w:val="00A56183"/>
    <w:rsid w:val="00A575B1"/>
    <w:rsid w:val="00A57771"/>
    <w:rsid w:val="00A577CC"/>
    <w:rsid w:val="00A57A71"/>
    <w:rsid w:val="00A57A9A"/>
    <w:rsid w:val="00A601EF"/>
    <w:rsid w:val="00A605DD"/>
    <w:rsid w:val="00A606C7"/>
    <w:rsid w:val="00A60908"/>
    <w:rsid w:val="00A60E6A"/>
    <w:rsid w:val="00A60F0F"/>
    <w:rsid w:val="00A60F3D"/>
    <w:rsid w:val="00A610D4"/>
    <w:rsid w:val="00A6113D"/>
    <w:rsid w:val="00A6155C"/>
    <w:rsid w:val="00A6158F"/>
    <w:rsid w:val="00A6159E"/>
    <w:rsid w:val="00A61673"/>
    <w:rsid w:val="00A62452"/>
    <w:rsid w:val="00A6298A"/>
    <w:rsid w:val="00A62B4C"/>
    <w:rsid w:val="00A63449"/>
    <w:rsid w:val="00A63651"/>
    <w:rsid w:val="00A63CAD"/>
    <w:rsid w:val="00A63D95"/>
    <w:rsid w:val="00A63F93"/>
    <w:rsid w:val="00A64296"/>
    <w:rsid w:val="00A64620"/>
    <w:rsid w:val="00A64AF0"/>
    <w:rsid w:val="00A64F3D"/>
    <w:rsid w:val="00A650C6"/>
    <w:rsid w:val="00A658DC"/>
    <w:rsid w:val="00A65BBC"/>
    <w:rsid w:val="00A65E83"/>
    <w:rsid w:val="00A660AB"/>
    <w:rsid w:val="00A66129"/>
    <w:rsid w:val="00A663FF"/>
    <w:rsid w:val="00A666A2"/>
    <w:rsid w:val="00A66AA3"/>
    <w:rsid w:val="00A66DCD"/>
    <w:rsid w:val="00A672CD"/>
    <w:rsid w:val="00A673A9"/>
    <w:rsid w:val="00A673E5"/>
    <w:rsid w:val="00A677E5"/>
    <w:rsid w:val="00A67BF0"/>
    <w:rsid w:val="00A67F4C"/>
    <w:rsid w:val="00A70572"/>
    <w:rsid w:val="00A70F0D"/>
    <w:rsid w:val="00A711BE"/>
    <w:rsid w:val="00A71A8E"/>
    <w:rsid w:val="00A71CC6"/>
    <w:rsid w:val="00A72661"/>
    <w:rsid w:val="00A72AC4"/>
    <w:rsid w:val="00A72CD3"/>
    <w:rsid w:val="00A72F6E"/>
    <w:rsid w:val="00A73428"/>
    <w:rsid w:val="00A7368E"/>
    <w:rsid w:val="00A73B4E"/>
    <w:rsid w:val="00A73C00"/>
    <w:rsid w:val="00A73C3C"/>
    <w:rsid w:val="00A73DF4"/>
    <w:rsid w:val="00A73FF7"/>
    <w:rsid w:val="00A74260"/>
    <w:rsid w:val="00A74798"/>
    <w:rsid w:val="00A75326"/>
    <w:rsid w:val="00A757B4"/>
    <w:rsid w:val="00A75DDE"/>
    <w:rsid w:val="00A75E4A"/>
    <w:rsid w:val="00A75F09"/>
    <w:rsid w:val="00A764EE"/>
    <w:rsid w:val="00A76554"/>
    <w:rsid w:val="00A76700"/>
    <w:rsid w:val="00A76D1D"/>
    <w:rsid w:val="00A76FBC"/>
    <w:rsid w:val="00A772E6"/>
    <w:rsid w:val="00A77565"/>
    <w:rsid w:val="00A77D3A"/>
    <w:rsid w:val="00A80201"/>
    <w:rsid w:val="00A81D82"/>
    <w:rsid w:val="00A824FB"/>
    <w:rsid w:val="00A828B0"/>
    <w:rsid w:val="00A828C5"/>
    <w:rsid w:val="00A82CAB"/>
    <w:rsid w:val="00A82E0D"/>
    <w:rsid w:val="00A82F90"/>
    <w:rsid w:val="00A83379"/>
    <w:rsid w:val="00A83BF9"/>
    <w:rsid w:val="00A83D72"/>
    <w:rsid w:val="00A841EC"/>
    <w:rsid w:val="00A842E4"/>
    <w:rsid w:val="00A8469C"/>
    <w:rsid w:val="00A84E6B"/>
    <w:rsid w:val="00A84F20"/>
    <w:rsid w:val="00A8583E"/>
    <w:rsid w:val="00A85B32"/>
    <w:rsid w:val="00A85CBD"/>
    <w:rsid w:val="00A85E17"/>
    <w:rsid w:val="00A861D5"/>
    <w:rsid w:val="00A865E8"/>
    <w:rsid w:val="00A86A75"/>
    <w:rsid w:val="00A86BEB"/>
    <w:rsid w:val="00A86C99"/>
    <w:rsid w:val="00A86FC1"/>
    <w:rsid w:val="00A87D81"/>
    <w:rsid w:val="00A87F1A"/>
    <w:rsid w:val="00A90165"/>
    <w:rsid w:val="00A9146E"/>
    <w:rsid w:val="00A918E1"/>
    <w:rsid w:val="00A91E43"/>
    <w:rsid w:val="00A92092"/>
    <w:rsid w:val="00A925DB"/>
    <w:rsid w:val="00A92B84"/>
    <w:rsid w:val="00A9343E"/>
    <w:rsid w:val="00A934CB"/>
    <w:rsid w:val="00A93700"/>
    <w:rsid w:val="00A938FF"/>
    <w:rsid w:val="00A93E1C"/>
    <w:rsid w:val="00A9451D"/>
    <w:rsid w:val="00A9461E"/>
    <w:rsid w:val="00A9483C"/>
    <w:rsid w:val="00A94BCE"/>
    <w:rsid w:val="00A9532E"/>
    <w:rsid w:val="00A95AA9"/>
    <w:rsid w:val="00A96B04"/>
    <w:rsid w:val="00A96D86"/>
    <w:rsid w:val="00A96E32"/>
    <w:rsid w:val="00A97199"/>
    <w:rsid w:val="00A97BB9"/>
    <w:rsid w:val="00A97ED3"/>
    <w:rsid w:val="00A97F7A"/>
    <w:rsid w:val="00AA09E0"/>
    <w:rsid w:val="00AA0FCF"/>
    <w:rsid w:val="00AA1CBB"/>
    <w:rsid w:val="00AA1DDE"/>
    <w:rsid w:val="00AA20F0"/>
    <w:rsid w:val="00AA25E6"/>
    <w:rsid w:val="00AA296A"/>
    <w:rsid w:val="00AA29C2"/>
    <w:rsid w:val="00AA2B3E"/>
    <w:rsid w:val="00AA2E68"/>
    <w:rsid w:val="00AA3108"/>
    <w:rsid w:val="00AA3298"/>
    <w:rsid w:val="00AA33B0"/>
    <w:rsid w:val="00AA33F4"/>
    <w:rsid w:val="00AA3440"/>
    <w:rsid w:val="00AA3764"/>
    <w:rsid w:val="00AA3E0C"/>
    <w:rsid w:val="00AA42F6"/>
    <w:rsid w:val="00AA4329"/>
    <w:rsid w:val="00AA4D27"/>
    <w:rsid w:val="00AA50C7"/>
    <w:rsid w:val="00AA53D3"/>
    <w:rsid w:val="00AA5CB1"/>
    <w:rsid w:val="00AA64CC"/>
    <w:rsid w:val="00AA7207"/>
    <w:rsid w:val="00AA73DB"/>
    <w:rsid w:val="00AB0787"/>
    <w:rsid w:val="00AB07A1"/>
    <w:rsid w:val="00AB0D12"/>
    <w:rsid w:val="00AB0D4E"/>
    <w:rsid w:val="00AB0E9F"/>
    <w:rsid w:val="00AB10F1"/>
    <w:rsid w:val="00AB12FE"/>
    <w:rsid w:val="00AB1573"/>
    <w:rsid w:val="00AB15FB"/>
    <w:rsid w:val="00AB1705"/>
    <w:rsid w:val="00AB18AD"/>
    <w:rsid w:val="00AB21E3"/>
    <w:rsid w:val="00AB2A3B"/>
    <w:rsid w:val="00AB2D04"/>
    <w:rsid w:val="00AB2DE2"/>
    <w:rsid w:val="00AB2E34"/>
    <w:rsid w:val="00AB320F"/>
    <w:rsid w:val="00AB32BF"/>
    <w:rsid w:val="00AB36C5"/>
    <w:rsid w:val="00AB3B9D"/>
    <w:rsid w:val="00AB4169"/>
    <w:rsid w:val="00AB416D"/>
    <w:rsid w:val="00AB45FE"/>
    <w:rsid w:val="00AB4973"/>
    <w:rsid w:val="00AB4B23"/>
    <w:rsid w:val="00AB554A"/>
    <w:rsid w:val="00AB573D"/>
    <w:rsid w:val="00AB5DA9"/>
    <w:rsid w:val="00AB5F7E"/>
    <w:rsid w:val="00AB684A"/>
    <w:rsid w:val="00AB706A"/>
    <w:rsid w:val="00AB7EE1"/>
    <w:rsid w:val="00AC0307"/>
    <w:rsid w:val="00AC0B70"/>
    <w:rsid w:val="00AC0FD4"/>
    <w:rsid w:val="00AC1072"/>
    <w:rsid w:val="00AC1320"/>
    <w:rsid w:val="00AC1A03"/>
    <w:rsid w:val="00AC1BD0"/>
    <w:rsid w:val="00AC1C25"/>
    <w:rsid w:val="00AC1DDF"/>
    <w:rsid w:val="00AC2295"/>
    <w:rsid w:val="00AC22F3"/>
    <w:rsid w:val="00AC23AE"/>
    <w:rsid w:val="00AC2C06"/>
    <w:rsid w:val="00AC2C92"/>
    <w:rsid w:val="00AC302B"/>
    <w:rsid w:val="00AC3232"/>
    <w:rsid w:val="00AC344B"/>
    <w:rsid w:val="00AC34AD"/>
    <w:rsid w:val="00AC3629"/>
    <w:rsid w:val="00AC3951"/>
    <w:rsid w:val="00AC4113"/>
    <w:rsid w:val="00AC415E"/>
    <w:rsid w:val="00AC4584"/>
    <w:rsid w:val="00AC4D66"/>
    <w:rsid w:val="00AC5067"/>
    <w:rsid w:val="00AC55EC"/>
    <w:rsid w:val="00AC56D2"/>
    <w:rsid w:val="00AC5B48"/>
    <w:rsid w:val="00AC60D4"/>
    <w:rsid w:val="00AC6356"/>
    <w:rsid w:val="00AC652C"/>
    <w:rsid w:val="00AC66B6"/>
    <w:rsid w:val="00AC6B67"/>
    <w:rsid w:val="00AC6D35"/>
    <w:rsid w:val="00AC6E79"/>
    <w:rsid w:val="00AC6F70"/>
    <w:rsid w:val="00AC6F92"/>
    <w:rsid w:val="00AC7013"/>
    <w:rsid w:val="00AC75C6"/>
    <w:rsid w:val="00AC77A7"/>
    <w:rsid w:val="00AC7CA7"/>
    <w:rsid w:val="00AC7EA0"/>
    <w:rsid w:val="00AD07B7"/>
    <w:rsid w:val="00AD0AC8"/>
    <w:rsid w:val="00AD0B97"/>
    <w:rsid w:val="00AD10C3"/>
    <w:rsid w:val="00AD128E"/>
    <w:rsid w:val="00AD1487"/>
    <w:rsid w:val="00AD1981"/>
    <w:rsid w:val="00AD19DA"/>
    <w:rsid w:val="00AD1FC3"/>
    <w:rsid w:val="00AD278D"/>
    <w:rsid w:val="00AD2A83"/>
    <w:rsid w:val="00AD2D3E"/>
    <w:rsid w:val="00AD315F"/>
    <w:rsid w:val="00AD34CF"/>
    <w:rsid w:val="00AD39CD"/>
    <w:rsid w:val="00AD3C11"/>
    <w:rsid w:val="00AD3E38"/>
    <w:rsid w:val="00AD441C"/>
    <w:rsid w:val="00AD4802"/>
    <w:rsid w:val="00AD4A8A"/>
    <w:rsid w:val="00AD4AED"/>
    <w:rsid w:val="00AD4F18"/>
    <w:rsid w:val="00AD4FCE"/>
    <w:rsid w:val="00AD5498"/>
    <w:rsid w:val="00AD5941"/>
    <w:rsid w:val="00AD5A0E"/>
    <w:rsid w:val="00AD5BD2"/>
    <w:rsid w:val="00AD616A"/>
    <w:rsid w:val="00AD65A7"/>
    <w:rsid w:val="00AD6695"/>
    <w:rsid w:val="00AD6A53"/>
    <w:rsid w:val="00AD7071"/>
    <w:rsid w:val="00AD707B"/>
    <w:rsid w:val="00AD74A5"/>
    <w:rsid w:val="00AD7951"/>
    <w:rsid w:val="00AD7BFE"/>
    <w:rsid w:val="00AD7C3A"/>
    <w:rsid w:val="00AD7D99"/>
    <w:rsid w:val="00AE0943"/>
    <w:rsid w:val="00AE09B0"/>
    <w:rsid w:val="00AE0B2E"/>
    <w:rsid w:val="00AE13CF"/>
    <w:rsid w:val="00AE145C"/>
    <w:rsid w:val="00AE1761"/>
    <w:rsid w:val="00AE19B3"/>
    <w:rsid w:val="00AE1D6E"/>
    <w:rsid w:val="00AE1EDB"/>
    <w:rsid w:val="00AE1F4E"/>
    <w:rsid w:val="00AE2148"/>
    <w:rsid w:val="00AE219C"/>
    <w:rsid w:val="00AE22B6"/>
    <w:rsid w:val="00AE2419"/>
    <w:rsid w:val="00AE259C"/>
    <w:rsid w:val="00AE326B"/>
    <w:rsid w:val="00AE32A6"/>
    <w:rsid w:val="00AE3414"/>
    <w:rsid w:val="00AE4065"/>
    <w:rsid w:val="00AE407D"/>
    <w:rsid w:val="00AE4227"/>
    <w:rsid w:val="00AE48A0"/>
    <w:rsid w:val="00AE4BEF"/>
    <w:rsid w:val="00AE4CD5"/>
    <w:rsid w:val="00AE4FA3"/>
    <w:rsid w:val="00AE59D7"/>
    <w:rsid w:val="00AE5BDD"/>
    <w:rsid w:val="00AE617B"/>
    <w:rsid w:val="00AE6AEB"/>
    <w:rsid w:val="00AE6CC1"/>
    <w:rsid w:val="00AE6EAD"/>
    <w:rsid w:val="00AE7075"/>
    <w:rsid w:val="00AE75D4"/>
    <w:rsid w:val="00AE77D1"/>
    <w:rsid w:val="00AE792A"/>
    <w:rsid w:val="00AE7D34"/>
    <w:rsid w:val="00AF0079"/>
    <w:rsid w:val="00AF0319"/>
    <w:rsid w:val="00AF0762"/>
    <w:rsid w:val="00AF133D"/>
    <w:rsid w:val="00AF1F84"/>
    <w:rsid w:val="00AF24E3"/>
    <w:rsid w:val="00AF25CF"/>
    <w:rsid w:val="00AF28E5"/>
    <w:rsid w:val="00AF2B94"/>
    <w:rsid w:val="00AF2BC8"/>
    <w:rsid w:val="00AF2D7F"/>
    <w:rsid w:val="00AF311C"/>
    <w:rsid w:val="00AF3B6E"/>
    <w:rsid w:val="00AF4791"/>
    <w:rsid w:val="00AF483B"/>
    <w:rsid w:val="00AF4F22"/>
    <w:rsid w:val="00AF507E"/>
    <w:rsid w:val="00AF51E5"/>
    <w:rsid w:val="00AF52F4"/>
    <w:rsid w:val="00AF5616"/>
    <w:rsid w:val="00AF571C"/>
    <w:rsid w:val="00AF5D59"/>
    <w:rsid w:val="00AF5DE3"/>
    <w:rsid w:val="00AF6615"/>
    <w:rsid w:val="00AF6D58"/>
    <w:rsid w:val="00AF6F66"/>
    <w:rsid w:val="00AF7142"/>
    <w:rsid w:val="00AF752C"/>
    <w:rsid w:val="00AF7D37"/>
    <w:rsid w:val="00AF7D65"/>
    <w:rsid w:val="00AF7F6A"/>
    <w:rsid w:val="00B00049"/>
    <w:rsid w:val="00B004E6"/>
    <w:rsid w:val="00B0070E"/>
    <w:rsid w:val="00B00872"/>
    <w:rsid w:val="00B00879"/>
    <w:rsid w:val="00B00977"/>
    <w:rsid w:val="00B00C43"/>
    <w:rsid w:val="00B01159"/>
    <w:rsid w:val="00B018D4"/>
    <w:rsid w:val="00B01981"/>
    <w:rsid w:val="00B01B90"/>
    <w:rsid w:val="00B02445"/>
    <w:rsid w:val="00B02460"/>
    <w:rsid w:val="00B02A34"/>
    <w:rsid w:val="00B02FAF"/>
    <w:rsid w:val="00B038CB"/>
    <w:rsid w:val="00B03A9A"/>
    <w:rsid w:val="00B03F52"/>
    <w:rsid w:val="00B04263"/>
    <w:rsid w:val="00B045BC"/>
    <w:rsid w:val="00B04DCA"/>
    <w:rsid w:val="00B04F4B"/>
    <w:rsid w:val="00B05043"/>
    <w:rsid w:val="00B05209"/>
    <w:rsid w:val="00B06356"/>
    <w:rsid w:val="00B0684B"/>
    <w:rsid w:val="00B06A17"/>
    <w:rsid w:val="00B06C21"/>
    <w:rsid w:val="00B0737A"/>
    <w:rsid w:val="00B073E3"/>
    <w:rsid w:val="00B07DE0"/>
    <w:rsid w:val="00B07E44"/>
    <w:rsid w:val="00B10204"/>
    <w:rsid w:val="00B10928"/>
    <w:rsid w:val="00B10A85"/>
    <w:rsid w:val="00B1172A"/>
    <w:rsid w:val="00B11EA1"/>
    <w:rsid w:val="00B1242D"/>
    <w:rsid w:val="00B1263C"/>
    <w:rsid w:val="00B12B72"/>
    <w:rsid w:val="00B13379"/>
    <w:rsid w:val="00B13A25"/>
    <w:rsid w:val="00B13BD5"/>
    <w:rsid w:val="00B13FA5"/>
    <w:rsid w:val="00B14241"/>
    <w:rsid w:val="00B14923"/>
    <w:rsid w:val="00B14B8A"/>
    <w:rsid w:val="00B14FB5"/>
    <w:rsid w:val="00B15403"/>
    <w:rsid w:val="00B15A05"/>
    <w:rsid w:val="00B16372"/>
    <w:rsid w:val="00B16D64"/>
    <w:rsid w:val="00B1776B"/>
    <w:rsid w:val="00B17777"/>
    <w:rsid w:val="00B17C1E"/>
    <w:rsid w:val="00B17D9E"/>
    <w:rsid w:val="00B17E5B"/>
    <w:rsid w:val="00B17F0F"/>
    <w:rsid w:val="00B200A9"/>
    <w:rsid w:val="00B20651"/>
    <w:rsid w:val="00B20894"/>
    <w:rsid w:val="00B2141A"/>
    <w:rsid w:val="00B21C8A"/>
    <w:rsid w:val="00B2225E"/>
    <w:rsid w:val="00B2260A"/>
    <w:rsid w:val="00B22826"/>
    <w:rsid w:val="00B22BE0"/>
    <w:rsid w:val="00B22C27"/>
    <w:rsid w:val="00B22D64"/>
    <w:rsid w:val="00B22EF3"/>
    <w:rsid w:val="00B23577"/>
    <w:rsid w:val="00B23879"/>
    <w:rsid w:val="00B238A2"/>
    <w:rsid w:val="00B23D02"/>
    <w:rsid w:val="00B23F95"/>
    <w:rsid w:val="00B23FE0"/>
    <w:rsid w:val="00B24468"/>
    <w:rsid w:val="00B246D5"/>
    <w:rsid w:val="00B24B08"/>
    <w:rsid w:val="00B24C66"/>
    <w:rsid w:val="00B251A1"/>
    <w:rsid w:val="00B25283"/>
    <w:rsid w:val="00B254B9"/>
    <w:rsid w:val="00B257DE"/>
    <w:rsid w:val="00B25A69"/>
    <w:rsid w:val="00B267BC"/>
    <w:rsid w:val="00B2696C"/>
    <w:rsid w:val="00B26A8B"/>
    <w:rsid w:val="00B26BA1"/>
    <w:rsid w:val="00B26DDE"/>
    <w:rsid w:val="00B27067"/>
    <w:rsid w:val="00B27320"/>
    <w:rsid w:val="00B27410"/>
    <w:rsid w:val="00B27533"/>
    <w:rsid w:val="00B27BE6"/>
    <w:rsid w:val="00B27CA7"/>
    <w:rsid w:val="00B30D3E"/>
    <w:rsid w:val="00B30D7E"/>
    <w:rsid w:val="00B30D8F"/>
    <w:rsid w:val="00B30F20"/>
    <w:rsid w:val="00B30F30"/>
    <w:rsid w:val="00B31470"/>
    <w:rsid w:val="00B31474"/>
    <w:rsid w:val="00B31597"/>
    <w:rsid w:val="00B31861"/>
    <w:rsid w:val="00B31C4A"/>
    <w:rsid w:val="00B31D5D"/>
    <w:rsid w:val="00B3200A"/>
    <w:rsid w:val="00B322A9"/>
    <w:rsid w:val="00B32798"/>
    <w:rsid w:val="00B32824"/>
    <w:rsid w:val="00B329FC"/>
    <w:rsid w:val="00B32CD5"/>
    <w:rsid w:val="00B32D47"/>
    <w:rsid w:val="00B334E6"/>
    <w:rsid w:val="00B338BF"/>
    <w:rsid w:val="00B33D10"/>
    <w:rsid w:val="00B33E22"/>
    <w:rsid w:val="00B33ECB"/>
    <w:rsid w:val="00B33F66"/>
    <w:rsid w:val="00B344E9"/>
    <w:rsid w:val="00B3461A"/>
    <w:rsid w:val="00B346EC"/>
    <w:rsid w:val="00B3471E"/>
    <w:rsid w:val="00B34CDC"/>
    <w:rsid w:val="00B35179"/>
    <w:rsid w:val="00B352FD"/>
    <w:rsid w:val="00B3532C"/>
    <w:rsid w:val="00B367FC"/>
    <w:rsid w:val="00B36942"/>
    <w:rsid w:val="00B36C13"/>
    <w:rsid w:val="00B37565"/>
    <w:rsid w:val="00B37BB2"/>
    <w:rsid w:val="00B37CA4"/>
    <w:rsid w:val="00B40155"/>
    <w:rsid w:val="00B402EE"/>
    <w:rsid w:val="00B412C4"/>
    <w:rsid w:val="00B41828"/>
    <w:rsid w:val="00B41850"/>
    <w:rsid w:val="00B41A40"/>
    <w:rsid w:val="00B41CFA"/>
    <w:rsid w:val="00B41D73"/>
    <w:rsid w:val="00B41E08"/>
    <w:rsid w:val="00B42217"/>
    <w:rsid w:val="00B42229"/>
    <w:rsid w:val="00B42793"/>
    <w:rsid w:val="00B42C7F"/>
    <w:rsid w:val="00B42D1B"/>
    <w:rsid w:val="00B42DB1"/>
    <w:rsid w:val="00B42F0E"/>
    <w:rsid w:val="00B43653"/>
    <w:rsid w:val="00B43846"/>
    <w:rsid w:val="00B43A90"/>
    <w:rsid w:val="00B43B9D"/>
    <w:rsid w:val="00B43F35"/>
    <w:rsid w:val="00B44476"/>
    <w:rsid w:val="00B44568"/>
    <w:rsid w:val="00B44AFA"/>
    <w:rsid w:val="00B44CE9"/>
    <w:rsid w:val="00B44CFD"/>
    <w:rsid w:val="00B44D60"/>
    <w:rsid w:val="00B44E51"/>
    <w:rsid w:val="00B45001"/>
    <w:rsid w:val="00B4547C"/>
    <w:rsid w:val="00B4596A"/>
    <w:rsid w:val="00B46087"/>
    <w:rsid w:val="00B468DF"/>
    <w:rsid w:val="00B46ADF"/>
    <w:rsid w:val="00B473A0"/>
    <w:rsid w:val="00B475E7"/>
    <w:rsid w:val="00B47A51"/>
    <w:rsid w:val="00B47C96"/>
    <w:rsid w:val="00B47E53"/>
    <w:rsid w:val="00B5061B"/>
    <w:rsid w:val="00B50D97"/>
    <w:rsid w:val="00B5130A"/>
    <w:rsid w:val="00B5144D"/>
    <w:rsid w:val="00B51842"/>
    <w:rsid w:val="00B528BC"/>
    <w:rsid w:val="00B529F0"/>
    <w:rsid w:val="00B52DCD"/>
    <w:rsid w:val="00B5308A"/>
    <w:rsid w:val="00B5399C"/>
    <w:rsid w:val="00B5425D"/>
    <w:rsid w:val="00B5440A"/>
    <w:rsid w:val="00B544C1"/>
    <w:rsid w:val="00B54961"/>
    <w:rsid w:val="00B54B66"/>
    <w:rsid w:val="00B54BED"/>
    <w:rsid w:val="00B54E0E"/>
    <w:rsid w:val="00B5576A"/>
    <w:rsid w:val="00B55BB8"/>
    <w:rsid w:val="00B55C88"/>
    <w:rsid w:val="00B56EB2"/>
    <w:rsid w:val="00B572F9"/>
    <w:rsid w:val="00B57A52"/>
    <w:rsid w:val="00B57A59"/>
    <w:rsid w:val="00B57AB2"/>
    <w:rsid w:val="00B57EAC"/>
    <w:rsid w:val="00B57FD6"/>
    <w:rsid w:val="00B6062A"/>
    <w:rsid w:val="00B606E3"/>
    <w:rsid w:val="00B60FBD"/>
    <w:rsid w:val="00B610B5"/>
    <w:rsid w:val="00B611CD"/>
    <w:rsid w:val="00B612A1"/>
    <w:rsid w:val="00B615A8"/>
    <w:rsid w:val="00B616D9"/>
    <w:rsid w:val="00B61D91"/>
    <w:rsid w:val="00B62201"/>
    <w:rsid w:val="00B62559"/>
    <w:rsid w:val="00B62BD9"/>
    <w:rsid w:val="00B6328B"/>
    <w:rsid w:val="00B63711"/>
    <w:rsid w:val="00B63A88"/>
    <w:rsid w:val="00B63AB0"/>
    <w:rsid w:val="00B63F59"/>
    <w:rsid w:val="00B6415E"/>
    <w:rsid w:val="00B641C5"/>
    <w:rsid w:val="00B644FE"/>
    <w:rsid w:val="00B64548"/>
    <w:rsid w:val="00B6476F"/>
    <w:rsid w:val="00B648B0"/>
    <w:rsid w:val="00B64CF1"/>
    <w:rsid w:val="00B64DC0"/>
    <w:rsid w:val="00B64EEB"/>
    <w:rsid w:val="00B658E6"/>
    <w:rsid w:val="00B65E6F"/>
    <w:rsid w:val="00B66D37"/>
    <w:rsid w:val="00B670C2"/>
    <w:rsid w:val="00B6755A"/>
    <w:rsid w:val="00B6771E"/>
    <w:rsid w:val="00B67ABA"/>
    <w:rsid w:val="00B70ABD"/>
    <w:rsid w:val="00B70B66"/>
    <w:rsid w:val="00B70B6A"/>
    <w:rsid w:val="00B70D85"/>
    <w:rsid w:val="00B71220"/>
    <w:rsid w:val="00B716C6"/>
    <w:rsid w:val="00B71B95"/>
    <w:rsid w:val="00B71B96"/>
    <w:rsid w:val="00B71C24"/>
    <w:rsid w:val="00B71EBE"/>
    <w:rsid w:val="00B71F33"/>
    <w:rsid w:val="00B72289"/>
    <w:rsid w:val="00B72290"/>
    <w:rsid w:val="00B7261F"/>
    <w:rsid w:val="00B72675"/>
    <w:rsid w:val="00B72725"/>
    <w:rsid w:val="00B736C6"/>
    <w:rsid w:val="00B737C9"/>
    <w:rsid w:val="00B73878"/>
    <w:rsid w:val="00B73A84"/>
    <w:rsid w:val="00B73ABA"/>
    <w:rsid w:val="00B7421C"/>
    <w:rsid w:val="00B74257"/>
    <w:rsid w:val="00B742BA"/>
    <w:rsid w:val="00B747F7"/>
    <w:rsid w:val="00B749AA"/>
    <w:rsid w:val="00B74A1F"/>
    <w:rsid w:val="00B74B9D"/>
    <w:rsid w:val="00B74EC8"/>
    <w:rsid w:val="00B7536E"/>
    <w:rsid w:val="00B75A5E"/>
    <w:rsid w:val="00B75AA1"/>
    <w:rsid w:val="00B75CE3"/>
    <w:rsid w:val="00B75CE9"/>
    <w:rsid w:val="00B75D7E"/>
    <w:rsid w:val="00B75F66"/>
    <w:rsid w:val="00B769CE"/>
    <w:rsid w:val="00B76DC6"/>
    <w:rsid w:val="00B76E25"/>
    <w:rsid w:val="00B771C0"/>
    <w:rsid w:val="00B7755A"/>
    <w:rsid w:val="00B77A48"/>
    <w:rsid w:val="00B77A8F"/>
    <w:rsid w:val="00B77FB6"/>
    <w:rsid w:val="00B8095E"/>
    <w:rsid w:val="00B80FEE"/>
    <w:rsid w:val="00B8105D"/>
    <w:rsid w:val="00B810ED"/>
    <w:rsid w:val="00B81157"/>
    <w:rsid w:val="00B8193A"/>
    <w:rsid w:val="00B81ABC"/>
    <w:rsid w:val="00B81B99"/>
    <w:rsid w:val="00B81DD7"/>
    <w:rsid w:val="00B81F96"/>
    <w:rsid w:val="00B821E8"/>
    <w:rsid w:val="00B8276B"/>
    <w:rsid w:val="00B82D23"/>
    <w:rsid w:val="00B834B7"/>
    <w:rsid w:val="00B83722"/>
    <w:rsid w:val="00B837C0"/>
    <w:rsid w:val="00B83859"/>
    <w:rsid w:val="00B83B5C"/>
    <w:rsid w:val="00B8440F"/>
    <w:rsid w:val="00B8453A"/>
    <w:rsid w:val="00B8453D"/>
    <w:rsid w:val="00B8484E"/>
    <w:rsid w:val="00B84988"/>
    <w:rsid w:val="00B84B9F"/>
    <w:rsid w:val="00B868F8"/>
    <w:rsid w:val="00B86BE1"/>
    <w:rsid w:val="00B86CDD"/>
    <w:rsid w:val="00B87A8D"/>
    <w:rsid w:val="00B87EB0"/>
    <w:rsid w:val="00B9032C"/>
    <w:rsid w:val="00B905A3"/>
    <w:rsid w:val="00B908B5"/>
    <w:rsid w:val="00B908F2"/>
    <w:rsid w:val="00B90E9C"/>
    <w:rsid w:val="00B90FAB"/>
    <w:rsid w:val="00B918A4"/>
    <w:rsid w:val="00B91FF2"/>
    <w:rsid w:val="00B9228A"/>
    <w:rsid w:val="00B9288A"/>
    <w:rsid w:val="00B928AD"/>
    <w:rsid w:val="00B92A7A"/>
    <w:rsid w:val="00B92ECE"/>
    <w:rsid w:val="00B93B16"/>
    <w:rsid w:val="00B93CD2"/>
    <w:rsid w:val="00B9485A"/>
    <w:rsid w:val="00B94A76"/>
    <w:rsid w:val="00B94FA6"/>
    <w:rsid w:val="00B952A3"/>
    <w:rsid w:val="00B9561B"/>
    <w:rsid w:val="00B95CB7"/>
    <w:rsid w:val="00B95CEE"/>
    <w:rsid w:val="00B95E66"/>
    <w:rsid w:val="00B9607E"/>
    <w:rsid w:val="00B96A3B"/>
    <w:rsid w:val="00B96BC8"/>
    <w:rsid w:val="00B97094"/>
    <w:rsid w:val="00B979C5"/>
    <w:rsid w:val="00B97A54"/>
    <w:rsid w:val="00B97AF5"/>
    <w:rsid w:val="00B97B59"/>
    <w:rsid w:val="00B97F09"/>
    <w:rsid w:val="00B97F2D"/>
    <w:rsid w:val="00BA0369"/>
    <w:rsid w:val="00BA0652"/>
    <w:rsid w:val="00BA0AB7"/>
    <w:rsid w:val="00BA1072"/>
    <w:rsid w:val="00BA14EC"/>
    <w:rsid w:val="00BA2131"/>
    <w:rsid w:val="00BA26F5"/>
    <w:rsid w:val="00BA2764"/>
    <w:rsid w:val="00BA27A6"/>
    <w:rsid w:val="00BA30F8"/>
    <w:rsid w:val="00BA3410"/>
    <w:rsid w:val="00BA34FD"/>
    <w:rsid w:val="00BA38E0"/>
    <w:rsid w:val="00BA3B0C"/>
    <w:rsid w:val="00BA3F71"/>
    <w:rsid w:val="00BA44FA"/>
    <w:rsid w:val="00BA453D"/>
    <w:rsid w:val="00BA4976"/>
    <w:rsid w:val="00BA511B"/>
    <w:rsid w:val="00BA523D"/>
    <w:rsid w:val="00BA5AE1"/>
    <w:rsid w:val="00BA613F"/>
    <w:rsid w:val="00BA653C"/>
    <w:rsid w:val="00BA6E56"/>
    <w:rsid w:val="00BA6ECA"/>
    <w:rsid w:val="00BA7007"/>
    <w:rsid w:val="00BA7052"/>
    <w:rsid w:val="00BA7315"/>
    <w:rsid w:val="00BA736F"/>
    <w:rsid w:val="00BA78FB"/>
    <w:rsid w:val="00BA7FE1"/>
    <w:rsid w:val="00BB0107"/>
    <w:rsid w:val="00BB036D"/>
    <w:rsid w:val="00BB03FE"/>
    <w:rsid w:val="00BB054D"/>
    <w:rsid w:val="00BB0A5A"/>
    <w:rsid w:val="00BB1590"/>
    <w:rsid w:val="00BB172D"/>
    <w:rsid w:val="00BB1B56"/>
    <w:rsid w:val="00BB20B3"/>
    <w:rsid w:val="00BB2488"/>
    <w:rsid w:val="00BB26F5"/>
    <w:rsid w:val="00BB2998"/>
    <w:rsid w:val="00BB2A1A"/>
    <w:rsid w:val="00BB2F7C"/>
    <w:rsid w:val="00BB32FE"/>
    <w:rsid w:val="00BB3FA4"/>
    <w:rsid w:val="00BB40EF"/>
    <w:rsid w:val="00BB44DA"/>
    <w:rsid w:val="00BB478D"/>
    <w:rsid w:val="00BB4F13"/>
    <w:rsid w:val="00BB5397"/>
    <w:rsid w:val="00BB55E9"/>
    <w:rsid w:val="00BB5641"/>
    <w:rsid w:val="00BB624E"/>
    <w:rsid w:val="00BB67D6"/>
    <w:rsid w:val="00BB6B05"/>
    <w:rsid w:val="00BB6CAC"/>
    <w:rsid w:val="00BB761C"/>
    <w:rsid w:val="00BB77D4"/>
    <w:rsid w:val="00BB7829"/>
    <w:rsid w:val="00BB78E6"/>
    <w:rsid w:val="00BB791D"/>
    <w:rsid w:val="00BB7DB9"/>
    <w:rsid w:val="00BB7E37"/>
    <w:rsid w:val="00BC0054"/>
    <w:rsid w:val="00BC06C2"/>
    <w:rsid w:val="00BC0C3A"/>
    <w:rsid w:val="00BC122B"/>
    <w:rsid w:val="00BC1357"/>
    <w:rsid w:val="00BC1939"/>
    <w:rsid w:val="00BC1A22"/>
    <w:rsid w:val="00BC1DE4"/>
    <w:rsid w:val="00BC1DFF"/>
    <w:rsid w:val="00BC1EF9"/>
    <w:rsid w:val="00BC2691"/>
    <w:rsid w:val="00BC27A5"/>
    <w:rsid w:val="00BC27C1"/>
    <w:rsid w:val="00BC2839"/>
    <w:rsid w:val="00BC2A5F"/>
    <w:rsid w:val="00BC2D72"/>
    <w:rsid w:val="00BC2F96"/>
    <w:rsid w:val="00BC30C9"/>
    <w:rsid w:val="00BC3122"/>
    <w:rsid w:val="00BC4209"/>
    <w:rsid w:val="00BC43BC"/>
    <w:rsid w:val="00BC43DF"/>
    <w:rsid w:val="00BC4412"/>
    <w:rsid w:val="00BC460C"/>
    <w:rsid w:val="00BC48F1"/>
    <w:rsid w:val="00BC4E30"/>
    <w:rsid w:val="00BC56F2"/>
    <w:rsid w:val="00BC58E2"/>
    <w:rsid w:val="00BC5917"/>
    <w:rsid w:val="00BC5E6D"/>
    <w:rsid w:val="00BC5F0B"/>
    <w:rsid w:val="00BC6533"/>
    <w:rsid w:val="00BC68DD"/>
    <w:rsid w:val="00BC6913"/>
    <w:rsid w:val="00BC69FB"/>
    <w:rsid w:val="00BC6C67"/>
    <w:rsid w:val="00BC6D3F"/>
    <w:rsid w:val="00BC6E6E"/>
    <w:rsid w:val="00BC6FD6"/>
    <w:rsid w:val="00BC702A"/>
    <w:rsid w:val="00BC7A79"/>
    <w:rsid w:val="00BC7B32"/>
    <w:rsid w:val="00BC7E0D"/>
    <w:rsid w:val="00BD04BC"/>
    <w:rsid w:val="00BD070A"/>
    <w:rsid w:val="00BD0C2F"/>
    <w:rsid w:val="00BD15F1"/>
    <w:rsid w:val="00BD1750"/>
    <w:rsid w:val="00BD1EE1"/>
    <w:rsid w:val="00BD2200"/>
    <w:rsid w:val="00BD237C"/>
    <w:rsid w:val="00BD251F"/>
    <w:rsid w:val="00BD2652"/>
    <w:rsid w:val="00BD39D6"/>
    <w:rsid w:val="00BD3CE4"/>
    <w:rsid w:val="00BD3F15"/>
    <w:rsid w:val="00BD425A"/>
    <w:rsid w:val="00BD4445"/>
    <w:rsid w:val="00BD45CF"/>
    <w:rsid w:val="00BD4987"/>
    <w:rsid w:val="00BD5328"/>
    <w:rsid w:val="00BD5632"/>
    <w:rsid w:val="00BD5A0B"/>
    <w:rsid w:val="00BD5AA3"/>
    <w:rsid w:val="00BD5C80"/>
    <w:rsid w:val="00BD636C"/>
    <w:rsid w:val="00BD636E"/>
    <w:rsid w:val="00BD6865"/>
    <w:rsid w:val="00BD6BF7"/>
    <w:rsid w:val="00BD6CDD"/>
    <w:rsid w:val="00BD794F"/>
    <w:rsid w:val="00BD7B83"/>
    <w:rsid w:val="00BD7CFE"/>
    <w:rsid w:val="00BE0188"/>
    <w:rsid w:val="00BE025E"/>
    <w:rsid w:val="00BE08AB"/>
    <w:rsid w:val="00BE0984"/>
    <w:rsid w:val="00BE1286"/>
    <w:rsid w:val="00BE1937"/>
    <w:rsid w:val="00BE1D1D"/>
    <w:rsid w:val="00BE2096"/>
    <w:rsid w:val="00BE20BD"/>
    <w:rsid w:val="00BE232E"/>
    <w:rsid w:val="00BE2372"/>
    <w:rsid w:val="00BE2B51"/>
    <w:rsid w:val="00BE2B7C"/>
    <w:rsid w:val="00BE357E"/>
    <w:rsid w:val="00BE39BE"/>
    <w:rsid w:val="00BE3A6C"/>
    <w:rsid w:val="00BE3AE4"/>
    <w:rsid w:val="00BE3D18"/>
    <w:rsid w:val="00BE4184"/>
    <w:rsid w:val="00BE41C9"/>
    <w:rsid w:val="00BE4954"/>
    <w:rsid w:val="00BE4A30"/>
    <w:rsid w:val="00BE4CD7"/>
    <w:rsid w:val="00BE529B"/>
    <w:rsid w:val="00BE5335"/>
    <w:rsid w:val="00BE5364"/>
    <w:rsid w:val="00BE555F"/>
    <w:rsid w:val="00BE619F"/>
    <w:rsid w:val="00BE6A18"/>
    <w:rsid w:val="00BE6C47"/>
    <w:rsid w:val="00BE7DA3"/>
    <w:rsid w:val="00BF0025"/>
    <w:rsid w:val="00BF036A"/>
    <w:rsid w:val="00BF0473"/>
    <w:rsid w:val="00BF05D4"/>
    <w:rsid w:val="00BF068D"/>
    <w:rsid w:val="00BF08E0"/>
    <w:rsid w:val="00BF0D55"/>
    <w:rsid w:val="00BF126B"/>
    <w:rsid w:val="00BF15A5"/>
    <w:rsid w:val="00BF1C44"/>
    <w:rsid w:val="00BF2061"/>
    <w:rsid w:val="00BF216D"/>
    <w:rsid w:val="00BF2633"/>
    <w:rsid w:val="00BF268E"/>
    <w:rsid w:val="00BF2708"/>
    <w:rsid w:val="00BF28E0"/>
    <w:rsid w:val="00BF2BDC"/>
    <w:rsid w:val="00BF30A7"/>
    <w:rsid w:val="00BF3391"/>
    <w:rsid w:val="00BF3666"/>
    <w:rsid w:val="00BF381B"/>
    <w:rsid w:val="00BF3AD6"/>
    <w:rsid w:val="00BF3B59"/>
    <w:rsid w:val="00BF3D3C"/>
    <w:rsid w:val="00BF4B35"/>
    <w:rsid w:val="00BF4FE7"/>
    <w:rsid w:val="00BF583E"/>
    <w:rsid w:val="00BF6024"/>
    <w:rsid w:val="00BF6641"/>
    <w:rsid w:val="00BF6B53"/>
    <w:rsid w:val="00BF6D4B"/>
    <w:rsid w:val="00BF759F"/>
    <w:rsid w:val="00BF7CF9"/>
    <w:rsid w:val="00C0001B"/>
    <w:rsid w:val="00C000FF"/>
    <w:rsid w:val="00C008A2"/>
    <w:rsid w:val="00C00D59"/>
    <w:rsid w:val="00C00DD3"/>
    <w:rsid w:val="00C010A7"/>
    <w:rsid w:val="00C01757"/>
    <w:rsid w:val="00C01C84"/>
    <w:rsid w:val="00C020EC"/>
    <w:rsid w:val="00C02160"/>
    <w:rsid w:val="00C02294"/>
    <w:rsid w:val="00C027CA"/>
    <w:rsid w:val="00C02AC3"/>
    <w:rsid w:val="00C03610"/>
    <w:rsid w:val="00C03982"/>
    <w:rsid w:val="00C03AE7"/>
    <w:rsid w:val="00C03AFC"/>
    <w:rsid w:val="00C03DFA"/>
    <w:rsid w:val="00C042B2"/>
    <w:rsid w:val="00C043C0"/>
    <w:rsid w:val="00C04604"/>
    <w:rsid w:val="00C04639"/>
    <w:rsid w:val="00C04BD6"/>
    <w:rsid w:val="00C04FB8"/>
    <w:rsid w:val="00C05002"/>
    <w:rsid w:val="00C0545C"/>
    <w:rsid w:val="00C05ABD"/>
    <w:rsid w:val="00C05DA0"/>
    <w:rsid w:val="00C05EC7"/>
    <w:rsid w:val="00C0625B"/>
    <w:rsid w:val="00C06494"/>
    <w:rsid w:val="00C065AC"/>
    <w:rsid w:val="00C06966"/>
    <w:rsid w:val="00C06E78"/>
    <w:rsid w:val="00C075C2"/>
    <w:rsid w:val="00C07881"/>
    <w:rsid w:val="00C07BA3"/>
    <w:rsid w:val="00C07D60"/>
    <w:rsid w:val="00C10590"/>
    <w:rsid w:val="00C1068E"/>
    <w:rsid w:val="00C10861"/>
    <w:rsid w:val="00C10CA5"/>
    <w:rsid w:val="00C11284"/>
    <w:rsid w:val="00C116D8"/>
    <w:rsid w:val="00C117F0"/>
    <w:rsid w:val="00C11892"/>
    <w:rsid w:val="00C1199E"/>
    <w:rsid w:val="00C11BB8"/>
    <w:rsid w:val="00C11C52"/>
    <w:rsid w:val="00C125EF"/>
    <w:rsid w:val="00C13BC4"/>
    <w:rsid w:val="00C13E59"/>
    <w:rsid w:val="00C1415D"/>
    <w:rsid w:val="00C14232"/>
    <w:rsid w:val="00C1456F"/>
    <w:rsid w:val="00C14E76"/>
    <w:rsid w:val="00C14F95"/>
    <w:rsid w:val="00C15455"/>
    <w:rsid w:val="00C154AE"/>
    <w:rsid w:val="00C1559A"/>
    <w:rsid w:val="00C15834"/>
    <w:rsid w:val="00C15C24"/>
    <w:rsid w:val="00C1622D"/>
    <w:rsid w:val="00C167CA"/>
    <w:rsid w:val="00C16A65"/>
    <w:rsid w:val="00C17350"/>
    <w:rsid w:val="00C173DA"/>
    <w:rsid w:val="00C17741"/>
    <w:rsid w:val="00C177E7"/>
    <w:rsid w:val="00C17871"/>
    <w:rsid w:val="00C179FA"/>
    <w:rsid w:val="00C20210"/>
    <w:rsid w:val="00C20439"/>
    <w:rsid w:val="00C20536"/>
    <w:rsid w:val="00C20665"/>
    <w:rsid w:val="00C206DC"/>
    <w:rsid w:val="00C20AD2"/>
    <w:rsid w:val="00C20B88"/>
    <w:rsid w:val="00C20F2F"/>
    <w:rsid w:val="00C21701"/>
    <w:rsid w:val="00C21BFF"/>
    <w:rsid w:val="00C220C7"/>
    <w:rsid w:val="00C22581"/>
    <w:rsid w:val="00C2259A"/>
    <w:rsid w:val="00C22C72"/>
    <w:rsid w:val="00C22E0B"/>
    <w:rsid w:val="00C23671"/>
    <w:rsid w:val="00C23904"/>
    <w:rsid w:val="00C23B96"/>
    <w:rsid w:val="00C2430E"/>
    <w:rsid w:val="00C245A5"/>
    <w:rsid w:val="00C24C72"/>
    <w:rsid w:val="00C2531C"/>
    <w:rsid w:val="00C258A1"/>
    <w:rsid w:val="00C25E62"/>
    <w:rsid w:val="00C2622D"/>
    <w:rsid w:val="00C26438"/>
    <w:rsid w:val="00C26B27"/>
    <w:rsid w:val="00C26C97"/>
    <w:rsid w:val="00C26EC1"/>
    <w:rsid w:val="00C27343"/>
    <w:rsid w:val="00C27469"/>
    <w:rsid w:val="00C27AD3"/>
    <w:rsid w:val="00C27DC4"/>
    <w:rsid w:val="00C303FF"/>
    <w:rsid w:val="00C307F9"/>
    <w:rsid w:val="00C3172A"/>
    <w:rsid w:val="00C31B20"/>
    <w:rsid w:val="00C321AD"/>
    <w:rsid w:val="00C3220E"/>
    <w:rsid w:val="00C3262F"/>
    <w:rsid w:val="00C33601"/>
    <w:rsid w:val="00C33766"/>
    <w:rsid w:val="00C33936"/>
    <w:rsid w:val="00C339EA"/>
    <w:rsid w:val="00C33ADA"/>
    <w:rsid w:val="00C33BD2"/>
    <w:rsid w:val="00C34179"/>
    <w:rsid w:val="00C34371"/>
    <w:rsid w:val="00C343C5"/>
    <w:rsid w:val="00C34584"/>
    <w:rsid w:val="00C34CF0"/>
    <w:rsid w:val="00C35CF4"/>
    <w:rsid w:val="00C362DA"/>
    <w:rsid w:val="00C36A0F"/>
    <w:rsid w:val="00C36C66"/>
    <w:rsid w:val="00C37144"/>
    <w:rsid w:val="00C3755D"/>
    <w:rsid w:val="00C37A1B"/>
    <w:rsid w:val="00C402B1"/>
    <w:rsid w:val="00C40A59"/>
    <w:rsid w:val="00C40B03"/>
    <w:rsid w:val="00C40C94"/>
    <w:rsid w:val="00C41277"/>
    <w:rsid w:val="00C418D6"/>
    <w:rsid w:val="00C41B4A"/>
    <w:rsid w:val="00C42DB0"/>
    <w:rsid w:val="00C430C8"/>
    <w:rsid w:val="00C43189"/>
    <w:rsid w:val="00C43AC1"/>
    <w:rsid w:val="00C43F81"/>
    <w:rsid w:val="00C44697"/>
    <w:rsid w:val="00C4522C"/>
    <w:rsid w:val="00C455E7"/>
    <w:rsid w:val="00C45732"/>
    <w:rsid w:val="00C45988"/>
    <w:rsid w:val="00C4607B"/>
    <w:rsid w:val="00C464B6"/>
    <w:rsid w:val="00C46845"/>
    <w:rsid w:val="00C46EDA"/>
    <w:rsid w:val="00C47900"/>
    <w:rsid w:val="00C5019D"/>
    <w:rsid w:val="00C5081B"/>
    <w:rsid w:val="00C509C5"/>
    <w:rsid w:val="00C50AEC"/>
    <w:rsid w:val="00C50B85"/>
    <w:rsid w:val="00C510AB"/>
    <w:rsid w:val="00C51854"/>
    <w:rsid w:val="00C52B56"/>
    <w:rsid w:val="00C52ED4"/>
    <w:rsid w:val="00C532F5"/>
    <w:rsid w:val="00C53595"/>
    <w:rsid w:val="00C53621"/>
    <w:rsid w:val="00C53AA9"/>
    <w:rsid w:val="00C53C20"/>
    <w:rsid w:val="00C53F2B"/>
    <w:rsid w:val="00C5403C"/>
    <w:rsid w:val="00C54428"/>
    <w:rsid w:val="00C55A53"/>
    <w:rsid w:val="00C55A6F"/>
    <w:rsid w:val="00C55C0E"/>
    <w:rsid w:val="00C55FAD"/>
    <w:rsid w:val="00C5758C"/>
    <w:rsid w:val="00C57868"/>
    <w:rsid w:val="00C57A33"/>
    <w:rsid w:val="00C57B5C"/>
    <w:rsid w:val="00C57E84"/>
    <w:rsid w:val="00C57EB6"/>
    <w:rsid w:val="00C60145"/>
    <w:rsid w:val="00C6029C"/>
    <w:rsid w:val="00C608A6"/>
    <w:rsid w:val="00C60A2F"/>
    <w:rsid w:val="00C6148B"/>
    <w:rsid w:val="00C61569"/>
    <w:rsid w:val="00C619CA"/>
    <w:rsid w:val="00C62746"/>
    <w:rsid w:val="00C62D14"/>
    <w:rsid w:val="00C62D6C"/>
    <w:rsid w:val="00C63586"/>
    <w:rsid w:val="00C63956"/>
    <w:rsid w:val="00C63C43"/>
    <w:rsid w:val="00C63DCA"/>
    <w:rsid w:val="00C640A0"/>
    <w:rsid w:val="00C64221"/>
    <w:rsid w:val="00C64D22"/>
    <w:rsid w:val="00C65697"/>
    <w:rsid w:val="00C656E3"/>
    <w:rsid w:val="00C65869"/>
    <w:rsid w:val="00C65CF8"/>
    <w:rsid w:val="00C65D16"/>
    <w:rsid w:val="00C65FF7"/>
    <w:rsid w:val="00C66255"/>
    <w:rsid w:val="00C66E01"/>
    <w:rsid w:val="00C66EE6"/>
    <w:rsid w:val="00C66FEF"/>
    <w:rsid w:val="00C674E2"/>
    <w:rsid w:val="00C67A21"/>
    <w:rsid w:val="00C67D52"/>
    <w:rsid w:val="00C70408"/>
    <w:rsid w:val="00C70589"/>
    <w:rsid w:val="00C70C40"/>
    <w:rsid w:val="00C71335"/>
    <w:rsid w:val="00C71350"/>
    <w:rsid w:val="00C713AE"/>
    <w:rsid w:val="00C71A95"/>
    <w:rsid w:val="00C723A4"/>
    <w:rsid w:val="00C7240C"/>
    <w:rsid w:val="00C728A7"/>
    <w:rsid w:val="00C72BF3"/>
    <w:rsid w:val="00C72E56"/>
    <w:rsid w:val="00C7382C"/>
    <w:rsid w:val="00C738FB"/>
    <w:rsid w:val="00C73A77"/>
    <w:rsid w:val="00C73CE9"/>
    <w:rsid w:val="00C73D8C"/>
    <w:rsid w:val="00C7506C"/>
    <w:rsid w:val="00C7527F"/>
    <w:rsid w:val="00C754E0"/>
    <w:rsid w:val="00C7555A"/>
    <w:rsid w:val="00C75666"/>
    <w:rsid w:val="00C7619E"/>
    <w:rsid w:val="00C76879"/>
    <w:rsid w:val="00C76CE2"/>
    <w:rsid w:val="00C77118"/>
    <w:rsid w:val="00C773A7"/>
    <w:rsid w:val="00C77A0B"/>
    <w:rsid w:val="00C77AA2"/>
    <w:rsid w:val="00C77B43"/>
    <w:rsid w:val="00C77E4D"/>
    <w:rsid w:val="00C8034D"/>
    <w:rsid w:val="00C80963"/>
    <w:rsid w:val="00C80F83"/>
    <w:rsid w:val="00C811A2"/>
    <w:rsid w:val="00C811EC"/>
    <w:rsid w:val="00C818A1"/>
    <w:rsid w:val="00C81D1B"/>
    <w:rsid w:val="00C82109"/>
    <w:rsid w:val="00C82275"/>
    <w:rsid w:val="00C82301"/>
    <w:rsid w:val="00C82716"/>
    <w:rsid w:val="00C829CD"/>
    <w:rsid w:val="00C835D4"/>
    <w:rsid w:val="00C83711"/>
    <w:rsid w:val="00C83C3A"/>
    <w:rsid w:val="00C83F7A"/>
    <w:rsid w:val="00C84176"/>
    <w:rsid w:val="00C84A44"/>
    <w:rsid w:val="00C84B76"/>
    <w:rsid w:val="00C8540F"/>
    <w:rsid w:val="00C85AED"/>
    <w:rsid w:val="00C85BBE"/>
    <w:rsid w:val="00C86B7F"/>
    <w:rsid w:val="00C86BE0"/>
    <w:rsid w:val="00C86F73"/>
    <w:rsid w:val="00C87183"/>
    <w:rsid w:val="00C8719D"/>
    <w:rsid w:val="00C872EF"/>
    <w:rsid w:val="00C8737E"/>
    <w:rsid w:val="00C873C9"/>
    <w:rsid w:val="00C87710"/>
    <w:rsid w:val="00C87EBE"/>
    <w:rsid w:val="00C87F04"/>
    <w:rsid w:val="00C901BF"/>
    <w:rsid w:val="00C90779"/>
    <w:rsid w:val="00C908CD"/>
    <w:rsid w:val="00C90EC2"/>
    <w:rsid w:val="00C9114F"/>
    <w:rsid w:val="00C9118C"/>
    <w:rsid w:val="00C91585"/>
    <w:rsid w:val="00C91778"/>
    <w:rsid w:val="00C91CD6"/>
    <w:rsid w:val="00C91D94"/>
    <w:rsid w:val="00C923E3"/>
    <w:rsid w:val="00C927AA"/>
    <w:rsid w:val="00C9299B"/>
    <w:rsid w:val="00C936ED"/>
    <w:rsid w:val="00C9396E"/>
    <w:rsid w:val="00C93CA5"/>
    <w:rsid w:val="00C93F7A"/>
    <w:rsid w:val="00C940B6"/>
    <w:rsid w:val="00C94CBF"/>
    <w:rsid w:val="00C95708"/>
    <w:rsid w:val="00C957F1"/>
    <w:rsid w:val="00C95886"/>
    <w:rsid w:val="00C95A8B"/>
    <w:rsid w:val="00C95EC5"/>
    <w:rsid w:val="00C96152"/>
    <w:rsid w:val="00C96264"/>
    <w:rsid w:val="00C96462"/>
    <w:rsid w:val="00C96635"/>
    <w:rsid w:val="00C966EA"/>
    <w:rsid w:val="00C96975"/>
    <w:rsid w:val="00C96B3B"/>
    <w:rsid w:val="00C97739"/>
    <w:rsid w:val="00C97769"/>
    <w:rsid w:val="00C978A8"/>
    <w:rsid w:val="00C97D2F"/>
    <w:rsid w:val="00CA0085"/>
    <w:rsid w:val="00CA00F0"/>
    <w:rsid w:val="00CA05FE"/>
    <w:rsid w:val="00CA08A0"/>
    <w:rsid w:val="00CA0E75"/>
    <w:rsid w:val="00CA0ED2"/>
    <w:rsid w:val="00CA14A7"/>
    <w:rsid w:val="00CA16D8"/>
    <w:rsid w:val="00CA19E3"/>
    <w:rsid w:val="00CA1D18"/>
    <w:rsid w:val="00CA1D95"/>
    <w:rsid w:val="00CA22A5"/>
    <w:rsid w:val="00CA2472"/>
    <w:rsid w:val="00CA2562"/>
    <w:rsid w:val="00CA27AA"/>
    <w:rsid w:val="00CA2828"/>
    <w:rsid w:val="00CA2E33"/>
    <w:rsid w:val="00CA30C6"/>
    <w:rsid w:val="00CA3619"/>
    <w:rsid w:val="00CA3819"/>
    <w:rsid w:val="00CA3D7C"/>
    <w:rsid w:val="00CA3FC8"/>
    <w:rsid w:val="00CA4493"/>
    <w:rsid w:val="00CA44DE"/>
    <w:rsid w:val="00CA49CA"/>
    <w:rsid w:val="00CA5579"/>
    <w:rsid w:val="00CA6334"/>
    <w:rsid w:val="00CA662E"/>
    <w:rsid w:val="00CA687B"/>
    <w:rsid w:val="00CA68A4"/>
    <w:rsid w:val="00CA692F"/>
    <w:rsid w:val="00CA6ACE"/>
    <w:rsid w:val="00CA6E50"/>
    <w:rsid w:val="00CA6F1A"/>
    <w:rsid w:val="00CA6FC7"/>
    <w:rsid w:val="00CA7520"/>
    <w:rsid w:val="00CA7A95"/>
    <w:rsid w:val="00CA7F67"/>
    <w:rsid w:val="00CB0CBC"/>
    <w:rsid w:val="00CB0FA2"/>
    <w:rsid w:val="00CB0FAB"/>
    <w:rsid w:val="00CB1686"/>
    <w:rsid w:val="00CB1B5A"/>
    <w:rsid w:val="00CB2A2E"/>
    <w:rsid w:val="00CB2B8D"/>
    <w:rsid w:val="00CB2CC5"/>
    <w:rsid w:val="00CB2E83"/>
    <w:rsid w:val="00CB3B08"/>
    <w:rsid w:val="00CB47A3"/>
    <w:rsid w:val="00CB4DFC"/>
    <w:rsid w:val="00CB4E8F"/>
    <w:rsid w:val="00CB5040"/>
    <w:rsid w:val="00CB560F"/>
    <w:rsid w:val="00CB5B45"/>
    <w:rsid w:val="00CB5C50"/>
    <w:rsid w:val="00CB5D8C"/>
    <w:rsid w:val="00CB6E58"/>
    <w:rsid w:val="00CB73B1"/>
    <w:rsid w:val="00CB7494"/>
    <w:rsid w:val="00CB762E"/>
    <w:rsid w:val="00CB7732"/>
    <w:rsid w:val="00CB7815"/>
    <w:rsid w:val="00CC07AD"/>
    <w:rsid w:val="00CC0B3F"/>
    <w:rsid w:val="00CC0B48"/>
    <w:rsid w:val="00CC0D1F"/>
    <w:rsid w:val="00CC0DAE"/>
    <w:rsid w:val="00CC0EAF"/>
    <w:rsid w:val="00CC102C"/>
    <w:rsid w:val="00CC11D8"/>
    <w:rsid w:val="00CC13B3"/>
    <w:rsid w:val="00CC1545"/>
    <w:rsid w:val="00CC1A5F"/>
    <w:rsid w:val="00CC2196"/>
    <w:rsid w:val="00CC257E"/>
    <w:rsid w:val="00CC2CB3"/>
    <w:rsid w:val="00CC3195"/>
    <w:rsid w:val="00CC37B9"/>
    <w:rsid w:val="00CC38B6"/>
    <w:rsid w:val="00CC38FC"/>
    <w:rsid w:val="00CC3CB2"/>
    <w:rsid w:val="00CC43B6"/>
    <w:rsid w:val="00CC44C4"/>
    <w:rsid w:val="00CC4AA2"/>
    <w:rsid w:val="00CC4AFD"/>
    <w:rsid w:val="00CC4F15"/>
    <w:rsid w:val="00CC51CE"/>
    <w:rsid w:val="00CC5848"/>
    <w:rsid w:val="00CC5ADF"/>
    <w:rsid w:val="00CC5BAF"/>
    <w:rsid w:val="00CC5ED2"/>
    <w:rsid w:val="00CC604E"/>
    <w:rsid w:val="00CC61A7"/>
    <w:rsid w:val="00CC66AA"/>
    <w:rsid w:val="00CC6F63"/>
    <w:rsid w:val="00CC70E6"/>
    <w:rsid w:val="00CC78D9"/>
    <w:rsid w:val="00CC7BAA"/>
    <w:rsid w:val="00CD02B2"/>
    <w:rsid w:val="00CD0A76"/>
    <w:rsid w:val="00CD0A8E"/>
    <w:rsid w:val="00CD1188"/>
    <w:rsid w:val="00CD1421"/>
    <w:rsid w:val="00CD15B1"/>
    <w:rsid w:val="00CD1C0B"/>
    <w:rsid w:val="00CD212A"/>
    <w:rsid w:val="00CD2481"/>
    <w:rsid w:val="00CD255C"/>
    <w:rsid w:val="00CD27C1"/>
    <w:rsid w:val="00CD2813"/>
    <w:rsid w:val="00CD2D27"/>
    <w:rsid w:val="00CD3172"/>
    <w:rsid w:val="00CD3770"/>
    <w:rsid w:val="00CD37DF"/>
    <w:rsid w:val="00CD3953"/>
    <w:rsid w:val="00CD3EDB"/>
    <w:rsid w:val="00CD3FB5"/>
    <w:rsid w:val="00CD4A36"/>
    <w:rsid w:val="00CD4C96"/>
    <w:rsid w:val="00CD52CB"/>
    <w:rsid w:val="00CD5BDD"/>
    <w:rsid w:val="00CD6078"/>
    <w:rsid w:val="00CD64A9"/>
    <w:rsid w:val="00CD65FD"/>
    <w:rsid w:val="00CD672A"/>
    <w:rsid w:val="00CD6D54"/>
    <w:rsid w:val="00CD7759"/>
    <w:rsid w:val="00CD7B5F"/>
    <w:rsid w:val="00CE0141"/>
    <w:rsid w:val="00CE0A9B"/>
    <w:rsid w:val="00CE0EBA"/>
    <w:rsid w:val="00CE1358"/>
    <w:rsid w:val="00CE16CF"/>
    <w:rsid w:val="00CE1992"/>
    <w:rsid w:val="00CE1EEB"/>
    <w:rsid w:val="00CE2064"/>
    <w:rsid w:val="00CE263F"/>
    <w:rsid w:val="00CE2A33"/>
    <w:rsid w:val="00CE2C6A"/>
    <w:rsid w:val="00CE2CAE"/>
    <w:rsid w:val="00CE3EED"/>
    <w:rsid w:val="00CE40C2"/>
    <w:rsid w:val="00CE41C5"/>
    <w:rsid w:val="00CE469C"/>
    <w:rsid w:val="00CE4E01"/>
    <w:rsid w:val="00CE5163"/>
    <w:rsid w:val="00CE540A"/>
    <w:rsid w:val="00CE58BE"/>
    <w:rsid w:val="00CE5E1A"/>
    <w:rsid w:val="00CE5FA3"/>
    <w:rsid w:val="00CE6CEF"/>
    <w:rsid w:val="00CE70C7"/>
    <w:rsid w:val="00CE7434"/>
    <w:rsid w:val="00CE7719"/>
    <w:rsid w:val="00CF0485"/>
    <w:rsid w:val="00CF06F1"/>
    <w:rsid w:val="00CF08A5"/>
    <w:rsid w:val="00CF0FD5"/>
    <w:rsid w:val="00CF115E"/>
    <w:rsid w:val="00CF11D8"/>
    <w:rsid w:val="00CF15F2"/>
    <w:rsid w:val="00CF17C2"/>
    <w:rsid w:val="00CF18C2"/>
    <w:rsid w:val="00CF1A22"/>
    <w:rsid w:val="00CF258C"/>
    <w:rsid w:val="00CF26E7"/>
    <w:rsid w:val="00CF28CF"/>
    <w:rsid w:val="00CF2C04"/>
    <w:rsid w:val="00CF382C"/>
    <w:rsid w:val="00CF3A02"/>
    <w:rsid w:val="00CF3A22"/>
    <w:rsid w:val="00CF3FA8"/>
    <w:rsid w:val="00CF4272"/>
    <w:rsid w:val="00CF4E3B"/>
    <w:rsid w:val="00CF521E"/>
    <w:rsid w:val="00CF5754"/>
    <w:rsid w:val="00CF5EBE"/>
    <w:rsid w:val="00CF5FF9"/>
    <w:rsid w:val="00CF6025"/>
    <w:rsid w:val="00CF6269"/>
    <w:rsid w:val="00CF69A0"/>
    <w:rsid w:val="00CF6EB3"/>
    <w:rsid w:val="00CF6ED9"/>
    <w:rsid w:val="00CF70DA"/>
    <w:rsid w:val="00CF7866"/>
    <w:rsid w:val="00CF7ACE"/>
    <w:rsid w:val="00CF7D02"/>
    <w:rsid w:val="00CF7D0F"/>
    <w:rsid w:val="00CF7DC5"/>
    <w:rsid w:val="00CF7FDA"/>
    <w:rsid w:val="00D0023C"/>
    <w:rsid w:val="00D003C4"/>
    <w:rsid w:val="00D006D3"/>
    <w:rsid w:val="00D00827"/>
    <w:rsid w:val="00D00BD6"/>
    <w:rsid w:val="00D0106F"/>
    <w:rsid w:val="00D01289"/>
    <w:rsid w:val="00D018BC"/>
    <w:rsid w:val="00D01A11"/>
    <w:rsid w:val="00D021D9"/>
    <w:rsid w:val="00D02996"/>
    <w:rsid w:val="00D03370"/>
    <w:rsid w:val="00D03A45"/>
    <w:rsid w:val="00D03A86"/>
    <w:rsid w:val="00D04066"/>
    <w:rsid w:val="00D04266"/>
    <w:rsid w:val="00D04774"/>
    <w:rsid w:val="00D04EC6"/>
    <w:rsid w:val="00D0517E"/>
    <w:rsid w:val="00D054EC"/>
    <w:rsid w:val="00D055B9"/>
    <w:rsid w:val="00D05693"/>
    <w:rsid w:val="00D05AD1"/>
    <w:rsid w:val="00D05C9A"/>
    <w:rsid w:val="00D05DE1"/>
    <w:rsid w:val="00D05E44"/>
    <w:rsid w:val="00D05E77"/>
    <w:rsid w:val="00D06028"/>
    <w:rsid w:val="00D06280"/>
    <w:rsid w:val="00D06797"/>
    <w:rsid w:val="00D06B75"/>
    <w:rsid w:val="00D07830"/>
    <w:rsid w:val="00D07BFC"/>
    <w:rsid w:val="00D07D00"/>
    <w:rsid w:val="00D07E32"/>
    <w:rsid w:val="00D07F36"/>
    <w:rsid w:val="00D10060"/>
    <w:rsid w:val="00D101F6"/>
    <w:rsid w:val="00D10DF0"/>
    <w:rsid w:val="00D10E36"/>
    <w:rsid w:val="00D1121B"/>
    <w:rsid w:val="00D11495"/>
    <w:rsid w:val="00D11C41"/>
    <w:rsid w:val="00D125DD"/>
    <w:rsid w:val="00D12B6C"/>
    <w:rsid w:val="00D12E24"/>
    <w:rsid w:val="00D12E5F"/>
    <w:rsid w:val="00D13BA4"/>
    <w:rsid w:val="00D13D93"/>
    <w:rsid w:val="00D13EDD"/>
    <w:rsid w:val="00D14408"/>
    <w:rsid w:val="00D14488"/>
    <w:rsid w:val="00D14667"/>
    <w:rsid w:val="00D146F8"/>
    <w:rsid w:val="00D14C5F"/>
    <w:rsid w:val="00D14DD8"/>
    <w:rsid w:val="00D14E0D"/>
    <w:rsid w:val="00D151AC"/>
    <w:rsid w:val="00D1533D"/>
    <w:rsid w:val="00D15685"/>
    <w:rsid w:val="00D157A3"/>
    <w:rsid w:val="00D158BD"/>
    <w:rsid w:val="00D159A7"/>
    <w:rsid w:val="00D15CD8"/>
    <w:rsid w:val="00D15D4C"/>
    <w:rsid w:val="00D16852"/>
    <w:rsid w:val="00D168D3"/>
    <w:rsid w:val="00D168F0"/>
    <w:rsid w:val="00D17331"/>
    <w:rsid w:val="00D17729"/>
    <w:rsid w:val="00D17845"/>
    <w:rsid w:val="00D17A56"/>
    <w:rsid w:val="00D20298"/>
    <w:rsid w:val="00D2055B"/>
    <w:rsid w:val="00D20BF3"/>
    <w:rsid w:val="00D2152D"/>
    <w:rsid w:val="00D216CE"/>
    <w:rsid w:val="00D21757"/>
    <w:rsid w:val="00D21C4A"/>
    <w:rsid w:val="00D2262C"/>
    <w:rsid w:val="00D2348A"/>
    <w:rsid w:val="00D236FB"/>
    <w:rsid w:val="00D23AC4"/>
    <w:rsid w:val="00D23F04"/>
    <w:rsid w:val="00D23FC6"/>
    <w:rsid w:val="00D242DF"/>
    <w:rsid w:val="00D2450B"/>
    <w:rsid w:val="00D2468B"/>
    <w:rsid w:val="00D25523"/>
    <w:rsid w:val="00D256A7"/>
    <w:rsid w:val="00D256CB"/>
    <w:rsid w:val="00D2575A"/>
    <w:rsid w:val="00D2589D"/>
    <w:rsid w:val="00D25D2E"/>
    <w:rsid w:val="00D2621E"/>
    <w:rsid w:val="00D26234"/>
    <w:rsid w:val="00D26466"/>
    <w:rsid w:val="00D265F0"/>
    <w:rsid w:val="00D26CCF"/>
    <w:rsid w:val="00D26F4C"/>
    <w:rsid w:val="00D30453"/>
    <w:rsid w:val="00D307AF"/>
    <w:rsid w:val="00D30B7A"/>
    <w:rsid w:val="00D30C64"/>
    <w:rsid w:val="00D31634"/>
    <w:rsid w:val="00D31762"/>
    <w:rsid w:val="00D31BD1"/>
    <w:rsid w:val="00D31C20"/>
    <w:rsid w:val="00D31FE1"/>
    <w:rsid w:val="00D32E79"/>
    <w:rsid w:val="00D33911"/>
    <w:rsid w:val="00D33914"/>
    <w:rsid w:val="00D33B27"/>
    <w:rsid w:val="00D34591"/>
    <w:rsid w:val="00D346DF"/>
    <w:rsid w:val="00D348F6"/>
    <w:rsid w:val="00D34BDE"/>
    <w:rsid w:val="00D34DCF"/>
    <w:rsid w:val="00D34F40"/>
    <w:rsid w:val="00D3543B"/>
    <w:rsid w:val="00D35D05"/>
    <w:rsid w:val="00D3606B"/>
    <w:rsid w:val="00D36286"/>
    <w:rsid w:val="00D3638A"/>
    <w:rsid w:val="00D36A49"/>
    <w:rsid w:val="00D371D0"/>
    <w:rsid w:val="00D37322"/>
    <w:rsid w:val="00D373C9"/>
    <w:rsid w:val="00D374B1"/>
    <w:rsid w:val="00D37514"/>
    <w:rsid w:val="00D37CDB"/>
    <w:rsid w:val="00D4022C"/>
    <w:rsid w:val="00D40778"/>
    <w:rsid w:val="00D4134A"/>
    <w:rsid w:val="00D4141A"/>
    <w:rsid w:val="00D4162E"/>
    <w:rsid w:val="00D41BC2"/>
    <w:rsid w:val="00D41BDC"/>
    <w:rsid w:val="00D42443"/>
    <w:rsid w:val="00D4256D"/>
    <w:rsid w:val="00D429C6"/>
    <w:rsid w:val="00D42ACE"/>
    <w:rsid w:val="00D42C0D"/>
    <w:rsid w:val="00D42E69"/>
    <w:rsid w:val="00D436BE"/>
    <w:rsid w:val="00D43AA0"/>
    <w:rsid w:val="00D43C10"/>
    <w:rsid w:val="00D43C80"/>
    <w:rsid w:val="00D442B7"/>
    <w:rsid w:val="00D4441B"/>
    <w:rsid w:val="00D44D93"/>
    <w:rsid w:val="00D45261"/>
    <w:rsid w:val="00D4565D"/>
    <w:rsid w:val="00D45987"/>
    <w:rsid w:val="00D46185"/>
    <w:rsid w:val="00D46BF6"/>
    <w:rsid w:val="00D46E94"/>
    <w:rsid w:val="00D4763F"/>
    <w:rsid w:val="00D507E2"/>
    <w:rsid w:val="00D50928"/>
    <w:rsid w:val="00D509F3"/>
    <w:rsid w:val="00D50D41"/>
    <w:rsid w:val="00D51107"/>
    <w:rsid w:val="00D5124F"/>
    <w:rsid w:val="00D51F38"/>
    <w:rsid w:val="00D520AC"/>
    <w:rsid w:val="00D52164"/>
    <w:rsid w:val="00D52841"/>
    <w:rsid w:val="00D52A64"/>
    <w:rsid w:val="00D52FF7"/>
    <w:rsid w:val="00D530CC"/>
    <w:rsid w:val="00D5318A"/>
    <w:rsid w:val="00D533F5"/>
    <w:rsid w:val="00D53759"/>
    <w:rsid w:val="00D537E0"/>
    <w:rsid w:val="00D53BF4"/>
    <w:rsid w:val="00D541F4"/>
    <w:rsid w:val="00D54AE2"/>
    <w:rsid w:val="00D55291"/>
    <w:rsid w:val="00D5555F"/>
    <w:rsid w:val="00D5594C"/>
    <w:rsid w:val="00D55D54"/>
    <w:rsid w:val="00D55F0D"/>
    <w:rsid w:val="00D56592"/>
    <w:rsid w:val="00D5678E"/>
    <w:rsid w:val="00D5690A"/>
    <w:rsid w:val="00D56C1C"/>
    <w:rsid w:val="00D56C6D"/>
    <w:rsid w:val="00D56CBF"/>
    <w:rsid w:val="00D56E6A"/>
    <w:rsid w:val="00D57360"/>
    <w:rsid w:val="00D575E5"/>
    <w:rsid w:val="00D5766C"/>
    <w:rsid w:val="00D57AAA"/>
    <w:rsid w:val="00D57BB2"/>
    <w:rsid w:val="00D60326"/>
    <w:rsid w:val="00D6072A"/>
    <w:rsid w:val="00D608C0"/>
    <w:rsid w:val="00D60979"/>
    <w:rsid w:val="00D60D33"/>
    <w:rsid w:val="00D61221"/>
    <w:rsid w:val="00D612CA"/>
    <w:rsid w:val="00D618EA"/>
    <w:rsid w:val="00D6292C"/>
    <w:rsid w:val="00D631EA"/>
    <w:rsid w:val="00D63B39"/>
    <w:rsid w:val="00D63B81"/>
    <w:rsid w:val="00D63C19"/>
    <w:rsid w:val="00D644F8"/>
    <w:rsid w:val="00D64602"/>
    <w:rsid w:val="00D64ED3"/>
    <w:rsid w:val="00D64F46"/>
    <w:rsid w:val="00D65057"/>
    <w:rsid w:val="00D650E0"/>
    <w:rsid w:val="00D651E7"/>
    <w:rsid w:val="00D652D2"/>
    <w:rsid w:val="00D65C30"/>
    <w:rsid w:val="00D65E4D"/>
    <w:rsid w:val="00D6605D"/>
    <w:rsid w:val="00D660BB"/>
    <w:rsid w:val="00D664BB"/>
    <w:rsid w:val="00D6667E"/>
    <w:rsid w:val="00D6681D"/>
    <w:rsid w:val="00D66BFD"/>
    <w:rsid w:val="00D674F7"/>
    <w:rsid w:val="00D6785E"/>
    <w:rsid w:val="00D70525"/>
    <w:rsid w:val="00D70794"/>
    <w:rsid w:val="00D70909"/>
    <w:rsid w:val="00D7099F"/>
    <w:rsid w:val="00D70A76"/>
    <w:rsid w:val="00D70B68"/>
    <w:rsid w:val="00D71DD2"/>
    <w:rsid w:val="00D7210A"/>
    <w:rsid w:val="00D72A3A"/>
    <w:rsid w:val="00D72A8B"/>
    <w:rsid w:val="00D73303"/>
    <w:rsid w:val="00D73866"/>
    <w:rsid w:val="00D739EC"/>
    <w:rsid w:val="00D74910"/>
    <w:rsid w:val="00D74A1F"/>
    <w:rsid w:val="00D74B71"/>
    <w:rsid w:val="00D74C15"/>
    <w:rsid w:val="00D74F71"/>
    <w:rsid w:val="00D753E4"/>
    <w:rsid w:val="00D758F3"/>
    <w:rsid w:val="00D7596F"/>
    <w:rsid w:val="00D75A86"/>
    <w:rsid w:val="00D7614B"/>
    <w:rsid w:val="00D767E6"/>
    <w:rsid w:val="00D7686D"/>
    <w:rsid w:val="00D76AAE"/>
    <w:rsid w:val="00D76FED"/>
    <w:rsid w:val="00D77B43"/>
    <w:rsid w:val="00D77E62"/>
    <w:rsid w:val="00D80067"/>
    <w:rsid w:val="00D801C8"/>
    <w:rsid w:val="00D804B7"/>
    <w:rsid w:val="00D809E9"/>
    <w:rsid w:val="00D8127E"/>
    <w:rsid w:val="00D81563"/>
    <w:rsid w:val="00D81582"/>
    <w:rsid w:val="00D819B8"/>
    <w:rsid w:val="00D81F77"/>
    <w:rsid w:val="00D82488"/>
    <w:rsid w:val="00D824BD"/>
    <w:rsid w:val="00D825C3"/>
    <w:rsid w:val="00D833D7"/>
    <w:rsid w:val="00D83F68"/>
    <w:rsid w:val="00D8425B"/>
    <w:rsid w:val="00D84493"/>
    <w:rsid w:val="00D848EA"/>
    <w:rsid w:val="00D84F3B"/>
    <w:rsid w:val="00D8542D"/>
    <w:rsid w:val="00D8544F"/>
    <w:rsid w:val="00D85742"/>
    <w:rsid w:val="00D85852"/>
    <w:rsid w:val="00D8586E"/>
    <w:rsid w:val="00D85A05"/>
    <w:rsid w:val="00D85BA1"/>
    <w:rsid w:val="00D86341"/>
    <w:rsid w:val="00D869EB"/>
    <w:rsid w:val="00D86B72"/>
    <w:rsid w:val="00D86D54"/>
    <w:rsid w:val="00D86FAE"/>
    <w:rsid w:val="00D8753D"/>
    <w:rsid w:val="00D87B29"/>
    <w:rsid w:val="00D87B41"/>
    <w:rsid w:val="00D90F15"/>
    <w:rsid w:val="00D91132"/>
    <w:rsid w:val="00D91269"/>
    <w:rsid w:val="00D91770"/>
    <w:rsid w:val="00D918DD"/>
    <w:rsid w:val="00D919D4"/>
    <w:rsid w:val="00D91DAD"/>
    <w:rsid w:val="00D91EA0"/>
    <w:rsid w:val="00D92045"/>
    <w:rsid w:val="00D9253E"/>
    <w:rsid w:val="00D92561"/>
    <w:rsid w:val="00D92B6E"/>
    <w:rsid w:val="00D931D5"/>
    <w:rsid w:val="00D933E7"/>
    <w:rsid w:val="00D93578"/>
    <w:rsid w:val="00D93930"/>
    <w:rsid w:val="00D93A86"/>
    <w:rsid w:val="00D9508F"/>
    <w:rsid w:val="00D95560"/>
    <w:rsid w:val="00D95939"/>
    <w:rsid w:val="00D95CCD"/>
    <w:rsid w:val="00D95E65"/>
    <w:rsid w:val="00D967B9"/>
    <w:rsid w:val="00D97152"/>
    <w:rsid w:val="00D97589"/>
    <w:rsid w:val="00D976B2"/>
    <w:rsid w:val="00D97816"/>
    <w:rsid w:val="00D979D2"/>
    <w:rsid w:val="00DA04AB"/>
    <w:rsid w:val="00DA053B"/>
    <w:rsid w:val="00DA0B2C"/>
    <w:rsid w:val="00DA0D6F"/>
    <w:rsid w:val="00DA0F09"/>
    <w:rsid w:val="00DA11EA"/>
    <w:rsid w:val="00DA130B"/>
    <w:rsid w:val="00DA13FB"/>
    <w:rsid w:val="00DA173B"/>
    <w:rsid w:val="00DA173F"/>
    <w:rsid w:val="00DA1CBA"/>
    <w:rsid w:val="00DA1D05"/>
    <w:rsid w:val="00DA20DA"/>
    <w:rsid w:val="00DA26B7"/>
    <w:rsid w:val="00DA29D9"/>
    <w:rsid w:val="00DA2EAB"/>
    <w:rsid w:val="00DA3449"/>
    <w:rsid w:val="00DA38DE"/>
    <w:rsid w:val="00DA3D47"/>
    <w:rsid w:val="00DA3E08"/>
    <w:rsid w:val="00DA4321"/>
    <w:rsid w:val="00DA4F24"/>
    <w:rsid w:val="00DA4F94"/>
    <w:rsid w:val="00DA5280"/>
    <w:rsid w:val="00DA53E9"/>
    <w:rsid w:val="00DA5BDC"/>
    <w:rsid w:val="00DA5E8A"/>
    <w:rsid w:val="00DA5EBA"/>
    <w:rsid w:val="00DA6313"/>
    <w:rsid w:val="00DA69B9"/>
    <w:rsid w:val="00DA6EF8"/>
    <w:rsid w:val="00DA74CA"/>
    <w:rsid w:val="00DA75BE"/>
    <w:rsid w:val="00DA76C9"/>
    <w:rsid w:val="00DA7710"/>
    <w:rsid w:val="00DA7A14"/>
    <w:rsid w:val="00DA7A8F"/>
    <w:rsid w:val="00DB100A"/>
    <w:rsid w:val="00DB155D"/>
    <w:rsid w:val="00DB19A1"/>
    <w:rsid w:val="00DB1B1E"/>
    <w:rsid w:val="00DB1BA9"/>
    <w:rsid w:val="00DB1D49"/>
    <w:rsid w:val="00DB1F75"/>
    <w:rsid w:val="00DB2030"/>
    <w:rsid w:val="00DB27F4"/>
    <w:rsid w:val="00DB2AB0"/>
    <w:rsid w:val="00DB2C96"/>
    <w:rsid w:val="00DB2DA1"/>
    <w:rsid w:val="00DB360D"/>
    <w:rsid w:val="00DB377F"/>
    <w:rsid w:val="00DB379C"/>
    <w:rsid w:val="00DB37CC"/>
    <w:rsid w:val="00DB3C6F"/>
    <w:rsid w:val="00DB4135"/>
    <w:rsid w:val="00DB50C6"/>
    <w:rsid w:val="00DB516D"/>
    <w:rsid w:val="00DB5273"/>
    <w:rsid w:val="00DB5342"/>
    <w:rsid w:val="00DB5975"/>
    <w:rsid w:val="00DB5A8B"/>
    <w:rsid w:val="00DB5F23"/>
    <w:rsid w:val="00DB6273"/>
    <w:rsid w:val="00DB6FB9"/>
    <w:rsid w:val="00DB7120"/>
    <w:rsid w:val="00DB71A3"/>
    <w:rsid w:val="00DB747E"/>
    <w:rsid w:val="00DB7580"/>
    <w:rsid w:val="00DB7D33"/>
    <w:rsid w:val="00DC0475"/>
    <w:rsid w:val="00DC15E3"/>
    <w:rsid w:val="00DC1B82"/>
    <w:rsid w:val="00DC2282"/>
    <w:rsid w:val="00DC2DA4"/>
    <w:rsid w:val="00DC302C"/>
    <w:rsid w:val="00DC3084"/>
    <w:rsid w:val="00DC317E"/>
    <w:rsid w:val="00DC34D2"/>
    <w:rsid w:val="00DC3A19"/>
    <w:rsid w:val="00DC3F96"/>
    <w:rsid w:val="00DC4721"/>
    <w:rsid w:val="00DC48DE"/>
    <w:rsid w:val="00DC4D61"/>
    <w:rsid w:val="00DC4EC7"/>
    <w:rsid w:val="00DC5600"/>
    <w:rsid w:val="00DC6631"/>
    <w:rsid w:val="00DC66C6"/>
    <w:rsid w:val="00DC6797"/>
    <w:rsid w:val="00DC69C2"/>
    <w:rsid w:val="00DC6F1A"/>
    <w:rsid w:val="00DC7482"/>
    <w:rsid w:val="00DC79DD"/>
    <w:rsid w:val="00DC7FBC"/>
    <w:rsid w:val="00DD05DF"/>
    <w:rsid w:val="00DD06F9"/>
    <w:rsid w:val="00DD0E12"/>
    <w:rsid w:val="00DD0F6C"/>
    <w:rsid w:val="00DD112E"/>
    <w:rsid w:val="00DD16D0"/>
    <w:rsid w:val="00DD18B9"/>
    <w:rsid w:val="00DD1D16"/>
    <w:rsid w:val="00DD23D9"/>
    <w:rsid w:val="00DD262E"/>
    <w:rsid w:val="00DD2FAF"/>
    <w:rsid w:val="00DD3A52"/>
    <w:rsid w:val="00DD3CA0"/>
    <w:rsid w:val="00DD3CAB"/>
    <w:rsid w:val="00DD3E61"/>
    <w:rsid w:val="00DD463C"/>
    <w:rsid w:val="00DD48A9"/>
    <w:rsid w:val="00DD48BB"/>
    <w:rsid w:val="00DD50A7"/>
    <w:rsid w:val="00DD564F"/>
    <w:rsid w:val="00DD568D"/>
    <w:rsid w:val="00DD59A2"/>
    <w:rsid w:val="00DD660F"/>
    <w:rsid w:val="00DD6A0C"/>
    <w:rsid w:val="00DD6ADE"/>
    <w:rsid w:val="00DD6BEC"/>
    <w:rsid w:val="00DD766F"/>
    <w:rsid w:val="00DD7744"/>
    <w:rsid w:val="00DD7794"/>
    <w:rsid w:val="00DD7A36"/>
    <w:rsid w:val="00DD7B5D"/>
    <w:rsid w:val="00DE01CF"/>
    <w:rsid w:val="00DE0244"/>
    <w:rsid w:val="00DE028D"/>
    <w:rsid w:val="00DE032C"/>
    <w:rsid w:val="00DE0395"/>
    <w:rsid w:val="00DE11C2"/>
    <w:rsid w:val="00DE179A"/>
    <w:rsid w:val="00DE17DE"/>
    <w:rsid w:val="00DE1D83"/>
    <w:rsid w:val="00DE1EB3"/>
    <w:rsid w:val="00DE1EDF"/>
    <w:rsid w:val="00DE2652"/>
    <w:rsid w:val="00DE354F"/>
    <w:rsid w:val="00DE3E40"/>
    <w:rsid w:val="00DE4819"/>
    <w:rsid w:val="00DE4C96"/>
    <w:rsid w:val="00DE52D6"/>
    <w:rsid w:val="00DE5633"/>
    <w:rsid w:val="00DE5A55"/>
    <w:rsid w:val="00DE6611"/>
    <w:rsid w:val="00DE670C"/>
    <w:rsid w:val="00DE68D2"/>
    <w:rsid w:val="00DE70C0"/>
    <w:rsid w:val="00DE72E5"/>
    <w:rsid w:val="00DE77FE"/>
    <w:rsid w:val="00DE7A20"/>
    <w:rsid w:val="00DE7D4E"/>
    <w:rsid w:val="00DF01C5"/>
    <w:rsid w:val="00DF0B08"/>
    <w:rsid w:val="00DF0FEE"/>
    <w:rsid w:val="00DF1057"/>
    <w:rsid w:val="00DF189E"/>
    <w:rsid w:val="00DF1DD3"/>
    <w:rsid w:val="00DF22AA"/>
    <w:rsid w:val="00DF2B01"/>
    <w:rsid w:val="00DF3324"/>
    <w:rsid w:val="00DF33E2"/>
    <w:rsid w:val="00DF37BC"/>
    <w:rsid w:val="00DF3A39"/>
    <w:rsid w:val="00DF3FFC"/>
    <w:rsid w:val="00DF4A1A"/>
    <w:rsid w:val="00DF516C"/>
    <w:rsid w:val="00DF55A0"/>
    <w:rsid w:val="00DF5ED8"/>
    <w:rsid w:val="00DF60B3"/>
    <w:rsid w:val="00DF6383"/>
    <w:rsid w:val="00DF6AE9"/>
    <w:rsid w:val="00DF6DA7"/>
    <w:rsid w:val="00DF70B8"/>
    <w:rsid w:val="00DF7223"/>
    <w:rsid w:val="00DF7547"/>
    <w:rsid w:val="00DF755C"/>
    <w:rsid w:val="00DF7588"/>
    <w:rsid w:val="00DF774C"/>
    <w:rsid w:val="00E006DE"/>
    <w:rsid w:val="00E00AF7"/>
    <w:rsid w:val="00E00C39"/>
    <w:rsid w:val="00E00DDC"/>
    <w:rsid w:val="00E0105B"/>
    <w:rsid w:val="00E0166A"/>
    <w:rsid w:val="00E017FB"/>
    <w:rsid w:val="00E019B5"/>
    <w:rsid w:val="00E01AE7"/>
    <w:rsid w:val="00E02732"/>
    <w:rsid w:val="00E02911"/>
    <w:rsid w:val="00E02A55"/>
    <w:rsid w:val="00E02A62"/>
    <w:rsid w:val="00E02CBF"/>
    <w:rsid w:val="00E02FC0"/>
    <w:rsid w:val="00E0351A"/>
    <w:rsid w:val="00E048F8"/>
    <w:rsid w:val="00E04ACE"/>
    <w:rsid w:val="00E053D5"/>
    <w:rsid w:val="00E054F8"/>
    <w:rsid w:val="00E058A3"/>
    <w:rsid w:val="00E058BD"/>
    <w:rsid w:val="00E05999"/>
    <w:rsid w:val="00E05F29"/>
    <w:rsid w:val="00E05FAE"/>
    <w:rsid w:val="00E0640C"/>
    <w:rsid w:val="00E07C7A"/>
    <w:rsid w:val="00E07DEE"/>
    <w:rsid w:val="00E10157"/>
    <w:rsid w:val="00E1059C"/>
    <w:rsid w:val="00E10BFF"/>
    <w:rsid w:val="00E10C75"/>
    <w:rsid w:val="00E11E1E"/>
    <w:rsid w:val="00E11EA7"/>
    <w:rsid w:val="00E120A7"/>
    <w:rsid w:val="00E123BE"/>
    <w:rsid w:val="00E12D4B"/>
    <w:rsid w:val="00E12F50"/>
    <w:rsid w:val="00E13406"/>
    <w:rsid w:val="00E13725"/>
    <w:rsid w:val="00E141BC"/>
    <w:rsid w:val="00E1421C"/>
    <w:rsid w:val="00E14ED0"/>
    <w:rsid w:val="00E14ED5"/>
    <w:rsid w:val="00E151CE"/>
    <w:rsid w:val="00E152B1"/>
    <w:rsid w:val="00E15980"/>
    <w:rsid w:val="00E159EC"/>
    <w:rsid w:val="00E15A7A"/>
    <w:rsid w:val="00E15EFF"/>
    <w:rsid w:val="00E160D4"/>
    <w:rsid w:val="00E1668F"/>
    <w:rsid w:val="00E16939"/>
    <w:rsid w:val="00E169E6"/>
    <w:rsid w:val="00E17554"/>
    <w:rsid w:val="00E17E77"/>
    <w:rsid w:val="00E17F1E"/>
    <w:rsid w:val="00E209A1"/>
    <w:rsid w:val="00E20B26"/>
    <w:rsid w:val="00E20D37"/>
    <w:rsid w:val="00E21203"/>
    <w:rsid w:val="00E2131D"/>
    <w:rsid w:val="00E21C19"/>
    <w:rsid w:val="00E21D7F"/>
    <w:rsid w:val="00E21E71"/>
    <w:rsid w:val="00E2308D"/>
    <w:rsid w:val="00E2398D"/>
    <w:rsid w:val="00E239D2"/>
    <w:rsid w:val="00E23A77"/>
    <w:rsid w:val="00E23FEF"/>
    <w:rsid w:val="00E24010"/>
    <w:rsid w:val="00E240D4"/>
    <w:rsid w:val="00E2480F"/>
    <w:rsid w:val="00E249CF"/>
    <w:rsid w:val="00E24AC2"/>
    <w:rsid w:val="00E24AE2"/>
    <w:rsid w:val="00E25411"/>
    <w:rsid w:val="00E254A9"/>
    <w:rsid w:val="00E25B12"/>
    <w:rsid w:val="00E25C83"/>
    <w:rsid w:val="00E260BD"/>
    <w:rsid w:val="00E263CA"/>
    <w:rsid w:val="00E265EF"/>
    <w:rsid w:val="00E26E15"/>
    <w:rsid w:val="00E27166"/>
    <w:rsid w:val="00E27AAC"/>
    <w:rsid w:val="00E27AFB"/>
    <w:rsid w:val="00E30450"/>
    <w:rsid w:val="00E306A1"/>
    <w:rsid w:val="00E30794"/>
    <w:rsid w:val="00E30AC8"/>
    <w:rsid w:val="00E30BBD"/>
    <w:rsid w:val="00E30FA2"/>
    <w:rsid w:val="00E31668"/>
    <w:rsid w:val="00E316EC"/>
    <w:rsid w:val="00E31BCA"/>
    <w:rsid w:val="00E31DAB"/>
    <w:rsid w:val="00E31EE2"/>
    <w:rsid w:val="00E31F45"/>
    <w:rsid w:val="00E320A7"/>
    <w:rsid w:val="00E3245C"/>
    <w:rsid w:val="00E3261E"/>
    <w:rsid w:val="00E327BD"/>
    <w:rsid w:val="00E32CAD"/>
    <w:rsid w:val="00E32E4F"/>
    <w:rsid w:val="00E32EA4"/>
    <w:rsid w:val="00E32F39"/>
    <w:rsid w:val="00E33A91"/>
    <w:rsid w:val="00E33ED3"/>
    <w:rsid w:val="00E34599"/>
    <w:rsid w:val="00E3463C"/>
    <w:rsid w:val="00E34651"/>
    <w:rsid w:val="00E34668"/>
    <w:rsid w:val="00E34CB9"/>
    <w:rsid w:val="00E34F06"/>
    <w:rsid w:val="00E35567"/>
    <w:rsid w:val="00E356E5"/>
    <w:rsid w:val="00E35D68"/>
    <w:rsid w:val="00E36683"/>
    <w:rsid w:val="00E36A24"/>
    <w:rsid w:val="00E370EC"/>
    <w:rsid w:val="00E3769E"/>
    <w:rsid w:val="00E37828"/>
    <w:rsid w:val="00E3798C"/>
    <w:rsid w:val="00E379EF"/>
    <w:rsid w:val="00E400CA"/>
    <w:rsid w:val="00E40421"/>
    <w:rsid w:val="00E4059D"/>
    <w:rsid w:val="00E406E3"/>
    <w:rsid w:val="00E40E29"/>
    <w:rsid w:val="00E40F97"/>
    <w:rsid w:val="00E40FC6"/>
    <w:rsid w:val="00E41C0F"/>
    <w:rsid w:val="00E4202D"/>
    <w:rsid w:val="00E42509"/>
    <w:rsid w:val="00E42813"/>
    <w:rsid w:val="00E42AEC"/>
    <w:rsid w:val="00E4347A"/>
    <w:rsid w:val="00E438AB"/>
    <w:rsid w:val="00E43902"/>
    <w:rsid w:val="00E43A96"/>
    <w:rsid w:val="00E43C47"/>
    <w:rsid w:val="00E44005"/>
    <w:rsid w:val="00E44601"/>
    <w:rsid w:val="00E44693"/>
    <w:rsid w:val="00E44D17"/>
    <w:rsid w:val="00E44D68"/>
    <w:rsid w:val="00E451A2"/>
    <w:rsid w:val="00E453FE"/>
    <w:rsid w:val="00E454F5"/>
    <w:rsid w:val="00E45CF7"/>
    <w:rsid w:val="00E466F8"/>
    <w:rsid w:val="00E478FE"/>
    <w:rsid w:val="00E47E3B"/>
    <w:rsid w:val="00E504A1"/>
    <w:rsid w:val="00E50570"/>
    <w:rsid w:val="00E505B2"/>
    <w:rsid w:val="00E50621"/>
    <w:rsid w:val="00E5081A"/>
    <w:rsid w:val="00E508E3"/>
    <w:rsid w:val="00E50901"/>
    <w:rsid w:val="00E50E62"/>
    <w:rsid w:val="00E517BD"/>
    <w:rsid w:val="00E51AE9"/>
    <w:rsid w:val="00E51AF8"/>
    <w:rsid w:val="00E526D0"/>
    <w:rsid w:val="00E52793"/>
    <w:rsid w:val="00E52D73"/>
    <w:rsid w:val="00E53356"/>
    <w:rsid w:val="00E53373"/>
    <w:rsid w:val="00E5369C"/>
    <w:rsid w:val="00E5372D"/>
    <w:rsid w:val="00E53A73"/>
    <w:rsid w:val="00E542E9"/>
    <w:rsid w:val="00E54358"/>
    <w:rsid w:val="00E5435C"/>
    <w:rsid w:val="00E54E1B"/>
    <w:rsid w:val="00E54E4D"/>
    <w:rsid w:val="00E554AB"/>
    <w:rsid w:val="00E5564A"/>
    <w:rsid w:val="00E556D2"/>
    <w:rsid w:val="00E558A3"/>
    <w:rsid w:val="00E55EC2"/>
    <w:rsid w:val="00E56320"/>
    <w:rsid w:val="00E56C39"/>
    <w:rsid w:val="00E56FA2"/>
    <w:rsid w:val="00E57089"/>
    <w:rsid w:val="00E57885"/>
    <w:rsid w:val="00E57C79"/>
    <w:rsid w:val="00E605FA"/>
    <w:rsid w:val="00E60EA2"/>
    <w:rsid w:val="00E60FF8"/>
    <w:rsid w:val="00E61296"/>
    <w:rsid w:val="00E61D1B"/>
    <w:rsid w:val="00E62196"/>
    <w:rsid w:val="00E62554"/>
    <w:rsid w:val="00E6298F"/>
    <w:rsid w:val="00E62D9F"/>
    <w:rsid w:val="00E62F0B"/>
    <w:rsid w:val="00E636D0"/>
    <w:rsid w:val="00E63ADE"/>
    <w:rsid w:val="00E640FB"/>
    <w:rsid w:val="00E6427A"/>
    <w:rsid w:val="00E647E6"/>
    <w:rsid w:val="00E64D21"/>
    <w:rsid w:val="00E64FAE"/>
    <w:rsid w:val="00E652C6"/>
    <w:rsid w:val="00E659B4"/>
    <w:rsid w:val="00E660AA"/>
    <w:rsid w:val="00E66717"/>
    <w:rsid w:val="00E669A4"/>
    <w:rsid w:val="00E67A42"/>
    <w:rsid w:val="00E67ABE"/>
    <w:rsid w:val="00E701C1"/>
    <w:rsid w:val="00E7025E"/>
    <w:rsid w:val="00E70ACF"/>
    <w:rsid w:val="00E70C71"/>
    <w:rsid w:val="00E70E78"/>
    <w:rsid w:val="00E70FE7"/>
    <w:rsid w:val="00E71111"/>
    <w:rsid w:val="00E714EC"/>
    <w:rsid w:val="00E717A4"/>
    <w:rsid w:val="00E71A05"/>
    <w:rsid w:val="00E72389"/>
    <w:rsid w:val="00E724A6"/>
    <w:rsid w:val="00E72700"/>
    <w:rsid w:val="00E729E4"/>
    <w:rsid w:val="00E72AA0"/>
    <w:rsid w:val="00E73195"/>
    <w:rsid w:val="00E735BD"/>
    <w:rsid w:val="00E73666"/>
    <w:rsid w:val="00E73982"/>
    <w:rsid w:val="00E73D49"/>
    <w:rsid w:val="00E74135"/>
    <w:rsid w:val="00E741D2"/>
    <w:rsid w:val="00E74498"/>
    <w:rsid w:val="00E74610"/>
    <w:rsid w:val="00E75295"/>
    <w:rsid w:val="00E756B9"/>
    <w:rsid w:val="00E75A44"/>
    <w:rsid w:val="00E75C64"/>
    <w:rsid w:val="00E7609E"/>
    <w:rsid w:val="00E76100"/>
    <w:rsid w:val="00E761D4"/>
    <w:rsid w:val="00E7633F"/>
    <w:rsid w:val="00E771FA"/>
    <w:rsid w:val="00E77210"/>
    <w:rsid w:val="00E7721C"/>
    <w:rsid w:val="00E77289"/>
    <w:rsid w:val="00E77455"/>
    <w:rsid w:val="00E774D2"/>
    <w:rsid w:val="00E77CAD"/>
    <w:rsid w:val="00E8049C"/>
    <w:rsid w:val="00E80595"/>
    <w:rsid w:val="00E80A56"/>
    <w:rsid w:val="00E8179F"/>
    <w:rsid w:val="00E8204A"/>
    <w:rsid w:val="00E82214"/>
    <w:rsid w:val="00E82424"/>
    <w:rsid w:val="00E826B1"/>
    <w:rsid w:val="00E836C1"/>
    <w:rsid w:val="00E83853"/>
    <w:rsid w:val="00E84C8B"/>
    <w:rsid w:val="00E84D35"/>
    <w:rsid w:val="00E84DDD"/>
    <w:rsid w:val="00E84DEF"/>
    <w:rsid w:val="00E85569"/>
    <w:rsid w:val="00E8593A"/>
    <w:rsid w:val="00E85FC8"/>
    <w:rsid w:val="00E86062"/>
    <w:rsid w:val="00E86511"/>
    <w:rsid w:val="00E86541"/>
    <w:rsid w:val="00E86C7A"/>
    <w:rsid w:val="00E87023"/>
    <w:rsid w:val="00E87379"/>
    <w:rsid w:val="00E8789A"/>
    <w:rsid w:val="00E87C4D"/>
    <w:rsid w:val="00E902BB"/>
    <w:rsid w:val="00E905FE"/>
    <w:rsid w:val="00E908DA"/>
    <w:rsid w:val="00E909CF"/>
    <w:rsid w:val="00E90F71"/>
    <w:rsid w:val="00E91F5F"/>
    <w:rsid w:val="00E92599"/>
    <w:rsid w:val="00E927B5"/>
    <w:rsid w:val="00E92A93"/>
    <w:rsid w:val="00E92E28"/>
    <w:rsid w:val="00E92F87"/>
    <w:rsid w:val="00E93033"/>
    <w:rsid w:val="00E930E7"/>
    <w:rsid w:val="00E934C0"/>
    <w:rsid w:val="00E934CD"/>
    <w:rsid w:val="00E9350E"/>
    <w:rsid w:val="00E93A89"/>
    <w:rsid w:val="00E942A2"/>
    <w:rsid w:val="00E946CF"/>
    <w:rsid w:val="00E947DC"/>
    <w:rsid w:val="00E948ED"/>
    <w:rsid w:val="00E951C4"/>
    <w:rsid w:val="00E9539C"/>
    <w:rsid w:val="00E95911"/>
    <w:rsid w:val="00E959A1"/>
    <w:rsid w:val="00E9687E"/>
    <w:rsid w:val="00E96A99"/>
    <w:rsid w:val="00E96B51"/>
    <w:rsid w:val="00E97A3F"/>
    <w:rsid w:val="00E97AE6"/>
    <w:rsid w:val="00EA013D"/>
    <w:rsid w:val="00EA0354"/>
    <w:rsid w:val="00EA04DF"/>
    <w:rsid w:val="00EA0603"/>
    <w:rsid w:val="00EA088C"/>
    <w:rsid w:val="00EA0D25"/>
    <w:rsid w:val="00EA0E32"/>
    <w:rsid w:val="00EA165E"/>
    <w:rsid w:val="00EA1AC1"/>
    <w:rsid w:val="00EA1B6B"/>
    <w:rsid w:val="00EA1B9D"/>
    <w:rsid w:val="00EA20F8"/>
    <w:rsid w:val="00EA21A7"/>
    <w:rsid w:val="00EA256B"/>
    <w:rsid w:val="00EA263E"/>
    <w:rsid w:val="00EA3027"/>
    <w:rsid w:val="00EA35E3"/>
    <w:rsid w:val="00EA3DFC"/>
    <w:rsid w:val="00EA4455"/>
    <w:rsid w:val="00EA4534"/>
    <w:rsid w:val="00EA4623"/>
    <w:rsid w:val="00EA47EA"/>
    <w:rsid w:val="00EA4AAE"/>
    <w:rsid w:val="00EA4CE0"/>
    <w:rsid w:val="00EA4CF7"/>
    <w:rsid w:val="00EA4D90"/>
    <w:rsid w:val="00EA4E8C"/>
    <w:rsid w:val="00EA5458"/>
    <w:rsid w:val="00EA55D5"/>
    <w:rsid w:val="00EA561C"/>
    <w:rsid w:val="00EA575B"/>
    <w:rsid w:val="00EA5F94"/>
    <w:rsid w:val="00EA6000"/>
    <w:rsid w:val="00EA62E7"/>
    <w:rsid w:val="00EA6568"/>
    <w:rsid w:val="00EA66E3"/>
    <w:rsid w:val="00EA70F3"/>
    <w:rsid w:val="00EA7214"/>
    <w:rsid w:val="00EA7DA8"/>
    <w:rsid w:val="00EA7EB8"/>
    <w:rsid w:val="00EB051E"/>
    <w:rsid w:val="00EB05CB"/>
    <w:rsid w:val="00EB0D90"/>
    <w:rsid w:val="00EB0FFE"/>
    <w:rsid w:val="00EB164A"/>
    <w:rsid w:val="00EB18C0"/>
    <w:rsid w:val="00EB1A28"/>
    <w:rsid w:val="00EB1CC5"/>
    <w:rsid w:val="00EB1F66"/>
    <w:rsid w:val="00EB24C2"/>
    <w:rsid w:val="00EB306A"/>
    <w:rsid w:val="00EB3241"/>
    <w:rsid w:val="00EB34DA"/>
    <w:rsid w:val="00EB3D6A"/>
    <w:rsid w:val="00EB3EB3"/>
    <w:rsid w:val="00EB404C"/>
    <w:rsid w:val="00EB40EC"/>
    <w:rsid w:val="00EB4111"/>
    <w:rsid w:val="00EB42EB"/>
    <w:rsid w:val="00EB4863"/>
    <w:rsid w:val="00EB4A3F"/>
    <w:rsid w:val="00EB4B6E"/>
    <w:rsid w:val="00EB520A"/>
    <w:rsid w:val="00EB540D"/>
    <w:rsid w:val="00EB59D9"/>
    <w:rsid w:val="00EB5C78"/>
    <w:rsid w:val="00EB648C"/>
    <w:rsid w:val="00EB6636"/>
    <w:rsid w:val="00EB6ADA"/>
    <w:rsid w:val="00EB7013"/>
    <w:rsid w:val="00EB709F"/>
    <w:rsid w:val="00EB7222"/>
    <w:rsid w:val="00EB7ECF"/>
    <w:rsid w:val="00EC0B22"/>
    <w:rsid w:val="00EC18B6"/>
    <w:rsid w:val="00EC1D23"/>
    <w:rsid w:val="00EC1ED9"/>
    <w:rsid w:val="00EC2020"/>
    <w:rsid w:val="00EC2B14"/>
    <w:rsid w:val="00EC40D2"/>
    <w:rsid w:val="00EC4153"/>
    <w:rsid w:val="00EC46A2"/>
    <w:rsid w:val="00EC4927"/>
    <w:rsid w:val="00EC4993"/>
    <w:rsid w:val="00EC5007"/>
    <w:rsid w:val="00EC535A"/>
    <w:rsid w:val="00EC5478"/>
    <w:rsid w:val="00EC6A64"/>
    <w:rsid w:val="00EC6B23"/>
    <w:rsid w:val="00EC6CC2"/>
    <w:rsid w:val="00EC6CDF"/>
    <w:rsid w:val="00EC6D04"/>
    <w:rsid w:val="00EC76D4"/>
    <w:rsid w:val="00EC7828"/>
    <w:rsid w:val="00ED07F1"/>
    <w:rsid w:val="00ED0A2B"/>
    <w:rsid w:val="00ED0BA6"/>
    <w:rsid w:val="00ED0C00"/>
    <w:rsid w:val="00ED0D81"/>
    <w:rsid w:val="00ED1587"/>
    <w:rsid w:val="00ED1A8A"/>
    <w:rsid w:val="00ED1B8C"/>
    <w:rsid w:val="00ED1C66"/>
    <w:rsid w:val="00ED1DFD"/>
    <w:rsid w:val="00ED2575"/>
    <w:rsid w:val="00ED2769"/>
    <w:rsid w:val="00ED284D"/>
    <w:rsid w:val="00ED2ED0"/>
    <w:rsid w:val="00ED315B"/>
    <w:rsid w:val="00ED3547"/>
    <w:rsid w:val="00ED38F0"/>
    <w:rsid w:val="00ED47FA"/>
    <w:rsid w:val="00ED482D"/>
    <w:rsid w:val="00ED5305"/>
    <w:rsid w:val="00ED556E"/>
    <w:rsid w:val="00ED5741"/>
    <w:rsid w:val="00ED5AEC"/>
    <w:rsid w:val="00ED5DE5"/>
    <w:rsid w:val="00ED5DFA"/>
    <w:rsid w:val="00ED5F27"/>
    <w:rsid w:val="00ED61E4"/>
    <w:rsid w:val="00ED6B59"/>
    <w:rsid w:val="00ED6BFE"/>
    <w:rsid w:val="00ED6C83"/>
    <w:rsid w:val="00ED6CCA"/>
    <w:rsid w:val="00ED6E42"/>
    <w:rsid w:val="00ED7273"/>
    <w:rsid w:val="00ED734E"/>
    <w:rsid w:val="00ED744E"/>
    <w:rsid w:val="00ED76D9"/>
    <w:rsid w:val="00ED7BC9"/>
    <w:rsid w:val="00ED7D04"/>
    <w:rsid w:val="00ED7D1E"/>
    <w:rsid w:val="00EE057C"/>
    <w:rsid w:val="00EE05CB"/>
    <w:rsid w:val="00EE0CC6"/>
    <w:rsid w:val="00EE101D"/>
    <w:rsid w:val="00EE1BC8"/>
    <w:rsid w:val="00EE1C8C"/>
    <w:rsid w:val="00EE222A"/>
    <w:rsid w:val="00EE2EB2"/>
    <w:rsid w:val="00EE338F"/>
    <w:rsid w:val="00EE3C2B"/>
    <w:rsid w:val="00EE403C"/>
    <w:rsid w:val="00EE4084"/>
    <w:rsid w:val="00EE432B"/>
    <w:rsid w:val="00EE6402"/>
    <w:rsid w:val="00EE694C"/>
    <w:rsid w:val="00EE7263"/>
    <w:rsid w:val="00EE7341"/>
    <w:rsid w:val="00EE77A4"/>
    <w:rsid w:val="00EE7C3F"/>
    <w:rsid w:val="00EF015F"/>
    <w:rsid w:val="00EF02E1"/>
    <w:rsid w:val="00EF030D"/>
    <w:rsid w:val="00EF0A0A"/>
    <w:rsid w:val="00EF0F0A"/>
    <w:rsid w:val="00EF0F64"/>
    <w:rsid w:val="00EF0F86"/>
    <w:rsid w:val="00EF11A4"/>
    <w:rsid w:val="00EF1701"/>
    <w:rsid w:val="00EF24D1"/>
    <w:rsid w:val="00EF2559"/>
    <w:rsid w:val="00EF2AA2"/>
    <w:rsid w:val="00EF312E"/>
    <w:rsid w:val="00EF3337"/>
    <w:rsid w:val="00EF377C"/>
    <w:rsid w:val="00EF3877"/>
    <w:rsid w:val="00EF42F9"/>
    <w:rsid w:val="00EF4CF2"/>
    <w:rsid w:val="00EF4DD0"/>
    <w:rsid w:val="00EF5124"/>
    <w:rsid w:val="00EF52C3"/>
    <w:rsid w:val="00EF5842"/>
    <w:rsid w:val="00EF5A33"/>
    <w:rsid w:val="00EF5E1F"/>
    <w:rsid w:val="00EF6072"/>
    <w:rsid w:val="00EF62FB"/>
    <w:rsid w:val="00EF62FD"/>
    <w:rsid w:val="00EF6962"/>
    <w:rsid w:val="00EF6BB7"/>
    <w:rsid w:val="00EF6FAC"/>
    <w:rsid w:val="00EF717A"/>
    <w:rsid w:val="00EF7288"/>
    <w:rsid w:val="00EF77FC"/>
    <w:rsid w:val="00EF7A98"/>
    <w:rsid w:val="00EF7BE3"/>
    <w:rsid w:val="00F0041A"/>
    <w:rsid w:val="00F004E8"/>
    <w:rsid w:val="00F005A3"/>
    <w:rsid w:val="00F007EA"/>
    <w:rsid w:val="00F00D4B"/>
    <w:rsid w:val="00F00EBC"/>
    <w:rsid w:val="00F010B6"/>
    <w:rsid w:val="00F0258B"/>
    <w:rsid w:val="00F02E19"/>
    <w:rsid w:val="00F031FC"/>
    <w:rsid w:val="00F033DF"/>
    <w:rsid w:val="00F037B0"/>
    <w:rsid w:val="00F03965"/>
    <w:rsid w:val="00F03C1E"/>
    <w:rsid w:val="00F03E12"/>
    <w:rsid w:val="00F04008"/>
    <w:rsid w:val="00F04179"/>
    <w:rsid w:val="00F04572"/>
    <w:rsid w:val="00F04676"/>
    <w:rsid w:val="00F047E6"/>
    <w:rsid w:val="00F04A95"/>
    <w:rsid w:val="00F05011"/>
    <w:rsid w:val="00F0508A"/>
    <w:rsid w:val="00F055AB"/>
    <w:rsid w:val="00F05D0D"/>
    <w:rsid w:val="00F05E00"/>
    <w:rsid w:val="00F0642E"/>
    <w:rsid w:val="00F06562"/>
    <w:rsid w:val="00F069A6"/>
    <w:rsid w:val="00F06E8D"/>
    <w:rsid w:val="00F07536"/>
    <w:rsid w:val="00F0785B"/>
    <w:rsid w:val="00F07997"/>
    <w:rsid w:val="00F103C8"/>
    <w:rsid w:val="00F10794"/>
    <w:rsid w:val="00F10B5E"/>
    <w:rsid w:val="00F10D4C"/>
    <w:rsid w:val="00F10D5B"/>
    <w:rsid w:val="00F118E4"/>
    <w:rsid w:val="00F11A35"/>
    <w:rsid w:val="00F12159"/>
    <w:rsid w:val="00F122F1"/>
    <w:rsid w:val="00F123AE"/>
    <w:rsid w:val="00F12569"/>
    <w:rsid w:val="00F12768"/>
    <w:rsid w:val="00F12886"/>
    <w:rsid w:val="00F12962"/>
    <w:rsid w:val="00F12BC7"/>
    <w:rsid w:val="00F12C3E"/>
    <w:rsid w:val="00F12E67"/>
    <w:rsid w:val="00F1341F"/>
    <w:rsid w:val="00F13566"/>
    <w:rsid w:val="00F13846"/>
    <w:rsid w:val="00F14380"/>
    <w:rsid w:val="00F14440"/>
    <w:rsid w:val="00F1456C"/>
    <w:rsid w:val="00F14805"/>
    <w:rsid w:val="00F14913"/>
    <w:rsid w:val="00F15728"/>
    <w:rsid w:val="00F16303"/>
    <w:rsid w:val="00F1658A"/>
    <w:rsid w:val="00F16E75"/>
    <w:rsid w:val="00F16F87"/>
    <w:rsid w:val="00F17136"/>
    <w:rsid w:val="00F1724A"/>
    <w:rsid w:val="00F175DE"/>
    <w:rsid w:val="00F17768"/>
    <w:rsid w:val="00F17EB2"/>
    <w:rsid w:val="00F17F2D"/>
    <w:rsid w:val="00F20398"/>
    <w:rsid w:val="00F205A3"/>
    <w:rsid w:val="00F2060C"/>
    <w:rsid w:val="00F207BA"/>
    <w:rsid w:val="00F20A3E"/>
    <w:rsid w:val="00F20D1F"/>
    <w:rsid w:val="00F21412"/>
    <w:rsid w:val="00F21965"/>
    <w:rsid w:val="00F21D3E"/>
    <w:rsid w:val="00F220BE"/>
    <w:rsid w:val="00F227B3"/>
    <w:rsid w:val="00F228F0"/>
    <w:rsid w:val="00F23193"/>
    <w:rsid w:val="00F238C0"/>
    <w:rsid w:val="00F2412B"/>
    <w:rsid w:val="00F244A0"/>
    <w:rsid w:val="00F24553"/>
    <w:rsid w:val="00F246E7"/>
    <w:rsid w:val="00F24760"/>
    <w:rsid w:val="00F24936"/>
    <w:rsid w:val="00F249C5"/>
    <w:rsid w:val="00F24C95"/>
    <w:rsid w:val="00F24FF2"/>
    <w:rsid w:val="00F2519E"/>
    <w:rsid w:val="00F2529E"/>
    <w:rsid w:val="00F25379"/>
    <w:rsid w:val="00F25921"/>
    <w:rsid w:val="00F25B24"/>
    <w:rsid w:val="00F25DB0"/>
    <w:rsid w:val="00F2634E"/>
    <w:rsid w:val="00F263ED"/>
    <w:rsid w:val="00F2646F"/>
    <w:rsid w:val="00F269B6"/>
    <w:rsid w:val="00F269F1"/>
    <w:rsid w:val="00F26C5E"/>
    <w:rsid w:val="00F272F3"/>
    <w:rsid w:val="00F27401"/>
    <w:rsid w:val="00F2775C"/>
    <w:rsid w:val="00F27AE7"/>
    <w:rsid w:val="00F30574"/>
    <w:rsid w:val="00F30651"/>
    <w:rsid w:val="00F306A8"/>
    <w:rsid w:val="00F31406"/>
    <w:rsid w:val="00F3153C"/>
    <w:rsid w:val="00F31959"/>
    <w:rsid w:val="00F31C00"/>
    <w:rsid w:val="00F326F7"/>
    <w:rsid w:val="00F327CC"/>
    <w:rsid w:val="00F328D1"/>
    <w:rsid w:val="00F33641"/>
    <w:rsid w:val="00F33779"/>
    <w:rsid w:val="00F33A37"/>
    <w:rsid w:val="00F3400F"/>
    <w:rsid w:val="00F342E6"/>
    <w:rsid w:val="00F34BFE"/>
    <w:rsid w:val="00F35570"/>
    <w:rsid w:val="00F358B1"/>
    <w:rsid w:val="00F35DA7"/>
    <w:rsid w:val="00F35DF9"/>
    <w:rsid w:val="00F3627C"/>
    <w:rsid w:val="00F36779"/>
    <w:rsid w:val="00F3682E"/>
    <w:rsid w:val="00F36A53"/>
    <w:rsid w:val="00F36AF0"/>
    <w:rsid w:val="00F36C0D"/>
    <w:rsid w:val="00F36DC1"/>
    <w:rsid w:val="00F36DE8"/>
    <w:rsid w:val="00F37134"/>
    <w:rsid w:val="00F3734F"/>
    <w:rsid w:val="00F376BE"/>
    <w:rsid w:val="00F379F6"/>
    <w:rsid w:val="00F37F18"/>
    <w:rsid w:val="00F4003A"/>
    <w:rsid w:val="00F406AE"/>
    <w:rsid w:val="00F409BA"/>
    <w:rsid w:val="00F40E27"/>
    <w:rsid w:val="00F411E9"/>
    <w:rsid w:val="00F41314"/>
    <w:rsid w:val="00F413A3"/>
    <w:rsid w:val="00F41D61"/>
    <w:rsid w:val="00F41EE9"/>
    <w:rsid w:val="00F42212"/>
    <w:rsid w:val="00F422B7"/>
    <w:rsid w:val="00F42B75"/>
    <w:rsid w:val="00F43445"/>
    <w:rsid w:val="00F43475"/>
    <w:rsid w:val="00F43AAC"/>
    <w:rsid w:val="00F43B23"/>
    <w:rsid w:val="00F43C7A"/>
    <w:rsid w:val="00F44149"/>
    <w:rsid w:val="00F447B9"/>
    <w:rsid w:val="00F44B75"/>
    <w:rsid w:val="00F44C12"/>
    <w:rsid w:val="00F44F5E"/>
    <w:rsid w:val="00F45185"/>
    <w:rsid w:val="00F45233"/>
    <w:rsid w:val="00F45A03"/>
    <w:rsid w:val="00F45A97"/>
    <w:rsid w:val="00F45BB9"/>
    <w:rsid w:val="00F46139"/>
    <w:rsid w:val="00F461E7"/>
    <w:rsid w:val="00F462DA"/>
    <w:rsid w:val="00F4670E"/>
    <w:rsid w:val="00F467CB"/>
    <w:rsid w:val="00F46DAA"/>
    <w:rsid w:val="00F46E1B"/>
    <w:rsid w:val="00F47043"/>
    <w:rsid w:val="00F475DD"/>
    <w:rsid w:val="00F47830"/>
    <w:rsid w:val="00F478AA"/>
    <w:rsid w:val="00F47A06"/>
    <w:rsid w:val="00F47A50"/>
    <w:rsid w:val="00F47B4B"/>
    <w:rsid w:val="00F5000E"/>
    <w:rsid w:val="00F5034A"/>
    <w:rsid w:val="00F50513"/>
    <w:rsid w:val="00F5051B"/>
    <w:rsid w:val="00F50AF3"/>
    <w:rsid w:val="00F510EA"/>
    <w:rsid w:val="00F515E9"/>
    <w:rsid w:val="00F51DB9"/>
    <w:rsid w:val="00F51ED5"/>
    <w:rsid w:val="00F51FA7"/>
    <w:rsid w:val="00F52317"/>
    <w:rsid w:val="00F52528"/>
    <w:rsid w:val="00F525E3"/>
    <w:rsid w:val="00F528D2"/>
    <w:rsid w:val="00F52C18"/>
    <w:rsid w:val="00F52C77"/>
    <w:rsid w:val="00F5318E"/>
    <w:rsid w:val="00F53243"/>
    <w:rsid w:val="00F5376B"/>
    <w:rsid w:val="00F539E5"/>
    <w:rsid w:val="00F53B08"/>
    <w:rsid w:val="00F53B2D"/>
    <w:rsid w:val="00F5477A"/>
    <w:rsid w:val="00F54DBF"/>
    <w:rsid w:val="00F54E59"/>
    <w:rsid w:val="00F54F54"/>
    <w:rsid w:val="00F552F3"/>
    <w:rsid w:val="00F55B47"/>
    <w:rsid w:val="00F55BB0"/>
    <w:rsid w:val="00F55ED1"/>
    <w:rsid w:val="00F564F8"/>
    <w:rsid w:val="00F56749"/>
    <w:rsid w:val="00F5688D"/>
    <w:rsid w:val="00F56AC2"/>
    <w:rsid w:val="00F57789"/>
    <w:rsid w:val="00F57DCD"/>
    <w:rsid w:val="00F57DD1"/>
    <w:rsid w:val="00F60A72"/>
    <w:rsid w:val="00F60BE9"/>
    <w:rsid w:val="00F60DC2"/>
    <w:rsid w:val="00F61287"/>
    <w:rsid w:val="00F61A7B"/>
    <w:rsid w:val="00F61D31"/>
    <w:rsid w:val="00F62229"/>
    <w:rsid w:val="00F62612"/>
    <w:rsid w:val="00F62C02"/>
    <w:rsid w:val="00F62CA9"/>
    <w:rsid w:val="00F6354C"/>
    <w:rsid w:val="00F637C1"/>
    <w:rsid w:val="00F63A8A"/>
    <w:rsid w:val="00F63C39"/>
    <w:rsid w:val="00F63D0F"/>
    <w:rsid w:val="00F63F10"/>
    <w:rsid w:val="00F63F3A"/>
    <w:rsid w:val="00F64252"/>
    <w:rsid w:val="00F643BB"/>
    <w:rsid w:val="00F6492D"/>
    <w:rsid w:val="00F64C6C"/>
    <w:rsid w:val="00F65042"/>
    <w:rsid w:val="00F6530B"/>
    <w:rsid w:val="00F65580"/>
    <w:rsid w:val="00F661EC"/>
    <w:rsid w:val="00F6661A"/>
    <w:rsid w:val="00F66AC9"/>
    <w:rsid w:val="00F6706C"/>
    <w:rsid w:val="00F673A1"/>
    <w:rsid w:val="00F678C2"/>
    <w:rsid w:val="00F67D11"/>
    <w:rsid w:val="00F67FEA"/>
    <w:rsid w:val="00F70425"/>
    <w:rsid w:val="00F70E80"/>
    <w:rsid w:val="00F70FAE"/>
    <w:rsid w:val="00F7112D"/>
    <w:rsid w:val="00F71917"/>
    <w:rsid w:val="00F71AD9"/>
    <w:rsid w:val="00F71D47"/>
    <w:rsid w:val="00F72158"/>
    <w:rsid w:val="00F7222D"/>
    <w:rsid w:val="00F7233C"/>
    <w:rsid w:val="00F726F7"/>
    <w:rsid w:val="00F7292F"/>
    <w:rsid w:val="00F72E9C"/>
    <w:rsid w:val="00F730AD"/>
    <w:rsid w:val="00F734D4"/>
    <w:rsid w:val="00F753D5"/>
    <w:rsid w:val="00F75839"/>
    <w:rsid w:val="00F75C56"/>
    <w:rsid w:val="00F75C8E"/>
    <w:rsid w:val="00F75F78"/>
    <w:rsid w:val="00F76123"/>
    <w:rsid w:val="00F76412"/>
    <w:rsid w:val="00F76BD6"/>
    <w:rsid w:val="00F76D3C"/>
    <w:rsid w:val="00F776E6"/>
    <w:rsid w:val="00F77CAE"/>
    <w:rsid w:val="00F77E56"/>
    <w:rsid w:val="00F808C5"/>
    <w:rsid w:val="00F80EA4"/>
    <w:rsid w:val="00F810FC"/>
    <w:rsid w:val="00F812A6"/>
    <w:rsid w:val="00F81387"/>
    <w:rsid w:val="00F81412"/>
    <w:rsid w:val="00F81808"/>
    <w:rsid w:val="00F82747"/>
    <w:rsid w:val="00F82899"/>
    <w:rsid w:val="00F82C47"/>
    <w:rsid w:val="00F82FD7"/>
    <w:rsid w:val="00F8307E"/>
    <w:rsid w:val="00F83232"/>
    <w:rsid w:val="00F8338C"/>
    <w:rsid w:val="00F834FB"/>
    <w:rsid w:val="00F8368F"/>
    <w:rsid w:val="00F837B2"/>
    <w:rsid w:val="00F838F4"/>
    <w:rsid w:val="00F83D82"/>
    <w:rsid w:val="00F841BF"/>
    <w:rsid w:val="00F843EF"/>
    <w:rsid w:val="00F84578"/>
    <w:rsid w:val="00F84C0E"/>
    <w:rsid w:val="00F85037"/>
    <w:rsid w:val="00F85217"/>
    <w:rsid w:val="00F858E8"/>
    <w:rsid w:val="00F86147"/>
    <w:rsid w:val="00F861EC"/>
    <w:rsid w:val="00F86458"/>
    <w:rsid w:val="00F86646"/>
    <w:rsid w:val="00F86860"/>
    <w:rsid w:val="00F87183"/>
    <w:rsid w:val="00F873CA"/>
    <w:rsid w:val="00F87491"/>
    <w:rsid w:val="00F87557"/>
    <w:rsid w:val="00F878EB"/>
    <w:rsid w:val="00F90029"/>
    <w:rsid w:val="00F900FF"/>
    <w:rsid w:val="00F90331"/>
    <w:rsid w:val="00F90586"/>
    <w:rsid w:val="00F907FE"/>
    <w:rsid w:val="00F90E9C"/>
    <w:rsid w:val="00F90EB2"/>
    <w:rsid w:val="00F9121F"/>
    <w:rsid w:val="00F914D7"/>
    <w:rsid w:val="00F91914"/>
    <w:rsid w:val="00F91B66"/>
    <w:rsid w:val="00F91BE8"/>
    <w:rsid w:val="00F92015"/>
    <w:rsid w:val="00F92394"/>
    <w:rsid w:val="00F927A6"/>
    <w:rsid w:val="00F9329A"/>
    <w:rsid w:val="00F932F9"/>
    <w:rsid w:val="00F9335E"/>
    <w:rsid w:val="00F93518"/>
    <w:rsid w:val="00F9369E"/>
    <w:rsid w:val="00F936EB"/>
    <w:rsid w:val="00F936F6"/>
    <w:rsid w:val="00F9390D"/>
    <w:rsid w:val="00F949E0"/>
    <w:rsid w:val="00F94D9F"/>
    <w:rsid w:val="00F950C9"/>
    <w:rsid w:val="00F95149"/>
    <w:rsid w:val="00F95225"/>
    <w:rsid w:val="00F95378"/>
    <w:rsid w:val="00F95F30"/>
    <w:rsid w:val="00F962C9"/>
    <w:rsid w:val="00F9635A"/>
    <w:rsid w:val="00F9671F"/>
    <w:rsid w:val="00F96EE9"/>
    <w:rsid w:val="00F9700C"/>
    <w:rsid w:val="00F972FA"/>
    <w:rsid w:val="00F97364"/>
    <w:rsid w:val="00F975EA"/>
    <w:rsid w:val="00F97EEF"/>
    <w:rsid w:val="00FA0886"/>
    <w:rsid w:val="00FA08C5"/>
    <w:rsid w:val="00FA093B"/>
    <w:rsid w:val="00FA0CFA"/>
    <w:rsid w:val="00FA1171"/>
    <w:rsid w:val="00FA1367"/>
    <w:rsid w:val="00FA143B"/>
    <w:rsid w:val="00FA19C5"/>
    <w:rsid w:val="00FA1AB5"/>
    <w:rsid w:val="00FA1F8F"/>
    <w:rsid w:val="00FA2152"/>
    <w:rsid w:val="00FA2371"/>
    <w:rsid w:val="00FA2743"/>
    <w:rsid w:val="00FA2C22"/>
    <w:rsid w:val="00FA30BC"/>
    <w:rsid w:val="00FA3FE5"/>
    <w:rsid w:val="00FA465A"/>
    <w:rsid w:val="00FA4E21"/>
    <w:rsid w:val="00FA51EA"/>
    <w:rsid w:val="00FA525E"/>
    <w:rsid w:val="00FA52DF"/>
    <w:rsid w:val="00FA5763"/>
    <w:rsid w:val="00FA59DD"/>
    <w:rsid w:val="00FA5E6B"/>
    <w:rsid w:val="00FA6163"/>
    <w:rsid w:val="00FA65E9"/>
    <w:rsid w:val="00FA6A3E"/>
    <w:rsid w:val="00FA7ADF"/>
    <w:rsid w:val="00FA7B12"/>
    <w:rsid w:val="00FA7F41"/>
    <w:rsid w:val="00FB04B2"/>
    <w:rsid w:val="00FB05FA"/>
    <w:rsid w:val="00FB0AC0"/>
    <w:rsid w:val="00FB0B5A"/>
    <w:rsid w:val="00FB1010"/>
    <w:rsid w:val="00FB131E"/>
    <w:rsid w:val="00FB13EB"/>
    <w:rsid w:val="00FB1E9F"/>
    <w:rsid w:val="00FB1F33"/>
    <w:rsid w:val="00FB2326"/>
    <w:rsid w:val="00FB2BC3"/>
    <w:rsid w:val="00FB2C06"/>
    <w:rsid w:val="00FB2DEC"/>
    <w:rsid w:val="00FB2F54"/>
    <w:rsid w:val="00FB2FA2"/>
    <w:rsid w:val="00FB30AB"/>
    <w:rsid w:val="00FB32E7"/>
    <w:rsid w:val="00FB343E"/>
    <w:rsid w:val="00FB348E"/>
    <w:rsid w:val="00FB3D78"/>
    <w:rsid w:val="00FB4249"/>
    <w:rsid w:val="00FB4287"/>
    <w:rsid w:val="00FB477B"/>
    <w:rsid w:val="00FB4FD7"/>
    <w:rsid w:val="00FB505E"/>
    <w:rsid w:val="00FB57B8"/>
    <w:rsid w:val="00FB609F"/>
    <w:rsid w:val="00FB6320"/>
    <w:rsid w:val="00FB65C4"/>
    <w:rsid w:val="00FB6684"/>
    <w:rsid w:val="00FB67D0"/>
    <w:rsid w:val="00FB69AA"/>
    <w:rsid w:val="00FB7356"/>
    <w:rsid w:val="00FB79F5"/>
    <w:rsid w:val="00FB7C18"/>
    <w:rsid w:val="00FC0838"/>
    <w:rsid w:val="00FC0931"/>
    <w:rsid w:val="00FC0A5C"/>
    <w:rsid w:val="00FC0C50"/>
    <w:rsid w:val="00FC0CA9"/>
    <w:rsid w:val="00FC1286"/>
    <w:rsid w:val="00FC14C0"/>
    <w:rsid w:val="00FC14F3"/>
    <w:rsid w:val="00FC1708"/>
    <w:rsid w:val="00FC1A1B"/>
    <w:rsid w:val="00FC1CD2"/>
    <w:rsid w:val="00FC1EAE"/>
    <w:rsid w:val="00FC21C5"/>
    <w:rsid w:val="00FC265B"/>
    <w:rsid w:val="00FC2A58"/>
    <w:rsid w:val="00FC3099"/>
    <w:rsid w:val="00FC3852"/>
    <w:rsid w:val="00FC38A9"/>
    <w:rsid w:val="00FC398B"/>
    <w:rsid w:val="00FC3CC0"/>
    <w:rsid w:val="00FC3EF4"/>
    <w:rsid w:val="00FC425D"/>
    <w:rsid w:val="00FC43BE"/>
    <w:rsid w:val="00FC495B"/>
    <w:rsid w:val="00FC507E"/>
    <w:rsid w:val="00FC5342"/>
    <w:rsid w:val="00FC544C"/>
    <w:rsid w:val="00FC5616"/>
    <w:rsid w:val="00FC617C"/>
    <w:rsid w:val="00FC72C9"/>
    <w:rsid w:val="00FC737A"/>
    <w:rsid w:val="00FC75A6"/>
    <w:rsid w:val="00FC77F5"/>
    <w:rsid w:val="00FC7845"/>
    <w:rsid w:val="00FC7987"/>
    <w:rsid w:val="00FC7B72"/>
    <w:rsid w:val="00FC7C28"/>
    <w:rsid w:val="00FD0128"/>
    <w:rsid w:val="00FD018F"/>
    <w:rsid w:val="00FD0841"/>
    <w:rsid w:val="00FD0AB6"/>
    <w:rsid w:val="00FD0CD9"/>
    <w:rsid w:val="00FD0EFD"/>
    <w:rsid w:val="00FD11F3"/>
    <w:rsid w:val="00FD16D6"/>
    <w:rsid w:val="00FD226C"/>
    <w:rsid w:val="00FD2311"/>
    <w:rsid w:val="00FD28A6"/>
    <w:rsid w:val="00FD2A42"/>
    <w:rsid w:val="00FD2ADA"/>
    <w:rsid w:val="00FD324A"/>
    <w:rsid w:val="00FD3289"/>
    <w:rsid w:val="00FD3A18"/>
    <w:rsid w:val="00FD3EAB"/>
    <w:rsid w:val="00FD44A8"/>
    <w:rsid w:val="00FD4856"/>
    <w:rsid w:val="00FD4C08"/>
    <w:rsid w:val="00FD4C0A"/>
    <w:rsid w:val="00FD4D2A"/>
    <w:rsid w:val="00FD51D4"/>
    <w:rsid w:val="00FD55DE"/>
    <w:rsid w:val="00FD587E"/>
    <w:rsid w:val="00FD58BC"/>
    <w:rsid w:val="00FD59D6"/>
    <w:rsid w:val="00FD5BCC"/>
    <w:rsid w:val="00FD6188"/>
    <w:rsid w:val="00FD6508"/>
    <w:rsid w:val="00FD6BEB"/>
    <w:rsid w:val="00FD7111"/>
    <w:rsid w:val="00FD79C7"/>
    <w:rsid w:val="00FD7E5F"/>
    <w:rsid w:val="00FD7E94"/>
    <w:rsid w:val="00FE05EE"/>
    <w:rsid w:val="00FE0719"/>
    <w:rsid w:val="00FE07E1"/>
    <w:rsid w:val="00FE14EB"/>
    <w:rsid w:val="00FE1963"/>
    <w:rsid w:val="00FE1A63"/>
    <w:rsid w:val="00FE1C1A"/>
    <w:rsid w:val="00FE1F92"/>
    <w:rsid w:val="00FE1FD3"/>
    <w:rsid w:val="00FE236C"/>
    <w:rsid w:val="00FE296E"/>
    <w:rsid w:val="00FE2ACB"/>
    <w:rsid w:val="00FE2B1E"/>
    <w:rsid w:val="00FE2C12"/>
    <w:rsid w:val="00FE2D93"/>
    <w:rsid w:val="00FE2E78"/>
    <w:rsid w:val="00FE2E95"/>
    <w:rsid w:val="00FE2F70"/>
    <w:rsid w:val="00FE2F7D"/>
    <w:rsid w:val="00FE30BB"/>
    <w:rsid w:val="00FE3599"/>
    <w:rsid w:val="00FE363B"/>
    <w:rsid w:val="00FE4013"/>
    <w:rsid w:val="00FE464F"/>
    <w:rsid w:val="00FE472B"/>
    <w:rsid w:val="00FE49AF"/>
    <w:rsid w:val="00FE4B99"/>
    <w:rsid w:val="00FE4D81"/>
    <w:rsid w:val="00FE5033"/>
    <w:rsid w:val="00FE5669"/>
    <w:rsid w:val="00FE5CF9"/>
    <w:rsid w:val="00FE6937"/>
    <w:rsid w:val="00FF01EE"/>
    <w:rsid w:val="00FF0448"/>
    <w:rsid w:val="00FF048E"/>
    <w:rsid w:val="00FF04F0"/>
    <w:rsid w:val="00FF0682"/>
    <w:rsid w:val="00FF06CF"/>
    <w:rsid w:val="00FF0735"/>
    <w:rsid w:val="00FF13D5"/>
    <w:rsid w:val="00FF1571"/>
    <w:rsid w:val="00FF1D3C"/>
    <w:rsid w:val="00FF1EBA"/>
    <w:rsid w:val="00FF1EE0"/>
    <w:rsid w:val="00FF1FBE"/>
    <w:rsid w:val="00FF1FF0"/>
    <w:rsid w:val="00FF22E8"/>
    <w:rsid w:val="00FF281B"/>
    <w:rsid w:val="00FF285D"/>
    <w:rsid w:val="00FF2893"/>
    <w:rsid w:val="00FF28C0"/>
    <w:rsid w:val="00FF2C71"/>
    <w:rsid w:val="00FF2FA3"/>
    <w:rsid w:val="00FF3122"/>
    <w:rsid w:val="00FF34DC"/>
    <w:rsid w:val="00FF3528"/>
    <w:rsid w:val="00FF3879"/>
    <w:rsid w:val="00FF3885"/>
    <w:rsid w:val="00FF38DA"/>
    <w:rsid w:val="00FF3C00"/>
    <w:rsid w:val="00FF43A3"/>
    <w:rsid w:val="00FF4532"/>
    <w:rsid w:val="00FF4DA6"/>
    <w:rsid w:val="00FF4E69"/>
    <w:rsid w:val="00FF585D"/>
    <w:rsid w:val="00FF5A20"/>
    <w:rsid w:val="00FF5DFD"/>
    <w:rsid w:val="00FF5E93"/>
    <w:rsid w:val="00FF5EA8"/>
    <w:rsid w:val="00FF60FF"/>
    <w:rsid w:val="00FF61C9"/>
    <w:rsid w:val="00FF64DD"/>
    <w:rsid w:val="00FF6BE1"/>
    <w:rsid w:val="00FF6DED"/>
    <w:rsid w:val="00FF7249"/>
    <w:rsid w:val="00FF760D"/>
    <w:rsid w:val="00FF787C"/>
    <w:rsid w:val="00FF7D7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AFC68A"/>
  <w15:docId w15:val="{E7BC313F-7389-46D8-860B-C4A618307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iPriority="99" w:unhideWhenUsed="1"/>
    <w:lsdException w:name="annotation text" w:semiHidden="1"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locked="1"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locked="1" w:semiHidden="1" w:uiPriority="99"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locked="1" w:semiHidden="1" w:uiPriority="99" w:unhideWhenUsed="1"/>
    <w:lsdException w:name="HTML Top of Form" w:locked="1" w:semiHidden="1" w:uiPriority="99" w:unhideWhenUsed="1"/>
    <w:lsdException w:name="HTML Bottom of Form" w:locked="1" w:semiHidden="1" w:uiPriority="99" w:unhideWhenUsed="1"/>
    <w:lsdException w:name="Normal (Web)" w:semiHidden="1" w:unhideWhenUsed="1"/>
    <w:lsdException w:name="HTML Acronym" w:locked="1" w:semiHidden="1" w:uiPriority="99" w:unhideWhenUsed="1"/>
    <w:lsdException w:name="HTML Address" w:locked="1" w:semiHidden="1" w:uiPriority="99" w:unhideWhenUsed="1"/>
    <w:lsdException w:name="HTML Cite" w:locked="1" w:semiHidden="1" w:uiPriority="99" w:unhideWhenUsed="1"/>
    <w:lsdException w:name="HTML Code" w:locked="1" w:semiHidden="1" w:uiPriority="99" w:unhideWhenUsed="1"/>
    <w:lsdException w:name="HTML Definition" w:locked="1" w:semiHidden="1" w:uiPriority="99" w:unhideWhenUsed="1"/>
    <w:lsdException w:name="HTML Keyboard" w:locked="1" w:semiHidden="1" w:uiPriority="99" w:unhideWhenUsed="1"/>
    <w:lsdException w:name="HTML Preformatted" w:locked="1" w:semiHidden="1" w:uiPriority="99" w:unhideWhenUsed="1"/>
    <w:lsdException w:name="HTML Sample" w:locked="1" w:semiHidden="1" w:uiPriority="99" w:unhideWhenUsed="1"/>
    <w:lsdException w:name="HTML Typewriter" w:locked="1" w:semiHidden="1" w:uiPriority="99" w:unhideWhenUsed="1"/>
    <w:lsdException w:name="HTML Variable" w:locked="1" w:semiHidden="1" w:uiPriority="99" w:unhideWhenUsed="1"/>
    <w:lsdException w:name="Normal Table" w:locked="1" w:semiHidden="1" w:uiPriority="99" w:unhideWhenUsed="1"/>
    <w:lsdException w:name="annotation subject" w:semiHidden="1"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semiHidden="1"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83A"/>
    <w:pPr>
      <w:spacing w:before="120" w:after="120"/>
      <w:jc w:val="both"/>
    </w:pPr>
    <w:rPr>
      <w:rFonts w:ascii="Times New Roman" w:hAnsi="Times New Roman"/>
      <w:sz w:val="24"/>
      <w:lang w:val="en-GB" w:eastAsia="en-GB"/>
    </w:rPr>
  </w:style>
  <w:style w:type="paragraph" w:styleId="Heading1">
    <w:name w:val="heading 1"/>
    <w:basedOn w:val="Normal"/>
    <w:next w:val="Text1"/>
    <w:link w:val="Heading1Char"/>
    <w:uiPriority w:val="99"/>
    <w:qFormat/>
    <w:rsid w:val="0075503A"/>
    <w:pPr>
      <w:keepNext/>
      <w:numPr>
        <w:numId w:val="38"/>
      </w:numPr>
      <w:spacing w:before="360"/>
      <w:outlineLvl w:val="0"/>
    </w:pPr>
    <w:rPr>
      <w:rFonts w:eastAsia="Times New Roman"/>
      <w:b/>
      <w:bCs/>
      <w:smallCaps/>
      <w:szCs w:val="28"/>
    </w:rPr>
  </w:style>
  <w:style w:type="paragraph" w:styleId="Heading2">
    <w:name w:val="heading 2"/>
    <w:basedOn w:val="Normal"/>
    <w:next w:val="Text1"/>
    <w:link w:val="Heading2Char"/>
    <w:uiPriority w:val="99"/>
    <w:qFormat/>
    <w:rsid w:val="0075503A"/>
    <w:pPr>
      <w:keepNext/>
      <w:numPr>
        <w:ilvl w:val="1"/>
        <w:numId w:val="38"/>
      </w:numPr>
      <w:outlineLvl w:val="1"/>
    </w:pPr>
    <w:rPr>
      <w:rFonts w:eastAsia="Times New Roman"/>
      <w:b/>
      <w:bCs/>
      <w:szCs w:val="26"/>
    </w:rPr>
  </w:style>
  <w:style w:type="paragraph" w:styleId="Heading3">
    <w:name w:val="heading 3"/>
    <w:basedOn w:val="Normal"/>
    <w:next w:val="Text1"/>
    <w:link w:val="Heading3Char"/>
    <w:uiPriority w:val="99"/>
    <w:qFormat/>
    <w:rsid w:val="0075503A"/>
    <w:pPr>
      <w:keepNext/>
      <w:numPr>
        <w:ilvl w:val="2"/>
        <w:numId w:val="38"/>
      </w:numPr>
      <w:outlineLvl w:val="2"/>
    </w:pPr>
    <w:rPr>
      <w:rFonts w:eastAsia="Times New Roman"/>
      <w:bCs/>
      <w:i/>
    </w:rPr>
  </w:style>
  <w:style w:type="paragraph" w:styleId="Heading4">
    <w:name w:val="heading 4"/>
    <w:basedOn w:val="Normal"/>
    <w:next w:val="Text1"/>
    <w:link w:val="Heading4Char"/>
    <w:uiPriority w:val="99"/>
    <w:qFormat/>
    <w:rsid w:val="0075503A"/>
    <w:pPr>
      <w:keepNext/>
      <w:numPr>
        <w:ilvl w:val="3"/>
        <w:numId w:val="38"/>
      </w:numPr>
      <w:outlineLvl w:val="3"/>
    </w:pPr>
    <w:rPr>
      <w:rFonts w:eastAsia="Times New Roman"/>
      <w:bCs/>
      <w:iCs/>
    </w:rPr>
  </w:style>
  <w:style w:type="paragraph" w:styleId="Heading5">
    <w:name w:val="heading 5"/>
    <w:basedOn w:val="Normal"/>
    <w:next w:val="Normal"/>
    <w:link w:val="Heading5Char"/>
    <w:uiPriority w:val="99"/>
    <w:qFormat/>
    <w:rsid w:val="00AD4AED"/>
    <w:pPr>
      <w:spacing w:before="240" w:after="60"/>
      <w:ind w:left="1008" w:hanging="1008"/>
      <w:outlineLvl w:val="4"/>
    </w:pPr>
    <w:rPr>
      <w:rFonts w:ascii="Arial" w:hAnsi="Arial"/>
      <w:sz w:val="22"/>
      <w:lang w:val="bg-BG" w:eastAsia="en-US"/>
    </w:rPr>
  </w:style>
  <w:style w:type="paragraph" w:styleId="Heading6">
    <w:name w:val="heading 6"/>
    <w:basedOn w:val="Normal"/>
    <w:next w:val="Normal"/>
    <w:link w:val="Heading6Char"/>
    <w:uiPriority w:val="99"/>
    <w:qFormat/>
    <w:rsid w:val="00AD4AED"/>
    <w:pPr>
      <w:spacing w:before="240" w:after="60"/>
      <w:ind w:left="1152" w:hanging="1152"/>
      <w:outlineLvl w:val="5"/>
    </w:pPr>
    <w:rPr>
      <w:rFonts w:ascii="Arial" w:hAnsi="Arial"/>
      <w:i/>
      <w:sz w:val="22"/>
      <w:lang w:val="bg-BG" w:eastAsia="en-US"/>
    </w:rPr>
  </w:style>
  <w:style w:type="paragraph" w:styleId="Heading7">
    <w:name w:val="heading 7"/>
    <w:basedOn w:val="Normal"/>
    <w:next w:val="Normal"/>
    <w:link w:val="Heading7Char"/>
    <w:uiPriority w:val="99"/>
    <w:qFormat/>
    <w:rsid w:val="00AD4AED"/>
    <w:pPr>
      <w:spacing w:before="240" w:after="60"/>
      <w:ind w:left="1296" w:hanging="1296"/>
      <w:outlineLvl w:val="6"/>
    </w:pPr>
    <w:rPr>
      <w:rFonts w:ascii="Arial" w:hAnsi="Arial"/>
      <w:sz w:val="20"/>
      <w:lang w:val="bg-BG" w:eastAsia="en-US"/>
    </w:rPr>
  </w:style>
  <w:style w:type="paragraph" w:styleId="Heading8">
    <w:name w:val="heading 8"/>
    <w:basedOn w:val="Normal"/>
    <w:next w:val="Normal"/>
    <w:link w:val="Heading8Char"/>
    <w:uiPriority w:val="99"/>
    <w:qFormat/>
    <w:rsid w:val="00AD4AED"/>
    <w:pPr>
      <w:spacing w:before="240" w:after="60"/>
      <w:ind w:left="1440" w:hanging="1440"/>
      <w:outlineLvl w:val="7"/>
    </w:pPr>
    <w:rPr>
      <w:rFonts w:ascii="Arial" w:hAnsi="Arial"/>
      <w:i/>
      <w:sz w:val="20"/>
      <w:lang w:val="bg-BG" w:eastAsia="en-US"/>
    </w:rPr>
  </w:style>
  <w:style w:type="paragraph" w:styleId="Heading9">
    <w:name w:val="heading 9"/>
    <w:basedOn w:val="Normal"/>
    <w:next w:val="Normal"/>
    <w:link w:val="Heading9Char"/>
    <w:uiPriority w:val="99"/>
    <w:qFormat/>
    <w:rsid w:val="00AD4AED"/>
    <w:pPr>
      <w:spacing w:before="240" w:after="60"/>
      <w:ind w:left="1584" w:hanging="1584"/>
      <w:outlineLvl w:val="8"/>
    </w:pPr>
    <w:rPr>
      <w:rFonts w:ascii="Arial" w:hAnsi="Arial"/>
      <w:i/>
      <w:sz w:val="18"/>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5503A"/>
    <w:rPr>
      <w:rFonts w:ascii="Times New Roman" w:eastAsia="Times New Roman" w:hAnsi="Times New Roman"/>
      <w:b/>
      <w:bCs/>
      <w:smallCaps/>
      <w:sz w:val="24"/>
      <w:szCs w:val="28"/>
      <w:lang w:val="en-GB" w:eastAsia="en-GB"/>
    </w:rPr>
  </w:style>
  <w:style w:type="character" w:customStyle="1" w:styleId="Heading2Char">
    <w:name w:val="Heading 2 Char"/>
    <w:link w:val="Heading2"/>
    <w:uiPriority w:val="99"/>
    <w:locked/>
    <w:rsid w:val="0075503A"/>
    <w:rPr>
      <w:rFonts w:ascii="Times New Roman" w:eastAsia="Times New Roman" w:hAnsi="Times New Roman"/>
      <w:b/>
      <w:bCs/>
      <w:sz w:val="24"/>
      <w:szCs w:val="26"/>
      <w:lang w:val="en-GB" w:eastAsia="en-GB"/>
    </w:rPr>
  </w:style>
  <w:style w:type="character" w:customStyle="1" w:styleId="Heading3Char">
    <w:name w:val="Heading 3 Char"/>
    <w:link w:val="Heading3"/>
    <w:uiPriority w:val="99"/>
    <w:locked/>
    <w:rsid w:val="0075503A"/>
    <w:rPr>
      <w:rFonts w:ascii="Times New Roman" w:eastAsia="Times New Roman" w:hAnsi="Times New Roman"/>
      <w:bCs/>
      <w:i/>
      <w:sz w:val="24"/>
      <w:szCs w:val="20"/>
      <w:lang w:val="en-GB" w:eastAsia="en-GB"/>
    </w:rPr>
  </w:style>
  <w:style w:type="character" w:customStyle="1" w:styleId="Heading4Char">
    <w:name w:val="Heading 4 Char"/>
    <w:link w:val="Heading4"/>
    <w:uiPriority w:val="99"/>
    <w:locked/>
    <w:rsid w:val="0075503A"/>
    <w:rPr>
      <w:rFonts w:ascii="Times New Roman" w:eastAsia="Times New Roman" w:hAnsi="Times New Roman"/>
      <w:bCs/>
      <w:iCs/>
      <w:sz w:val="24"/>
      <w:szCs w:val="20"/>
      <w:lang w:val="en-GB" w:eastAsia="en-GB"/>
    </w:rPr>
  </w:style>
  <w:style w:type="character" w:customStyle="1" w:styleId="Heading5Char">
    <w:name w:val="Heading 5 Char"/>
    <w:link w:val="Heading5"/>
    <w:uiPriority w:val="99"/>
    <w:locked/>
    <w:rsid w:val="00AD4AED"/>
    <w:rPr>
      <w:rFonts w:ascii="Arial" w:hAnsi="Arial"/>
      <w:sz w:val="22"/>
      <w:lang w:eastAsia="en-US"/>
    </w:rPr>
  </w:style>
  <w:style w:type="character" w:customStyle="1" w:styleId="Heading6Char">
    <w:name w:val="Heading 6 Char"/>
    <w:link w:val="Heading6"/>
    <w:uiPriority w:val="99"/>
    <w:locked/>
    <w:rsid w:val="00AD4AED"/>
    <w:rPr>
      <w:rFonts w:ascii="Arial" w:hAnsi="Arial"/>
      <w:i/>
      <w:sz w:val="22"/>
      <w:lang w:eastAsia="en-US"/>
    </w:rPr>
  </w:style>
  <w:style w:type="character" w:customStyle="1" w:styleId="Heading7Char">
    <w:name w:val="Heading 7 Char"/>
    <w:link w:val="Heading7"/>
    <w:uiPriority w:val="99"/>
    <w:locked/>
    <w:rsid w:val="00AD4AED"/>
    <w:rPr>
      <w:rFonts w:ascii="Arial" w:hAnsi="Arial"/>
      <w:lang w:eastAsia="en-US"/>
    </w:rPr>
  </w:style>
  <w:style w:type="character" w:customStyle="1" w:styleId="Heading8Char">
    <w:name w:val="Heading 8 Char"/>
    <w:link w:val="Heading8"/>
    <w:uiPriority w:val="99"/>
    <w:locked/>
    <w:rsid w:val="00AD4AED"/>
    <w:rPr>
      <w:rFonts w:ascii="Arial" w:hAnsi="Arial"/>
      <w:i/>
      <w:lang w:eastAsia="en-US"/>
    </w:rPr>
  </w:style>
  <w:style w:type="character" w:customStyle="1" w:styleId="Heading9Char">
    <w:name w:val="Heading 9 Char"/>
    <w:link w:val="Heading9"/>
    <w:uiPriority w:val="99"/>
    <w:locked/>
    <w:rsid w:val="00AD4AED"/>
    <w:rPr>
      <w:rFonts w:ascii="Arial" w:hAnsi="Arial"/>
      <w:i/>
      <w:sz w:val="18"/>
      <w:lang w:eastAsia="en-US"/>
    </w:rPr>
  </w:style>
  <w:style w:type="paragraph" w:styleId="ListBullet">
    <w:name w:val="List Bullet"/>
    <w:basedOn w:val="Normal"/>
    <w:uiPriority w:val="99"/>
    <w:rsid w:val="00796970"/>
    <w:pPr>
      <w:tabs>
        <w:tab w:val="num" w:pos="360"/>
      </w:tabs>
      <w:ind w:left="360" w:hanging="360"/>
      <w:contextualSpacing/>
    </w:pPr>
  </w:style>
  <w:style w:type="paragraph" w:styleId="ListBullet2">
    <w:name w:val="List Bullet 2"/>
    <w:basedOn w:val="Normal"/>
    <w:uiPriority w:val="99"/>
    <w:rsid w:val="00796970"/>
    <w:pPr>
      <w:numPr>
        <w:numId w:val="13"/>
      </w:numPr>
      <w:contextualSpacing/>
    </w:pPr>
  </w:style>
  <w:style w:type="paragraph" w:styleId="ListBullet3">
    <w:name w:val="List Bullet 3"/>
    <w:basedOn w:val="Normal"/>
    <w:uiPriority w:val="99"/>
    <w:rsid w:val="00796970"/>
    <w:pPr>
      <w:numPr>
        <w:numId w:val="14"/>
      </w:numPr>
      <w:contextualSpacing/>
    </w:pPr>
  </w:style>
  <w:style w:type="paragraph" w:styleId="ListBullet4">
    <w:name w:val="List Bullet 4"/>
    <w:basedOn w:val="Normal"/>
    <w:uiPriority w:val="99"/>
    <w:rsid w:val="00796970"/>
    <w:pPr>
      <w:numPr>
        <w:numId w:val="15"/>
      </w:numPr>
      <w:contextualSpacing/>
    </w:p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uiPriority w:val="99"/>
    <w:rsid w:val="00AD4AED"/>
    <w:pPr>
      <w:spacing w:before="0" w:after="720"/>
      <w:ind w:left="5103"/>
      <w:jc w:val="left"/>
    </w:pPr>
    <w:rPr>
      <w:rFonts w:eastAsia="Times New Roman"/>
    </w:rPr>
  </w:style>
  <w:style w:type="paragraph" w:styleId="BlockText">
    <w:name w:val="Block Text"/>
    <w:basedOn w:val="Normal"/>
    <w:uiPriority w:val="99"/>
    <w:rsid w:val="00AD4AED"/>
    <w:pPr>
      <w:spacing w:before="0"/>
      <w:ind w:left="1440" w:right="1440"/>
    </w:pPr>
    <w:rPr>
      <w:rFonts w:eastAsia="Times New Roman"/>
    </w:rPr>
  </w:style>
  <w:style w:type="paragraph" w:styleId="BodyText">
    <w:name w:val="Body Text"/>
    <w:basedOn w:val="Normal"/>
    <w:link w:val="BodyTextChar"/>
    <w:uiPriority w:val="99"/>
    <w:rsid w:val="00AD4AED"/>
    <w:pPr>
      <w:spacing w:before="0"/>
    </w:pPr>
    <w:rPr>
      <w:lang w:val="bg-BG" w:eastAsia="en-US"/>
    </w:rPr>
  </w:style>
  <w:style w:type="character" w:customStyle="1" w:styleId="BodyTextChar">
    <w:name w:val="Body Text Char"/>
    <w:link w:val="BodyText"/>
    <w:uiPriority w:val="99"/>
    <w:locked/>
    <w:rsid w:val="00AD4AED"/>
    <w:rPr>
      <w:rFonts w:ascii="Times New Roman" w:hAnsi="Times New Roman"/>
      <w:sz w:val="24"/>
      <w:lang w:eastAsia="en-US"/>
    </w:rPr>
  </w:style>
  <w:style w:type="paragraph" w:styleId="BodyText2">
    <w:name w:val="Body Text 2"/>
    <w:basedOn w:val="Normal"/>
    <w:link w:val="BodyText2Char"/>
    <w:uiPriority w:val="99"/>
    <w:rsid w:val="00AD4AED"/>
    <w:pPr>
      <w:spacing w:before="0" w:line="480" w:lineRule="auto"/>
    </w:pPr>
    <w:rPr>
      <w:lang w:val="bg-BG" w:eastAsia="en-US"/>
    </w:rPr>
  </w:style>
  <w:style w:type="character" w:customStyle="1" w:styleId="BodyText2Char">
    <w:name w:val="Body Text 2 Char"/>
    <w:link w:val="BodyText2"/>
    <w:uiPriority w:val="99"/>
    <w:locked/>
    <w:rsid w:val="00AD4AED"/>
    <w:rPr>
      <w:rFonts w:ascii="Times New Roman" w:hAnsi="Times New Roman"/>
      <w:sz w:val="24"/>
      <w:lang w:eastAsia="en-US"/>
    </w:rPr>
  </w:style>
  <w:style w:type="paragraph" w:styleId="BodyText3">
    <w:name w:val="Body Text 3"/>
    <w:basedOn w:val="Normal"/>
    <w:link w:val="BodyText3Char"/>
    <w:uiPriority w:val="99"/>
    <w:rsid w:val="00AD4AED"/>
    <w:pPr>
      <w:spacing w:before="0"/>
    </w:pPr>
    <w:rPr>
      <w:sz w:val="16"/>
      <w:lang w:val="bg-BG" w:eastAsia="en-US"/>
    </w:rPr>
  </w:style>
  <w:style w:type="character" w:customStyle="1" w:styleId="BodyText3Char">
    <w:name w:val="Body Text 3 Char"/>
    <w:link w:val="BodyText3"/>
    <w:uiPriority w:val="99"/>
    <w:locked/>
    <w:rsid w:val="00AD4AED"/>
    <w:rPr>
      <w:rFonts w:ascii="Times New Roman" w:hAnsi="Times New Roman"/>
      <w:sz w:val="16"/>
      <w:lang w:eastAsia="en-US"/>
    </w:rPr>
  </w:style>
  <w:style w:type="paragraph" w:styleId="BodyTextFirstIndent">
    <w:name w:val="Body Text First Indent"/>
    <w:basedOn w:val="BodyText"/>
    <w:link w:val="BodyTextFirstIndentChar"/>
    <w:uiPriority w:val="99"/>
    <w:rsid w:val="00AD4AED"/>
    <w:pPr>
      <w:ind w:firstLine="210"/>
    </w:pPr>
  </w:style>
  <w:style w:type="character" w:customStyle="1" w:styleId="BodyTextFirstIndentChar">
    <w:name w:val="Body Text First Indent Char"/>
    <w:basedOn w:val="BodyTextChar"/>
    <w:link w:val="BodyTextFirstIndent"/>
    <w:uiPriority w:val="99"/>
    <w:locked/>
    <w:rsid w:val="00AD4AED"/>
    <w:rPr>
      <w:rFonts w:ascii="Times New Roman" w:hAnsi="Times New Roman"/>
      <w:sz w:val="24"/>
      <w:lang w:eastAsia="en-US"/>
    </w:rPr>
  </w:style>
  <w:style w:type="paragraph" w:styleId="BodyTextIndent">
    <w:name w:val="Body Text Indent"/>
    <w:basedOn w:val="Normal"/>
    <w:link w:val="BodyTextIndentChar"/>
    <w:uiPriority w:val="99"/>
    <w:rsid w:val="00AD4AED"/>
    <w:pPr>
      <w:spacing w:before="0"/>
      <w:ind w:left="283"/>
    </w:pPr>
    <w:rPr>
      <w:lang w:val="bg-BG" w:eastAsia="en-US"/>
    </w:rPr>
  </w:style>
  <w:style w:type="character" w:customStyle="1" w:styleId="BodyTextIndentChar">
    <w:name w:val="Body Text Indent Char"/>
    <w:link w:val="BodyTextIndent"/>
    <w:uiPriority w:val="99"/>
    <w:locked/>
    <w:rsid w:val="00AD4AED"/>
    <w:rPr>
      <w:rFonts w:ascii="Times New Roman" w:hAnsi="Times New Roman"/>
      <w:sz w:val="24"/>
      <w:lang w:eastAsia="en-US"/>
    </w:rPr>
  </w:style>
  <w:style w:type="paragraph" w:styleId="BodyTextFirstIndent2">
    <w:name w:val="Body Text First Indent 2"/>
    <w:basedOn w:val="BodyTextIndent"/>
    <w:link w:val="BodyTextFirstIndent2Char"/>
    <w:uiPriority w:val="99"/>
    <w:rsid w:val="00AD4AED"/>
    <w:pPr>
      <w:ind w:firstLine="210"/>
    </w:pPr>
  </w:style>
  <w:style w:type="character" w:customStyle="1" w:styleId="BodyTextFirstIndent2Char">
    <w:name w:val="Body Text First Indent 2 Char"/>
    <w:basedOn w:val="BodyTextIndentChar"/>
    <w:link w:val="BodyTextFirstIndent2"/>
    <w:uiPriority w:val="99"/>
    <w:locked/>
    <w:rsid w:val="00AD4AED"/>
    <w:rPr>
      <w:rFonts w:ascii="Times New Roman" w:hAnsi="Times New Roman"/>
      <w:sz w:val="24"/>
      <w:lang w:eastAsia="en-US"/>
    </w:rPr>
  </w:style>
  <w:style w:type="paragraph" w:styleId="BodyTextIndent2">
    <w:name w:val="Body Text Indent 2"/>
    <w:basedOn w:val="Normal"/>
    <w:link w:val="BodyTextIndent2Char"/>
    <w:uiPriority w:val="99"/>
    <w:rsid w:val="00AD4AED"/>
    <w:pPr>
      <w:spacing w:before="0" w:line="480" w:lineRule="auto"/>
      <w:ind w:left="283"/>
    </w:pPr>
    <w:rPr>
      <w:lang w:val="bg-BG" w:eastAsia="en-US"/>
    </w:rPr>
  </w:style>
  <w:style w:type="character" w:customStyle="1" w:styleId="BodyTextIndent2Char">
    <w:name w:val="Body Text Indent 2 Char"/>
    <w:link w:val="BodyTextIndent2"/>
    <w:uiPriority w:val="99"/>
    <w:locked/>
    <w:rsid w:val="00AD4AED"/>
    <w:rPr>
      <w:rFonts w:ascii="Times New Roman" w:hAnsi="Times New Roman"/>
      <w:sz w:val="24"/>
      <w:lang w:eastAsia="en-US"/>
    </w:rPr>
  </w:style>
  <w:style w:type="paragraph" w:styleId="BodyTextIndent3">
    <w:name w:val="Body Text Indent 3"/>
    <w:basedOn w:val="Normal"/>
    <w:link w:val="BodyTextIndent3Char"/>
    <w:uiPriority w:val="99"/>
    <w:rsid w:val="00AD4AED"/>
    <w:pPr>
      <w:spacing w:before="0"/>
      <w:ind w:left="283"/>
    </w:pPr>
    <w:rPr>
      <w:sz w:val="16"/>
      <w:lang w:val="bg-BG" w:eastAsia="en-US"/>
    </w:rPr>
  </w:style>
  <w:style w:type="character" w:customStyle="1" w:styleId="BodyTextIndent3Char">
    <w:name w:val="Body Text Indent 3 Char"/>
    <w:link w:val="BodyTextIndent3"/>
    <w:uiPriority w:val="99"/>
    <w:locked/>
    <w:rsid w:val="00AD4AED"/>
    <w:rPr>
      <w:rFonts w:ascii="Times New Roman" w:hAnsi="Times New Roman"/>
      <w:sz w:val="16"/>
      <w:lang w:eastAsia="en-US"/>
    </w:rPr>
  </w:style>
  <w:style w:type="paragraph" w:styleId="Caption">
    <w:name w:val="caption"/>
    <w:basedOn w:val="Normal"/>
    <w:next w:val="Normal"/>
    <w:uiPriority w:val="99"/>
    <w:qFormat/>
    <w:rsid w:val="00AD4AED"/>
    <w:rPr>
      <w:rFonts w:eastAsia="Times New Roman"/>
      <w:b/>
    </w:rPr>
  </w:style>
  <w:style w:type="paragraph" w:styleId="Closing">
    <w:name w:val="Closing"/>
    <w:basedOn w:val="Normal"/>
    <w:next w:val="Signature"/>
    <w:link w:val="ClosingChar"/>
    <w:uiPriority w:val="99"/>
    <w:rsid w:val="00AD4AED"/>
    <w:pPr>
      <w:tabs>
        <w:tab w:val="left" w:pos="5103"/>
      </w:tabs>
      <w:spacing w:before="240" w:after="240"/>
      <w:ind w:left="5103"/>
      <w:jc w:val="left"/>
    </w:pPr>
    <w:rPr>
      <w:lang w:val="bg-BG" w:eastAsia="en-US"/>
    </w:rPr>
  </w:style>
  <w:style w:type="character" w:customStyle="1" w:styleId="ClosingChar">
    <w:name w:val="Closing Char"/>
    <w:link w:val="Closing"/>
    <w:uiPriority w:val="99"/>
    <w:locked/>
    <w:rsid w:val="00AD4AED"/>
    <w:rPr>
      <w:rFonts w:ascii="Times New Roman" w:hAnsi="Times New Roman"/>
      <w:sz w:val="24"/>
      <w:lang w:eastAsia="en-US"/>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lang w:val="bg-BG" w:eastAsia="en-US"/>
    </w:rPr>
  </w:style>
  <w:style w:type="character" w:customStyle="1" w:styleId="SignatureChar">
    <w:name w:val="Signature Char"/>
    <w:link w:val="Signature"/>
    <w:uiPriority w:val="99"/>
    <w:locked/>
    <w:rsid w:val="00AD4AED"/>
    <w:rPr>
      <w:rFonts w:ascii="Times New Roman" w:hAnsi="Times New Roman"/>
      <w:sz w:val="24"/>
      <w:lang w:eastAsia="en-US"/>
    </w:rPr>
  </w:style>
  <w:style w:type="paragraph" w:customStyle="1" w:styleId="Enclosures">
    <w:name w:val="Enclosures"/>
    <w:basedOn w:val="Normal"/>
    <w:next w:val="Participants"/>
    <w:uiPriority w:val="99"/>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uiPriority w:val="99"/>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uiPriority w:val="99"/>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uiPriority w:val="99"/>
    <w:rsid w:val="00AD4AED"/>
    <w:pPr>
      <w:spacing w:before="0" w:after="240"/>
    </w:pPr>
    <w:rPr>
      <w:sz w:val="20"/>
      <w:lang w:val="bg-BG" w:eastAsia="en-US"/>
    </w:rPr>
  </w:style>
  <w:style w:type="character" w:customStyle="1" w:styleId="CommentTextChar">
    <w:name w:val="Comment Text Char"/>
    <w:link w:val="CommentText"/>
    <w:uiPriority w:val="99"/>
    <w:locked/>
    <w:rsid w:val="00AD4AED"/>
    <w:rPr>
      <w:rFonts w:ascii="Times New Roman" w:hAnsi="Times New Roman"/>
      <w:lang w:eastAsia="en-US"/>
    </w:rPr>
  </w:style>
  <w:style w:type="paragraph" w:styleId="Date">
    <w:name w:val="Date"/>
    <w:basedOn w:val="Normal"/>
    <w:next w:val="References"/>
    <w:link w:val="DateChar"/>
    <w:uiPriority w:val="99"/>
    <w:rsid w:val="00AD4AED"/>
    <w:pPr>
      <w:spacing w:before="0" w:after="0"/>
      <w:ind w:left="5103" w:right="-567"/>
      <w:jc w:val="left"/>
    </w:pPr>
    <w:rPr>
      <w:lang w:val="bg-BG" w:eastAsia="en-US"/>
    </w:rPr>
  </w:style>
  <w:style w:type="character" w:customStyle="1" w:styleId="DateChar">
    <w:name w:val="Date Char"/>
    <w:link w:val="Date"/>
    <w:uiPriority w:val="99"/>
    <w:locked/>
    <w:rsid w:val="00AD4AED"/>
    <w:rPr>
      <w:rFonts w:ascii="Times New Roman" w:hAnsi="Times New Roman"/>
      <w:sz w:val="24"/>
      <w:lang w:eastAsia="en-US"/>
    </w:rPr>
  </w:style>
  <w:style w:type="paragraph" w:customStyle="1" w:styleId="References">
    <w:name w:val="References"/>
    <w:basedOn w:val="Normal"/>
    <w:next w:val="AddressTR"/>
    <w:uiPriority w:val="99"/>
    <w:rsid w:val="00AD4AED"/>
    <w:pPr>
      <w:spacing w:before="0" w:after="240"/>
      <w:ind w:left="5103"/>
      <w:jc w:val="left"/>
    </w:pPr>
    <w:rPr>
      <w:rFonts w:eastAsia="Times New Roman"/>
      <w:sz w:val="20"/>
    </w:rPr>
  </w:style>
  <w:style w:type="paragraph" w:styleId="DocumentMap">
    <w:name w:val="Document Map"/>
    <w:basedOn w:val="Normal"/>
    <w:link w:val="DocumentMapChar"/>
    <w:uiPriority w:val="99"/>
    <w:semiHidden/>
    <w:rsid w:val="00AD4AED"/>
    <w:pPr>
      <w:shd w:val="clear" w:color="auto" w:fill="000080"/>
      <w:spacing w:before="0" w:after="240"/>
    </w:pPr>
    <w:rPr>
      <w:rFonts w:ascii="Tahoma" w:hAnsi="Tahoma"/>
      <w:lang w:val="bg-BG" w:eastAsia="en-US"/>
    </w:rPr>
  </w:style>
  <w:style w:type="character" w:customStyle="1" w:styleId="DocumentMapChar">
    <w:name w:val="Document Map Char"/>
    <w:link w:val="DocumentMap"/>
    <w:uiPriority w:val="99"/>
    <w:semiHidden/>
    <w:locked/>
    <w:rsid w:val="00AD4AED"/>
    <w:rPr>
      <w:rFonts w:ascii="Tahoma" w:hAnsi="Tahoma"/>
      <w:sz w:val="24"/>
      <w:shd w:val="clear" w:color="auto" w:fill="000080"/>
      <w:lang w:eastAsia="en-US"/>
    </w:rPr>
  </w:style>
  <w:style w:type="paragraph" w:customStyle="1" w:styleId="DoubSign">
    <w:name w:val="DoubSign"/>
    <w:basedOn w:val="Normal"/>
    <w:next w:val="Contact"/>
    <w:uiPriority w:val="99"/>
    <w:rsid w:val="00AD4AED"/>
    <w:pPr>
      <w:tabs>
        <w:tab w:val="left" w:pos="5103"/>
      </w:tabs>
      <w:spacing w:before="1200" w:after="0"/>
      <w:jc w:val="left"/>
    </w:pPr>
    <w:rPr>
      <w:rFonts w:eastAsia="Times New Roman"/>
    </w:rPr>
  </w:style>
  <w:style w:type="paragraph" w:styleId="EndnoteText">
    <w:name w:val="endnote text"/>
    <w:basedOn w:val="Normal"/>
    <w:link w:val="EndnoteTextChar"/>
    <w:uiPriority w:val="99"/>
    <w:semiHidden/>
    <w:rsid w:val="00AD4AED"/>
    <w:pPr>
      <w:spacing w:before="0" w:after="240"/>
    </w:pPr>
    <w:rPr>
      <w:sz w:val="20"/>
      <w:lang w:val="bg-BG" w:eastAsia="en-US"/>
    </w:rPr>
  </w:style>
  <w:style w:type="character" w:customStyle="1" w:styleId="EndnoteTextChar">
    <w:name w:val="Endnote Text Char"/>
    <w:link w:val="EndnoteText"/>
    <w:uiPriority w:val="99"/>
    <w:semiHidden/>
    <w:locked/>
    <w:rsid w:val="00AD4AED"/>
    <w:rPr>
      <w:rFonts w:ascii="Times New Roman" w:hAnsi="Times New Roman"/>
      <w:lang w:eastAsia="en-US"/>
    </w:rPr>
  </w:style>
  <w:style w:type="paragraph" w:styleId="EnvelopeAddress">
    <w:name w:val="envelope address"/>
    <w:basedOn w:val="Normal"/>
    <w:uiPriority w:val="99"/>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uiPriority w:val="99"/>
    <w:rsid w:val="00AD4AED"/>
    <w:pPr>
      <w:spacing w:before="0" w:after="0"/>
    </w:pPr>
    <w:rPr>
      <w:rFonts w:eastAsia="Times New Roman"/>
      <w:sz w:val="20"/>
    </w:rPr>
  </w:style>
  <w:style w:type="paragraph" w:styleId="Index1">
    <w:name w:val="index 1"/>
    <w:basedOn w:val="Normal"/>
    <w:next w:val="Normal"/>
    <w:autoRedefine/>
    <w:uiPriority w:val="99"/>
    <w:semiHidden/>
    <w:rsid w:val="00AD4AED"/>
    <w:pPr>
      <w:spacing w:before="0" w:after="240"/>
      <w:ind w:left="240" w:hanging="240"/>
    </w:pPr>
    <w:rPr>
      <w:rFonts w:eastAsia="Times New Roman"/>
    </w:rPr>
  </w:style>
  <w:style w:type="paragraph" w:styleId="Index2">
    <w:name w:val="index 2"/>
    <w:basedOn w:val="Normal"/>
    <w:next w:val="Normal"/>
    <w:autoRedefine/>
    <w:uiPriority w:val="99"/>
    <w:semiHidden/>
    <w:rsid w:val="00AD4AED"/>
    <w:pPr>
      <w:spacing w:before="0" w:after="240"/>
      <w:ind w:left="480" w:hanging="240"/>
    </w:pPr>
    <w:rPr>
      <w:rFonts w:eastAsia="Times New Roman"/>
    </w:rPr>
  </w:style>
  <w:style w:type="paragraph" w:styleId="Index3">
    <w:name w:val="index 3"/>
    <w:basedOn w:val="Normal"/>
    <w:next w:val="Normal"/>
    <w:autoRedefine/>
    <w:uiPriority w:val="99"/>
    <w:semiHidden/>
    <w:rsid w:val="00AD4AED"/>
    <w:pPr>
      <w:spacing w:before="0" w:after="240"/>
      <w:ind w:left="720" w:hanging="240"/>
    </w:pPr>
    <w:rPr>
      <w:rFonts w:eastAsia="Times New Roman"/>
    </w:rPr>
  </w:style>
  <w:style w:type="paragraph" w:styleId="Index4">
    <w:name w:val="index 4"/>
    <w:basedOn w:val="Normal"/>
    <w:next w:val="Normal"/>
    <w:autoRedefine/>
    <w:uiPriority w:val="99"/>
    <w:semiHidden/>
    <w:rsid w:val="00AD4AED"/>
    <w:pPr>
      <w:spacing w:before="0" w:after="240"/>
      <w:ind w:left="960" w:hanging="240"/>
    </w:pPr>
    <w:rPr>
      <w:rFonts w:eastAsia="Times New Roman"/>
    </w:rPr>
  </w:style>
  <w:style w:type="paragraph" w:styleId="Index5">
    <w:name w:val="index 5"/>
    <w:basedOn w:val="Normal"/>
    <w:next w:val="Normal"/>
    <w:autoRedefine/>
    <w:uiPriority w:val="99"/>
    <w:semiHidden/>
    <w:rsid w:val="00AD4AED"/>
    <w:pPr>
      <w:spacing w:before="0" w:after="240"/>
      <w:ind w:left="1200" w:hanging="240"/>
    </w:pPr>
    <w:rPr>
      <w:rFonts w:eastAsia="Times New Roman"/>
    </w:rPr>
  </w:style>
  <w:style w:type="paragraph" w:styleId="Index6">
    <w:name w:val="index 6"/>
    <w:basedOn w:val="Normal"/>
    <w:next w:val="Normal"/>
    <w:autoRedefine/>
    <w:uiPriority w:val="99"/>
    <w:semiHidden/>
    <w:rsid w:val="00AD4AED"/>
    <w:pPr>
      <w:spacing w:before="0" w:after="240"/>
      <w:ind w:left="1440" w:hanging="240"/>
    </w:pPr>
    <w:rPr>
      <w:rFonts w:eastAsia="Times New Roman"/>
    </w:rPr>
  </w:style>
  <w:style w:type="paragraph" w:styleId="Index7">
    <w:name w:val="index 7"/>
    <w:basedOn w:val="Normal"/>
    <w:next w:val="Normal"/>
    <w:autoRedefine/>
    <w:uiPriority w:val="99"/>
    <w:semiHidden/>
    <w:rsid w:val="00AD4AED"/>
    <w:pPr>
      <w:spacing w:before="0" w:after="240"/>
      <w:ind w:left="1680" w:hanging="240"/>
    </w:pPr>
    <w:rPr>
      <w:rFonts w:eastAsia="Times New Roman"/>
    </w:rPr>
  </w:style>
  <w:style w:type="paragraph" w:styleId="Index8">
    <w:name w:val="index 8"/>
    <w:basedOn w:val="Normal"/>
    <w:next w:val="Normal"/>
    <w:autoRedefine/>
    <w:uiPriority w:val="99"/>
    <w:semiHidden/>
    <w:rsid w:val="00AD4AED"/>
    <w:pPr>
      <w:spacing w:before="0" w:after="240"/>
      <w:ind w:left="1920" w:hanging="240"/>
    </w:pPr>
    <w:rPr>
      <w:rFonts w:eastAsia="Times New Roman"/>
    </w:rPr>
  </w:style>
  <w:style w:type="paragraph" w:styleId="Index9">
    <w:name w:val="index 9"/>
    <w:basedOn w:val="Normal"/>
    <w:next w:val="Normal"/>
    <w:autoRedefine/>
    <w:uiPriority w:val="99"/>
    <w:semiHidden/>
    <w:rsid w:val="00AD4AED"/>
    <w:pPr>
      <w:spacing w:before="0" w:after="240"/>
      <w:ind w:left="2160" w:hanging="240"/>
    </w:pPr>
    <w:rPr>
      <w:rFonts w:eastAsia="Times New Roman"/>
    </w:rPr>
  </w:style>
  <w:style w:type="paragraph" w:styleId="IndexHeading">
    <w:name w:val="index heading"/>
    <w:basedOn w:val="Normal"/>
    <w:next w:val="Index1"/>
    <w:uiPriority w:val="99"/>
    <w:semiHidden/>
    <w:rsid w:val="00AD4AED"/>
    <w:pPr>
      <w:spacing w:before="0" w:after="240"/>
    </w:pPr>
    <w:rPr>
      <w:rFonts w:ascii="Arial" w:eastAsia="Times New Roman" w:hAnsi="Arial"/>
      <w:b/>
    </w:rPr>
  </w:style>
  <w:style w:type="paragraph" w:styleId="List">
    <w:name w:val="List"/>
    <w:basedOn w:val="Normal"/>
    <w:uiPriority w:val="99"/>
    <w:rsid w:val="00AD4AED"/>
    <w:pPr>
      <w:spacing w:before="0" w:after="240"/>
      <w:ind w:left="283" w:hanging="283"/>
    </w:pPr>
    <w:rPr>
      <w:rFonts w:eastAsia="Times New Roman"/>
    </w:rPr>
  </w:style>
  <w:style w:type="paragraph" w:styleId="List2">
    <w:name w:val="List 2"/>
    <w:basedOn w:val="Normal"/>
    <w:uiPriority w:val="99"/>
    <w:rsid w:val="00AD4AED"/>
    <w:pPr>
      <w:spacing w:before="0" w:after="240"/>
      <w:ind w:left="566" w:hanging="283"/>
    </w:pPr>
    <w:rPr>
      <w:rFonts w:eastAsia="Times New Roman"/>
    </w:rPr>
  </w:style>
  <w:style w:type="paragraph" w:styleId="List3">
    <w:name w:val="List 3"/>
    <w:basedOn w:val="Normal"/>
    <w:uiPriority w:val="99"/>
    <w:rsid w:val="00AD4AED"/>
    <w:pPr>
      <w:spacing w:before="0" w:after="240"/>
      <w:ind w:left="849" w:hanging="283"/>
    </w:pPr>
    <w:rPr>
      <w:rFonts w:eastAsia="Times New Roman"/>
    </w:rPr>
  </w:style>
  <w:style w:type="paragraph" w:styleId="List4">
    <w:name w:val="List 4"/>
    <w:basedOn w:val="Normal"/>
    <w:uiPriority w:val="99"/>
    <w:rsid w:val="00AD4AED"/>
    <w:pPr>
      <w:spacing w:before="0" w:after="240"/>
      <w:ind w:left="1132" w:hanging="283"/>
    </w:pPr>
    <w:rPr>
      <w:rFonts w:eastAsia="Times New Roman"/>
    </w:rPr>
  </w:style>
  <w:style w:type="paragraph" w:styleId="List5">
    <w:name w:val="List 5"/>
    <w:basedOn w:val="Normal"/>
    <w:uiPriority w:val="99"/>
    <w:rsid w:val="00AD4AED"/>
    <w:pPr>
      <w:spacing w:before="0" w:after="240"/>
      <w:ind w:left="1415" w:hanging="283"/>
    </w:pPr>
    <w:rPr>
      <w:rFonts w:eastAsia="Times New Roman"/>
    </w:rPr>
  </w:style>
  <w:style w:type="paragraph" w:styleId="ListBullet5">
    <w:name w:val="List Bullet 5"/>
    <w:basedOn w:val="Normal"/>
    <w:autoRedefine/>
    <w:uiPriority w:val="99"/>
    <w:rsid w:val="00AD4AED"/>
    <w:pPr>
      <w:tabs>
        <w:tab w:val="num" w:pos="1492"/>
      </w:tabs>
      <w:spacing w:before="0" w:after="240"/>
      <w:ind w:left="1492" w:hanging="360"/>
    </w:pPr>
    <w:rPr>
      <w:rFonts w:eastAsia="Times New Roman"/>
    </w:rPr>
  </w:style>
  <w:style w:type="paragraph" w:styleId="ListContinue">
    <w:name w:val="List Continue"/>
    <w:basedOn w:val="Normal"/>
    <w:uiPriority w:val="99"/>
    <w:rsid w:val="00AD4AED"/>
    <w:pPr>
      <w:spacing w:before="0"/>
      <w:ind w:left="283"/>
    </w:pPr>
    <w:rPr>
      <w:rFonts w:eastAsia="Times New Roman"/>
    </w:rPr>
  </w:style>
  <w:style w:type="paragraph" w:styleId="ListContinue2">
    <w:name w:val="List Continue 2"/>
    <w:basedOn w:val="Normal"/>
    <w:uiPriority w:val="99"/>
    <w:rsid w:val="00AD4AED"/>
    <w:pPr>
      <w:spacing w:before="0"/>
      <w:ind w:left="566"/>
    </w:pPr>
    <w:rPr>
      <w:rFonts w:eastAsia="Times New Roman"/>
    </w:rPr>
  </w:style>
  <w:style w:type="paragraph" w:styleId="ListContinue3">
    <w:name w:val="List Continue 3"/>
    <w:basedOn w:val="Normal"/>
    <w:uiPriority w:val="99"/>
    <w:rsid w:val="00AD4AED"/>
    <w:pPr>
      <w:spacing w:before="0"/>
      <w:ind w:left="849"/>
    </w:pPr>
    <w:rPr>
      <w:rFonts w:eastAsia="Times New Roman"/>
    </w:rPr>
  </w:style>
  <w:style w:type="paragraph" w:styleId="ListContinue4">
    <w:name w:val="List Continue 4"/>
    <w:basedOn w:val="Normal"/>
    <w:uiPriority w:val="99"/>
    <w:rsid w:val="00AD4AED"/>
    <w:pPr>
      <w:spacing w:before="0"/>
      <w:ind w:left="1132"/>
    </w:pPr>
    <w:rPr>
      <w:rFonts w:eastAsia="Times New Roman"/>
    </w:rPr>
  </w:style>
  <w:style w:type="paragraph" w:styleId="ListContinue5">
    <w:name w:val="List Continue 5"/>
    <w:basedOn w:val="Normal"/>
    <w:uiPriority w:val="99"/>
    <w:rsid w:val="00AD4AED"/>
    <w:pPr>
      <w:spacing w:before="0"/>
      <w:ind w:left="1415"/>
    </w:pPr>
    <w:rPr>
      <w:rFonts w:eastAsia="Times New Roman"/>
    </w:rPr>
  </w:style>
  <w:style w:type="paragraph" w:styleId="ListNumber">
    <w:name w:val="List Number"/>
    <w:basedOn w:val="Normal"/>
    <w:uiPriority w:val="99"/>
    <w:rsid w:val="00AD4AED"/>
    <w:pPr>
      <w:numPr>
        <w:numId w:val="24"/>
      </w:numPr>
      <w:spacing w:before="0" w:after="240"/>
    </w:pPr>
    <w:rPr>
      <w:rFonts w:eastAsia="Times New Roman"/>
    </w:rPr>
  </w:style>
  <w:style w:type="paragraph" w:styleId="ListNumber2">
    <w:name w:val="List Number 2"/>
    <w:basedOn w:val="Text2"/>
    <w:uiPriority w:val="99"/>
    <w:rsid w:val="00AD4AED"/>
    <w:pPr>
      <w:numPr>
        <w:numId w:val="26"/>
      </w:numPr>
      <w:spacing w:before="0" w:after="240"/>
    </w:pPr>
    <w:rPr>
      <w:rFonts w:eastAsia="Times New Roman"/>
    </w:rPr>
  </w:style>
  <w:style w:type="paragraph" w:styleId="ListNumber3">
    <w:name w:val="List Number 3"/>
    <w:basedOn w:val="Text3"/>
    <w:uiPriority w:val="99"/>
    <w:rsid w:val="00AD4AED"/>
    <w:pPr>
      <w:numPr>
        <w:numId w:val="27"/>
      </w:numPr>
      <w:spacing w:before="0" w:after="240"/>
    </w:pPr>
    <w:rPr>
      <w:rFonts w:eastAsia="Times New Roman"/>
    </w:rPr>
  </w:style>
  <w:style w:type="paragraph" w:styleId="ListNumber4">
    <w:name w:val="List Number 4"/>
    <w:basedOn w:val="Text4"/>
    <w:uiPriority w:val="99"/>
    <w:rsid w:val="00AD4AED"/>
    <w:pPr>
      <w:numPr>
        <w:numId w:val="28"/>
      </w:numPr>
      <w:spacing w:before="0" w:after="240"/>
    </w:pPr>
    <w:rPr>
      <w:rFonts w:eastAsia="Times New Roman"/>
    </w:rPr>
  </w:style>
  <w:style w:type="paragraph" w:styleId="ListNumber5">
    <w:name w:val="List Number 5"/>
    <w:basedOn w:val="Normal"/>
    <w:uiPriority w:val="99"/>
    <w:rsid w:val="00AD4AED"/>
    <w:pPr>
      <w:tabs>
        <w:tab w:val="num" w:pos="1492"/>
      </w:tabs>
      <w:spacing w:before="0" w:after="240"/>
      <w:ind w:left="1492" w:hanging="360"/>
    </w:pPr>
    <w:rPr>
      <w:rFonts w:eastAsia="Times New Roman"/>
    </w:rPr>
  </w:style>
  <w:style w:type="paragraph" w:styleId="MacroText">
    <w:name w:val="macro"/>
    <w:link w:val="MacroTextChar"/>
    <w:uiPriority w:val="99"/>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character" w:customStyle="1" w:styleId="MacroTextChar">
    <w:name w:val="Macro Text Char"/>
    <w:link w:val="MacroText"/>
    <w:uiPriority w:val="99"/>
    <w:semiHidden/>
    <w:locked/>
    <w:rsid w:val="00AD4AED"/>
    <w:rPr>
      <w:rFonts w:ascii="Courier New" w:hAnsi="Courier New"/>
      <w:lang w:val="bg-BG" w:eastAsia="en-US"/>
    </w:rPr>
  </w:style>
  <w:style w:type="paragraph" w:styleId="MessageHeader">
    <w:name w:val="Message Header"/>
    <w:basedOn w:val="Normal"/>
    <w:link w:val="MessageHeaderChar"/>
    <w:uiPriority w:val="99"/>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hAnsi="Arial"/>
      <w:lang w:val="bg-BG" w:eastAsia="en-US"/>
    </w:rPr>
  </w:style>
  <w:style w:type="character" w:customStyle="1" w:styleId="MessageHeaderChar">
    <w:name w:val="Message Header Char"/>
    <w:link w:val="MessageHeader"/>
    <w:uiPriority w:val="99"/>
    <w:locked/>
    <w:rsid w:val="00AD4AED"/>
    <w:rPr>
      <w:rFonts w:ascii="Arial" w:hAnsi="Arial"/>
      <w:sz w:val="24"/>
      <w:shd w:val="pct20" w:color="auto" w:fill="auto"/>
      <w:lang w:eastAsia="en-US"/>
    </w:rPr>
  </w:style>
  <w:style w:type="paragraph" w:styleId="NormalIndent">
    <w:name w:val="Normal Indent"/>
    <w:basedOn w:val="Normal"/>
    <w:uiPriority w:val="99"/>
    <w:rsid w:val="00AD4AED"/>
    <w:pPr>
      <w:spacing w:before="0" w:after="240"/>
      <w:ind w:left="720"/>
    </w:pPr>
    <w:rPr>
      <w:rFonts w:eastAsia="Times New Roman"/>
    </w:rPr>
  </w:style>
  <w:style w:type="paragraph" w:styleId="NoteHeading">
    <w:name w:val="Note Heading"/>
    <w:basedOn w:val="Normal"/>
    <w:next w:val="Normal"/>
    <w:link w:val="NoteHeadingChar"/>
    <w:uiPriority w:val="99"/>
    <w:rsid w:val="00AD4AED"/>
    <w:pPr>
      <w:spacing w:before="0" w:after="240"/>
    </w:pPr>
    <w:rPr>
      <w:lang w:val="bg-BG" w:eastAsia="en-US"/>
    </w:rPr>
  </w:style>
  <w:style w:type="character" w:customStyle="1" w:styleId="NoteHeadingChar">
    <w:name w:val="Note Heading Char"/>
    <w:link w:val="NoteHeading"/>
    <w:uiPriority w:val="99"/>
    <w:locked/>
    <w:rsid w:val="00AD4AED"/>
    <w:rPr>
      <w:rFonts w:ascii="Times New Roman" w:hAnsi="Times New Roman"/>
      <w:sz w:val="24"/>
      <w:lang w:eastAsia="en-US"/>
    </w:rPr>
  </w:style>
  <w:style w:type="paragraph" w:customStyle="1" w:styleId="NoteHead">
    <w:name w:val="NoteHead"/>
    <w:basedOn w:val="Normal"/>
    <w:next w:val="Subject"/>
    <w:uiPriority w:val="99"/>
    <w:rsid w:val="00AD4AED"/>
    <w:pPr>
      <w:spacing w:before="720" w:after="720"/>
      <w:jc w:val="center"/>
    </w:pPr>
    <w:rPr>
      <w:rFonts w:eastAsia="Times New Roman"/>
      <w:b/>
      <w:smallCaps/>
    </w:rPr>
  </w:style>
  <w:style w:type="paragraph" w:customStyle="1" w:styleId="Subject">
    <w:name w:val="Subject"/>
    <w:basedOn w:val="Normal"/>
    <w:next w:val="Normal"/>
    <w:uiPriority w:val="99"/>
    <w:rsid w:val="00AD4AED"/>
    <w:pPr>
      <w:spacing w:before="0" w:after="480"/>
      <w:ind w:left="1531" w:hanging="1531"/>
      <w:jc w:val="left"/>
    </w:pPr>
    <w:rPr>
      <w:rFonts w:eastAsia="Times New Roman"/>
      <w:b/>
    </w:rPr>
  </w:style>
  <w:style w:type="paragraph" w:customStyle="1" w:styleId="NoteList">
    <w:name w:val="NoteList"/>
    <w:basedOn w:val="Normal"/>
    <w:next w:val="Subject"/>
    <w:uiPriority w:val="99"/>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uiPriority w:val="99"/>
    <w:rsid w:val="00AD4AED"/>
    <w:pPr>
      <w:spacing w:before="0" w:after="240"/>
    </w:pPr>
    <w:rPr>
      <w:rFonts w:ascii="Courier New" w:hAnsi="Courier New"/>
      <w:sz w:val="20"/>
      <w:lang w:val="bg-BG" w:eastAsia="en-US"/>
    </w:rPr>
  </w:style>
  <w:style w:type="character" w:customStyle="1" w:styleId="PlainTextChar">
    <w:name w:val="Plain Text Char"/>
    <w:link w:val="PlainText"/>
    <w:uiPriority w:val="99"/>
    <w:locked/>
    <w:rsid w:val="00AD4AED"/>
    <w:rPr>
      <w:rFonts w:ascii="Courier New" w:hAnsi="Courier New"/>
      <w:lang w:eastAsia="en-US"/>
    </w:rPr>
  </w:style>
  <w:style w:type="paragraph" w:styleId="Salutation">
    <w:name w:val="Salutation"/>
    <w:basedOn w:val="Normal"/>
    <w:next w:val="Normal"/>
    <w:link w:val="SalutationChar"/>
    <w:uiPriority w:val="99"/>
    <w:rsid w:val="00AD4AED"/>
    <w:pPr>
      <w:spacing w:before="0" w:after="240"/>
    </w:pPr>
    <w:rPr>
      <w:lang w:val="bg-BG" w:eastAsia="en-US"/>
    </w:rPr>
  </w:style>
  <w:style w:type="character" w:customStyle="1" w:styleId="SalutationChar">
    <w:name w:val="Salutation Char"/>
    <w:link w:val="Salutation"/>
    <w:uiPriority w:val="99"/>
    <w:locked/>
    <w:rsid w:val="00AD4AED"/>
    <w:rPr>
      <w:rFonts w:ascii="Times New Roman" w:hAnsi="Times New Roman"/>
      <w:sz w:val="24"/>
      <w:lang w:eastAsia="en-US"/>
    </w:rPr>
  </w:style>
  <w:style w:type="paragraph" w:styleId="Subtitle">
    <w:name w:val="Subtitle"/>
    <w:basedOn w:val="Normal"/>
    <w:link w:val="SubtitleChar"/>
    <w:uiPriority w:val="99"/>
    <w:qFormat/>
    <w:rsid w:val="00AD4AED"/>
    <w:pPr>
      <w:spacing w:before="0" w:after="60"/>
      <w:jc w:val="center"/>
      <w:outlineLvl w:val="1"/>
    </w:pPr>
    <w:rPr>
      <w:rFonts w:ascii="Arial" w:hAnsi="Arial"/>
      <w:lang w:val="bg-BG" w:eastAsia="en-US"/>
    </w:rPr>
  </w:style>
  <w:style w:type="character" w:customStyle="1" w:styleId="SubtitleChar">
    <w:name w:val="Subtitle Char"/>
    <w:link w:val="Subtitle"/>
    <w:uiPriority w:val="99"/>
    <w:locked/>
    <w:rsid w:val="00AD4AED"/>
    <w:rPr>
      <w:rFonts w:ascii="Arial" w:hAnsi="Arial"/>
      <w:sz w:val="24"/>
      <w:lang w:eastAsia="en-US"/>
    </w:rPr>
  </w:style>
  <w:style w:type="paragraph" w:styleId="TableofAuthorities">
    <w:name w:val="table of authorities"/>
    <w:basedOn w:val="Normal"/>
    <w:next w:val="Normal"/>
    <w:uiPriority w:val="99"/>
    <w:semiHidden/>
    <w:rsid w:val="00AD4AED"/>
    <w:pPr>
      <w:spacing w:before="0" w:after="240"/>
      <w:ind w:left="240" w:hanging="240"/>
    </w:pPr>
    <w:rPr>
      <w:rFonts w:eastAsia="Times New Roman"/>
    </w:rPr>
  </w:style>
  <w:style w:type="paragraph" w:styleId="TableofFigures">
    <w:name w:val="table of figures"/>
    <w:basedOn w:val="Normal"/>
    <w:next w:val="Normal"/>
    <w:uiPriority w:val="99"/>
    <w:semiHidden/>
    <w:rsid w:val="00AD4AED"/>
    <w:pPr>
      <w:spacing w:before="0" w:after="240"/>
      <w:ind w:left="480" w:hanging="480"/>
    </w:pPr>
    <w:rPr>
      <w:rFonts w:eastAsia="Times New Roman"/>
    </w:rPr>
  </w:style>
  <w:style w:type="paragraph" w:styleId="Title">
    <w:name w:val="Title"/>
    <w:basedOn w:val="Normal"/>
    <w:link w:val="TitleChar"/>
    <w:uiPriority w:val="99"/>
    <w:qFormat/>
    <w:rsid w:val="00AD4AED"/>
    <w:pPr>
      <w:spacing w:before="240" w:after="60"/>
      <w:jc w:val="center"/>
      <w:outlineLvl w:val="0"/>
    </w:pPr>
    <w:rPr>
      <w:rFonts w:ascii="Arial" w:hAnsi="Arial"/>
      <w:b/>
      <w:kern w:val="28"/>
      <w:sz w:val="32"/>
      <w:lang w:val="bg-BG" w:eastAsia="en-US"/>
    </w:rPr>
  </w:style>
  <w:style w:type="character" w:customStyle="1" w:styleId="TitleChar">
    <w:name w:val="Title Char"/>
    <w:link w:val="Title"/>
    <w:uiPriority w:val="99"/>
    <w:locked/>
    <w:rsid w:val="00AD4AED"/>
    <w:rPr>
      <w:rFonts w:ascii="Arial" w:hAnsi="Arial"/>
      <w:b/>
      <w:kern w:val="28"/>
      <w:sz w:val="32"/>
      <w:lang w:eastAsia="en-US"/>
    </w:rPr>
  </w:style>
  <w:style w:type="paragraph" w:styleId="TOAHeading">
    <w:name w:val="toa heading"/>
    <w:basedOn w:val="Normal"/>
    <w:next w:val="Normal"/>
    <w:uiPriority w:val="99"/>
    <w:semiHidden/>
    <w:rsid w:val="00AD4AED"/>
    <w:pPr>
      <w:spacing w:after="240"/>
    </w:pPr>
    <w:rPr>
      <w:rFonts w:ascii="Arial" w:eastAsia="Times New Roman" w:hAnsi="Arial"/>
      <w:b/>
    </w:rPr>
  </w:style>
  <w:style w:type="paragraph" w:customStyle="1" w:styleId="YReferences">
    <w:name w:val="YReferences"/>
    <w:basedOn w:val="Normal"/>
    <w:next w:val="Normal"/>
    <w:uiPriority w:val="99"/>
    <w:rsid w:val="00AD4AED"/>
    <w:pPr>
      <w:spacing w:before="0" w:after="480"/>
      <w:ind w:left="1531" w:hanging="1531"/>
    </w:pPr>
    <w:rPr>
      <w:rFonts w:eastAsia="Times New Roman"/>
    </w:rPr>
  </w:style>
  <w:style w:type="paragraph" w:customStyle="1" w:styleId="ListBullet1">
    <w:name w:val="List Bullet 1"/>
    <w:basedOn w:val="Text1"/>
    <w:uiPriority w:val="99"/>
    <w:rsid w:val="00AD4AED"/>
    <w:pPr>
      <w:tabs>
        <w:tab w:val="num" w:pos="765"/>
      </w:tabs>
      <w:spacing w:before="0" w:after="240"/>
      <w:ind w:left="765" w:hanging="283"/>
    </w:pPr>
    <w:rPr>
      <w:rFonts w:eastAsia="Times New Roman"/>
    </w:rPr>
  </w:style>
  <w:style w:type="paragraph" w:customStyle="1" w:styleId="ListDash">
    <w:name w:val="List Dash"/>
    <w:basedOn w:val="Normal"/>
    <w:uiPriority w:val="99"/>
    <w:rsid w:val="00AD4AED"/>
    <w:pPr>
      <w:numPr>
        <w:numId w:val="19"/>
      </w:numPr>
      <w:spacing w:before="0" w:after="240"/>
    </w:pPr>
    <w:rPr>
      <w:rFonts w:eastAsia="Times New Roman"/>
    </w:rPr>
  </w:style>
  <w:style w:type="paragraph" w:customStyle="1" w:styleId="ListDash1">
    <w:name w:val="List Dash 1"/>
    <w:basedOn w:val="Text1"/>
    <w:uiPriority w:val="99"/>
    <w:rsid w:val="00AD4AED"/>
    <w:pPr>
      <w:numPr>
        <w:numId w:val="20"/>
      </w:numPr>
      <w:spacing w:before="0" w:after="240"/>
    </w:pPr>
    <w:rPr>
      <w:rFonts w:eastAsia="Times New Roman"/>
    </w:rPr>
  </w:style>
  <w:style w:type="paragraph" w:customStyle="1" w:styleId="ListDash2">
    <w:name w:val="List Dash 2"/>
    <w:basedOn w:val="Text2"/>
    <w:uiPriority w:val="99"/>
    <w:rsid w:val="00AD4AED"/>
    <w:pPr>
      <w:numPr>
        <w:numId w:val="21"/>
      </w:numPr>
      <w:spacing w:before="0" w:after="240"/>
    </w:pPr>
    <w:rPr>
      <w:rFonts w:eastAsia="Times New Roman"/>
    </w:rPr>
  </w:style>
  <w:style w:type="paragraph" w:customStyle="1" w:styleId="ListDash3">
    <w:name w:val="List Dash 3"/>
    <w:basedOn w:val="Text3"/>
    <w:uiPriority w:val="99"/>
    <w:rsid w:val="00AD4AED"/>
    <w:pPr>
      <w:numPr>
        <w:numId w:val="22"/>
      </w:numPr>
      <w:spacing w:before="0" w:after="240"/>
    </w:pPr>
    <w:rPr>
      <w:rFonts w:eastAsia="Times New Roman"/>
    </w:rPr>
  </w:style>
  <w:style w:type="paragraph" w:customStyle="1" w:styleId="ListDash4">
    <w:name w:val="List Dash 4"/>
    <w:basedOn w:val="Text4"/>
    <w:uiPriority w:val="99"/>
    <w:rsid w:val="00AD4AED"/>
    <w:pPr>
      <w:numPr>
        <w:numId w:val="23"/>
      </w:numPr>
      <w:spacing w:before="0" w:after="240"/>
    </w:pPr>
    <w:rPr>
      <w:rFonts w:eastAsia="Times New Roman"/>
    </w:rPr>
  </w:style>
  <w:style w:type="paragraph" w:customStyle="1" w:styleId="ListNumberLevel2">
    <w:name w:val="List Number (Level 2)"/>
    <w:basedOn w:val="Normal"/>
    <w:uiPriority w:val="99"/>
    <w:rsid w:val="00AD4AED"/>
    <w:pPr>
      <w:numPr>
        <w:ilvl w:val="1"/>
        <w:numId w:val="24"/>
      </w:numPr>
      <w:spacing w:before="0" w:after="240"/>
    </w:pPr>
    <w:rPr>
      <w:rFonts w:eastAsia="Times New Roman"/>
    </w:rPr>
  </w:style>
  <w:style w:type="paragraph" w:customStyle="1" w:styleId="ListNumberLevel3">
    <w:name w:val="List Number (Level 3)"/>
    <w:basedOn w:val="Normal"/>
    <w:uiPriority w:val="99"/>
    <w:rsid w:val="00AD4AED"/>
    <w:pPr>
      <w:numPr>
        <w:ilvl w:val="2"/>
        <w:numId w:val="24"/>
      </w:numPr>
      <w:spacing w:before="0" w:after="240"/>
    </w:pPr>
    <w:rPr>
      <w:rFonts w:eastAsia="Times New Roman"/>
    </w:rPr>
  </w:style>
  <w:style w:type="paragraph" w:customStyle="1" w:styleId="ListNumberLevel4">
    <w:name w:val="List Number (Level 4)"/>
    <w:basedOn w:val="Normal"/>
    <w:uiPriority w:val="99"/>
    <w:rsid w:val="00AD4AED"/>
    <w:pPr>
      <w:numPr>
        <w:ilvl w:val="3"/>
        <w:numId w:val="24"/>
      </w:numPr>
      <w:spacing w:before="0" w:after="240"/>
    </w:pPr>
    <w:rPr>
      <w:rFonts w:eastAsia="Times New Roman"/>
    </w:rPr>
  </w:style>
  <w:style w:type="paragraph" w:customStyle="1" w:styleId="ListNumber1">
    <w:name w:val="List Number 1"/>
    <w:basedOn w:val="Text1"/>
    <w:uiPriority w:val="99"/>
    <w:rsid w:val="00AD4AED"/>
    <w:pPr>
      <w:numPr>
        <w:numId w:val="25"/>
      </w:numPr>
      <w:spacing w:before="0" w:after="240"/>
    </w:pPr>
    <w:rPr>
      <w:rFonts w:eastAsia="Times New Roman"/>
    </w:rPr>
  </w:style>
  <w:style w:type="paragraph" w:customStyle="1" w:styleId="ListNumber1Level2">
    <w:name w:val="List Number 1 (Level 2)"/>
    <w:basedOn w:val="Text1"/>
    <w:uiPriority w:val="99"/>
    <w:rsid w:val="00AD4AED"/>
    <w:pPr>
      <w:numPr>
        <w:ilvl w:val="1"/>
        <w:numId w:val="25"/>
      </w:numPr>
      <w:spacing w:before="0" w:after="240"/>
    </w:pPr>
    <w:rPr>
      <w:rFonts w:eastAsia="Times New Roman"/>
    </w:rPr>
  </w:style>
  <w:style w:type="paragraph" w:customStyle="1" w:styleId="ListNumber1Level3">
    <w:name w:val="List Number 1 (Level 3)"/>
    <w:basedOn w:val="Text1"/>
    <w:uiPriority w:val="99"/>
    <w:rsid w:val="00AD4AED"/>
    <w:pPr>
      <w:numPr>
        <w:ilvl w:val="2"/>
        <w:numId w:val="25"/>
      </w:numPr>
      <w:spacing w:before="0" w:after="240"/>
    </w:pPr>
    <w:rPr>
      <w:rFonts w:eastAsia="Times New Roman"/>
    </w:rPr>
  </w:style>
  <w:style w:type="paragraph" w:customStyle="1" w:styleId="ListNumber1Level4">
    <w:name w:val="List Number 1 (Level 4)"/>
    <w:basedOn w:val="Text1"/>
    <w:uiPriority w:val="99"/>
    <w:rsid w:val="00AD4AED"/>
    <w:pPr>
      <w:numPr>
        <w:ilvl w:val="3"/>
        <w:numId w:val="25"/>
      </w:numPr>
      <w:spacing w:before="0" w:after="240"/>
    </w:pPr>
    <w:rPr>
      <w:rFonts w:eastAsia="Times New Roman"/>
    </w:rPr>
  </w:style>
  <w:style w:type="paragraph" w:customStyle="1" w:styleId="ListNumber2Level2">
    <w:name w:val="List Number 2 (Level 2)"/>
    <w:basedOn w:val="Text2"/>
    <w:uiPriority w:val="99"/>
    <w:rsid w:val="00AD4AED"/>
    <w:pPr>
      <w:numPr>
        <w:ilvl w:val="1"/>
        <w:numId w:val="26"/>
      </w:numPr>
      <w:spacing w:before="0" w:after="240"/>
    </w:pPr>
    <w:rPr>
      <w:rFonts w:eastAsia="Times New Roman"/>
    </w:rPr>
  </w:style>
  <w:style w:type="paragraph" w:customStyle="1" w:styleId="ListNumber2Level3">
    <w:name w:val="List Number 2 (Level 3)"/>
    <w:basedOn w:val="Text2"/>
    <w:uiPriority w:val="99"/>
    <w:rsid w:val="00AD4AED"/>
    <w:pPr>
      <w:numPr>
        <w:ilvl w:val="2"/>
        <w:numId w:val="26"/>
      </w:numPr>
      <w:spacing w:before="0" w:after="240"/>
    </w:pPr>
    <w:rPr>
      <w:rFonts w:eastAsia="Times New Roman"/>
    </w:rPr>
  </w:style>
  <w:style w:type="paragraph" w:customStyle="1" w:styleId="ListNumber2Level4">
    <w:name w:val="List Number 2 (Level 4)"/>
    <w:basedOn w:val="Text2"/>
    <w:uiPriority w:val="99"/>
    <w:rsid w:val="00AD4AED"/>
    <w:pPr>
      <w:numPr>
        <w:ilvl w:val="3"/>
        <w:numId w:val="26"/>
      </w:numPr>
      <w:spacing w:before="0" w:after="240"/>
      <w:ind w:left="3901" w:hanging="703"/>
    </w:pPr>
    <w:rPr>
      <w:rFonts w:eastAsia="Times New Roman"/>
    </w:rPr>
  </w:style>
  <w:style w:type="paragraph" w:customStyle="1" w:styleId="ListNumber3Level2">
    <w:name w:val="List Number 3 (Level 2)"/>
    <w:basedOn w:val="Text3"/>
    <w:uiPriority w:val="99"/>
    <w:rsid w:val="00AD4AED"/>
    <w:pPr>
      <w:numPr>
        <w:ilvl w:val="1"/>
        <w:numId w:val="27"/>
      </w:numPr>
      <w:spacing w:before="0" w:after="240"/>
    </w:pPr>
    <w:rPr>
      <w:rFonts w:eastAsia="Times New Roman"/>
    </w:rPr>
  </w:style>
  <w:style w:type="paragraph" w:customStyle="1" w:styleId="ListNumber3Level3">
    <w:name w:val="List Number 3 (Level 3)"/>
    <w:basedOn w:val="Text3"/>
    <w:uiPriority w:val="99"/>
    <w:rsid w:val="00AD4AED"/>
    <w:pPr>
      <w:numPr>
        <w:ilvl w:val="2"/>
        <w:numId w:val="27"/>
      </w:numPr>
      <w:spacing w:before="0" w:after="240"/>
    </w:pPr>
    <w:rPr>
      <w:rFonts w:eastAsia="Times New Roman"/>
    </w:rPr>
  </w:style>
  <w:style w:type="paragraph" w:customStyle="1" w:styleId="ListNumber3Level4">
    <w:name w:val="List Number 3 (Level 4)"/>
    <w:basedOn w:val="Text3"/>
    <w:uiPriority w:val="99"/>
    <w:rsid w:val="00AD4AED"/>
    <w:pPr>
      <w:numPr>
        <w:ilvl w:val="3"/>
        <w:numId w:val="27"/>
      </w:numPr>
      <w:spacing w:before="0" w:after="240"/>
    </w:pPr>
    <w:rPr>
      <w:rFonts w:eastAsia="Times New Roman"/>
    </w:rPr>
  </w:style>
  <w:style w:type="paragraph" w:customStyle="1" w:styleId="ListNumber4Level2">
    <w:name w:val="List Number 4 (Level 2)"/>
    <w:basedOn w:val="Text4"/>
    <w:uiPriority w:val="99"/>
    <w:rsid w:val="00AD4AED"/>
    <w:pPr>
      <w:numPr>
        <w:ilvl w:val="1"/>
        <w:numId w:val="28"/>
      </w:numPr>
      <w:spacing w:before="0" w:after="240"/>
    </w:pPr>
    <w:rPr>
      <w:rFonts w:eastAsia="Times New Roman"/>
    </w:rPr>
  </w:style>
  <w:style w:type="paragraph" w:customStyle="1" w:styleId="ListNumber4Level3">
    <w:name w:val="List Number 4 (Level 3)"/>
    <w:basedOn w:val="Text4"/>
    <w:uiPriority w:val="99"/>
    <w:rsid w:val="00AD4AED"/>
    <w:pPr>
      <w:numPr>
        <w:ilvl w:val="2"/>
        <w:numId w:val="28"/>
      </w:numPr>
      <w:spacing w:before="0" w:after="240"/>
    </w:pPr>
    <w:rPr>
      <w:rFonts w:eastAsia="Times New Roman"/>
    </w:rPr>
  </w:style>
  <w:style w:type="paragraph" w:customStyle="1" w:styleId="ListNumber4Level4">
    <w:name w:val="List Number 4 (Level 4)"/>
    <w:basedOn w:val="Text4"/>
    <w:uiPriority w:val="99"/>
    <w:rsid w:val="00AD4AED"/>
    <w:pPr>
      <w:numPr>
        <w:ilvl w:val="3"/>
        <w:numId w:val="28"/>
      </w:numPr>
      <w:spacing w:before="0" w:after="240"/>
    </w:pPr>
    <w:rPr>
      <w:rFonts w:eastAsia="Times New Roman"/>
    </w:rPr>
  </w:style>
  <w:style w:type="paragraph" w:customStyle="1" w:styleId="Contact">
    <w:name w:val="Contact"/>
    <w:basedOn w:val="Normal"/>
    <w:next w:val="Enclosures"/>
    <w:uiPriority w:val="99"/>
    <w:rsid w:val="00AD4AED"/>
    <w:pPr>
      <w:spacing w:before="480" w:after="0"/>
      <w:ind w:left="567" w:hanging="567"/>
      <w:jc w:val="left"/>
    </w:pPr>
    <w:rPr>
      <w:rFonts w:eastAsia="Times New Roman"/>
    </w:rPr>
  </w:style>
  <w:style w:type="paragraph" w:customStyle="1" w:styleId="DisclaimerNotice">
    <w:name w:val="Disclaimer Notice"/>
    <w:basedOn w:val="Normal"/>
    <w:next w:val="AddressTR"/>
    <w:uiPriority w:val="99"/>
    <w:rsid w:val="00AD4AED"/>
    <w:pPr>
      <w:spacing w:before="0" w:after="240"/>
      <w:ind w:left="5103"/>
      <w:jc w:val="left"/>
    </w:pPr>
    <w:rPr>
      <w:rFonts w:eastAsia="Times New Roman"/>
      <w:i/>
      <w:sz w:val="20"/>
    </w:rPr>
  </w:style>
  <w:style w:type="paragraph" w:customStyle="1" w:styleId="Disclaimer">
    <w:name w:val="Disclaimer"/>
    <w:basedOn w:val="Normal"/>
    <w:uiPriority w:val="99"/>
    <w:rsid w:val="00AD4AED"/>
    <w:pPr>
      <w:keepLines/>
      <w:pBdr>
        <w:top w:val="single" w:sz="4" w:space="1" w:color="auto"/>
      </w:pBdr>
      <w:spacing w:before="480" w:after="0"/>
    </w:pPr>
    <w:rPr>
      <w:rFonts w:eastAsia="Times New Roman"/>
      <w:i/>
    </w:rPr>
  </w:style>
  <w:style w:type="character" w:styleId="FollowedHyperlink">
    <w:name w:val="FollowedHyperlink"/>
    <w:uiPriority w:val="99"/>
    <w:rsid w:val="00AD4AED"/>
    <w:rPr>
      <w:rFonts w:cs="Times New Roman"/>
      <w:color w:val="800080"/>
      <w:u w:val="single"/>
    </w:rPr>
  </w:style>
  <w:style w:type="paragraph" w:customStyle="1" w:styleId="DisclaimerSJ">
    <w:name w:val="Disclaimer_SJ"/>
    <w:basedOn w:val="Normal"/>
    <w:next w:val="Normal"/>
    <w:uiPriority w:val="99"/>
    <w:rsid w:val="00AD4AED"/>
    <w:pPr>
      <w:spacing w:before="0" w:after="0"/>
    </w:pPr>
    <w:rPr>
      <w:rFonts w:ascii="Arial" w:eastAsia="Times New Roman" w:hAnsi="Arial"/>
      <w:b/>
      <w:sz w:val="16"/>
    </w:rPr>
  </w:style>
  <w:style w:type="paragraph" w:styleId="NormalWeb">
    <w:name w:val="Normal (Web)"/>
    <w:basedOn w:val="Normal"/>
    <w:link w:val="NormalWebChar"/>
    <w:uiPriority w:val="99"/>
    <w:rsid w:val="00AD4AED"/>
    <w:pPr>
      <w:suppressAutoHyphens/>
      <w:spacing w:before="100" w:after="100"/>
      <w:jc w:val="left"/>
    </w:pPr>
    <w:rPr>
      <w:rFonts w:ascii="Calibri" w:eastAsia="Times New Roman" w:hAnsi="Calibri"/>
      <w:lang w:eastAsia="ar-SA"/>
    </w:rPr>
  </w:style>
  <w:style w:type="character" w:customStyle="1" w:styleId="Text1Char">
    <w:name w:val="Text 1 Char"/>
    <w:link w:val="Text1"/>
    <w:uiPriority w:val="99"/>
    <w:locked/>
    <w:rsid w:val="00AD4AED"/>
    <w:rPr>
      <w:rFonts w:ascii="Times New Roman" w:hAnsi="Times New Roman"/>
      <w:sz w:val="22"/>
      <w:lang w:eastAsia="en-US"/>
    </w:rPr>
  </w:style>
  <w:style w:type="table" w:styleId="TableGrid">
    <w:name w:val="Table Grid"/>
    <w:basedOn w:val="TableNormal"/>
    <w:uiPriority w:val="9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uiPriority w:val="99"/>
    <w:locked/>
    <w:rsid w:val="00AD4AED"/>
    <w:rPr>
      <w:rFonts w:ascii="Times New Roman" w:hAnsi="Times New Roman"/>
      <w:sz w:val="22"/>
      <w:lang w:eastAsia="en-US"/>
    </w:rPr>
  </w:style>
  <w:style w:type="character" w:styleId="PageNumber">
    <w:name w:val="page number"/>
    <w:uiPriority w:val="99"/>
    <w:rsid w:val="00AD4AED"/>
    <w:rPr>
      <w:rFonts w:cs="Times New Roman"/>
    </w:rPr>
  </w:style>
  <w:style w:type="paragraph" w:styleId="BalloonText">
    <w:name w:val="Balloon Text"/>
    <w:basedOn w:val="Normal"/>
    <w:link w:val="BalloonTextChar"/>
    <w:uiPriority w:val="99"/>
    <w:semiHidden/>
    <w:rsid w:val="00AD4AED"/>
    <w:pPr>
      <w:spacing w:before="0" w:after="240"/>
    </w:pPr>
    <w:rPr>
      <w:rFonts w:ascii="Tahoma" w:hAnsi="Tahoma"/>
      <w:sz w:val="16"/>
      <w:lang w:val="bg-BG" w:eastAsia="en-US"/>
    </w:rPr>
  </w:style>
  <w:style w:type="character" w:customStyle="1" w:styleId="BalloonTextChar">
    <w:name w:val="Balloon Text Char"/>
    <w:link w:val="BalloonText"/>
    <w:uiPriority w:val="99"/>
    <w:semiHidden/>
    <w:locked/>
    <w:rsid w:val="00AD4AED"/>
    <w:rPr>
      <w:rFonts w:ascii="Tahoma" w:hAnsi="Tahoma"/>
      <w:sz w:val="16"/>
      <w:lang w:eastAsia="en-US"/>
    </w:rPr>
  </w:style>
  <w:style w:type="paragraph" w:customStyle="1" w:styleId="StyleHeading3BoldNotItalic">
    <w:name w:val="Style Heading 3 + Bold Not Italic"/>
    <w:basedOn w:val="Heading3"/>
    <w:autoRedefine/>
    <w:uiPriority w:val="99"/>
    <w:rsid w:val="00AD4AED"/>
    <w:pPr>
      <w:spacing w:before="0" w:after="240"/>
      <w:ind w:left="720" w:hanging="720"/>
    </w:pPr>
    <w:rPr>
      <w:rFonts w:ascii="Times New Roman Bold" w:hAnsi="Times New Roman Bold"/>
    </w:rPr>
  </w:style>
  <w:style w:type="character" w:styleId="CommentReference">
    <w:name w:val="annotation reference"/>
    <w:uiPriority w:val="99"/>
    <w:semiHidden/>
    <w:rsid w:val="00AD4AED"/>
    <w:rPr>
      <w:rFonts w:cs="Times New Roman"/>
      <w:sz w:val="16"/>
    </w:rPr>
  </w:style>
  <w:style w:type="paragraph" w:styleId="CommentSubject">
    <w:name w:val="annotation subject"/>
    <w:basedOn w:val="CommentText"/>
    <w:next w:val="CommentText"/>
    <w:link w:val="CommentSubjectChar"/>
    <w:uiPriority w:val="99"/>
    <w:semiHidden/>
    <w:rsid w:val="00AD4AED"/>
    <w:rPr>
      <w:b/>
    </w:rPr>
  </w:style>
  <w:style w:type="character" w:customStyle="1" w:styleId="CommentSubjectChar">
    <w:name w:val="Comment Subject Char"/>
    <w:link w:val="CommentSubject"/>
    <w:uiPriority w:val="99"/>
    <w:semiHidden/>
    <w:locked/>
    <w:rsid w:val="00AD4AED"/>
    <w:rPr>
      <w:rFonts w:ascii="Times New Roman" w:hAnsi="Times New Roman"/>
      <w:b/>
      <w:lang w:eastAsia="en-US"/>
    </w:rPr>
  </w:style>
  <w:style w:type="paragraph" w:customStyle="1" w:styleId="Annextitle">
    <w:name w:val="Annex title"/>
    <w:basedOn w:val="Normal"/>
    <w:autoRedefine/>
    <w:uiPriority w:val="99"/>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val="en-GB" w:eastAsia="en-US"/>
    </w:rPr>
  </w:style>
  <w:style w:type="character" w:styleId="EndnoteReference">
    <w:name w:val="endnote reference"/>
    <w:uiPriority w:val="99"/>
    <w:rsid w:val="00AD4AED"/>
    <w:rPr>
      <w:rFonts w:cs="Times New Roman"/>
      <w:vertAlign w:val="superscript"/>
    </w:rPr>
  </w:style>
  <w:style w:type="paragraph" w:styleId="ListParagraph">
    <w:name w:val="List Paragraph"/>
    <w:basedOn w:val="Normal"/>
    <w:link w:val="ListParagraphChar"/>
    <w:uiPriority w:val="99"/>
    <w:qFormat/>
    <w:rsid w:val="00AD4AED"/>
    <w:pPr>
      <w:spacing w:before="0" w:after="240"/>
      <w:ind w:left="720"/>
    </w:pPr>
  </w:style>
  <w:style w:type="paragraph" w:customStyle="1" w:styleId="StyleHeading1Hanging085cm">
    <w:name w:val="Style Heading 1 + Hanging:  0.85 cm"/>
    <w:basedOn w:val="Heading1"/>
    <w:autoRedefine/>
    <w:uiPriority w:val="99"/>
    <w:rsid w:val="00AD4AED"/>
    <w:pPr>
      <w:numPr>
        <w:numId w:val="0"/>
      </w:numPr>
      <w:spacing w:after="240"/>
    </w:pPr>
    <w:rPr>
      <w:bCs w:val="0"/>
      <w:szCs w:val="24"/>
    </w:rPr>
  </w:style>
  <w:style w:type="paragraph" w:customStyle="1" w:styleId="StyleHeading1Left0cm">
    <w:name w:val="Style Heading 1 + Left:  0 cm"/>
    <w:basedOn w:val="Heading1"/>
    <w:autoRedefine/>
    <w:uiPriority w:val="99"/>
    <w:rsid w:val="00AD4AED"/>
    <w:pPr>
      <w:numPr>
        <w:numId w:val="29"/>
      </w:numPr>
      <w:spacing w:after="240"/>
    </w:pPr>
    <w:rPr>
      <w:rFonts w:ascii="Times New Roman Bold" w:hAnsi="Times New Roman Bold"/>
      <w:bCs w:val="0"/>
      <w:szCs w:val="24"/>
    </w:rPr>
  </w:style>
  <w:style w:type="character" w:customStyle="1" w:styleId="CharacterStyle2">
    <w:name w:val="Character Style 2"/>
    <w:uiPriority w:val="99"/>
    <w:rsid w:val="00AD4AED"/>
    <w:rPr>
      <w:sz w:val="20"/>
    </w:rPr>
  </w:style>
  <w:style w:type="character" w:styleId="Hyperlink">
    <w:name w:val="Hyperlink"/>
    <w:uiPriority w:val="99"/>
    <w:rsid w:val="00B27067"/>
    <w:rPr>
      <w:rFonts w:cs="Times New Roman"/>
      <w:color w:val="0000FF"/>
      <w:u w:val="single"/>
    </w:rPr>
  </w:style>
  <w:style w:type="paragraph" w:customStyle="1" w:styleId="Docume">
    <w:name w:val="Docume"/>
    <w:basedOn w:val="Titreobjet"/>
    <w:uiPriority w:val="99"/>
    <w:rsid w:val="00FC38A9"/>
  </w:style>
  <w:style w:type="paragraph" w:styleId="Header">
    <w:name w:val="header"/>
    <w:basedOn w:val="Normal"/>
    <w:link w:val="HeaderChar"/>
    <w:uiPriority w:val="99"/>
    <w:rsid w:val="0075503A"/>
    <w:pPr>
      <w:tabs>
        <w:tab w:val="center" w:pos="4535"/>
        <w:tab w:val="right" w:pos="9071"/>
      </w:tabs>
      <w:spacing w:before="0"/>
    </w:pPr>
    <w:rPr>
      <w:lang w:eastAsia="bg-BG"/>
    </w:rPr>
  </w:style>
  <w:style w:type="character" w:customStyle="1" w:styleId="HeaderChar">
    <w:name w:val="Header Char"/>
    <w:link w:val="Header"/>
    <w:uiPriority w:val="99"/>
    <w:locked/>
    <w:rsid w:val="0075503A"/>
    <w:rPr>
      <w:rFonts w:ascii="Times New Roman" w:hAnsi="Times New Roman"/>
      <w:sz w:val="24"/>
      <w:shd w:val="clear" w:color="auto" w:fill="auto"/>
      <w:lang w:val="en-GB"/>
    </w:rPr>
  </w:style>
  <w:style w:type="paragraph" w:styleId="Footer">
    <w:name w:val="footer"/>
    <w:basedOn w:val="Normal"/>
    <w:link w:val="FooterChar"/>
    <w:uiPriority w:val="99"/>
    <w:rsid w:val="0075503A"/>
    <w:pPr>
      <w:tabs>
        <w:tab w:val="center" w:pos="4535"/>
        <w:tab w:val="right" w:pos="9071"/>
        <w:tab w:val="right" w:pos="9921"/>
      </w:tabs>
      <w:spacing w:before="360" w:after="0"/>
      <w:ind w:left="-850" w:right="-850"/>
      <w:jc w:val="left"/>
    </w:pPr>
    <w:rPr>
      <w:lang w:eastAsia="bg-BG"/>
    </w:rPr>
  </w:style>
  <w:style w:type="character" w:customStyle="1" w:styleId="FooterChar">
    <w:name w:val="Footer Char"/>
    <w:link w:val="Footer"/>
    <w:uiPriority w:val="99"/>
    <w:locked/>
    <w:rsid w:val="0075503A"/>
    <w:rPr>
      <w:rFonts w:ascii="Times New Roman" w:hAnsi="Times New Roman"/>
      <w:sz w:val="24"/>
      <w:shd w:val="clear" w:color="auto" w:fill="auto"/>
      <w:lang w:val="en-GB"/>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link w:val="FootnoteTextChar"/>
    <w:uiPriority w:val="99"/>
    <w:rsid w:val="0075503A"/>
    <w:pPr>
      <w:spacing w:before="0" w:after="0"/>
      <w:ind w:left="720" w:hanging="720"/>
    </w:pPr>
    <w:rPr>
      <w:sz w:val="20"/>
      <w:lang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locked/>
    <w:rsid w:val="0075503A"/>
    <w:rPr>
      <w:rFonts w:ascii="Times New Roman" w:hAnsi="Times New Roman"/>
      <w:sz w:val="20"/>
      <w:shd w:val="clear" w:color="auto" w:fill="auto"/>
      <w:lang w:val="en-GB"/>
    </w:rPr>
  </w:style>
  <w:style w:type="paragraph" w:styleId="TOCHeading">
    <w:name w:val="TOC Heading"/>
    <w:basedOn w:val="Normal"/>
    <w:next w:val="Normal"/>
    <w:uiPriority w:val="99"/>
    <w:qFormat/>
    <w:rsid w:val="0075503A"/>
    <w:pPr>
      <w:spacing w:after="240"/>
      <w:jc w:val="center"/>
    </w:pPr>
    <w:rPr>
      <w:b/>
      <w:sz w:val="28"/>
    </w:rPr>
  </w:style>
  <w:style w:type="paragraph" w:styleId="TOC1">
    <w:name w:val="toc 1"/>
    <w:basedOn w:val="Normal"/>
    <w:next w:val="Normal"/>
    <w:uiPriority w:val="99"/>
    <w:semiHidden/>
    <w:rsid w:val="0075503A"/>
    <w:pPr>
      <w:tabs>
        <w:tab w:val="right" w:leader="dot" w:pos="9071"/>
      </w:tabs>
      <w:spacing w:before="60"/>
      <w:ind w:left="850" w:hanging="850"/>
      <w:jc w:val="left"/>
    </w:pPr>
  </w:style>
  <w:style w:type="paragraph" w:styleId="TOC2">
    <w:name w:val="toc 2"/>
    <w:basedOn w:val="Normal"/>
    <w:next w:val="Normal"/>
    <w:uiPriority w:val="99"/>
    <w:semiHidden/>
    <w:rsid w:val="0075503A"/>
    <w:pPr>
      <w:tabs>
        <w:tab w:val="right" w:leader="dot" w:pos="9071"/>
      </w:tabs>
      <w:spacing w:before="60"/>
      <w:ind w:left="850" w:hanging="850"/>
      <w:jc w:val="left"/>
    </w:pPr>
  </w:style>
  <w:style w:type="paragraph" w:styleId="TOC3">
    <w:name w:val="toc 3"/>
    <w:basedOn w:val="Normal"/>
    <w:next w:val="Normal"/>
    <w:uiPriority w:val="99"/>
    <w:semiHidden/>
    <w:rsid w:val="0075503A"/>
    <w:pPr>
      <w:tabs>
        <w:tab w:val="right" w:leader="dot" w:pos="9071"/>
      </w:tabs>
      <w:spacing w:before="60"/>
      <w:ind w:left="850" w:hanging="850"/>
      <w:jc w:val="left"/>
    </w:pPr>
  </w:style>
  <w:style w:type="paragraph" w:styleId="TOC4">
    <w:name w:val="toc 4"/>
    <w:basedOn w:val="Normal"/>
    <w:next w:val="Normal"/>
    <w:uiPriority w:val="99"/>
    <w:semiHidden/>
    <w:rsid w:val="0075503A"/>
    <w:pPr>
      <w:tabs>
        <w:tab w:val="right" w:leader="dot" w:pos="9071"/>
      </w:tabs>
      <w:spacing w:before="60"/>
      <w:ind w:left="850" w:hanging="850"/>
      <w:jc w:val="left"/>
    </w:pPr>
  </w:style>
  <w:style w:type="paragraph" w:styleId="TOC5">
    <w:name w:val="toc 5"/>
    <w:basedOn w:val="Normal"/>
    <w:next w:val="Normal"/>
    <w:uiPriority w:val="99"/>
    <w:semiHidden/>
    <w:rsid w:val="0075503A"/>
    <w:pPr>
      <w:tabs>
        <w:tab w:val="right" w:leader="dot" w:pos="9071"/>
      </w:tabs>
      <w:spacing w:before="300"/>
      <w:jc w:val="left"/>
    </w:pPr>
  </w:style>
  <w:style w:type="paragraph" w:styleId="TOC6">
    <w:name w:val="toc 6"/>
    <w:basedOn w:val="Normal"/>
    <w:next w:val="Normal"/>
    <w:uiPriority w:val="99"/>
    <w:semiHidden/>
    <w:rsid w:val="0075503A"/>
    <w:pPr>
      <w:tabs>
        <w:tab w:val="right" w:leader="dot" w:pos="9071"/>
      </w:tabs>
      <w:spacing w:before="240"/>
      <w:jc w:val="left"/>
    </w:pPr>
  </w:style>
  <w:style w:type="paragraph" w:styleId="TOC7">
    <w:name w:val="toc 7"/>
    <w:basedOn w:val="Normal"/>
    <w:next w:val="Normal"/>
    <w:uiPriority w:val="99"/>
    <w:semiHidden/>
    <w:rsid w:val="0075503A"/>
    <w:pPr>
      <w:tabs>
        <w:tab w:val="right" w:leader="dot" w:pos="9071"/>
      </w:tabs>
      <w:spacing w:before="180"/>
      <w:jc w:val="left"/>
    </w:pPr>
  </w:style>
  <w:style w:type="paragraph" w:styleId="TOC8">
    <w:name w:val="toc 8"/>
    <w:basedOn w:val="Normal"/>
    <w:next w:val="Normal"/>
    <w:uiPriority w:val="99"/>
    <w:semiHidden/>
    <w:rsid w:val="0075503A"/>
    <w:pPr>
      <w:tabs>
        <w:tab w:val="right" w:leader="dot" w:pos="9071"/>
      </w:tabs>
      <w:jc w:val="left"/>
    </w:pPr>
  </w:style>
  <w:style w:type="paragraph" w:styleId="TOC9">
    <w:name w:val="toc 9"/>
    <w:basedOn w:val="Normal"/>
    <w:next w:val="Normal"/>
    <w:uiPriority w:val="99"/>
    <w:semiHidden/>
    <w:rsid w:val="0075503A"/>
    <w:pPr>
      <w:tabs>
        <w:tab w:val="right" w:leader="dot" w:pos="9071"/>
      </w:tabs>
    </w:pPr>
  </w:style>
  <w:style w:type="paragraph" w:customStyle="1" w:styleId="HeaderLandscape">
    <w:name w:val="HeaderLandscape"/>
    <w:basedOn w:val="Normal"/>
    <w:uiPriority w:val="99"/>
    <w:rsid w:val="0075503A"/>
    <w:pPr>
      <w:tabs>
        <w:tab w:val="center" w:pos="7285"/>
        <w:tab w:val="right" w:pos="14003"/>
      </w:tabs>
      <w:spacing w:before="0"/>
    </w:pPr>
  </w:style>
  <w:style w:type="paragraph" w:customStyle="1" w:styleId="FooterLandscape">
    <w:name w:val="FooterLandscape"/>
    <w:basedOn w:val="Normal"/>
    <w:uiPriority w:val="99"/>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rsid w:val="0075503A"/>
    <w:rPr>
      <w:rFonts w:cs="Times New Roman"/>
      <w:shd w:val="clear" w:color="auto" w:fill="auto"/>
      <w:vertAlign w:val="superscript"/>
    </w:rPr>
  </w:style>
  <w:style w:type="paragraph" w:customStyle="1" w:styleId="Text1">
    <w:name w:val="Text 1"/>
    <w:basedOn w:val="Normal"/>
    <w:link w:val="Text1Char"/>
    <w:uiPriority w:val="99"/>
    <w:rsid w:val="0075503A"/>
    <w:pPr>
      <w:ind w:left="850"/>
    </w:pPr>
    <w:rPr>
      <w:sz w:val="22"/>
      <w:lang w:val="bg-BG" w:eastAsia="en-US"/>
    </w:rPr>
  </w:style>
  <w:style w:type="paragraph" w:customStyle="1" w:styleId="Text2">
    <w:name w:val="Text 2"/>
    <w:basedOn w:val="Normal"/>
    <w:uiPriority w:val="99"/>
    <w:rsid w:val="0075503A"/>
    <w:pPr>
      <w:ind w:left="1417"/>
    </w:pPr>
  </w:style>
  <w:style w:type="paragraph" w:customStyle="1" w:styleId="Text3">
    <w:name w:val="Text 3"/>
    <w:basedOn w:val="Normal"/>
    <w:uiPriority w:val="99"/>
    <w:rsid w:val="0075503A"/>
    <w:pPr>
      <w:ind w:left="1984"/>
    </w:pPr>
  </w:style>
  <w:style w:type="paragraph" w:customStyle="1" w:styleId="Text4">
    <w:name w:val="Text 4"/>
    <w:basedOn w:val="Normal"/>
    <w:uiPriority w:val="99"/>
    <w:rsid w:val="0075503A"/>
    <w:pPr>
      <w:ind w:left="2551"/>
    </w:pPr>
  </w:style>
  <w:style w:type="paragraph" w:customStyle="1" w:styleId="NormalCentered">
    <w:name w:val="Normal Centered"/>
    <w:basedOn w:val="Normal"/>
    <w:uiPriority w:val="99"/>
    <w:rsid w:val="0075503A"/>
    <w:pPr>
      <w:jc w:val="center"/>
    </w:pPr>
  </w:style>
  <w:style w:type="paragraph" w:customStyle="1" w:styleId="NormalLeft">
    <w:name w:val="Normal Left"/>
    <w:basedOn w:val="Normal"/>
    <w:uiPriority w:val="99"/>
    <w:rsid w:val="0075503A"/>
    <w:pPr>
      <w:jc w:val="left"/>
    </w:pPr>
  </w:style>
  <w:style w:type="paragraph" w:customStyle="1" w:styleId="NormalRight">
    <w:name w:val="Normal Right"/>
    <w:basedOn w:val="Normal"/>
    <w:uiPriority w:val="99"/>
    <w:rsid w:val="0075503A"/>
    <w:pPr>
      <w:jc w:val="right"/>
    </w:pPr>
  </w:style>
  <w:style w:type="paragraph" w:customStyle="1" w:styleId="QuotedText">
    <w:name w:val="Quoted Text"/>
    <w:basedOn w:val="Normal"/>
    <w:uiPriority w:val="99"/>
    <w:rsid w:val="0075503A"/>
    <w:pPr>
      <w:ind w:left="1417"/>
    </w:pPr>
  </w:style>
  <w:style w:type="paragraph" w:customStyle="1" w:styleId="Point0">
    <w:name w:val="Point 0"/>
    <w:basedOn w:val="Normal"/>
    <w:uiPriority w:val="99"/>
    <w:rsid w:val="0075503A"/>
    <w:pPr>
      <w:ind w:left="850" w:hanging="850"/>
    </w:pPr>
  </w:style>
  <w:style w:type="paragraph" w:customStyle="1" w:styleId="Point1">
    <w:name w:val="Point 1"/>
    <w:basedOn w:val="Normal"/>
    <w:uiPriority w:val="99"/>
    <w:rsid w:val="0075503A"/>
    <w:pPr>
      <w:ind w:left="1417" w:hanging="567"/>
    </w:pPr>
  </w:style>
  <w:style w:type="paragraph" w:customStyle="1" w:styleId="Point2">
    <w:name w:val="Point 2"/>
    <w:basedOn w:val="Normal"/>
    <w:uiPriority w:val="99"/>
    <w:rsid w:val="0075503A"/>
    <w:pPr>
      <w:ind w:left="1984" w:hanging="567"/>
    </w:pPr>
  </w:style>
  <w:style w:type="paragraph" w:customStyle="1" w:styleId="Point3">
    <w:name w:val="Point 3"/>
    <w:basedOn w:val="Normal"/>
    <w:uiPriority w:val="99"/>
    <w:rsid w:val="0075503A"/>
    <w:pPr>
      <w:ind w:left="2551" w:hanging="567"/>
    </w:pPr>
  </w:style>
  <w:style w:type="paragraph" w:customStyle="1" w:styleId="Point4">
    <w:name w:val="Point 4"/>
    <w:basedOn w:val="Normal"/>
    <w:uiPriority w:val="99"/>
    <w:rsid w:val="0075503A"/>
    <w:pPr>
      <w:ind w:left="3118" w:hanging="567"/>
    </w:pPr>
  </w:style>
  <w:style w:type="paragraph" w:customStyle="1" w:styleId="Tiret0">
    <w:name w:val="Tiret 0"/>
    <w:basedOn w:val="Point0"/>
    <w:uiPriority w:val="99"/>
    <w:rsid w:val="0075503A"/>
    <w:pPr>
      <w:numPr>
        <w:numId w:val="32"/>
      </w:numPr>
    </w:pPr>
  </w:style>
  <w:style w:type="paragraph" w:customStyle="1" w:styleId="Tiret1">
    <w:name w:val="Tiret 1"/>
    <w:basedOn w:val="Point1"/>
    <w:uiPriority w:val="99"/>
    <w:rsid w:val="0075503A"/>
    <w:pPr>
      <w:numPr>
        <w:numId w:val="33"/>
      </w:numPr>
    </w:pPr>
  </w:style>
  <w:style w:type="paragraph" w:customStyle="1" w:styleId="Tiret2">
    <w:name w:val="Tiret 2"/>
    <w:basedOn w:val="Point2"/>
    <w:uiPriority w:val="99"/>
    <w:rsid w:val="0075503A"/>
    <w:pPr>
      <w:numPr>
        <w:numId w:val="34"/>
      </w:numPr>
    </w:pPr>
  </w:style>
  <w:style w:type="paragraph" w:customStyle="1" w:styleId="Tiret3">
    <w:name w:val="Tiret 3"/>
    <w:basedOn w:val="Point3"/>
    <w:uiPriority w:val="99"/>
    <w:rsid w:val="0075503A"/>
    <w:pPr>
      <w:numPr>
        <w:numId w:val="35"/>
      </w:numPr>
    </w:pPr>
  </w:style>
  <w:style w:type="paragraph" w:customStyle="1" w:styleId="Tiret4">
    <w:name w:val="Tiret 4"/>
    <w:basedOn w:val="Point4"/>
    <w:uiPriority w:val="99"/>
    <w:rsid w:val="0075503A"/>
    <w:pPr>
      <w:numPr>
        <w:numId w:val="36"/>
      </w:numPr>
    </w:pPr>
  </w:style>
  <w:style w:type="paragraph" w:customStyle="1" w:styleId="PointDouble0">
    <w:name w:val="PointDouble 0"/>
    <w:basedOn w:val="Normal"/>
    <w:uiPriority w:val="99"/>
    <w:rsid w:val="0075503A"/>
    <w:pPr>
      <w:tabs>
        <w:tab w:val="left" w:pos="850"/>
      </w:tabs>
      <w:ind w:left="1417" w:hanging="1417"/>
    </w:pPr>
  </w:style>
  <w:style w:type="paragraph" w:customStyle="1" w:styleId="PointDouble1">
    <w:name w:val="PointDouble 1"/>
    <w:basedOn w:val="Normal"/>
    <w:uiPriority w:val="99"/>
    <w:rsid w:val="0075503A"/>
    <w:pPr>
      <w:tabs>
        <w:tab w:val="left" w:pos="1417"/>
      </w:tabs>
      <w:ind w:left="1984" w:hanging="1134"/>
    </w:pPr>
  </w:style>
  <w:style w:type="paragraph" w:customStyle="1" w:styleId="PointDouble2">
    <w:name w:val="PointDouble 2"/>
    <w:basedOn w:val="Normal"/>
    <w:uiPriority w:val="99"/>
    <w:rsid w:val="0075503A"/>
    <w:pPr>
      <w:tabs>
        <w:tab w:val="left" w:pos="1984"/>
      </w:tabs>
      <w:ind w:left="2551" w:hanging="1134"/>
    </w:pPr>
  </w:style>
  <w:style w:type="paragraph" w:customStyle="1" w:styleId="PointDouble3">
    <w:name w:val="PointDouble 3"/>
    <w:basedOn w:val="Normal"/>
    <w:uiPriority w:val="99"/>
    <w:rsid w:val="0075503A"/>
    <w:pPr>
      <w:tabs>
        <w:tab w:val="left" w:pos="2551"/>
      </w:tabs>
      <w:ind w:left="3118" w:hanging="1134"/>
    </w:pPr>
  </w:style>
  <w:style w:type="paragraph" w:customStyle="1" w:styleId="PointDouble4">
    <w:name w:val="PointDouble 4"/>
    <w:basedOn w:val="Normal"/>
    <w:uiPriority w:val="99"/>
    <w:rsid w:val="0075503A"/>
    <w:pPr>
      <w:tabs>
        <w:tab w:val="left" w:pos="3118"/>
      </w:tabs>
      <w:ind w:left="3685" w:hanging="1134"/>
    </w:pPr>
  </w:style>
  <w:style w:type="paragraph" w:customStyle="1" w:styleId="PointTriple0">
    <w:name w:val="PointTriple 0"/>
    <w:basedOn w:val="Normal"/>
    <w:uiPriority w:val="99"/>
    <w:rsid w:val="0075503A"/>
    <w:pPr>
      <w:tabs>
        <w:tab w:val="left" w:pos="850"/>
        <w:tab w:val="left" w:pos="1417"/>
      </w:tabs>
      <w:ind w:left="1984" w:hanging="1984"/>
    </w:pPr>
  </w:style>
  <w:style w:type="paragraph" w:customStyle="1" w:styleId="PointTriple1">
    <w:name w:val="PointTriple 1"/>
    <w:basedOn w:val="Normal"/>
    <w:uiPriority w:val="99"/>
    <w:rsid w:val="0075503A"/>
    <w:pPr>
      <w:tabs>
        <w:tab w:val="left" w:pos="1417"/>
        <w:tab w:val="left" w:pos="1984"/>
      </w:tabs>
      <w:ind w:left="2551" w:hanging="1701"/>
    </w:pPr>
  </w:style>
  <w:style w:type="paragraph" w:customStyle="1" w:styleId="PointTriple2">
    <w:name w:val="PointTriple 2"/>
    <w:basedOn w:val="Normal"/>
    <w:uiPriority w:val="99"/>
    <w:rsid w:val="0075503A"/>
    <w:pPr>
      <w:tabs>
        <w:tab w:val="left" w:pos="1984"/>
        <w:tab w:val="left" w:pos="2551"/>
      </w:tabs>
      <w:ind w:left="3118" w:hanging="1701"/>
    </w:pPr>
  </w:style>
  <w:style w:type="paragraph" w:customStyle="1" w:styleId="PointTriple3">
    <w:name w:val="PointTriple 3"/>
    <w:basedOn w:val="Normal"/>
    <w:uiPriority w:val="99"/>
    <w:rsid w:val="0075503A"/>
    <w:pPr>
      <w:tabs>
        <w:tab w:val="left" w:pos="2551"/>
        <w:tab w:val="left" w:pos="3118"/>
      </w:tabs>
      <w:ind w:left="3685" w:hanging="1701"/>
    </w:pPr>
  </w:style>
  <w:style w:type="paragraph" w:customStyle="1" w:styleId="PointTriple4">
    <w:name w:val="PointTriple 4"/>
    <w:basedOn w:val="Normal"/>
    <w:uiPriority w:val="99"/>
    <w:rsid w:val="0075503A"/>
    <w:pPr>
      <w:tabs>
        <w:tab w:val="left" w:pos="3118"/>
        <w:tab w:val="left" w:pos="3685"/>
      </w:tabs>
      <w:ind w:left="4252" w:hanging="1701"/>
    </w:pPr>
  </w:style>
  <w:style w:type="paragraph" w:customStyle="1" w:styleId="NumPar1">
    <w:name w:val="NumPar 1"/>
    <w:basedOn w:val="Normal"/>
    <w:next w:val="Text1"/>
    <w:uiPriority w:val="99"/>
    <w:rsid w:val="0075503A"/>
    <w:pPr>
      <w:tabs>
        <w:tab w:val="num" w:pos="850"/>
        <w:tab w:val="num" w:pos="1492"/>
      </w:tabs>
      <w:ind w:left="850" w:hanging="850"/>
    </w:pPr>
  </w:style>
  <w:style w:type="paragraph" w:customStyle="1" w:styleId="NumPar2">
    <w:name w:val="NumPar 2"/>
    <w:basedOn w:val="Normal"/>
    <w:next w:val="Text1"/>
    <w:uiPriority w:val="99"/>
    <w:rsid w:val="0075503A"/>
    <w:pPr>
      <w:tabs>
        <w:tab w:val="num" w:pos="850"/>
        <w:tab w:val="num" w:pos="1492"/>
      </w:tabs>
      <w:ind w:left="850" w:hanging="850"/>
    </w:pPr>
  </w:style>
  <w:style w:type="paragraph" w:customStyle="1" w:styleId="NumPar3">
    <w:name w:val="NumPar 3"/>
    <w:basedOn w:val="Normal"/>
    <w:next w:val="Text1"/>
    <w:uiPriority w:val="99"/>
    <w:rsid w:val="0075503A"/>
    <w:pPr>
      <w:tabs>
        <w:tab w:val="num" w:pos="850"/>
        <w:tab w:val="num" w:pos="1492"/>
      </w:tabs>
      <w:ind w:left="850" w:hanging="850"/>
    </w:pPr>
  </w:style>
  <w:style w:type="paragraph" w:customStyle="1" w:styleId="NumPar4">
    <w:name w:val="NumPar 4"/>
    <w:basedOn w:val="Normal"/>
    <w:next w:val="Text1"/>
    <w:uiPriority w:val="99"/>
    <w:rsid w:val="0075503A"/>
    <w:pPr>
      <w:tabs>
        <w:tab w:val="num" w:pos="850"/>
        <w:tab w:val="num" w:pos="1492"/>
      </w:tabs>
      <w:ind w:left="850" w:hanging="850"/>
    </w:pPr>
  </w:style>
  <w:style w:type="paragraph" w:customStyle="1" w:styleId="ManualNumPar1">
    <w:name w:val="Manual NumPar 1"/>
    <w:basedOn w:val="Normal"/>
    <w:next w:val="Text1"/>
    <w:link w:val="ManualNumPar1Char"/>
    <w:uiPriority w:val="99"/>
    <w:rsid w:val="0075503A"/>
    <w:pPr>
      <w:ind w:left="850" w:hanging="850"/>
    </w:pPr>
    <w:rPr>
      <w:sz w:val="22"/>
      <w:lang w:val="bg-BG" w:eastAsia="en-US"/>
    </w:rPr>
  </w:style>
  <w:style w:type="paragraph" w:customStyle="1" w:styleId="ManualNumPar2">
    <w:name w:val="Manual NumPar 2"/>
    <w:basedOn w:val="Normal"/>
    <w:next w:val="Text1"/>
    <w:uiPriority w:val="99"/>
    <w:rsid w:val="0075503A"/>
    <w:pPr>
      <w:ind w:left="850" w:hanging="850"/>
    </w:pPr>
  </w:style>
  <w:style w:type="paragraph" w:customStyle="1" w:styleId="ManualNumPar3">
    <w:name w:val="Manual NumPar 3"/>
    <w:basedOn w:val="Normal"/>
    <w:next w:val="Text1"/>
    <w:uiPriority w:val="99"/>
    <w:rsid w:val="0075503A"/>
    <w:pPr>
      <w:ind w:left="850" w:hanging="850"/>
    </w:pPr>
  </w:style>
  <w:style w:type="paragraph" w:customStyle="1" w:styleId="ManualNumPar4">
    <w:name w:val="Manual NumPar 4"/>
    <w:basedOn w:val="Normal"/>
    <w:next w:val="Text1"/>
    <w:uiPriority w:val="99"/>
    <w:rsid w:val="0075503A"/>
    <w:pPr>
      <w:ind w:left="850" w:hanging="850"/>
    </w:pPr>
  </w:style>
  <w:style w:type="paragraph" w:customStyle="1" w:styleId="QuotedNumPar">
    <w:name w:val="Quoted NumPar"/>
    <w:basedOn w:val="Normal"/>
    <w:uiPriority w:val="99"/>
    <w:rsid w:val="0075503A"/>
    <w:pPr>
      <w:ind w:left="1417" w:hanging="567"/>
    </w:pPr>
  </w:style>
  <w:style w:type="paragraph" w:customStyle="1" w:styleId="ManualHeading1">
    <w:name w:val="Manual Heading 1"/>
    <w:basedOn w:val="Normal"/>
    <w:next w:val="Text1"/>
    <w:uiPriority w:val="99"/>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uiPriority w:val="99"/>
    <w:rsid w:val="0075503A"/>
    <w:pPr>
      <w:keepNext/>
      <w:tabs>
        <w:tab w:val="left" w:pos="850"/>
      </w:tabs>
      <w:ind w:left="850" w:hanging="850"/>
      <w:outlineLvl w:val="1"/>
    </w:pPr>
    <w:rPr>
      <w:b/>
    </w:rPr>
  </w:style>
  <w:style w:type="paragraph" w:customStyle="1" w:styleId="ManualHeading3">
    <w:name w:val="Manual Heading 3"/>
    <w:basedOn w:val="Normal"/>
    <w:next w:val="Text1"/>
    <w:uiPriority w:val="99"/>
    <w:rsid w:val="0075503A"/>
    <w:pPr>
      <w:keepNext/>
      <w:tabs>
        <w:tab w:val="left" w:pos="850"/>
      </w:tabs>
      <w:ind w:left="850" w:hanging="850"/>
      <w:outlineLvl w:val="2"/>
    </w:pPr>
    <w:rPr>
      <w:i/>
    </w:rPr>
  </w:style>
  <w:style w:type="paragraph" w:customStyle="1" w:styleId="ManualHeading4">
    <w:name w:val="Manual Heading 4"/>
    <w:basedOn w:val="Normal"/>
    <w:next w:val="Text1"/>
    <w:uiPriority w:val="99"/>
    <w:rsid w:val="0075503A"/>
    <w:pPr>
      <w:keepNext/>
      <w:tabs>
        <w:tab w:val="left" w:pos="850"/>
      </w:tabs>
      <w:ind w:left="850" w:hanging="850"/>
      <w:outlineLvl w:val="3"/>
    </w:pPr>
  </w:style>
  <w:style w:type="paragraph" w:customStyle="1" w:styleId="ChapterTitle">
    <w:name w:val="ChapterTitle"/>
    <w:basedOn w:val="Normal"/>
    <w:next w:val="Normal"/>
    <w:uiPriority w:val="99"/>
    <w:rsid w:val="0075503A"/>
    <w:pPr>
      <w:keepNext/>
      <w:spacing w:after="360"/>
      <w:jc w:val="center"/>
    </w:pPr>
    <w:rPr>
      <w:b/>
      <w:sz w:val="32"/>
    </w:rPr>
  </w:style>
  <w:style w:type="paragraph" w:customStyle="1" w:styleId="PartTitle">
    <w:name w:val="PartTitle"/>
    <w:basedOn w:val="Normal"/>
    <w:next w:val="ChapterTitle"/>
    <w:uiPriority w:val="99"/>
    <w:rsid w:val="0075503A"/>
    <w:pPr>
      <w:keepNext/>
      <w:pageBreakBefore/>
      <w:spacing w:after="360"/>
      <w:jc w:val="center"/>
    </w:pPr>
    <w:rPr>
      <w:b/>
      <w:sz w:val="36"/>
    </w:rPr>
  </w:style>
  <w:style w:type="paragraph" w:customStyle="1" w:styleId="SectionTitle">
    <w:name w:val="SectionTitle"/>
    <w:basedOn w:val="Normal"/>
    <w:next w:val="Heading1"/>
    <w:uiPriority w:val="99"/>
    <w:rsid w:val="0075503A"/>
    <w:pPr>
      <w:keepNext/>
      <w:spacing w:after="360"/>
      <w:jc w:val="center"/>
    </w:pPr>
    <w:rPr>
      <w:b/>
      <w:smallCaps/>
      <w:sz w:val="28"/>
    </w:rPr>
  </w:style>
  <w:style w:type="paragraph" w:customStyle="1" w:styleId="TableTitle">
    <w:name w:val="Table Title"/>
    <w:basedOn w:val="Normal"/>
    <w:next w:val="Normal"/>
    <w:uiPriority w:val="99"/>
    <w:rsid w:val="0075503A"/>
    <w:pPr>
      <w:jc w:val="center"/>
    </w:pPr>
    <w:rPr>
      <w:b/>
    </w:rPr>
  </w:style>
  <w:style w:type="character" w:customStyle="1" w:styleId="Marker">
    <w:name w:val="Marker"/>
    <w:uiPriority w:val="99"/>
    <w:rsid w:val="0075503A"/>
    <w:rPr>
      <w:color w:val="0000FF"/>
      <w:shd w:val="clear" w:color="auto" w:fill="auto"/>
    </w:rPr>
  </w:style>
  <w:style w:type="character" w:customStyle="1" w:styleId="Marker1">
    <w:name w:val="Marker1"/>
    <w:uiPriority w:val="99"/>
    <w:rsid w:val="0075503A"/>
    <w:rPr>
      <w:color w:val="008000"/>
      <w:shd w:val="clear" w:color="auto" w:fill="auto"/>
    </w:rPr>
  </w:style>
  <w:style w:type="character" w:customStyle="1" w:styleId="Marker2">
    <w:name w:val="Marker2"/>
    <w:uiPriority w:val="99"/>
    <w:rsid w:val="0075503A"/>
    <w:rPr>
      <w:color w:val="FF0000"/>
      <w:shd w:val="clear" w:color="auto" w:fill="auto"/>
    </w:rPr>
  </w:style>
  <w:style w:type="paragraph" w:customStyle="1" w:styleId="Point0number">
    <w:name w:val="Point 0 (number)"/>
    <w:basedOn w:val="Normal"/>
    <w:uiPriority w:val="99"/>
    <w:rsid w:val="0075503A"/>
    <w:pPr>
      <w:numPr>
        <w:numId w:val="39"/>
      </w:numPr>
    </w:pPr>
  </w:style>
  <w:style w:type="paragraph" w:customStyle="1" w:styleId="Point1number">
    <w:name w:val="Point 1 (number)"/>
    <w:basedOn w:val="Normal"/>
    <w:uiPriority w:val="99"/>
    <w:rsid w:val="0075503A"/>
    <w:pPr>
      <w:numPr>
        <w:ilvl w:val="2"/>
        <w:numId w:val="39"/>
      </w:numPr>
    </w:pPr>
  </w:style>
  <w:style w:type="paragraph" w:customStyle="1" w:styleId="Point2number">
    <w:name w:val="Point 2 (number)"/>
    <w:basedOn w:val="Normal"/>
    <w:uiPriority w:val="99"/>
    <w:rsid w:val="0075503A"/>
    <w:pPr>
      <w:numPr>
        <w:ilvl w:val="4"/>
        <w:numId w:val="39"/>
      </w:numPr>
    </w:pPr>
  </w:style>
  <w:style w:type="paragraph" w:customStyle="1" w:styleId="Point3number">
    <w:name w:val="Point 3 (number)"/>
    <w:basedOn w:val="Normal"/>
    <w:uiPriority w:val="99"/>
    <w:rsid w:val="0075503A"/>
    <w:pPr>
      <w:numPr>
        <w:ilvl w:val="6"/>
        <w:numId w:val="39"/>
      </w:numPr>
    </w:pPr>
  </w:style>
  <w:style w:type="paragraph" w:customStyle="1" w:styleId="Point0letter">
    <w:name w:val="Point 0 (letter)"/>
    <w:basedOn w:val="Normal"/>
    <w:uiPriority w:val="99"/>
    <w:rsid w:val="0075503A"/>
    <w:pPr>
      <w:numPr>
        <w:ilvl w:val="1"/>
        <w:numId w:val="39"/>
      </w:numPr>
    </w:pPr>
  </w:style>
  <w:style w:type="paragraph" w:customStyle="1" w:styleId="Point1letter">
    <w:name w:val="Point 1 (letter)"/>
    <w:basedOn w:val="Normal"/>
    <w:uiPriority w:val="99"/>
    <w:rsid w:val="0075503A"/>
    <w:pPr>
      <w:numPr>
        <w:ilvl w:val="3"/>
        <w:numId w:val="39"/>
      </w:numPr>
    </w:pPr>
  </w:style>
  <w:style w:type="paragraph" w:customStyle="1" w:styleId="Point2letter">
    <w:name w:val="Point 2 (letter)"/>
    <w:basedOn w:val="Normal"/>
    <w:uiPriority w:val="99"/>
    <w:rsid w:val="0075503A"/>
    <w:pPr>
      <w:numPr>
        <w:ilvl w:val="5"/>
        <w:numId w:val="39"/>
      </w:numPr>
    </w:pPr>
  </w:style>
  <w:style w:type="paragraph" w:customStyle="1" w:styleId="Point3letter">
    <w:name w:val="Point 3 (letter)"/>
    <w:basedOn w:val="Normal"/>
    <w:uiPriority w:val="99"/>
    <w:rsid w:val="0075503A"/>
    <w:pPr>
      <w:numPr>
        <w:ilvl w:val="7"/>
        <w:numId w:val="39"/>
      </w:numPr>
    </w:pPr>
  </w:style>
  <w:style w:type="paragraph" w:customStyle="1" w:styleId="Point4letter">
    <w:name w:val="Point 4 (letter)"/>
    <w:basedOn w:val="Normal"/>
    <w:uiPriority w:val="99"/>
    <w:rsid w:val="0075503A"/>
    <w:pPr>
      <w:numPr>
        <w:ilvl w:val="8"/>
        <w:numId w:val="39"/>
      </w:numPr>
    </w:pPr>
  </w:style>
  <w:style w:type="paragraph" w:customStyle="1" w:styleId="Bullet0">
    <w:name w:val="Bullet 0"/>
    <w:basedOn w:val="Normal"/>
    <w:uiPriority w:val="99"/>
    <w:rsid w:val="0075503A"/>
    <w:pPr>
      <w:numPr>
        <w:numId w:val="18"/>
      </w:numPr>
      <w:tabs>
        <w:tab w:val="clear" w:pos="643"/>
        <w:tab w:val="num" w:pos="850"/>
        <w:tab w:val="num" w:pos="926"/>
      </w:tabs>
      <w:ind w:left="850" w:hanging="850"/>
    </w:pPr>
  </w:style>
  <w:style w:type="paragraph" w:customStyle="1" w:styleId="Bullet1">
    <w:name w:val="Bullet 1"/>
    <w:basedOn w:val="Normal"/>
    <w:uiPriority w:val="99"/>
    <w:rsid w:val="0075503A"/>
    <w:pPr>
      <w:numPr>
        <w:numId w:val="40"/>
      </w:numPr>
    </w:pPr>
  </w:style>
  <w:style w:type="paragraph" w:customStyle="1" w:styleId="Bullet2">
    <w:name w:val="Bullet 2"/>
    <w:basedOn w:val="Normal"/>
    <w:uiPriority w:val="99"/>
    <w:rsid w:val="0075503A"/>
    <w:pPr>
      <w:numPr>
        <w:numId w:val="41"/>
      </w:numPr>
    </w:pPr>
  </w:style>
  <w:style w:type="paragraph" w:customStyle="1" w:styleId="Bullet3">
    <w:name w:val="Bullet 3"/>
    <w:basedOn w:val="Normal"/>
    <w:uiPriority w:val="99"/>
    <w:rsid w:val="0075503A"/>
    <w:pPr>
      <w:numPr>
        <w:numId w:val="42"/>
      </w:numPr>
    </w:pPr>
  </w:style>
  <w:style w:type="paragraph" w:customStyle="1" w:styleId="Bullet4">
    <w:name w:val="Bullet 4"/>
    <w:basedOn w:val="Normal"/>
    <w:uiPriority w:val="99"/>
    <w:rsid w:val="0075503A"/>
    <w:pPr>
      <w:numPr>
        <w:numId w:val="43"/>
      </w:numPr>
    </w:pPr>
  </w:style>
  <w:style w:type="paragraph" w:customStyle="1" w:styleId="Annexetitreexpos">
    <w:name w:val="Annexe titre (exposé)"/>
    <w:basedOn w:val="Normal"/>
    <w:next w:val="Normal"/>
    <w:uiPriority w:val="99"/>
    <w:rsid w:val="0075503A"/>
    <w:pPr>
      <w:jc w:val="center"/>
    </w:pPr>
    <w:rPr>
      <w:b/>
      <w:u w:val="single"/>
    </w:rPr>
  </w:style>
  <w:style w:type="paragraph" w:customStyle="1" w:styleId="Annexetitre">
    <w:name w:val="Annexe titre"/>
    <w:basedOn w:val="Normal"/>
    <w:next w:val="Normal"/>
    <w:uiPriority w:val="99"/>
    <w:rsid w:val="0075503A"/>
    <w:pPr>
      <w:jc w:val="center"/>
    </w:pPr>
    <w:rPr>
      <w:b/>
      <w:u w:val="single"/>
    </w:rPr>
  </w:style>
  <w:style w:type="paragraph" w:customStyle="1" w:styleId="Annexetitrefichefinancire">
    <w:name w:val="Annexe titre (fiche financière)"/>
    <w:basedOn w:val="Normal"/>
    <w:next w:val="Normal"/>
    <w:uiPriority w:val="99"/>
    <w:rsid w:val="0075503A"/>
    <w:pPr>
      <w:jc w:val="center"/>
    </w:pPr>
    <w:rPr>
      <w:b/>
      <w:u w:val="single"/>
    </w:rPr>
  </w:style>
  <w:style w:type="paragraph" w:customStyle="1" w:styleId="Applicationdirecte">
    <w:name w:val="Application directe"/>
    <w:basedOn w:val="Normal"/>
    <w:next w:val="Fait"/>
    <w:uiPriority w:val="99"/>
    <w:rsid w:val="0075503A"/>
    <w:pPr>
      <w:spacing w:before="480"/>
    </w:pPr>
  </w:style>
  <w:style w:type="paragraph" w:customStyle="1" w:styleId="Avertissementtitre">
    <w:name w:val="Avertissement titre"/>
    <w:basedOn w:val="Normal"/>
    <w:next w:val="Normal"/>
    <w:uiPriority w:val="99"/>
    <w:rsid w:val="0075503A"/>
    <w:pPr>
      <w:keepNext/>
      <w:spacing w:before="480"/>
    </w:pPr>
    <w:rPr>
      <w:u w:val="single"/>
    </w:rPr>
  </w:style>
  <w:style w:type="paragraph" w:customStyle="1" w:styleId="Confidence">
    <w:name w:val="Confidence"/>
    <w:basedOn w:val="Normal"/>
    <w:next w:val="Normal"/>
    <w:uiPriority w:val="99"/>
    <w:rsid w:val="0075503A"/>
    <w:pPr>
      <w:spacing w:before="360"/>
      <w:jc w:val="center"/>
    </w:pPr>
  </w:style>
  <w:style w:type="paragraph" w:customStyle="1" w:styleId="Confidentialit">
    <w:name w:val="Confidentialité"/>
    <w:basedOn w:val="Normal"/>
    <w:next w:val="TypedudocumentPagedecouverture"/>
    <w:uiPriority w:val="99"/>
    <w:rsid w:val="0075503A"/>
    <w:pPr>
      <w:spacing w:before="240" w:after="240"/>
      <w:ind w:left="5103"/>
      <w:jc w:val="left"/>
    </w:pPr>
    <w:rPr>
      <w:i/>
      <w:sz w:val="32"/>
    </w:rPr>
  </w:style>
  <w:style w:type="paragraph" w:customStyle="1" w:styleId="Considrant">
    <w:name w:val="Considérant"/>
    <w:basedOn w:val="Normal"/>
    <w:uiPriority w:val="99"/>
    <w:rsid w:val="0075503A"/>
    <w:pPr>
      <w:numPr>
        <w:numId w:val="44"/>
      </w:numPr>
    </w:pPr>
  </w:style>
  <w:style w:type="paragraph" w:customStyle="1" w:styleId="Corrigendum">
    <w:name w:val="Corrigendum"/>
    <w:basedOn w:val="Normal"/>
    <w:next w:val="Normal"/>
    <w:uiPriority w:val="99"/>
    <w:rsid w:val="0075503A"/>
    <w:pPr>
      <w:spacing w:before="0" w:after="240"/>
      <w:jc w:val="left"/>
    </w:pPr>
  </w:style>
  <w:style w:type="paragraph" w:customStyle="1" w:styleId="Datedadoption">
    <w:name w:val="Date d'adoption"/>
    <w:basedOn w:val="Normal"/>
    <w:next w:val="Titreobjet"/>
    <w:uiPriority w:val="99"/>
    <w:rsid w:val="0075503A"/>
    <w:pPr>
      <w:spacing w:before="360" w:after="0"/>
      <w:jc w:val="center"/>
    </w:pPr>
    <w:rPr>
      <w:b/>
    </w:rPr>
  </w:style>
  <w:style w:type="paragraph" w:customStyle="1" w:styleId="Emission">
    <w:name w:val="Emission"/>
    <w:basedOn w:val="Normal"/>
    <w:next w:val="Rfrenceinstitutionnelle"/>
    <w:uiPriority w:val="99"/>
    <w:rsid w:val="0075503A"/>
    <w:pPr>
      <w:spacing w:before="0" w:after="0"/>
      <w:ind w:left="5103"/>
      <w:jc w:val="left"/>
    </w:pPr>
  </w:style>
  <w:style w:type="paragraph" w:customStyle="1" w:styleId="Exposdesmotifstitre">
    <w:name w:val="Exposé des motifs titre"/>
    <w:basedOn w:val="Normal"/>
    <w:next w:val="Normal"/>
    <w:uiPriority w:val="99"/>
    <w:rsid w:val="0075503A"/>
    <w:pPr>
      <w:jc w:val="center"/>
    </w:pPr>
    <w:rPr>
      <w:b/>
      <w:u w:val="single"/>
    </w:rPr>
  </w:style>
  <w:style w:type="paragraph" w:customStyle="1" w:styleId="Fait">
    <w:name w:val="Fait à"/>
    <w:basedOn w:val="Normal"/>
    <w:next w:val="Institutionquisigne"/>
    <w:uiPriority w:val="99"/>
    <w:rsid w:val="0075503A"/>
    <w:pPr>
      <w:keepNext/>
      <w:spacing w:after="0"/>
    </w:pPr>
  </w:style>
  <w:style w:type="paragraph" w:customStyle="1" w:styleId="Formuledadoption">
    <w:name w:val="Formule d'adoption"/>
    <w:basedOn w:val="Normal"/>
    <w:next w:val="Titrearticle"/>
    <w:uiPriority w:val="99"/>
    <w:rsid w:val="0075503A"/>
    <w:pPr>
      <w:keepNext/>
    </w:pPr>
  </w:style>
  <w:style w:type="paragraph" w:customStyle="1" w:styleId="Institutionquiagit">
    <w:name w:val="Institution qui agit"/>
    <w:basedOn w:val="Normal"/>
    <w:next w:val="Normal"/>
    <w:uiPriority w:val="99"/>
    <w:rsid w:val="0075503A"/>
    <w:pPr>
      <w:keepNext/>
      <w:spacing w:before="600"/>
    </w:pPr>
  </w:style>
  <w:style w:type="paragraph" w:customStyle="1" w:styleId="Institutionquisigne">
    <w:name w:val="Institution qui signe"/>
    <w:basedOn w:val="Normal"/>
    <w:next w:val="Personnequisigne"/>
    <w:uiPriority w:val="99"/>
    <w:rsid w:val="0075503A"/>
    <w:pPr>
      <w:keepNext/>
      <w:tabs>
        <w:tab w:val="left" w:pos="4252"/>
      </w:tabs>
      <w:spacing w:before="720" w:after="0"/>
    </w:pPr>
    <w:rPr>
      <w:i/>
    </w:rPr>
  </w:style>
  <w:style w:type="paragraph" w:customStyle="1" w:styleId="Langue">
    <w:name w:val="Langue"/>
    <w:basedOn w:val="Normal"/>
    <w:next w:val="Rfrenceinterne"/>
    <w:uiPriority w:val="99"/>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uiPriority w:val="99"/>
    <w:rsid w:val="0075503A"/>
    <w:pPr>
      <w:ind w:left="709" w:hanging="709"/>
    </w:pPr>
  </w:style>
  <w:style w:type="paragraph" w:customStyle="1" w:styleId="Nomdelinstitution">
    <w:name w:val="Nom de l'institution"/>
    <w:basedOn w:val="Normal"/>
    <w:next w:val="Emission"/>
    <w:uiPriority w:val="99"/>
    <w:rsid w:val="0075503A"/>
    <w:pPr>
      <w:spacing w:before="0" w:after="0"/>
      <w:jc w:val="left"/>
    </w:pPr>
    <w:rPr>
      <w:rFonts w:ascii="Arial" w:hAnsi="Arial" w:cs="Arial"/>
    </w:rPr>
  </w:style>
  <w:style w:type="paragraph" w:customStyle="1" w:styleId="Personnequisigne">
    <w:name w:val="Personne qui signe"/>
    <w:basedOn w:val="Normal"/>
    <w:next w:val="Institutionquisigne"/>
    <w:uiPriority w:val="99"/>
    <w:rsid w:val="0075503A"/>
    <w:pPr>
      <w:tabs>
        <w:tab w:val="left" w:pos="4252"/>
      </w:tabs>
      <w:spacing w:before="0" w:after="0"/>
      <w:jc w:val="left"/>
    </w:pPr>
    <w:rPr>
      <w:i/>
    </w:rPr>
  </w:style>
  <w:style w:type="paragraph" w:customStyle="1" w:styleId="Rfrenceinstitutionnelle">
    <w:name w:val="Référence institutionnelle"/>
    <w:basedOn w:val="Normal"/>
    <w:next w:val="Confidentialit"/>
    <w:uiPriority w:val="99"/>
    <w:rsid w:val="0075503A"/>
    <w:pPr>
      <w:spacing w:before="0" w:after="240"/>
      <w:ind w:left="5103"/>
      <w:jc w:val="left"/>
    </w:pPr>
  </w:style>
  <w:style w:type="paragraph" w:customStyle="1" w:styleId="Rfrenceinterinstitutionnelle">
    <w:name w:val="Référence interinstitutionnelle"/>
    <w:basedOn w:val="Normal"/>
    <w:next w:val="Statut"/>
    <w:uiPriority w:val="99"/>
    <w:rsid w:val="0075503A"/>
    <w:pPr>
      <w:spacing w:before="0" w:after="0"/>
      <w:ind w:left="5103"/>
      <w:jc w:val="left"/>
    </w:pPr>
  </w:style>
  <w:style w:type="paragraph" w:customStyle="1" w:styleId="Rfrenceinterne">
    <w:name w:val="Référence interne"/>
    <w:basedOn w:val="Normal"/>
    <w:next w:val="Rfrenceinterinstitutionnelle"/>
    <w:uiPriority w:val="99"/>
    <w:rsid w:val="0075503A"/>
    <w:pPr>
      <w:spacing w:before="0" w:after="0"/>
      <w:ind w:left="5103"/>
      <w:jc w:val="left"/>
    </w:pPr>
  </w:style>
  <w:style w:type="paragraph" w:customStyle="1" w:styleId="Sous-titreobjet">
    <w:name w:val="Sous-titre objet"/>
    <w:basedOn w:val="Normal"/>
    <w:uiPriority w:val="99"/>
    <w:rsid w:val="0075503A"/>
    <w:pPr>
      <w:spacing w:before="0" w:after="0"/>
      <w:jc w:val="center"/>
    </w:pPr>
    <w:rPr>
      <w:b/>
    </w:rPr>
  </w:style>
  <w:style w:type="paragraph" w:customStyle="1" w:styleId="Statut">
    <w:name w:val="Statut"/>
    <w:basedOn w:val="Normal"/>
    <w:next w:val="Typedudocument"/>
    <w:uiPriority w:val="99"/>
    <w:rsid w:val="0075503A"/>
    <w:pPr>
      <w:spacing w:before="360" w:after="0"/>
      <w:jc w:val="center"/>
    </w:pPr>
  </w:style>
  <w:style w:type="paragraph" w:customStyle="1" w:styleId="Titrearticle">
    <w:name w:val="Titre article"/>
    <w:basedOn w:val="Normal"/>
    <w:next w:val="Normal"/>
    <w:uiPriority w:val="99"/>
    <w:rsid w:val="0075503A"/>
    <w:pPr>
      <w:keepNext/>
      <w:spacing w:before="360"/>
      <w:jc w:val="center"/>
    </w:pPr>
    <w:rPr>
      <w:i/>
    </w:rPr>
  </w:style>
  <w:style w:type="paragraph" w:customStyle="1" w:styleId="Titreobjet">
    <w:name w:val="Titre objet"/>
    <w:basedOn w:val="Normal"/>
    <w:next w:val="Sous-titreobjet"/>
    <w:uiPriority w:val="99"/>
    <w:rsid w:val="0075503A"/>
    <w:pPr>
      <w:spacing w:before="180" w:after="180"/>
      <w:jc w:val="center"/>
    </w:pPr>
    <w:rPr>
      <w:b/>
    </w:rPr>
  </w:style>
  <w:style w:type="paragraph" w:customStyle="1" w:styleId="Typedudocument">
    <w:name w:val="Type du document"/>
    <w:basedOn w:val="Normal"/>
    <w:next w:val="Titreobjet"/>
    <w:uiPriority w:val="99"/>
    <w:rsid w:val="0075503A"/>
    <w:pPr>
      <w:spacing w:before="360" w:after="180"/>
      <w:jc w:val="center"/>
    </w:pPr>
    <w:rPr>
      <w:b/>
    </w:rPr>
  </w:style>
  <w:style w:type="character" w:customStyle="1" w:styleId="Added">
    <w:name w:val="Added"/>
    <w:uiPriority w:val="99"/>
    <w:rsid w:val="0075503A"/>
    <w:rPr>
      <w:b/>
      <w:u w:val="single"/>
      <w:shd w:val="clear" w:color="auto" w:fill="auto"/>
    </w:rPr>
  </w:style>
  <w:style w:type="character" w:customStyle="1" w:styleId="Deleted">
    <w:name w:val="Deleted"/>
    <w:uiPriority w:val="99"/>
    <w:rsid w:val="0075503A"/>
    <w:rPr>
      <w:strike/>
      <w:shd w:val="clear" w:color="auto" w:fill="auto"/>
    </w:rPr>
  </w:style>
  <w:style w:type="paragraph" w:customStyle="1" w:styleId="Address">
    <w:name w:val="Address"/>
    <w:basedOn w:val="Normal"/>
    <w:next w:val="Normal"/>
    <w:uiPriority w:val="99"/>
    <w:rsid w:val="0075503A"/>
    <w:pPr>
      <w:keepLines/>
      <w:spacing w:line="360" w:lineRule="auto"/>
      <w:ind w:left="3402"/>
      <w:jc w:val="left"/>
    </w:pPr>
  </w:style>
  <w:style w:type="paragraph" w:customStyle="1" w:styleId="Objetexterne">
    <w:name w:val="Objet externe"/>
    <w:basedOn w:val="Normal"/>
    <w:next w:val="Normal"/>
    <w:uiPriority w:val="99"/>
    <w:rsid w:val="0075503A"/>
    <w:rPr>
      <w:i/>
      <w:caps/>
    </w:rPr>
  </w:style>
  <w:style w:type="paragraph" w:customStyle="1" w:styleId="Pagedecouverture">
    <w:name w:val="Page de couverture"/>
    <w:basedOn w:val="Normal"/>
    <w:next w:val="Normal"/>
    <w:uiPriority w:val="99"/>
    <w:rsid w:val="0075503A"/>
    <w:pPr>
      <w:spacing w:before="0" w:after="0"/>
    </w:pPr>
  </w:style>
  <w:style w:type="paragraph" w:customStyle="1" w:styleId="Supertitre">
    <w:name w:val="Supertitre"/>
    <w:basedOn w:val="Normal"/>
    <w:next w:val="Normal"/>
    <w:uiPriority w:val="99"/>
    <w:rsid w:val="0075503A"/>
    <w:pPr>
      <w:spacing w:before="0" w:after="600"/>
      <w:jc w:val="center"/>
    </w:pPr>
    <w:rPr>
      <w:b/>
    </w:rPr>
  </w:style>
  <w:style w:type="paragraph" w:customStyle="1" w:styleId="Languesfaisantfoi">
    <w:name w:val="Langues faisant foi"/>
    <w:basedOn w:val="Normal"/>
    <w:next w:val="Normal"/>
    <w:uiPriority w:val="99"/>
    <w:rsid w:val="0075503A"/>
    <w:pPr>
      <w:spacing w:before="360" w:after="0"/>
      <w:jc w:val="center"/>
    </w:pPr>
  </w:style>
  <w:style w:type="paragraph" w:customStyle="1" w:styleId="Rfrencecroise">
    <w:name w:val="Référence croisée"/>
    <w:basedOn w:val="Normal"/>
    <w:uiPriority w:val="99"/>
    <w:rsid w:val="0075503A"/>
    <w:pPr>
      <w:spacing w:before="0" w:after="0"/>
      <w:jc w:val="center"/>
    </w:pPr>
  </w:style>
  <w:style w:type="paragraph" w:customStyle="1" w:styleId="Fichefinanciretitre">
    <w:name w:val="Fiche financière titre"/>
    <w:basedOn w:val="Normal"/>
    <w:next w:val="Normal"/>
    <w:uiPriority w:val="99"/>
    <w:rsid w:val="0075503A"/>
    <w:pPr>
      <w:jc w:val="center"/>
    </w:pPr>
    <w:rPr>
      <w:b/>
      <w:u w:val="single"/>
    </w:rPr>
  </w:style>
  <w:style w:type="paragraph" w:customStyle="1" w:styleId="DatedadoptionPagedecouverture">
    <w:name w:val="Date d'adoption (Page de couverture)"/>
    <w:basedOn w:val="Datedadoption"/>
    <w:next w:val="TitreobjetPagedecouverture"/>
    <w:uiPriority w:val="99"/>
    <w:rsid w:val="0075503A"/>
  </w:style>
  <w:style w:type="paragraph" w:customStyle="1" w:styleId="RfrenceinterinstitutionnellePagedecouverture">
    <w:name w:val="Référence interinstitutionnelle (Page de couverture)"/>
    <w:basedOn w:val="Rfrenceinterinstitutionnelle"/>
    <w:next w:val="Confidentialit"/>
    <w:uiPriority w:val="99"/>
    <w:rsid w:val="0075503A"/>
  </w:style>
  <w:style w:type="paragraph" w:customStyle="1" w:styleId="Sous-titreobjetPagedecouverture">
    <w:name w:val="Sous-titre objet (Page de couverture)"/>
    <w:basedOn w:val="Sous-titreobjet"/>
    <w:uiPriority w:val="99"/>
    <w:rsid w:val="0075503A"/>
  </w:style>
  <w:style w:type="paragraph" w:customStyle="1" w:styleId="StatutPagedecouverture">
    <w:name w:val="Statut (Page de couverture)"/>
    <w:basedOn w:val="Statut"/>
    <w:next w:val="TypedudocumentPagedecouverture"/>
    <w:uiPriority w:val="99"/>
    <w:rsid w:val="0075503A"/>
  </w:style>
  <w:style w:type="paragraph" w:customStyle="1" w:styleId="TitreobjetPagedecouverture">
    <w:name w:val="Titre objet (Page de couverture)"/>
    <w:basedOn w:val="Titreobjet"/>
    <w:next w:val="Sous-titreobjetPagedecouverture"/>
    <w:uiPriority w:val="99"/>
    <w:rsid w:val="0075503A"/>
  </w:style>
  <w:style w:type="paragraph" w:customStyle="1" w:styleId="TypedudocumentPagedecouverture">
    <w:name w:val="Type du document (Page de couverture)"/>
    <w:basedOn w:val="Typedudocument"/>
    <w:next w:val="TitreobjetPagedecouverture"/>
    <w:uiPriority w:val="99"/>
    <w:rsid w:val="0075503A"/>
  </w:style>
  <w:style w:type="paragraph" w:customStyle="1" w:styleId="Volume">
    <w:name w:val="Volume"/>
    <w:basedOn w:val="Normal"/>
    <w:next w:val="Confidentialit"/>
    <w:uiPriority w:val="99"/>
    <w:rsid w:val="0075503A"/>
    <w:pPr>
      <w:spacing w:before="0" w:after="240"/>
      <w:ind w:left="5103"/>
      <w:jc w:val="left"/>
    </w:pPr>
  </w:style>
  <w:style w:type="paragraph" w:customStyle="1" w:styleId="IntrtEEE">
    <w:name w:val="Intérêt EEE"/>
    <w:basedOn w:val="Languesfaisantfoi"/>
    <w:next w:val="Normal"/>
    <w:uiPriority w:val="99"/>
    <w:rsid w:val="0075503A"/>
    <w:pPr>
      <w:spacing w:after="240"/>
    </w:pPr>
  </w:style>
  <w:style w:type="paragraph" w:customStyle="1" w:styleId="Accompagnant">
    <w:name w:val="Accompagnant"/>
    <w:basedOn w:val="Normal"/>
    <w:next w:val="Typeacteprincipal"/>
    <w:uiPriority w:val="99"/>
    <w:rsid w:val="0075503A"/>
    <w:pPr>
      <w:spacing w:before="180" w:after="240"/>
      <w:jc w:val="center"/>
    </w:pPr>
    <w:rPr>
      <w:b/>
    </w:rPr>
  </w:style>
  <w:style w:type="paragraph" w:customStyle="1" w:styleId="Typeacteprincipal">
    <w:name w:val="Type acte principal"/>
    <w:basedOn w:val="Normal"/>
    <w:next w:val="Objetacteprincipal"/>
    <w:uiPriority w:val="99"/>
    <w:rsid w:val="0075503A"/>
    <w:pPr>
      <w:spacing w:before="0" w:after="240"/>
      <w:jc w:val="center"/>
    </w:pPr>
    <w:rPr>
      <w:b/>
    </w:rPr>
  </w:style>
  <w:style w:type="paragraph" w:customStyle="1" w:styleId="Objetacteprincipal">
    <w:name w:val="Objet acte principal"/>
    <w:basedOn w:val="Normal"/>
    <w:next w:val="Titrearticle"/>
    <w:uiPriority w:val="99"/>
    <w:rsid w:val="0075503A"/>
    <w:pPr>
      <w:spacing w:before="0" w:after="360"/>
      <w:jc w:val="center"/>
    </w:pPr>
    <w:rPr>
      <w:b/>
    </w:rPr>
  </w:style>
  <w:style w:type="paragraph" w:customStyle="1" w:styleId="IntrtEEEPagedecouverture">
    <w:name w:val="Intérêt EEE (Page de couverture)"/>
    <w:basedOn w:val="IntrtEEE"/>
    <w:next w:val="Rfrencecroise"/>
    <w:uiPriority w:val="99"/>
    <w:rsid w:val="0075503A"/>
  </w:style>
  <w:style w:type="paragraph" w:customStyle="1" w:styleId="AccompagnantPagedecouverture">
    <w:name w:val="Accompagnant (Page de couverture)"/>
    <w:basedOn w:val="Accompagnant"/>
    <w:next w:val="TypeacteprincipalPagedecouverture"/>
    <w:uiPriority w:val="99"/>
    <w:rsid w:val="0075503A"/>
  </w:style>
  <w:style w:type="paragraph" w:customStyle="1" w:styleId="TypeacteprincipalPagedecouverture">
    <w:name w:val="Type acte principal (Page de couverture)"/>
    <w:basedOn w:val="Typeacteprincipal"/>
    <w:next w:val="ObjetacteprincipalPagedecouverture"/>
    <w:uiPriority w:val="99"/>
    <w:rsid w:val="0075503A"/>
  </w:style>
  <w:style w:type="paragraph" w:customStyle="1" w:styleId="ObjetacteprincipalPagedecouverture">
    <w:name w:val="Objet acte principal (Page de couverture)"/>
    <w:basedOn w:val="Objetacteprincipal"/>
    <w:next w:val="Rfrencecroise"/>
    <w:uiPriority w:val="99"/>
    <w:rsid w:val="0075503A"/>
  </w:style>
  <w:style w:type="paragraph" w:customStyle="1" w:styleId="LanguesfaisantfoiPagedecouverture">
    <w:name w:val="Langues faisant foi (Page de couverture)"/>
    <w:basedOn w:val="Normal"/>
    <w:next w:val="Normal"/>
    <w:uiPriority w:val="99"/>
    <w:rsid w:val="0075503A"/>
    <w:pPr>
      <w:spacing w:before="360" w:after="0"/>
      <w:jc w:val="center"/>
    </w:pPr>
  </w:style>
  <w:style w:type="paragraph" w:customStyle="1" w:styleId="Default">
    <w:name w:val="Default"/>
    <w:uiPriority w:val="99"/>
    <w:rsid w:val="008E1C80"/>
    <w:pPr>
      <w:autoSpaceDE w:val="0"/>
      <w:autoSpaceDN w:val="0"/>
      <w:adjustRightInd w:val="0"/>
    </w:pPr>
    <w:rPr>
      <w:rFonts w:ascii="Times New Roman" w:eastAsia="Times New Roman" w:hAnsi="Times New Roman"/>
      <w:color w:val="000000"/>
      <w:sz w:val="24"/>
      <w:szCs w:val="24"/>
    </w:rPr>
  </w:style>
  <w:style w:type="paragraph" w:customStyle="1" w:styleId="ANORMAL">
    <w:name w:val="A_NORMAL"/>
    <w:basedOn w:val="Normal"/>
    <w:link w:val="ANORMALChar"/>
    <w:uiPriority w:val="99"/>
    <w:rsid w:val="00F9390D"/>
    <w:pPr>
      <w:spacing w:before="0" w:line="312" w:lineRule="auto"/>
    </w:pPr>
    <w:rPr>
      <w:rFonts w:ascii="Calibri" w:hAnsi="Calibri"/>
      <w:sz w:val="22"/>
      <w:lang w:val="bg-BG" w:eastAsia="en-US"/>
    </w:rPr>
  </w:style>
  <w:style w:type="character" w:customStyle="1" w:styleId="ANORMALChar">
    <w:name w:val="A_NORMAL Char"/>
    <w:link w:val="ANORMAL"/>
    <w:uiPriority w:val="99"/>
    <w:locked/>
    <w:rsid w:val="00F9390D"/>
    <w:rPr>
      <w:rFonts w:ascii="Calibri" w:hAnsi="Calibri"/>
      <w:sz w:val="22"/>
      <w:lang w:val="bg-BG" w:eastAsia="en-US"/>
    </w:rPr>
  </w:style>
  <w:style w:type="paragraph" w:customStyle="1" w:styleId="listparagraph0">
    <w:name w:val="listparagraph"/>
    <w:basedOn w:val="Normal"/>
    <w:uiPriority w:val="99"/>
    <w:rsid w:val="00F9390D"/>
    <w:pPr>
      <w:spacing w:before="0" w:after="200" w:line="276" w:lineRule="auto"/>
      <w:ind w:left="720"/>
      <w:jc w:val="left"/>
    </w:pPr>
    <w:rPr>
      <w:rFonts w:ascii="Calibri" w:eastAsia="Times New Roman" w:hAnsi="Calibri"/>
      <w:sz w:val="22"/>
      <w:szCs w:val="22"/>
      <w:lang w:val="bg-BG" w:eastAsia="bg-BG"/>
    </w:rPr>
  </w:style>
  <w:style w:type="character" w:customStyle="1" w:styleId="st">
    <w:name w:val="st"/>
    <w:uiPriority w:val="99"/>
    <w:rsid w:val="00C96635"/>
  </w:style>
  <w:style w:type="character" w:customStyle="1" w:styleId="hps">
    <w:name w:val="hps"/>
    <w:uiPriority w:val="99"/>
    <w:rsid w:val="00623613"/>
  </w:style>
  <w:style w:type="character" w:customStyle="1" w:styleId="longtext">
    <w:name w:val="long_text"/>
    <w:uiPriority w:val="99"/>
    <w:rsid w:val="006D3D61"/>
  </w:style>
  <w:style w:type="character" w:styleId="Emphasis">
    <w:name w:val="Emphasis"/>
    <w:uiPriority w:val="99"/>
    <w:qFormat/>
    <w:rsid w:val="006D3D61"/>
    <w:rPr>
      <w:rFonts w:cs="Times New Roman"/>
      <w:i/>
    </w:rPr>
  </w:style>
  <w:style w:type="character" w:customStyle="1" w:styleId="ListParagraphChar">
    <w:name w:val="List Paragraph Char"/>
    <w:link w:val="ListParagraph"/>
    <w:uiPriority w:val="99"/>
    <w:locked/>
    <w:rsid w:val="00E9350E"/>
    <w:rPr>
      <w:rFonts w:ascii="Times New Roman" w:hAnsi="Times New Roman"/>
      <w:sz w:val="24"/>
      <w:lang w:val="en-GB" w:eastAsia="en-GB"/>
    </w:rPr>
  </w:style>
  <w:style w:type="paragraph" w:customStyle="1" w:styleId="Pa12">
    <w:name w:val="Pa12"/>
    <w:basedOn w:val="Default"/>
    <w:next w:val="Default"/>
    <w:uiPriority w:val="99"/>
    <w:rsid w:val="008F0A06"/>
    <w:pPr>
      <w:spacing w:line="161" w:lineRule="atLeast"/>
    </w:pPr>
    <w:rPr>
      <w:rFonts w:ascii="Myriad Pro Light" w:eastAsia="Calibri" w:hAnsi="Myriad Pro Light"/>
      <w:color w:val="auto"/>
      <w:lang w:eastAsia="en-US"/>
    </w:rPr>
  </w:style>
  <w:style w:type="character" w:customStyle="1" w:styleId="atn">
    <w:name w:val="atn"/>
    <w:uiPriority w:val="99"/>
    <w:rsid w:val="00EC18B6"/>
  </w:style>
  <w:style w:type="character" w:customStyle="1" w:styleId="alt-edited">
    <w:name w:val="alt-edited"/>
    <w:uiPriority w:val="99"/>
    <w:rsid w:val="000E01A5"/>
  </w:style>
  <w:style w:type="paragraph" w:customStyle="1" w:styleId="a">
    <w:name w:val="Текст"/>
    <w:basedOn w:val="Normal"/>
    <w:uiPriority w:val="99"/>
    <w:rsid w:val="00FD11F3"/>
    <w:pPr>
      <w:suppressAutoHyphens/>
      <w:spacing w:before="0"/>
      <w:ind w:firstLine="706"/>
    </w:pPr>
    <w:rPr>
      <w:rFonts w:eastAsia="Times New Roman" w:cs="Book Antiqua"/>
      <w:szCs w:val="22"/>
      <w:lang w:val="bg-BG" w:eastAsia="bg-BG"/>
    </w:rPr>
  </w:style>
  <w:style w:type="character" w:customStyle="1" w:styleId="NormalWebChar">
    <w:name w:val="Normal (Web) Char"/>
    <w:link w:val="NormalWeb"/>
    <w:uiPriority w:val="99"/>
    <w:locked/>
    <w:rsid w:val="008D6B03"/>
    <w:rPr>
      <w:rFonts w:eastAsia="Times New Roman"/>
      <w:sz w:val="24"/>
      <w:lang w:val="en-GB" w:eastAsia="ar-SA" w:bidi="ar-SA"/>
    </w:rPr>
  </w:style>
  <w:style w:type="paragraph" w:customStyle="1" w:styleId="DefaultText">
    <w:name w:val="Default Text"/>
    <w:basedOn w:val="Normal"/>
    <w:link w:val="DefaultTextChar"/>
    <w:uiPriority w:val="99"/>
    <w:rsid w:val="00E466F8"/>
    <w:pPr>
      <w:spacing w:before="0" w:after="0" w:line="280" w:lineRule="atLeast"/>
      <w:jc w:val="left"/>
    </w:pPr>
    <w:rPr>
      <w:rFonts w:ascii="Arial" w:hAnsi="Arial"/>
      <w:szCs w:val="24"/>
      <w:lang w:eastAsia="nl-NL"/>
    </w:rPr>
  </w:style>
  <w:style w:type="character" w:customStyle="1" w:styleId="DefaultTextChar">
    <w:name w:val="Default Text Char"/>
    <w:link w:val="DefaultText"/>
    <w:uiPriority w:val="99"/>
    <w:locked/>
    <w:rsid w:val="00E466F8"/>
    <w:rPr>
      <w:rFonts w:ascii="Arial" w:hAnsi="Arial"/>
      <w:sz w:val="24"/>
      <w:lang w:val="en-GB"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5189">
      <w:bodyDiv w:val="1"/>
      <w:marLeft w:val="0"/>
      <w:marRight w:val="0"/>
      <w:marTop w:val="0"/>
      <w:marBottom w:val="0"/>
      <w:divBdr>
        <w:top w:val="none" w:sz="0" w:space="0" w:color="auto"/>
        <w:left w:val="none" w:sz="0" w:space="0" w:color="auto"/>
        <w:bottom w:val="none" w:sz="0" w:space="0" w:color="auto"/>
        <w:right w:val="none" w:sz="0" w:space="0" w:color="auto"/>
      </w:divBdr>
      <w:divsChild>
        <w:div w:id="68425099">
          <w:marLeft w:val="0"/>
          <w:marRight w:val="0"/>
          <w:marTop w:val="0"/>
          <w:marBottom w:val="0"/>
          <w:divBdr>
            <w:top w:val="none" w:sz="0" w:space="0" w:color="auto"/>
            <w:left w:val="none" w:sz="0" w:space="0" w:color="auto"/>
            <w:bottom w:val="none" w:sz="0" w:space="0" w:color="auto"/>
            <w:right w:val="none" w:sz="0" w:space="0" w:color="auto"/>
          </w:divBdr>
          <w:divsChild>
            <w:div w:id="1397893637">
              <w:marLeft w:val="0"/>
              <w:marRight w:val="0"/>
              <w:marTop w:val="0"/>
              <w:marBottom w:val="0"/>
              <w:divBdr>
                <w:top w:val="none" w:sz="0" w:space="0" w:color="auto"/>
                <w:left w:val="none" w:sz="0" w:space="0" w:color="auto"/>
                <w:bottom w:val="none" w:sz="0" w:space="0" w:color="auto"/>
                <w:right w:val="none" w:sz="0" w:space="0" w:color="auto"/>
              </w:divBdr>
              <w:divsChild>
                <w:div w:id="986857569">
                  <w:marLeft w:val="0"/>
                  <w:marRight w:val="0"/>
                  <w:marTop w:val="0"/>
                  <w:marBottom w:val="0"/>
                  <w:divBdr>
                    <w:top w:val="none" w:sz="0" w:space="0" w:color="auto"/>
                    <w:left w:val="none" w:sz="0" w:space="0" w:color="auto"/>
                    <w:bottom w:val="none" w:sz="0" w:space="0" w:color="auto"/>
                    <w:right w:val="none" w:sz="0" w:space="0" w:color="auto"/>
                  </w:divBdr>
                  <w:divsChild>
                    <w:div w:id="68381335">
                      <w:marLeft w:val="0"/>
                      <w:marRight w:val="0"/>
                      <w:marTop w:val="0"/>
                      <w:marBottom w:val="0"/>
                      <w:divBdr>
                        <w:top w:val="none" w:sz="0" w:space="0" w:color="auto"/>
                        <w:left w:val="none" w:sz="0" w:space="0" w:color="auto"/>
                        <w:bottom w:val="none" w:sz="0" w:space="0" w:color="auto"/>
                        <w:right w:val="none" w:sz="0" w:space="0" w:color="auto"/>
                      </w:divBdr>
                      <w:divsChild>
                        <w:div w:id="491603402">
                          <w:marLeft w:val="0"/>
                          <w:marRight w:val="0"/>
                          <w:marTop w:val="0"/>
                          <w:marBottom w:val="0"/>
                          <w:divBdr>
                            <w:top w:val="none" w:sz="0" w:space="0" w:color="auto"/>
                            <w:left w:val="none" w:sz="0" w:space="0" w:color="auto"/>
                            <w:bottom w:val="none" w:sz="0" w:space="0" w:color="auto"/>
                            <w:right w:val="none" w:sz="0" w:space="0" w:color="auto"/>
                          </w:divBdr>
                          <w:divsChild>
                            <w:div w:id="780150244">
                              <w:marLeft w:val="0"/>
                              <w:marRight w:val="0"/>
                              <w:marTop w:val="0"/>
                              <w:marBottom w:val="0"/>
                              <w:divBdr>
                                <w:top w:val="none" w:sz="0" w:space="0" w:color="auto"/>
                                <w:left w:val="none" w:sz="0" w:space="0" w:color="auto"/>
                                <w:bottom w:val="none" w:sz="0" w:space="0" w:color="auto"/>
                                <w:right w:val="none" w:sz="0" w:space="0" w:color="auto"/>
                              </w:divBdr>
                              <w:divsChild>
                                <w:div w:id="1168473285">
                                  <w:marLeft w:val="0"/>
                                  <w:marRight w:val="0"/>
                                  <w:marTop w:val="0"/>
                                  <w:marBottom w:val="0"/>
                                  <w:divBdr>
                                    <w:top w:val="none" w:sz="0" w:space="0" w:color="auto"/>
                                    <w:left w:val="none" w:sz="0" w:space="0" w:color="auto"/>
                                    <w:bottom w:val="none" w:sz="0" w:space="0" w:color="auto"/>
                                    <w:right w:val="none" w:sz="0" w:space="0" w:color="auto"/>
                                  </w:divBdr>
                                  <w:divsChild>
                                    <w:div w:id="710764740">
                                      <w:marLeft w:val="0"/>
                                      <w:marRight w:val="0"/>
                                      <w:marTop w:val="0"/>
                                      <w:marBottom w:val="0"/>
                                      <w:divBdr>
                                        <w:top w:val="none" w:sz="0" w:space="0" w:color="auto"/>
                                        <w:left w:val="none" w:sz="0" w:space="0" w:color="auto"/>
                                        <w:bottom w:val="none" w:sz="0" w:space="0" w:color="auto"/>
                                        <w:right w:val="none" w:sz="0" w:space="0" w:color="auto"/>
                                      </w:divBdr>
                                      <w:divsChild>
                                        <w:div w:id="1130435530">
                                          <w:marLeft w:val="0"/>
                                          <w:marRight w:val="0"/>
                                          <w:marTop w:val="0"/>
                                          <w:marBottom w:val="0"/>
                                          <w:divBdr>
                                            <w:top w:val="none" w:sz="0" w:space="0" w:color="auto"/>
                                            <w:left w:val="none" w:sz="0" w:space="0" w:color="auto"/>
                                            <w:bottom w:val="none" w:sz="0" w:space="0" w:color="auto"/>
                                            <w:right w:val="none" w:sz="0" w:space="0" w:color="auto"/>
                                          </w:divBdr>
                                          <w:divsChild>
                                            <w:div w:id="155613404">
                                              <w:marLeft w:val="0"/>
                                              <w:marRight w:val="0"/>
                                              <w:marTop w:val="0"/>
                                              <w:marBottom w:val="0"/>
                                              <w:divBdr>
                                                <w:top w:val="none" w:sz="0" w:space="0" w:color="auto"/>
                                                <w:left w:val="none" w:sz="0" w:space="0" w:color="auto"/>
                                                <w:bottom w:val="none" w:sz="0" w:space="0" w:color="auto"/>
                                                <w:right w:val="none" w:sz="0" w:space="0" w:color="auto"/>
                                              </w:divBdr>
                                              <w:divsChild>
                                                <w:div w:id="3304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655301">
      <w:bodyDiv w:val="1"/>
      <w:marLeft w:val="0"/>
      <w:marRight w:val="0"/>
      <w:marTop w:val="0"/>
      <w:marBottom w:val="0"/>
      <w:divBdr>
        <w:top w:val="none" w:sz="0" w:space="0" w:color="auto"/>
        <w:left w:val="none" w:sz="0" w:space="0" w:color="auto"/>
        <w:bottom w:val="none" w:sz="0" w:space="0" w:color="auto"/>
        <w:right w:val="none" w:sz="0" w:space="0" w:color="auto"/>
      </w:divBdr>
    </w:div>
    <w:div w:id="118455619">
      <w:bodyDiv w:val="1"/>
      <w:marLeft w:val="0"/>
      <w:marRight w:val="0"/>
      <w:marTop w:val="0"/>
      <w:marBottom w:val="0"/>
      <w:divBdr>
        <w:top w:val="none" w:sz="0" w:space="0" w:color="auto"/>
        <w:left w:val="none" w:sz="0" w:space="0" w:color="auto"/>
        <w:bottom w:val="none" w:sz="0" w:space="0" w:color="auto"/>
        <w:right w:val="none" w:sz="0" w:space="0" w:color="auto"/>
      </w:divBdr>
      <w:divsChild>
        <w:div w:id="239877378">
          <w:marLeft w:val="0"/>
          <w:marRight w:val="0"/>
          <w:marTop w:val="0"/>
          <w:marBottom w:val="0"/>
          <w:divBdr>
            <w:top w:val="none" w:sz="0" w:space="0" w:color="auto"/>
            <w:left w:val="none" w:sz="0" w:space="0" w:color="auto"/>
            <w:bottom w:val="none" w:sz="0" w:space="0" w:color="auto"/>
            <w:right w:val="none" w:sz="0" w:space="0" w:color="auto"/>
          </w:divBdr>
          <w:divsChild>
            <w:div w:id="50544097">
              <w:marLeft w:val="0"/>
              <w:marRight w:val="0"/>
              <w:marTop w:val="0"/>
              <w:marBottom w:val="0"/>
              <w:divBdr>
                <w:top w:val="none" w:sz="0" w:space="0" w:color="auto"/>
                <w:left w:val="none" w:sz="0" w:space="0" w:color="auto"/>
                <w:bottom w:val="none" w:sz="0" w:space="0" w:color="auto"/>
                <w:right w:val="none" w:sz="0" w:space="0" w:color="auto"/>
              </w:divBdr>
              <w:divsChild>
                <w:div w:id="66924818">
                  <w:marLeft w:val="0"/>
                  <w:marRight w:val="0"/>
                  <w:marTop w:val="0"/>
                  <w:marBottom w:val="0"/>
                  <w:divBdr>
                    <w:top w:val="none" w:sz="0" w:space="0" w:color="auto"/>
                    <w:left w:val="none" w:sz="0" w:space="0" w:color="auto"/>
                    <w:bottom w:val="none" w:sz="0" w:space="0" w:color="auto"/>
                    <w:right w:val="none" w:sz="0" w:space="0" w:color="auto"/>
                  </w:divBdr>
                  <w:divsChild>
                    <w:div w:id="1335035391">
                      <w:marLeft w:val="0"/>
                      <w:marRight w:val="0"/>
                      <w:marTop w:val="0"/>
                      <w:marBottom w:val="0"/>
                      <w:divBdr>
                        <w:top w:val="none" w:sz="0" w:space="0" w:color="auto"/>
                        <w:left w:val="none" w:sz="0" w:space="0" w:color="auto"/>
                        <w:bottom w:val="none" w:sz="0" w:space="0" w:color="auto"/>
                        <w:right w:val="none" w:sz="0" w:space="0" w:color="auto"/>
                      </w:divBdr>
                      <w:divsChild>
                        <w:div w:id="621377907">
                          <w:marLeft w:val="0"/>
                          <w:marRight w:val="0"/>
                          <w:marTop w:val="0"/>
                          <w:marBottom w:val="0"/>
                          <w:divBdr>
                            <w:top w:val="none" w:sz="0" w:space="0" w:color="auto"/>
                            <w:left w:val="none" w:sz="0" w:space="0" w:color="auto"/>
                            <w:bottom w:val="none" w:sz="0" w:space="0" w:color="auto"/>
                            <w:right w:val="none" w:sz="0" w:space="0" w:color="auto"/>
                          </w:divBdr>
                          <w:divsChild>
                            <w:div w:id="1215432912">
                              <w:marLeft w:val="0"/>
                              <w:marRight w:val="0"/>
                              <w:marTop w:val="0"/>
                              <w:marBottom w:val="0"/>
                              <w:divBdr>
                                <w:top w:val="none" w:sz="0" w:space="0" w:color="auto"/>
                                <w:left w:val="none" w:sz="0" w:space="0" w:color="auto"/>
                                <w:bottom w:val="none" w:sz="0" w:space="0" w:color="auto"/>
                                <w:right w:val="none" w:sz="0" w:space="0" w:color="auto"/>
                              </w:divBdr>
                              <w:divsChild>
                                <w:div w:id="1449471661">
                                  <w:marLeft w:val="0"/>
                                  <w:marRight w:val="0"/>
                                  <w:marTop w:val="0"/>
                                  <w:marBottom w:val="0"/>
                                  <w:divBdr>
                                    <w:top w:val="none" w:sz="0" w:space="0" w:color="auto"/>
                                    <w:left w:val="none" w:sz="0" w:space="0" w:color="auto"/>
                                    <w:bottom w:val="none" w:sz="0" w:space="0" w:color="auto"/>
                                    <w:right w:val="none" w:sz="0" w:space="0" w:color="auto"/>
                                  </w:divBdr>
                                  <w:divsChild>
                                    <w:div w:id="41901688">
                                      <w:marLeft w:val="0"/>
                                      <w:marRight w:val="0"/>
                                      <w:marTop w:val="0"/>
                                      <w:marBottom w:val="0"/>
                                      <w:divBdr>
                                        <w:top w:val="none" w:sz="0" w:space="0" w:color="auto"/>
                                        <w:left w:val="none" w:sz="0" w:space="0" w:color="auto"/>
                                        <w:bottom w:val="none" w:sz="0" w:space="0" w:color="auto"/>
                                        <w:right w:val="none" w:sz="0" w:space="0" w:color="auto"/>
                                      </w:divBdr>
                                      <w:divsChild>
                                        <w:div w:id="920220713">
                                          <w:marLeft w:val="0"/>
                                          <w:marRight w:val="0"/>
                                          <w:marTop w:val="0"/>
                                          <w:marBottom w:val="0"/>
                                          <w:divBdr>
                                            <w:top w:val="none" w:sz="0" w:space="0" w:color="auto"/>
                                            <w:left w:val="none" w:sz="0" w:space="0" w:color="auto"/>
                                            <w:bottom w:val="none" w:sz="0" w:space="0" w:color="auto"/>
                                            <w:right w:val="none" w:sz="0" w:space="0" w:color="auto"/>
                                          </w:divBdr>
                                          <w:divsChild>
                                            <w:div w:id="1202933770">
                                              <w:marLeft w:val="0"/>
                                              <w:marRight w:val="0"/>
                                              <w:marTop w:val="0"/>
                                              <w:marBottom w:val="0"/>
                                              <w:divBdr>
                                                <w:top w:val="none" w:sz="0" w:space="0" w:color="auto"/>
                                                <w:left w:val="none" w:sz="0" w:space="0" w:color="auto"/>
                                                <w:bottom w:val="none" w:sz="0" w:space="0" w:color="auto"/>
                                                <w:right w:val="none" w:sz="0" w:space="0" w:color="auto"/>
                                              </w:divBdr>
                                              <w:divsChild>
                                                <w:div w:id="4883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8008180">
      <w:bodyDiv w:val="1"/>
      <w:marLeft w:val="0"/>
      <w:marRight w:val="0"/>
      <w:marTop w:val="0"/>
      <w:marBottom w:val="0"/>
      <w:divBdr>
        <w:top w:val="none" w:sz="0" w:space="0" w:color="auto"/>
        <w:left w:val="none" w:sz="0" w:space="0" w:color="auto"/>
        <w:bottom w:val="none" w:sz="0" w:space="0" w:color="auto"/>
        <w:right w:val="none" w:sz="0" w:space="0" w:color="auto"/>
      </w:divBdr>
      <w:divsChild>
        <w:div w:id="103505370">
          <w:marLeft w:val="0"/>
          <w:marRight w:val="0"/>
          <w:marTop w:val="0"/>
          <w:marBottom w:val="0"/>
          <w:divBdr>
            <w:top w:val="none" w:sz="0" w:space="0" w:color="auto"/>
            <w:left w:val="none" w:sz="0" w:space="0" w:color="auto"/>
            <w:bottom w:val="none" w:sz="0" w:space="0" w:color="auto"/>
            <w:right w:val="none" w:sz="0" w:space="0" w:color="auto"/>
          </w:divBdr>
          <w:divsChild>
            <w:div w:id="1927686063">
              <w:marLeft w:val="0"/>
              <w:marRight w:val="0"/>
              <w:marTop w:val="0"/>
              <w:marBottom w:val="0"/>
              <w:divBdr>
                <w:top w:val="none" w:sz="0" w:space="0" w:color="auto"/>
                <w:left w:val="none" w:sz="0" w:space="0" w:color="auto"/>
                <w:bottom w:val="none" w:sz="0" w:space="0" w:color="auto"/>
                <w:right w:val="none" w:sz="0" w:space="0" w:color="auto"/>
              </w:divBdr>
              <w:divsChild>
                <w:div w:id="680668536">
                  <w:marLeft w:val="0"/>
                  <w:marRight w:val="0"/>
                  <w:marTop w:val="0"/>
                  <w:marBottom w:val="0"/>
                  <w:divBdr>
                    <w:top w:val="none" w:sz="0" w:space="0" w:color="auto"/>
                    <w:left w:val="none" w:sz="0" w:space="0" w:color="auto"/>
                    <w:bottom w:val="none" w:sz="0" w:space="0" w:color="auto"/>
                    <w:right w:val="none" w:sz="0" w:space="0" w:color="auto"/>
                  </w:divBdr>
                  <w:divsChild>
                    <w:div w:id="1877040542">
                      <w:marLeft w:val="0"/>
                      <w:marRight w:val="0"/>
                      <w:marTop w:val="0"/>
                      <w:marBottom w:val="0"/>
                      <w:divBdr>
                        <w:top w:val="none" w:sz="0" w:space="0" w:color="auto"/>
                        <w:left w:val="none" w:sz="0" w:space="0" w:color="auto"/>
                        <w:bottom w:val="none" w:sz="0" w:space="0" w:color="auto"/>
                        <w:right w:val="none" w:sz="0" w:space="0" w:color="auto"/>
                      </w:divBdr>
                      <w:divsChild>
                        <w:div w:id="2105999439">
                          <w:marLeft w:val="0"/>
                          <w:marRight w:val="0"/>
                          <w:marTop w:val="0"/>
                          <w:marBottom w:val="0"/>
                          <w:divBdr>
                            <w:top w:val="none" w:sz="0" w:space="0" w:color="auto"/>
                            <w:left w:val="none" w:sz="0" w:space="0" w:color="auto"/>
                            <w:bottom w:val="none" w:sz="0" w:space="0" w:color="auto"/>
                            <w:right w:val="none" w:sz="0" w:space="0" w:color="auto"/>
                          </w:divBdr>
                          <w:divsChild>
                            <w:div w:id="544027922">
                              <w:marLeft w:val="0"/>
                              <w:marRight w:val="0"/>
                              <w:marTop w:val="0"/>
                              <w:marBottom w:val="0"/>
                              <w:divBdr>
                                <w:top w:val="none" w:sz="0" w:space="0" w:color="auto"/>
                                <w:left w:val="none" w:sz="0" w:space="0" w:color="auto"/>
                                <w:bottom w:val="none" w:sz="0" w:space="0" w:color="auto"/>
                                <w:right w:val="none" w:sz="0" w:space="0" w:color="auto"/>
                              </w:divBdr>
                              <w:divsChild>
                                <w:div w:id="945232995">
                                  <w:marLeft w:val="0"/>
                                  <w:marRight w:val="0"/>
                                  <w:marTop w:val="0"/>
                                  <w:marBottom w:val="0"/>
                                  <w:divBdr>
                                    <w:top w:val="none" w:sz="0" w:space="0" w:color="auto"/>
                                    <w:left w:val="none" w:sz="0" w:space="0" w:color="auto"/>
                                    <w:bottom w:val="none" w:sz="0" w:space="0" w:color="auto"/>
                                    <w:right w:val="none" w:sz="0" w:space="0" w:color="auto"/>
                                  </w:divBdr>
                                  <w:divsChild>
                                    <w:div w:id="1682852253">
                                      <w:marLeft w:val="0"/>
                                      <w:marRight w:val="0"/>
                                      <w:marTop w:val="0"/>
                                      <w:marBottom w:val="0"/>
                                      <w:divBdr>
                                        <w:top w:val="none" w:sz="0" w:space="0" w:color="auto"/>
                                        <w:left w:val="none" w:sz="0" w:space="0" w:color="auto"/>
                                        <w:bottom w:val="none" w:sz="0" w:space="0" w:color="auto"/>
                                        <w:right w:val="none" w:sz="0" w:space="0" w:color="auto"/>
                                      </w:divBdr>
                                      <w:divsChild>
                                        <w:div w:id="1384523177">
                                          <w:marLeft w:val="0"/>
                                          <w:marRight w:val="0"/>
                                          <w:marTop w:val="0"/>
                                          <w:marBottom w:val="0"/>
                                          <w:divBdr>
                                            <w:top w:val="none" w:sz="0" w:space="0" w:color="auto"/>
                                            <w:left w:val="none" w:sz="0" w:space="0" w:color="auto"/>
                                            <w:bottom w:val="none" w:sz="0" w:space="0" w:color="auto"/>
                                            <w:right w:val="none" w:sz="0" w:space="0" w:color="auto"/>
                                          </w:divBdr>
                                          <w:divsChild>
                                            <w:div w:id="732657277">
                                              <w:marLeft w:val="0"/>
                                              <w:marRight w:val="0"/>
                                              <w:marTop w:val="0"/>
                                              <w:marBottom w:val="0"/>
                                              <w:divBdr>
                                                <w:top w:val="none" w:sz="0" w:space="0" w:color="auto"/>
                                                <w:left w:val="none" w:sz="0" w:space="0" w:color="auto"/>
                                                <w:bottom w:val="none" w:sz="0" w:space="0" w:color="auto"/>
                                                <w:right w:val="none" w:sz="0" w:space="0" w:color="auto"/>
                                              </w:divBdr>
                                              <w:divsChild>
                                                <w:div w:id="197814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7319763">
      <w:bodyDiv w:val="1"/>
      <w:marLeft w:val="0"/>
      <w:marRight w:val="0"/>
      <w:marTop w:val="0"/>
      <w:marBottom w:val="0"/>
      <w:divBdr>
        <w:top w:val="none" w:sz="0" w:space="0" w:color="auto"/>
        <w:left w:val="none" w:sz="0" w:space="0" w:color="auto"/>
        <w:bottom w:val="none" w:sz="0" w:space="0" w:color="auto"/>
        <w:right w:val="none" w:sz="0" w:space="0" w:color="auto"/>
      </w:divBdr>
    </w:div>
    <w:div w:id="316803406">
      <w:bodyDiv w:val="1"/>
      <w:marLeft w:val="0"/>
      <w:marRight w:val="0"/>
      <w:marTop w:val="0"/>
      <w:marBottom w:val="0"/>
      <w:divBdr>
        <w:top w:val="none" w:sz="0" w:space="0" w:color="auto"/>
        <w:left w:val="none" w:sz="0" w:space="0" w:color="auto"/>
        <w:bottom w:val="none" w:sz="0" w:space="0" w:color="auto"/>
        <w:right w:val="none" w:sz="0" w:space="0" w:color="auto"/>
      </w:divBdr>
    </w:div>
    <w:div w:id="344792323">
      <w:bodyDiv w:val="1"/>
      <w:marLeft w:val="0"/>
      <w:marRight w:val="0"/>
      <w:marTop w:val="0"/>
      <w:marBottom w:val="0"/>
      <w:divBdr>
        <w:top w:val="none" w:sz="0" w:space="0" w:color="auto"/>
        <w:left w:val="none" w:sz="0" w:space="0" w:color="auto"/>
        <w:bottom w:val="none" w:sz="0" w:space="0" w:color="auto"/>
        <w:right w:val="none" w:sz="0" w:space="0" w:color="auto"/>
      </w:divBdr>
      <w:divsChild>
        <w:div w:id="1072460498">
          <w:marLeft w:val="0"/>
          <w:marRight w:val="0"/>
          <w:marTop w:val="0"/>
          <w:marBottom w:val="0"/>
          <w:divBdr>
            <w:top w:val="none" w:sz="0" w:space="0" w:color="auto"/>
            <w:left w:val="none" w:sz="0" w:space="0" w:color="auto"/>
            <w:bottom w:val="none" w:sz="0" w:space="0" w:color="auto"/>
            <w:right w:val="none" w:sz="0" w:space="0" w:color="auto"/>
          </w:divBdr>
          <w:divsChild>
            <w:div w:id="514615662">
              <w:marLeft w:val="0"/>
              <w:marRight w:val="0"/>
              <w:marTop w:val="0"/>
              <w:marBottom w:val="0"/>
              <w:divBdr>
                <w:top w:val="none" w:sz="0" w:space="0" w:color="auto"/>
                <w:left w:val="none" w:sz="0" w:space="0" w:color="auto"/>
                <w:bottom w:val="none" w:sz="0" w:space="0" w:color="auto"/>
                <w:right w:val="none" w:sz="0" w:space="0" w:color="auto"/>
              </w:divBdr>
              <w:divsChild>
                <w:div w:id="1230656008">
                  <w:marLeft w:val="0"/>
                  <w:marRight w:val="0"/>
                  <w:marTop w:val="0"/>
                  <w:marBottom w:val="0"/>
                  <w:divBdr>
                    <w:top w:val="none" w:sz="0" w:space="0" w:color="auto"/>
                    <w:left w:val="none" w:sz="0" w:space="0" w:color="auto"/>
                    <w:bottom w:val="none" w:sz="0" w:space="0" w:color="auto"/>
                    <w:right w:val="none" w:sz="0" w:space="0" w:color="auto"/>
                  </w:divBdr>
                  <w:divsChild>
                    <w:div w:id="791096608">
                      <w:marLeft w:val="0"/>
                      <w:marRight w:val="0"/>
                      <w:marTop w:val="0"/>
                      <w:marBottom w:val="0"/>
                      <w:divBdr>
                        <w:top w:val="none" w:sz="0" w:space="0" w:color="auto"/>
                        <w:left w:val="none" w:sz="0" w:space="0" w:color="auto"/>
                        <w:bottom w:val="none" w:sz="0" w:space="0" w:color="auto"/>
                        <w:right w:val="none" w:sz="0" w:space="0" w:color="auto"/>
                      </w:divBdr>
                      <w:divsChild>
                        <w:div w:id="2130972377">
                          <w:marLeft w:val="0"/>
                          <w:marRight w:val="0"/>
                          <w:marTop w:val="0"/>
                          <w:marBottom w:val="0"/>
                          <w:divBdr>
                            <w:top w:val="none" w:sz="0" w:space="0" w:color="auto"/>
                            <w:left w:val="none" w:sz="0" w:space="0" w:color="auto"/>
                            <w:bottom w:val="none" w:sz="0" w:space="0" w:color="auto"/>
                            <w:right w:val="none" w:sz="0" w:space="0" w:color="auto"/>
                          </w:divBdr>
                          <w:divsChild>
                            <w:div w:id="993876014">
                              <w:marLeft w:val="0"/>
                              <w:marRight w:val="0"/>
                              <w:marTop w:val="0"/>
                              <w:marBottom w:val="0"/>
                              <w:divBdr>
                                <w:top w:val="none" w:sz="0" w:space="0" w:color="auto"/>
                                <w:left w:val="none" w:sz="0" w:space="0" w:color="auto"/>
                                <w:bottom w:val="none" w:sz="0" w:space="0" w:color="auto"/>
                                <w:right w:val="none" w:sz="0" w:space="0" w:color="auto"/>
                              </w:divBdr>
                              <w:divsChild>
                                <w:div w:id="280654033">
                                  <w:marLeft w:val="0"/>
                                  <w:marRight w:val="0"/>
                                  <w:marTop w:val="0"/>
                                  <w:marBottom w:val="0"/>
                                  <w:divBdr>
                                    <w:top w:val="none" w:sz="0" w:space="0" w:color="auto"/>
                                    <w:left w:val="none" w:sz="0" w:space="0" w:color="auto"/>
                                    <w:bottom w:val="none" w:sz="0" w:space="0" w:color="auto"/>
                                    <w:right w:val="none" w:sz="0" w:space="0" w:color="auto"/>
                                  </w:divBdr>
                                  <w:divsChild>
                                    <w:div w:id="426317129">
                                      <w:marLeft w:val="0"/>
                                      <w:marRight w:val="0"/>
                                      <w:marTop w:val="0"/>
                                      <w:marBottom w:val="0"/>
                                      <w:divBdr>
                                        <w:top w:val="none" w:sz="0" w:space="0" w:color="auto"/>
                                        <w:left w:val="none" w:sz="0" w:space="0" w:color="auto"/>
                                        <w:bottom w:val="none" w:sz="0" w:space="0" w:color="auto"/>
                                        <w:right w:val="none" w:sz="0" w:space="0" w:color="auto"/>
                                      </w:divBdr>
                                      <w:divsChild>
                                        <w:div w:id="1152604440">
                                          <w:marLeft w:val="0"/>
                                          <w:marRight w:val="0"/>
                                          <w:marTop w:val="0"/>
                                          <w:marBottom w:val="0"/>
                                          <w:divBdr>
                                            <w:top w:val="none" w:sz="0" w:space="0" w:color="auto"/>
                                            <w:left w:val="none" w:sz="0" w:space="0" w:color="auto"/>
                                            <w:bottom w:val="none" w:sz="0" w:space="0" w:color="auto"/>
                                            <w:right w:val="none" w:sz="0" w:space="0" w:color="auto"/>
                                          </w:divBdr>
                                          <w:divsChild>
                                            <w:div w:id="2006471327">
                                              <w:marLeft w:val="0"/>
                                              <w:marRight w:val="0"/>
                                              <w:marTop w:val="0"/>
                                              <w:marBottom w:val="0"/>
                                              <w:divBdr>
                                                <w:top w:val="none" w:sz="0" w:space="0" w:color="auto"/>
                                                <w:left w:val="none" w:sz="0" w:space="0" w:color="auto"/>
                                                <w:bottom w:val="none" w:sz="0" w:space="0" w:color="auto"/>
                                                <w:right w:val="none" w:sz="0" w:space="0" w:color="auto"/>
                                              </w:divBdr>
                                              <w:divsChild>
                                                <w:div w:id="14262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36172604">
      <w:bodyDiv w:val="1"/>
      <w:marLeft w:val="0"/>
      <w:marRight w:val="0"/>
      <w:marTop w:val="0"/>
      <w:marBottom w:val="0"/>
      <w:divBdr>
        <w:top w:val="none" w:sz="0" w:space="0" w:color="auto"/>
        <w:left w:val="none" w:sz="0" w:space="0" w:color="auto"/>
        <w:bottom w:val="none" w:sz="0" w:space="0" w:color="auto"/>
        <w:right w:val="none" w:sz="0" w:space="0" w:color="auto"/>
      </w:divBdr>
      <w:divsChild>
        <w:div w:id="485783447">
          <w:marLeft w:val="0"/>
          <w:marRight w:val="0"/>
          <w:marTop w:val="0"/>
          <w:marBottom w:val="0"/>
          <w:divBdr>
            <w:top w:val="none" w:sz="0" w:space="0" w:color="auto"/>
            <w:left w:val="none" w:sz="0" w:space="0" w:color="auto"/>
            <w:bottom w:val="none" w:sz="0" w:space="0" w:color="auto"/>
            <w:right w:val="none" w:sz="0" w:space="0" w:color="auto"/>
          </w:divBdr>
          <w:divsChild>
            <w:div w:id="6563300">
              <w:marLeft w:val="0"/>
              <w:marRight w:val="0"/>
              <w:marTop w:val="0"/>
              <w:marBottom w:val="0"/>
              <w:divBdr>
                <w:top w:val="none" w:sz="0" w:space="0" w:color="auto"/>
                <w:left w:val="none" w:sz="0" w:space="0" w:color="auto"/>
                <w:bottom w:val="none" w:sz="0" w:space="0" w:color="auto"/>
                <w:right w:val="none" w:sz="0" w:space="0" w:color="auto"/>
              </w:divBdr>
              <w:divsChild>
                <w:div w:id="1894733229">
                  <w:marLeft w:val="0"/>
                  <w:marRight w:val="0"/>
                  <w:marTop w:val="0"/>
                  <w:marBottom w:val="0"/>
                  <w:divBdr>
                    <w:top w:val="none" w:sz="0" w:space="0" w:color="auto"/>
                    <w:left w:val="none" w:sz="0" w:space="0" w:color="auto"/>
                    <w:bottom w:val="none" w:sz="0" w:space="0" w:color="auto"/>
                    <w:right w:val="none" w:sz="0" w:space="0" w:color="auto"/>
                  </w:divBdr>
                  <w:divsChild>
                    <w:div w:id="1197934619">
                      <w:marLeft w:val="0"/>
                      <w:marRight w:val="0"/>
                      <w:marTop w:val="0"/>
                      <w:marBottom w:val="0"/>
                      <w:divBdr>
                        <w:top w:val="none" w:sz="0" w:space="0" w:color="auto"/>
                        <w:left w:val="none" w:sz="0" w:space="0" w:color="auto"/>
                        <w:bottom w:val="none" w:sz="0" w:space="0" w:color="auto"/>
                        <w:right w:val="none" w:sz="0" w:space="0" w:color="auto"/>
                      </w:divBdr>
                      <w:divsChild>
                        <w:div w:id="1772554529">
                          <w:marLeft w:val="0"/>
                          <w:marRight w:val="0"/>
                          <w:marTop w:val="0"/>
                          <w:marBottom w:val="0"/>
                          <w:divBdr>
                            <w:top w:val="none" w:sz="0" w:space="0" w:color="auto"/>
                            <w:left w:val="none" w:sz="0" w:space="0" w:color="auto"/>
                            <w:bottom w:val="none" w:sz="0" w:space="0" w:color="auto"/>
                            <w:right w:val="none" w:sz="0" w:space="0" w:color="auto"/>
                          </w:divBdr>
                          <w:divsChild>
                            <w:div w:id="927159411">
                              <w:marLeft w:val="0"/>
                              <w:marRight w:val="0"/>
                              <w:marTop w:val="0"/>
                              <w:marBottom w:val="0"/>
                              <w:divBdr>
                                <w:top w:val="none" w:sz="0" w:space="0" w:color="auto"/>
                                <w:left w:val="none" w:sz="0" w:space="0" w:color="auto"/>
                                <w:bottom w:val="none" w:sz="0" w:space="0" w:color="auto"/>
                                <w:right w:val="none" w:sz="0" w:space="0" w:color="auto"/>
                              </w:divBdr>
                              <w:divsChild>
                                <w:div w:id="2027559122">
                                  <w:marLeft w:val="0"/>
                                  <w:marRight w:val="0"/>
                                  <w:marTop w:val="0"/>
                                  <w:marBottom w:val="0"/>
                                  <w:divBdr>
                                    <w:top w:val="none" w:sz="0" w:space="0" w:color="auto"/>
                                    <w:left w:val="none" w:sz="0" w:space="0" w:color="auto"/>
                                    <w:bottom w:val="none" w:sz="0" w:space="0" w:color="auto"/>
                                    <w:right w:val="none" w:sz="0" w:space="0" w:color="auto"/>
                                  </w:divBdr>
                                  <w:divsChild>
                                    <w:div w:id="6753154">
                                      <w:marLeft w:val="0"/>
                                      <w:marRight w:val="0"/>
                                      <w:marTop w:val="0"/>
                                      <w:marBottom w:val="0"/>
                                      <w:divBdr>
                                        <w:top w:val="none" w:sz="0" w:space="0" w:color="auto"/>
                                        <w:left w:val="none" w:sz="0" w:space="0" w:color="auto"/>
                                        <w:bottom w:val="none" w:sz="0" w:space="0" w:color="auto"/>
                                        <w:right w:val="none" w:sz="0" w:space="0" w:color="auto"/>
                                      </w:divBdr>
                                      <w:divsChild>
                                        <w:div w:id="1584803977">
                                          <w:marLeft w:val="0"/>
                                          <w:marRight w:val="0"/>
                                          <w:marTop w:val="0"/>
                                          <w:marBottom w:val="0"/>
                                          <w:divBdr>
                                            <w:top w:val="none" w:sz="0" w:space="0" w:color="auto"/>
                                            <w:left w:val="none" w:sz="0" w:space="0" w:color="auto"/>
                                            <w:bottom w:val="none" w:sz="0" w:space="0" w:color="auto"/>
                                            <w:right w:val="none" w:sz="0" w:space="0" w:color="auto"/>
                                          </w:divBdr>
                                          <w:divsChild>
                                            <w:div w:id="1719234420">
                                              <w:marLeft w:val="0"/>
                                              <w:marRight w:val="0"/>
                                              <w:marTop w:val="0"/>
                                              <w:marBottom w:val="0"/>
                                              <w:divBdr>
                                                <w:top w:val="none" w:sz="0" w:space="0" w:color="auto"/>
                                                <w:left w:val="none" w:sz="0" w:space="0" w:color="auto"/>
                                                <w:bottom w:val="none" w:sz="0" w:space="0" w:color="auto"/>
                                                <w:right w:val="none" w:sz="0" w:space="0" w:color="auto"/>
                                              </w:divBdr>
                                              <w:divsChild>
                                                <w:div w:id="88860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62060391">
      <w:bodyDiv w:val="1"/>
      <w:marLeft w:val="0"/>
      <w:marRight w:val="0"/>
      <w:marTop w:val="0"/>
      <w:marBottom w:val="0"/>
      <w:divBdr>
        <w:top w:val="none" w:sz="0" w:space="0" w:color="auto"/>
        <w:left w:val="none" w:sz="0" w:space="0" w:color="auto"/>
        <w:bottom w:val="none" w:sz="0" w:space="0" w:color="auto"/>
        <w:right w:val="none" w:sz="0" w:space="0" w:color="auto"/>
      </w:divBdr>
    </w:div>
    <w:div w:id="596136691">
      <w:bodyDiv w:val="1"/>
      <w:marLeft w:val="0"/>
      <w:marRight w:val="0"/>
      <w:marTop w:val="0"/>
      <w:marBottom w:val="0"/>
      <w:divBdr>
        <w:top w:val="none" w:sz="0" w:space="0" w:color="auto"/>
        <w:left w:val="none" w:sz="0" w:space="0" w:color="auto"/>
        <w:bottom w:val="none" w:sz="0" w:space="0" w:color="auto"/>
        <w:right w:val="none" w:sz="0" w:space="0" w:color="auto"/>
      </w:divBdr>
    </w:div>
    <w:div w:id="634681129">
      <w:marLeft w:val="0"/>
      <w:marRight w:val="0"/>
      <w:marTop w:val="0"/>
      <w:marBottom w:val="0"/>
      <w:divBdr>
        <w:top w:val="none" w:sz="0" w:space="0" w:color="auto"/>
        <w:left w:val="none" w:sz="0" w:space="0" w:color="auto"/>
        <w:bottom w:val="none" w:sz="0" w:space="0" w:color="auto"/>
        <w:right w:val="none" w:sz="0" w:space="0" w:color="auto"/>
      </w:divBdr>
      <w:divsChild>
        <w:div w:id="634681257">
          <w:marLeft w:val="0"/>
          <w:marRight w:val="0"/>
          <w:marTop w:val="0"/>
          <w:marBottom w:val="0"/>
          <w:divBdr>
            <w:top w:val="none" w:sz="0" w:space="0" w:color="auto"/>
            <w:left w:val="none" w:sz="0" w:space="0" w:color="auto"/>
            <w:bottom w:val="none" w:sz="0" w:space="0" w:color="auto"/>
            <w:right w:val="none" w:sz="0" w:space="0" w:color="auto"/>
          </w:divBdr>
          <w:divsChild>
            <w:div w:id="63468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81130">
      <w:marLeft w:val="0"/>
      <w:marRight w:val="0"/>
      <w:marTop w:val="0"/>
      <w:marBottom w:val="0"/>
      <w:divBdr>
        <w:top w:val="none" w:sz="0" w:space="0" w:color="auto"/>
        <w:left w:val="none" w:sz="0" w:space="0" w:color="auto"/>
        <w:bottom w:val="none" w:sz="0" w:space="0" w:color="auto"/>
        <w:right w:val="none" w:sz="0" w:space="0" w:color="auto"/>
      </w:divBdr>
      <w:divsChild>
        <w:div w:id="634681189">
          <w:marLeft w:val="0"/>
          <w:marRight w:val="0"/>
          <w:marTop w:val="0"/>
          <w:marBottom w:val="0"/>
          <w:divBdr>
            <w:top w:val="none" w:sz="0" w:space="0" w:color="auto"/>
            <w:left w:val="none" w:sz="0" w:space="0" w:color="auto"/>
            <w:bottom w:val="none" w:sz="0" w:space="0" w:color="auto"/>
            <w:right w:val="none" w:sz="0" w:space="0" w:color="auto"/>
          </w:divBdr>
          <w:divsChild>
            <w:div w:id="634681229">
              <w:marLeft w:val="0"/>
              <w:marRight w:val="0"/>
              <w:marTop w:val="0"/>
              <w:marBottom w:val="0"/>
              <w:divBdr>
                <w:top w:val="none" w:sz="0" w:space="0" w:color="auto"/>
                <w:left w:val="none" w:sz="0" w:space="0" w:color="auto"/>
                <w:bottom w:val="none" w:sz="0" w:space="0" w:color="auto"/>
                <w:right w:val="none" w:sz="0" w:space="0" w:color="auto"/>
              </w:divBdr>
              <w:divsChild>
                <w:div w:id="634681137">
                  <w:marLeft w:val="0"/>
                  <w:marRight w:val="0"/>
                  <w:marTop w:val="0"/>
                  <w:marBottom w:val="0"/>
                  <w:divBdr>
                    <w:top w:val="none" w:sz="0" w:space="0" w:color="auto"/>
                    <w:left w:val="none" w:sz="0" w:space="0" w:color="auto"/>
                    <w:bottom w:val="none" w:sz="0" w:space="0" w:color="auto"/>
                    <w:right w:val="none" w:sz="0" w:space="0" w:color="auto"/>
                  </w:divBdr>
                  <w:divsChild>
                    <w:div w:id="634681173">
                      <w:marLeft w:val="0"/>
                      <w:marRight w:val="0"/>
                      <w:marTop w:val="0"/>
                      <w:marBottom w:val="0"/>
                      <w:divBdr>
                        <w:top w:val="none" w:sz="0" w:space="0" w:color="auto"/>
                        <w:left w:val="none" w:sz="0" w:space="0" w:color="auto"/>
                        <w:bottom w:val="none" w:sz="0" w:space="0" w:color="auto"/>
                        <w:right w:val="none" w:sz="0" w:space="0" w:color="auto"/>
                      </w:divBdr>
                      <w:divsChild>
                        <w:div w:id="634681158">
                          <w:marLeft w:val="0"/>
                          <w:marRight w:val="0"/>
                          <w:marTop w:val="0"/>
                          <w:marBottom w:val="0"/>
                          <w:divBdr>
                            <w:top w:val="none" w:sz="0" w:space="0" w:color="auto"/>
                            <w:left w:val="none" w:sz="0" w:space="0" w:color="auto"/>
                            <w:bottom w:val="none" w:sz="0" w:space="0" w:color="auto"/>
                            <w:right w:val="none" w:sz="0" w:space="0" w:color="auto"/>
                          </w:divBdr>
                          <w:divsChild>
                            <w:div w:id="63468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681134">
      <w:marLeft w:val="0"/>
      <w:marRight w:val="0"/>
      <w:marTop w:val="0"/>
      <w:marBottom w:val="0"/>
      <w:divBdr>
        <w:top w:val="none" w:sz="0" w:space="0" w:color="auto"/>
        <w:left w:val="none" w:sz="0" w:space="0" w:color="auto"/>
        <w:bottom w:val="none" w:sz="0" w:space="0" w:color="auto"/>
        <w:right w:val="none" w:sz="0" w:space="0" w:color="auto"/>
      </w:divBdr>
      <w:divsChild>
        <w:div w:id="634681250">
          <w:marLeft w:val="0"/>
          <w:marRight w:val="0"/>
          <w:marTop w:val="0"/>
          <w:marBottom w:val="0"/>
          <w:divBdr>
            <w:top w:val="none" w:sz="0" w:space="0" w:color="auto"/>
            <w:left w:val="none" w:sz="0" w:space="0" w:color="auto"/>
            <w:bottom w:val="none" w:sz="0" w:space="0" w:color="auto"/>
            <w:right w:val="none" w:sz="0" w:space="0" w:color="auto"/>
          </w:divBdr>
          <w:divsChild>
            <w:div w:id="634681248">
              <w:marLeft w:val="0"/>
              <w:marRight w:val="0"/>
              <w:marTop w:val="0"/>
              <w:marBottom w:val="0"/>
              <w:divBdr>
                <w:top w:val="none" w:sz="0" w:space="0" w:color="auto"/>
                <w:left w:val="none" w:sz="0" w:space="0" w:color="auto"/>
                <w:bottom w:val="none" w:sz="0" w:space="0" w:color="auto"/>
                <w:right w:val="none" w:sz="0" w:space="0" w:color="auto"/>
              </w:divBdr>
              <w:divsChild>
                <w:div w:id="634681234">
                  <w:marLeft w:val="0"/>
                  <w:marRight w:val="0"/>
                  <w:marTop w:val="0"/>
                  <w:marBottom w:val="0"/>
                  <w:divBdr>
                    <w:top w:val="none" w:sz="0" w:space="0" w:color="auto"/>
                    <w:left w:val="none" w:sz="0" w:space="0" w:color="auto"/>
                    <w:bottom w:val="none" w:sz="0" w:space="0" w:color="auto"/>
                    <w:right w:val="none" w:sz="0" w:space="0" w:color="auto"/>
                  </w:divBdr>
                  <w:divsChild>
                    <w:div w:id="634681176">
                      <w:marLeft w:val="0"/>
                      <w:marRight w:val="0"/>
                      <w:marTop w:val="0"/>
                      <w:marBottom w:val="0"/>
                      <w:divBdr>
                        <w:top w:val="none" w:sz="0" w:space="0" w:color="auto"/>
                        <w:left w:val="none" w:sz="0" w:space="0" w:color="auto"/>
                        <w:bottom w:val="none" w:sz="0" w:space="0" w:color="auto"/>
                        <w:right w:val="none" w:sz="0" w:space="0" w:color="auto"/>
                      </w:divBdr>
                      <w:divsChild>
                        <w:div w:id="634681212">
                          <w:marLeft w:val="0"/>
                          <w:marRight w:val="0"/>
                          <w:marTop w:val="0"/>
                          <w:marBottom w:val="0"/>
                          <w:divBdr>
                            <w:top w:val="none" w:sz="0" w:space="0" w:color="auto"/>
                            <w:left w:val="none" w:sz="0" w:space="0" w:color="auto"/>
                            <w:bottom w:val="none" w:sz="0" w:space="0" w:color="auto"/>
                            <w:right w:val="none" w:sz="0" w:space="0" w:color="auto"/>
                          </w:divBdr>
                          <w:divsChild>
                            <w:div w:id="63468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681135">
      <w:marLeft w:val="0"/>
      <w:marRight w:val="0"/>
      <w:marTop w:val="0"/>
      <w:marBottom w:val="0"/>
      <w:divBdr>
        <w:top w:val="none" w:sz="0" w:space="0" w:color="auto"/>
        <w:left w:val="none" w:sz="0" w:space="0" w:color="auto"/>
        <w:bottom w:val="none" w:sz="0" w:space="0" w:color="auto"/>
        <w:right w:val="none" w:sz="0" w:space="0" w:color="auto"/>
      </w:divBdr>
    </w:div>
    <w:div w:id="634681141">
      <w:marLeft w:val="0"/>
      <w:marRight w:val="0"/>
      <w:marTop w:val="0"/>
      <w:marBottom w:val="0"/>
      <w:divBdr>
        <w:top w:val="none" w:sz="0" w:space="0" w:color="auto"/>
        <w:left w:val="none" w:sz="0" w:space="0" w:color="auto"/>
        <w:bottom w:val="none" w:sz="0" w:space="0" w:color="auto"/>
        <w:right w:val="none" w:sz="0" w:space="0" w:color="auto"/>
      </w:divBdr>
      <w:divsChild>
        <w:div w:id="634681128">
          <w:marLeft w:val="0"/>
          <w:marRight w:val="0"/>
          <w:marTop w:val="0"/>
          <w:marBottom w:val="0"/>
          <w:divBdr>
            <w:top w:val="none" w:sz="0" w:space="0" w:color="auto"/>
            <w:left w:val="none" w:sz="0" w:space="0" w:color="auto"/>
            <w:bottom w:val="none" w:sz="0" w:space="0" w:color="auto"/>
            <w:right w:val="none" w:sz="0" w:space="0" w:color="auto"/>
          </w:divBdr>
          <w:divsChild>
            <w:div w:id="634681215">
              <w:marLeft w:val="0"/>
              <w:marRight w:val="0"/>
              <w:marTop w:val="0"/>
              <w:marBottom w:val="0"/>
              <w:divBdr>
                <w:top w:val="none" w:sz="0" w:space="0" w:color="auto"/>
                <w:left w:val="none" w:sz="0" w:space="0" w:color="auto"/>
                <w:bottom w:val="none" w:sz="0" w:space="0" w:color="auto"/>
                <w:right w:val="none" w:sz="0" w:space="0" w:color="auto"/>
              </w:divBdr>
              <w:divsChild>
                <w:div w:id="634681186">
                  <w:marLeft w:val="0"/>
                  <w:marRight w:val="0"/>
                  <w:marTop w:val="0"/>
                  <w:marBottom w:val="0"/>
                  <w:divBdr>
                    <w:top w:val="none" w:sz="0" w:space="0" w:color="auto"/>
                    <w:left w:val="none" w:sz="0" w:space="0" w:color="auto"/>
                    <w:bottom w:val="none" w:sz="0" w:space="0" w:color="auto"/>
                    <w:right w:val="none" w:sz="0" w:space="0" w:color="auto"/>
                  </w:divBdr>
                  <w:divsChild>
                    <w:div w:id="634681197">
                      <w:marLeft w:val="0"/>
                      <w:marRight w:val="0"/>
                      <w:marTop w:val="0"/>
                      <w:marBottom w:val="0"/>
                      <w:divBdr>
                        <w:top w:val="none" w:sz="0" w:space="0" w:color="auto"/>
                        <w:left w:val="none" w:sz="0" w:space="0" w:color="auto"/>
                        <w:bottom w:val="none" w:sz="0" w:space="0" w:color="auto"/>
                        <w:right w:val="none" w:sz="0" w:space="0" w:color="auto"/>
                      </w:divBdr>
                      <w:divsChild>
                        <w:div w:id="634681220">
                          <w:marLeft w:val="0"/>
                          <w:marRight w:val="0"/>
                          <w:marTop w:val="0"/>
                          <w:marBottom w:val="0"/>
                          <w:divBdr>
                            <w:top w:val="none" w:sz="0" w:space="0" w:color="auto"/>
                            <w:left w:val="none" w:sz="0" w:space="0" w:color="auto"/>
                            <w:bottom w:val="none" w:sz="0" w:space="0" w:color="auto"/>
                            <w:right w:val="none" w:sz="0" w:space="0" w:color="auto"/>
                          </w:divBdr>
                          <w:divsChild>
                            <w:div w:id="63468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681150">
      <w:marLeft w:val="0"/>
      <w:marRight w:val="0"/>
      <w:marTop w:val="0"/>
      <w:marBottom w:val="0"/>
      <w:divBdr>
        <w:top w:val="none" w:sz="0" w:space="0" w:color="auto"/>
        <w:left w:val="none" w:sz="0" w:space="0" w:color="auto"/>
        <w:bottom w:val="none" w:sz="0" w:space="0" w:color="auto"/>
        <w:right w:val="none" w:sz="0" w:space="0" w:color="auto"/>
      </w:divBdr>
      <w:divsChild>
        <w:div w:id="634681164">
          <w:marLeft w:val="0"/>
          <w:marRight w:val="0"/>
          <w:marTop w:val="0"/>
          <w:marBottom w:val="0"/>
          <w:divBdr>
            <w:top w:val="none" w:sz="0" w:space="0" w:color="auto"/>
            <w:left w:val="none" w:sz="0" w:space="0" w:color="auto"/>
            <w:bottom w:val="none" w:sz="0" w:space="0" w:color="auto"/>
            <w:right w:val="none" w:sz="0" w:space="0" w:color="auto"/>
          </w:divBdr>
          <w:divsChild>
            <w:div w:id="63468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81156">
      <w:marLeft w:val="0"/>
      <w:marRight w:val="0"/>
      <w:marTop w:val="0"/>
      <w:marBottom w:val="0"/>
      <w:divBdr>
        <w:top w:val="none" w:sz="0" w:space="0" w:color="auto"/>
        <w:left w:val="none" w:sz="0" w:space="0" w:color="auto"/>
        <w:bottom w:val="none" w:sz="0" w:space="0" w:color="auto"/>
        <w:right w:val="none" w:sz="0" w:space="0" w:color="auto"/>
      </w:divBdr>
      <w:divsChild>
        <w:div w:id="634681161">
          <w:marLeft w:val="0"/>
          <w:marRight w:val="0"/>
          <w:marTop w:val="0"/>
          <w:marBottom w:val="0"/>
          <w:divBdr>
            <w:top w:val="none" w:sz="0" w:space="0" w:color="auto"/>
            <w:left w:val="none" w:sz="0" w:space="0" w:color="auto"/>
            <w:bottom w:val="none" w:sz="0" w:space="0" w:color="auto"/>
            <w:right w:val="none" w:sz="0" w:space="0" w:color="auto"/>
          </w:divBdr>
          <w:divsChild>
            <w:div w:id="634681238">
              <w:marLeft w:val="0"/>
              <w:marRight w:val="0"/>
              <w:marTop w:val="0"/>
              <w:marBottom w:val="0"/>
              <w:divBdr>
                <w:top w:val="none" w:sz="0" w:space="0" w:color="auto"/>
                <w:left w:val="none" w:sz="0" w:space="0" w:color="auto"/>
                <w:bottom w:val="none" w:sz="0" w:space="0" w:color="auto"/>
                <w:right w:val="none" w:sz="0" w:space="0" w:color="auto"/>
              </w:divBdr>
              <w:divsChild>
                <w:div w:id="634681198">
                  <w:marLeft w:val="0"/>
                  <w:marRight w:val="0"/>
                  <w:marTop w:val="0"/>
                  <w:marBottom w:val="0"/>
                  <w:divBdr>
                    <w:top w:val="none" w:sz="0" w:space="0" w:color="auto"/>
                    <w:left w:val="none" w:sz="0" w:space="0" w:color="auto"/>
                    <w:bottom w:val="none" w:sz="0" w:space="0" w:color="auto"/>
                    <w:right w:val="none" w:sz="0" w:space="0" w:color="auto"/>
                  </w:divBdr>
                  <w:divsChild>
                    <w:div w:id="63468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681264">
          <w:marLeft w:val="0"/>
          <w:marRight w:val="0"/>
          <w:marTop w:val="0"/>
          <w:marBottom w:val="0"/>
          <w:divBdr>
            <w:top w:val="none" w:sz="0" w:space="0" w:color="auto"/>
            <w:left w:val="none" w:sz="0" w:space="0" w:color="auto"/>
            <w:bottom w:val="none" w:sz="0" w:space="0" w:color="auto"/>
            <w:right w:val="none" w:sz="0" w:space="0" w:color="auto"/>
          </w:divBdr>
          <w:divsChild>
            <w:div w:id="634681202">
              <w:marLeft w:val="0"/>
              <w:marRight w:val="0"/>
              <w:marTop w:val="0"/>
              <w:marBottom w:val="0"/>
              <w:divBdr>
                <w:top w:val="none" w:sz="0" w:space="0" w:color="auto"/>
                <w:left w:val="none" w:sz="0" w:space="0" w:color="auto"/>
                <w:bottom w:val="none" w:sz="0" w:space="0" w:color="auto"/>
                <w:right w:val="none" w:sz="0" w:space="0" w:color="auto"/>
              </w:divBdr>
              <w:divsChild>
                <w:div w:id="634681261">
                  <w:marLeft w:val="0"/>
                  <w:marRight w:val="0"/>
                  <w:marTop w:val="0"/>
                  <w:marBottom w:val="0"/>
                  <w:divBdr>
                    <w:top w:val="none" w:sz="0" w:space="0" w:color="auto"/>
                    <w:left w:val="none" w:sz="0" w:space="0" w:color="auto"/>
                    <w:bottom w:val="none" w:sz="0" w:space="0" w:color="auto"/>
                    <w:right w:val="none" w:sz="0" w:space="0" w:color="auto"/>
                  </w:divBdr>
                  <w:divsChild>
                    <w:div w:id="634681246">
                      <w:marLeft w:val="0"/>
                      <w:marRight w:val="0"/>
                      <w:marTop w:val="0"/>
                      <w:marBottom w:val="0"/>
                      <w:divBdr>
                        <w:top w:val="none" w:sz="0" w:space="0" w:color="auto"/>
                        <w:left w:val="none" w:sz="0" w:space="0" w:color="auto"/>
                        <w:bottom w:val="none" w:sz="0" w:space="0" w:color="auto"/>
                        <w:right w:val="none" w:sz="0" w:space="0" w:color="auto"/>
                      </w:divBdr>
                      <w:divsChild>
                        <w:div w:id="634681208">
                          <w:marLeft w:val="0"/>
                          <w:marRight w:val="0"/>
                          <w:marTop w:val="0"/>
                          <w:marBottom w:val="0"/>
                          <w:divBdr>
                            <w:top w:val="none" w:sz="0" w:space="0" w:color="auto"/>
                            <w:left w:val="none" w:sz="0" w:space="0" w:color="auto"/>
                            <w:bottom w:val="none" w:sz="0" w:space="0" w:color="auto"/>
                            <w:right w:val="none" w:sz="0" w:space="0" w:color="auto"/>
                          </w:divBdr>
                          <w:divsChild>
                            <w:div w:id="63468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681157">
      <w:marLeft w:val="0"/>
      <w:marRight w:val="0"/>
      <w:marTop w:val="0"/>
      <w:marBottom w:val="0"/>
      <w:divBdr>
        <w:top w:val="none" w:sz="0" w:space="0" w:color="auto"/>
        <w:left w:val="none" w:sz="0" w:space="0" w:color="auto"/>
        <w:bottom w:val="none" w:sz="0" w:space="0" w:color="auto"/>
        <w:right w:val="none" w:sz="0" w:space="0" w:color="auto"/>
      </w:divBdr>
      <w:divsChild>
        <w:div w:id="634681211">
          <w:marLeft w:val="0"/>
          <w:marRight w:val="0"/>
          <w:marTop w:val="0"/>
          <w:marBottom w:val="0"/>
          <w:divBdr>
            <w:top w:val="none" w:sz="0" w:space="0" w:color="auto"/>
            <w:left w:val="none" w:sz="0" w:space="0" w:color="auto"/>
            <w:bottom w:val="none" w:sz="0" w:space="0" w:color="auto"/>
            <w:right w:val="none" w:sz="0" w:space="0" w:color="auto"/>
          </w:divBdr>
          <w:divsChild>
            <w:div w:id="63468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81160">
      <w:marLeft w:val="0"/>
      <w:marRight w:val="0"/>
      <w:marTop w:val="0"/>
      <w:marBottom w:val="0"/>
      <w:divBdr>
        <w:top w:val="none" w:sz="0" w:space="0" w:color="auto"/>
        <w:left w:val="none" w:sz="0" w:space="0" w:color="auto"/>
        <w:bottom w:val="none" w:sz="0" w:space="0" w:color="auto"/>
        <w:right w:val="none" w:sz="0" w:space="0" w:color="auto"/>
      </w:divBdr>
    </w:div>
    <w:div w:id="634681169">
      <w:marLeft w:val="0"/>
      <w:marRight w:val="0"/>
      <w:marTop w:val="0"/>
      <w:marBottom w:val="0"/>
      <w:divBdr>
        <w:top w:val="none" w:sz="0" w:space="0" w:color="auto"/>
        <w:left w:val="none" w:sz="0" w:space="0" w:color="auto"/>
        <w:bottom w:val="none" w:sz="0" w:space="0" w:color="auto"/>
        <w:right w:val="none" w:sz="0" w:space="0" w:color="auto"/>
      </w:divBdr>
      <w:divsChild>
        <w:div w:id="634681236">
          <w:marLeft w:val="0"/>
          <w:marRight w:val="0"/>
          <w:marTop w:val="0"/>
          <w:marBottom w:val="0"/>
          <w:divBdr>
            <w:top w:val="none" w:sz="0" w:space="0" w:color="auto"/>
            <w:left w:val="none" w:sz="0" w:space="0" w:color="auto"/>
            <w:bottom w:val="none" w:sz="0" w:space="0" w:color="auto"/>
            <w:right w:val="none" w:sz="0" w:space="0" w:color="auto"/>
          </w:divBdr>
          <w:divsChild>
            <w:div w:id="6346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81171">
      <w:marLeft w:val="0"/>
      <w:marRight w:val="0"/>
      <w:marTop w:val="0"/>
      <w:marBottom w:val="0"/>
      <w:divBdr>
        <w:top w:val="none" w:sz="0" w:space="0" w:color="auto"/>
        <w:left w:val="none" w:sz="0" w:space="0" w:color="auto"/>
        <w:bottom w:val="none" w:sz="0" w:space="0" w:color="auto"/>
        <w:right w:val="none" w:sz="0" w:space="0" w:color="auto"/>
      </w:divBdr>
      <w:divsChild>
        <w:div w:id="634681131">
          <w:marLeft w:val="0"/>
          <w:marRight w:val="0"/>
          <w:marTop w:val="0"/>
          <w:marBottom w:val="0"/>
          <w:divBdr>
            <w:top w:val="none" w:sz="0" w:space="0" w:color="auto"/>
            <w:left w:val="none" w:sz="0" w:space="0" w:color="auto"/>
            <w:bottom w:val="none" w:sz="0" w:space="0" w:color="auto"/>
            <w:right w:val="none" w:sz="0" w:space="0" w:color="auto"/>
          </w:divBdr>
          <w:divsChild>
            <w:div w:id="634681172">
              <w:marLeft w:val="0"/>
              <w:marRight w:val="0"/>
              <w:marTop w:val="0"/>
              <w:marBottom w:val="0"/>
              <w:divBdr>
                <w:top w:val="none" w:sz="0" w:space="0" w:color="auto"/>
                <w:left w:val="none" w:sz="0" w:space="0" w:color="auto"/>
                <w:bottom w:val="none" w:sz="0" w:space="0" w:color="auto"/>
                <w:right w:val="none" w:sz="0" w:space="0" w:color="auto"/>
              </w:divBdr>
              <w:divsChild>
                <w:div w:id="634681251">
                  <w:marLeft w:val="0"/>
                  <w:marRight w:val="0"/>
                  <w:marTop w:val="0"/>
                  <w:marBottom w:val="0"/>
                  <w:divBdr>
                    <w:top w:val="none" w:sz="0" w:space="0" w:color="auto"/>
                    <w:left w:val="none" w:sz="0" w:space="0" w:color="auto"/>
                    <w:bottom w:val="none" w:sz="0" w:space="0" w:color="auto"/>
                    <w:right w:val="none" w:sz="0" w:space="0" w:color="auto"/>
                  </w:divBdr>
                  <w:divsChild>
                    <w:div w:id="634681140">
                      <w:marLeft w:val="0"/>
                      <w:marRight w:val="0"/>
                      <w:marTop w:val="0"/>
                      <w:marBottom w:val="0"/>
                      <w:divBdr>
                        <w:top w:val="none" w:sz="0" w:space="0" w:color="auto"/>
                        <w:left w:val="none" w:sz="0" w:space="0" w:color="auto"/>
                        <w:bottom w:val="none" w:sz="0" w:space="0" w:color="auto"/>
                        <w:right w:val="none" w:sz="0" w:space="0" w:color="auto"/>
                      </w:divBdr>
                      <w:divsChild>
                        <w:div w:id="634681185">
                          <w:marLeft w:val="0"/>
                          <w:marRight w:val="0"/>
                          <w:marTop w:val="0"/>
                          <w:marBottom w:val="0"/>
                          <w:divBdr>
                            <w:top w:val="none" w:sz="0" w:space="0" w:color="auto"/>
                            <w:left w:val="none" w:sz="0" w:space="0" w:color="auto"/>
                            <w:bottom w:val="none" w:sz="0" w:space="0" w:color="auto"/>
                            <w:right w:val="none" w:sz="0" w:space="0" w:color="auto"/>
                          </w:divBdr>
                          <w:divsChild>
                            <w:div w:id="63468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681175">
      <w:marLeft w:val="0"/>
      <w:marRight w:val="0"/>
      <w:marTop w:val="0"/>
      <w:marBottom w:val="0"/>
      <w:divBdr>
        <w:top w:val="none" w:sz="0" w:space="0" w:color="auto"/>
        <w:left w:val="none" w:sz="0" w:space="0" w:color="auto"/>
        <w:bottom w:val="none" w:sz="0" w:space="0" w:color="auto"/>
        <w:right w:val="none" w:sz="0" w:space="0" w:color="auto"/>
      </w:divBdr>
      <w:divsChild>
        <w:div w:id="634681226">
          <w:marLeft w:val="0"/>
          <w:marRight w:val="0"/>
          <w:marTop w:val="0"/>
          <w:marBottom w:val="0"/>
          <w:divBdr>
            <w:top w:val="none" w:sz="0" w:space="0" w:color="auto"/>
            <w:left w:val="none" w:sz="0" w:space="0" w:color="auto"/>
            <w:bottom w:val="none" w:sz="0" w:space="0" w:color="auto"/>
            <w:right w:val="none" w:sz="0" w:space="0" w:color="auto"/>
          </w:divBdr>
          <w:divsChild>
            <w:div w:id="63468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81177">
      <w:marLeft w:val="0"/>
      <w:marRight w:val="0"/>
      <w:marTop w:val="0"/>
      <w:marBottom w:val="0"/>
      <w:divBdr>
        <w:top w:val="none" w:sz="0" w:space="0" w:color="auto"/>
        <w:left w:val="none" w:sz="0" w:space="0" w:color="auto"/>
        <w:bottom w:val="none" w:sz="0" w:space="0" w:color="auto"/>
        <w:right w:val="none" w:sz="0" w:space="0" w:color="auto"/>
      </w:divBdr>
      <w:divsChild>
        <w:div w:id="634681239">
          <w:marLeft w:val="0"/>
          <w:marRight w:val="0"/>
          <w:marTop w:val="0"/>
          <w:marBottom w:val="0"/>
          <w:divBdr>
            <w:top w:val="none" w:sz="0" w:space="0" w:color="auto"/>
            <w:left w:val="none" w:sz="0" w:space="0" w:color="auto"/>
            <w:bottom w:val="none" w:sz="0" w:space="0" w:color="auto"/>
            <w:right w:val="none" w:sz="0" w:space="0" w:color="auto"/>
          </w:divBdr>
          <w:divsChild>
            <w:div w:id="63468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81182">
      <w:marLeft w:val="0"/>
      <w:marRight w:val="0"/>
      <w:marTop w:val="0"/>
      <w:marBottom w:val="0"/>
      <w:divBdr>
        <w:top w:val="none" w:sz="0" w:space="0" w:color="auto"/>
        <w:left w:val="none" w:sz="0" w:space="0" w:color="auto"/>
        <w:bottom w:val="none" w:sz="0" w:space="0" w:color="auto"/>
        <w:right w:val="none" w:sz="0" w:space="0" w:color="auto"/>
      </w:divBdr>
      <w:divsChild>
        <w:div w:id="634681162">
          <w:marLeft w:val="0"/>
          <w:marRight w:val="0"/>
          <w:marTop w:val="0"/>
          <w:marBottom w:val="0"/>
          <w:divBdr>
            <w:top w:val="none" w:sz="0" w:space="0" w:color="auto"/>
            <w:left w:val="none" w:sz="0" w:space="0" w:color="auto"/>
            <w:bottom w:val="none" w:sz="0" w:space="0" w:color="auto"/>
            <w:right w:val="none" w:sz="0" w:space="0" w:color="auto"/>
          </w:divBdr>
          <w:divsChild>
            <w:div w:id="63468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81184">
      <w:marLeft w:val="0"/>
      <w:marRight w:val="0"/>
      <w:marTop w:val="0"/>
      <w:marBottom w:val="0"/>
      <w:divBdr>
        <w:top w:val="none" w:sz="0" w:space="0" w:color="auto"/>
        <w:left w:val="none" w:sz="0" w:space="0" w:color="auto"/>
        <w:bottom w:val="none" w:sz="0" w:space="0" w:color="auto"/>
        <w:right w:val="none" w:sz="0" w:space="0" w:color="auto"/>
      </w:divBdr>
      <w:divsChild>
        <w:div w:id="634681233">
          <w:marLeft w:val="0"/>
          <w:marRight w:val="0"/>
          <w:marTop w:val="0"/>
          <w:marBottom w:val="0"/>
          <w:divBdr>
            <w:top w:val="none" w:sz="0" w:space="0" w:color="auto"/>
            <w:left w:val="none" w:sz="0" w:space="0" w:color="auto"/>
            <w:bottom w:val="none" w:sz="0" w:space="0" w:color="auto"/>
            <w:right w:val="none" w:sz="0" w:space="0" w:color="auto"/>
          </w:divBdr>
          <w:divsChild>
            <w:div w:id="634681145">
              <w:marLeft w:val="0"/>
              <w:marRight w:val="0"/>
              <w:marTop w:val="0"/>
              <w:marBottom w:val="0"/>
              <w:divBdr>
                <w:top w:val="none" w:sz="0" w:space="0" w:color="auto"/>
                <w:left w:val="none" w:sz="0" w:space="0" w:color="auto"/>
                <w:bottom w:val="none" w:sz="0" w:space="0" w:color="auto"/>
                <w:right w:val="none" w:sz="0" w:space="0" w:color="auto"/>
              </w:divBdr>
              <w:divsChild>
                <w:div w:id="634681153">
                  <w:marLeft w:val="0"/>
                  <w:marRight w:val="0"/>
                  <w:marTop w:val="0"/>
                  <w:marBottom w:val="0"/>
                  <w:divBdr>
                    <w:top w:val="none" w:sz="0" w:space="0" w:color="auto"/>
                    <w:left w:val="none" w:sz="0" w:space="0" w:color="auto"/>
                    <w:bottom w:val="none" w:sz="0" w:space="0" w:color="auto"/>
                    <w:right w:val="none" w:sz="0" w:space="0" w:color="auto"/>
                  </w:divBdr>
                  <w:divsChild>
                    <w:div w:id="634681196">
                      <w:marLeft w:val="0"/>
                      <w:marRight w:val="0"/>
                      <w:marTop w:val="0"/>
                      <w:marBottom w:val="0"/>
                      <w:divBdr>
                        <w:top w:val="none" w:sz="0" w:space="0" w:color="auto"/>
                        <w:left w:val="none" w:sz="0" w:space="0" w:color="auto"/>
                        <w:bottom w:val="none" w:sz="0" w:space="0" w:color="auto"/>
                        <w:right w:val="none" w:sz="0" w:space="0" w:color="auto"/>
                      </w:divBdr>
                      <w:divsChild>
                        <w:div w:id="634681143">
                          <w:marLeft w:val="0"/>
                          <w:marRight w:val="0"/>
                          <w:marTop w:val="0"/>
                          <w:marBottom w:val="0"/>
                          <w:divBdr>
                            <w:top w:val="none" w:sz="0" w:space="0" w:color="auto"/>
                            <w:left w:val="none" w:sz="0" w:space="0" w:color="auto"/>
                            <w:bottom w:val="none" w:sz="0" w:space="0" w:color="auto"/>
                            <w:right w:val="none" w:sz="0" w:space="0" w:color="auto"/>
                          </w:divBdr>
                          <w:divsChild>
                            <w:div w:id="63468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681193">
      <w:marLeft w:val="0"/>
      <w:marRight w:val="0"/>
      <w:marTop w:val="0"/>
      <w:marBottom w:val="0"/>
      <w:divBdr>
        <w:top w:val="none" w:sz="0" w:space="0" w:color="auto"/>
        <w:left w:val="none" w:sz="0" w:space="0" w:color="auto"/>
        <w:bottom w:val="none" w:sz="0" w:space="0" w:color="auto"/>
        <w:right w:val="none" w:sz="0" w:space="0" w:color="auto"/>
      </w:divBdr>
      <w:divsChild>
        <w:div w:id="634681179">
          <w:marLeft w:val="0"/>
          <w:marRight w:val="0"/>
          <w:marTop w:val="0"/>
          <w:marBottom w:val="0"/>
          <w:divBdr>
            <w:top w:val="none" w:sz="0" w:space="0" w:color="auto"/>
            <w:left w:val="none" w:sz="0" w:space="0" w:color="auto"/>
            <w:bottom w:val="none" w:sz="0" w:space="0" w:color="auto"/>
            <w:right w:val="none" w:sz="0" w:space="0" w:color="auto"/>
          </w:divBdr>
        </w:div>
        <w:div w:id="634681245">
          <w:marLeft w:val="0"/>
          <w:marRight w:val="0"/>
          <w:marTop w:val="0"/>
          <w:marBottom w:val="0"/>
          <w:divBdr>
            <w:top w:val="none" w:sz="0" w:space="0" w:color="auto"/>
            <w:left w:val="none" w:sz="0" w:space="0" w:color="auto"/>
            <w:bottom w:val="none" w:sz="0" w:space="0" w:color="auto"/>
            <w:right w:val="none" w:sz="0" w:space="0" w:color="auto"/>
          </w:divBdr>
        </w:div>
      </w:divsChild>
    </w:div>
    <w:div w:id="634681195">
      <w:marLeft w:val="0"/>
      <w:marRight w:val="0"/>
      <w:marTop w:val="0"/>
      <w:marBottom w:val="0"/>
      <w:divBdr>
        <w:top w:val="none" w:sz="0" w:space="0" w:color="auto"/>
        <w:left w:val="none" w:sz="0" w:space="0" w:color="auto"/>
        <w:bottom w:val="none" w:sz="0" w:space="0" w:color="auto"/>
        <w:right w:val="none" w:sz="0" w:space="0" w:color="auto"/>
      </w:divBdr>
      <w:divsChild>
        <w:div w:id="634681183">
          <w:marLeft w:val="0"/>
          <w:marRight w:val="0"/>
          <w:marTop w:val="0"/>
          <w:marBottom w:val="0"/>
          <w:divBdr>
            <w:top w:val="none" w:sz="0" w:space="0" w:color="auto"/>
            <w:left w:val="none" w:sz="0" w:space="0" w:color="auto"/>
            <w:bottom w:val="none" w:sz="0" w:space="0" w:color="auto"/>
            <w:right w:val="none" w:sz="0" w:space="0" w:color="auto"/>
          </w:divBdr>
          <w:divsChild>
            <w:div w:id="634681142">
              <w:marLeft w:val="0"/>
              <w:marRight w:val="0"/>
              <w:marTop w:val="0"/>
              <w:marBottom w:val="0"/>
              <w:divBdr>
                <w:top w:val="none" w:sz="0" w:space="0" w:color="auto"/>
                <w:left w:val="none" w:sz="0" w:space="0" w:color="auto"/>
                <w:bottom w:val="none" w:sz="0" w:space="0" w:color="auto"/>
                <w:right w:val="none" w:sz="0" w:space="0" w:color="auto"/>
              </w:divBdr>
              <w:divsChild>
                <w:div w:id="634681166">
                  <w:marLeft w:val="0"/>
                  <w:marRight w:val="0"/>
                  <w:marTop w:val="0"/>
                  <w:marBottom w:val="0"/>
                  <w:divBdr>
                    <w:top w:val="none" w:sz="0" w:space="0" w:color="auto"/>
                    <w:left w:val="none" w:sz="0" w:space="0" w:color="auto"/>
                    <w:bottom w:val="none" w:sz="0" w:space="0" w:color="auto"/>
                    <w:right w:val="none" w:sz="0" w:space="0" w:color="auto"/>
                  </w:divBdr>
                  <w:divsChild>
                    <w:div w:id="634681222">
                      <w:marLeft w:val="0"/>
                      <w:marRight w:val="0"/>
                      <w:marTop w:val="0"/>
                      <w:marBottom w:val="0"/>
                      <w:divBdr>
                        <w:top w:val="none" w:sz="0" w:space="0" w:color="auto"/>
                        <w:left w:val="none" w:sz="0" w:space="0" w:color="auto"/>
                        <w:bottom w:val="none" w:sz="0" w:space="0" w:color="auto"/>
                        <w:right w:val="none" w:sz="0" w:space="0" w:color="auto"/>
                      </w:divBdr>
                      <w:divsChild>
                        <w:div w:id="634681240">
                          <w:marLeft w:val="0"/>
                          <w:marRight w:val="0"/>
                          <w:marTop w:val="0"/>
                          <w:marBottom w:val="0"/>
                          <w:divBdr>
                            <w:top w:val="none" w:sz="0" w:space="0" w:color="auto"/>
                            <w:left w:val="none" w:sz="0" w:space="0" w:color="auto"/>
                            <w:bottom w:val="none" w:sz="0" w:space="0" w:color="auto"/>
                            <w:right w:val="none" w:sz="0" w:space="0" w:color="auto"/>
                          </w:divBdr>
                          <w:divsChild>
                            <w:div w:id="63468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681200">
      <w:marLeft w:val="0"/>
      <w:marRight w:val="0"/>
      <w:marTop w:val="0"/>
      <w:marBottom w:val="0"/>
      <w:divBdr>
        <w:top w:val="none" w:sz="0" w:space="0" w:color="auto"/>
        <w:left w:val="none" w:sz="0" w:space="0" w:color="auto"/>
        <w:bottom w:val="none" w:sz="0" w:space="0" w:color="auto"/>
        <w:right w:val="none" w:sz="0" w:space="0" w:color="auto"/>
      </w:divBdr>
      <w:divsChild>
        <w:div w:id="634681165">
          <w:marLeft w:val="0"/>
          <w:marRight w:val="0"/>
          <w:marTop w:val="0"/>
          <w:marBottom w:val="0"/>
          <w:divBdr>
            <w:top w:val="none" w:sz="0" w:space="0" w:color="auto"/>
            <w:left w:val="none" w:sz="0" w:space="0" w:color="auto"/>
            <w:bottom w:val="none" w:sz="0" w:space="0" w:color="auto"/>
            <w:right w:val="none" w:sz="0" w:space="0" w:color="auto"/>
          </w:divBdr>
          <w:divsChild>
            <w:div w:id="634681201">
              <w:marLeft w:val="0"/>
              <w:marRight w:val="0"/>
              <w:marTop w:val="0"/>
              <w:marBottom w:val="0"/>
              <w:divBdr>
                <w:top w:val="none" w:sz="0" w:space="0" w:color="auto"/>
                <w:left w:val="none" w:sz="0" w:space="0" w:color="auto"/>
                <w:bottom w:val="none" w:sz="0" w:space="0" w:color="auto"/>
                <w:right w:val="none" w:sz="0" w:space="0" w:color="auto"/>
              </w:divBdr>
              <w:divsChild>
                <w:div w:id="634681214">
                  <w:marLeft w:val="0"/>
                  <w:marRight w:val="0"/>
                  <w:marTop w:val="0"/>
                  <w:marBottom w:val="0"/>
                  <w:divBdr>
                    <w:top w:val="none" w:sz="0" w:space="0" w:color="auto"/>
                    <w:left w:val="none" w:sz="0" w:space="0" w:color="auto"/>
                    <w:bottom w:val="none" w:sz="0" w:space="0" w:color="auto"/>
                    <w:right w:val="none" w:sz="0" w:space="0" w:color="auto"/>
                  </w:divBdr>
                  <w:divsChild>
                    <w:div w:id="634681136">
                      <w:marLeft w:val="0"/>
                      <w:marRight w:val="0"/>
                      <w:marTop w:val="0"/>
                      <w:marBottom w:val="0"/>
                      <w:divBdr>
                        <w:top w:val="none" w:sz="0" w:space="0" w:color="auto"/>
                        <w:left w:val="none" w:sz="0" w:space="0" w:color="auto"/>
                        <w:bottom w:val="none" w:sz="0" w:space="0" w:color="auto"/>
                        <w:right w:val="none" w:sz="0" w:space="0" w:color="auto"/>
                      </w:divBdr>
                      <w:divsChild>
                        <w:div w:id="634681203">
                          <w:marLeft w:val="0"/>
                          <w:marRight w:val="0"/>
                          <w:marTop w:val="0"/>
                          <w:marBottom w:val="0"/>
                          <w:divBdr>
                            <w:top w:val="none" w:sz="0" w:space="0" w:color="auto"/>
                            <w:left w:val="none" w:sz="0" w:space="0" w:color="auto"/>
                            <w:bottom w:val="none" w:sz="0" w:space="0" w:color="auto"/>
                            <w:right w:val="none" w:sz="0" w:space="0" w:color="auto"/>
                          </w:divBdr>
                          <w:divsChild>
                            <w:div w:id="63468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681205">
      <w:marLeft w:val="0"/>
      <w:marRight w:val="0"/>
      <w:marTop w:val="0"/>
      <w:marBottom w:val="0"/>
      <w:divBdr>
        <w:top w:val="none" w:sz="0" w:space="0" w:color="auto"/>
        <w:left w:val="none" w:sz="0" w:space="0" w:color="auto"/>
        <w:bottom w:val="none" w:sz="0" w:space="0" w:color="auto"/>
        <w:right w:val="none" w:sz="0" w:space="0" w:color="auto"/>
      </w:divBdr>
      <w:divsChild>
        <w:div w:id="634681188">
          <w:marLeft w:val="0"/>
          <w:marRight w:val="0"/>
          <w:marTop w:val="0"/>
          <w:marBottom w:val="0"/>
          <w:divBdr>
            <w:top w:val="none" w:sz="0" w:space="0" w:color="auto"/>
            <w:left w:val="none" w:sz="0" w:space="0" w:color="auto"/>
            <w:bottom w:val="none" w:sz="0" w:space="0" w:color="auto"/>
            <w:right w:val="none" w:sz="0" w:space="0" w:color="auto"/>
          </w:divBdr>
        </w:div>
        <w:div w:id="634681249">
          <w:marLeft w:val="0"/>
          <w:marRight w:val="0"/>
          <w:marTop w:val="0"/>
          <w:marBottom w:val="0"/>
          <w:divBdr>
            <w:top w:val="none" w:sz="0" w:space="0" w:color="auto"/>
            <w:left w:val="none" w:sz="0" w:space="0" w:color="auto"/>
            <w:bottom w:val="none" w:sz="0" w:space="0" w:color="auto"/>
            <w:right w:val="none" w:sz="0" w:space="0" w:color="auto"/>
          </w:divBdr>
        </w:div>
        <w:div w:id="634681255">
          <w:marLeft w:val="0"/>
          <w:marRight w:val="0"/>
          <w:marTop w:val="0"/>
          <w:marBottom w:val="0"/>
          <w:divBdr>
            <w:top w:val="none" w:sz="0" w:space="0" w:color="auto"/>
            <w:left w:val="none" w:sz="0" w:space="0" w:color="auto"/>
            <w:bottom w:val="none" w:sz="0" w:space="0" w:color="auto"/>
            <w:right w:val="none" w:sz="0" w:space="0" w:color="auto"/>
          </w:divBdr>
        </w:div>
      </w:divsChild>
    </w:div>
    <w:div w:id="634681217">
      <w:marLeft w:val="0"/>
      <w:marRight w:val="0"/>
      <w:marTop w:val="0"/>
      <w:marBottom w:val="0"/>
      <w:divBdr>
        <w:top w:val="none" w:sz="0" w:space="0" w:color="auto"/>
        <w:left w:val="none" w:sz="0" w:space="0" w:color="auto"/>
        <w:bottom w:val="none" w:sz="0" w:space="0" w:color="auto"/>
        <w:right w:val="none" w:sz="0" w:space="0" w:color="auto"/>
      </w:divBdr>
      <w:divsChild>
        <w:div w:id="634681147">
          <w:marLeft w:val="0"/>
          <w:marRight w:val="0"/>
          <w:marTop w:val="0"/>
          <w:marBottom w:val="0"/>
          <w:divBdr>
            <w:top w:val="none" w:sz="0" w:space="0" w:color="auto"/>
            <w:left w:val="none" w:sz="0" w:space="0" w:color="auto"/>
            <w:bottom w:val="none" w:sz="0" w:space="0" w:color="auto"/>
            <w:right w:val="none" w:sz="0" w:space="0" w:color="auto"/>
          </w:divBdr>
        </w:div>
        <w:div w:id="634681163">
          <w:marLeft w:val="0"/>
          <w:marRight w:val="0"/>
          <w:marTop w:val="0"/>
          <w:marBottom w:val="0"/>
          <w:divBdr>
            <w:top w:val="none" w:sz="0" w:space="0" w:color="auto"/>
            <w:left w:val="none" w:sz="0" w:space="0" w:color="auto"/>
            <w:bottom w:val="none" w:sz="0" w:space="0" w:color="auto"/>
            <w:right w:val="none" w:sz="0" w:space="0" w:color="auto"/>
          </w:divBdr>
        </w:div>
        <w:div w:id="634681181">
          <w:marLeft w:val="0"/>
          <w:marRight w:val="0"/>
          <w:marTop w:val="0"/>
          <w:marBottom w:val="0"/>
          <w:divBdr>
            <w:top w:val="none" w:sz="0" w:space="0" w:color="auto"/>
            <w:left w:val="none" w:sz="0" w:space="0" w:color="auto"/>
            <w:bottom w:val="none" w:sz="0" w:space="0" w:color="auto"/>
            <w:right w:val="none" w:sz="0" w:space="0" w:color="auto"/>
          </w:divBdr>
        </w:div>
        <w:div w:id="634681187">
          <w:marLeft w:val="0"/>
          <w:marRight w:val="0"/>
          <w:marTop w:val="0"/>
          <w:marBottom w:val="0"/>
          <w:divBdr>
            <w:top w:val="none" w:sz="0" w:space="0" w:color="auto"/>
            <w:left w:val="none" w:sz="0" w:space="0" w:color="auto"/>
            <w:bottom w:val="none" w:sz="0" w:space="0" w:color="auto"/>
            <w:right w:val="none" w:sz="0" w:space="0" w:color="auto"/>
          </w:divBdr>
        </w:div>
        <w:div w:id="634681209">
          <w:marLeft w:val="0"/>
          <w:marRight w:val="0"/>
          <w:marTop w:val="0"/>
          <w:marBottom w:val="0"/>
          <w:divBdr>
            <w:top w:val="none" w:sz="0" w:space="0" w:color="auto"/>
            <w:left w:val="none" w:sz="0" w:space="0" w:color="auto"/>
            <w:bottom w:val="none" w:sz="0" w:space="0" w:color="auto"/>
            <w:right w:val="none" w:sz="0" w:space="0" w:color="auto"/>
          </w:divBdr>
        </w:div>
        <w:div w:id="634681221">
          <w:marLeft w:val="0"/>
          <w:marRight w:val="0"/>
          <w:marTop w:val="0"/>
          <w:marBottom w:val="0"/>
          <w:divBdr>
            <w:top w:val="none" w:sz="0" w:space="0" w:color="auto"/>
            <w:left w:val="none" w:sz="0" w:space="0" w:color="auto"/>
            <w:bottom w:val="none" w:sz="0" w:space="0" w:color="auto"/>
            <w:right w:val="none" w:sz="0" w:space="0" w:color="auto"/>
          </w:divBdr>
        </w:div>
        <w:div w:id="634681262">
          <w:marLeft w:val="0"/>
          <w:marRight w:val="0"/>
          <w:marTop w:val="0"/>
          <w:marBottom w:val="0"/>
          <w:divBdr>
            <w:top w:val="none" w:sz="0" w:space="0" w:color="auto"/>
            <w:left w:val="none" w:sz="0" w:space="0" w:color="auto"/>
            <w:bottom w:val="none" w:sz="0" w:space="0" w:color="auto"/>
            <w:right w:val="none" w:sz="0" w:space="0" w:color="auto"/>
          </w:divBdr>
        </w:div>
        <w:div w:id="634681265">
          <w:marLeft w:val="0"/>
          <w:marRight w:val="0"/>
          <w:marTop w:val="0"/>
          <w:marBottom w:val="0"/>
          <w:divBdr>
            <w:top w:val="none" w:sz="0" w:space="0" w:color="auto"/>
            <w:left w:val="none" w:sz="0" w:space="0" w:color="auto"/>
            <w:bottom w:val="none" w:sz="0" w:space="0" w:color="auto"/>
            <w:right w:val="none" w:sz="0" w:space="0" w:color="auto"/>
          </w:divBdr>
        </w:div>
      </w:divsChild>
    </w:div>
    <w:div w:id="634681218">
      <w:marLeft w:val="0"/>
      <w:marRight w:val="0"/>
      <w:marTop w:val="0"/>
      <w:marBottom w:val="0"/>
      <w:divBdr>
        <w:top w:val="none" w:sz="0" w:space="0" w:color="auto"/>
        <w:left w:val="none" w:sz="0" w:space="0" w:color="auto"/>
        <w:bottom w:val="none" w:sz="0" w:space="0" w:color="auto"/>
        <w:right w:val="none" w:sz="0" w:space="0" w:color="auto"/>
      </w:divBdr>
    </w:div>
    <w:div w:id="634681230">
      <w:marLeft w:val="0"/>
      <w:marRight w:val="0"/>
      <w:marTop w:val="0"/>
      <w:marBottom w:val="0"/>
      <w:divBdr>
        <w:top w:val="none" w:sz="0" w:space="0" w:color="auto"/>
        <w:left w:val="none" w:sz="0" w:space="0" w:color="auto"/>
        <w:bottom w:val="none" w:sz="0" w:space="0" w:color="auto"/>
        <w:right w:val="none" w:sz="0" w:space="0" w:color="auto"/>
      </w:divBdr>
    </w:div>
    <w:div w:id="634681235">
      <w:marLeft w:val="0"/>
      <w:marRight w:val="0"/>
      <w:marTop w:val="0"/>
      <w:marBottom w:val="0"/>
      <w:divBdr>
        <w:top w:val="none" w:sz="0" w:space="0" w:color="auto"/>
        <w:left w:val="none" w:sz="0" w:space="0" w:color="auto"/>
        <w:bottom w:val="none" w:sz="0" w:space="0" w:color="auto"/>
        <w:right w:val="none" w:sz="0" w:space="0" w:color="auto"/>
      </w:divBdr>
      <w:divsChild>
        <w:div w:id="634681168">
          <w:marLeft w:val="0"/>
          <w:marRight w:val="0"/>
          <w:marTop w:val="0"/>
          <w:marBottom w:val="0"/>
          <w:divBdr>
            <w:top w:val="none" w:sz="0" w:space="0" w:color="auto"/>
            <w:left w:val="none" w:sz="0" w:space="0" w:color="auto"/>
            <w:bottom w:val="none" w:sz="0" w:space="0" w:color="auto"/>
            <w:right w:val="none" w:sz="0" w:space="0" w:color="auto"/>
          </w:divBdr>
        </w:div>
        <w:div w:id="634681224">
          <w:marLeft w:val="0"/>
          <w:marRight w:val="0"/>
          <w:marTop w:val="0"/>
          <w:marBottom w:val="0"/>
          <w:divBdr>
            <w:top w:val="none" w:sz="0" w:space="0" w:color="auto"/>
            <w:left w:val="none" w:sz="0" w:space="0" w:color="auto"/>
            <w:bottom w:val="none" w:sz="0" w:space="0" w:color="auto"/>
            <w:right w:val="none" w:sz="0" w:space="0" w:color="auto"/>
          </w:divBdr>
        </w:div>
        <w:div w:id="634681231">
          <w:marLeft w:val="0"/>
          <w:marRight w:val="0"/>
          <w:marTop w:val="0"/>
          <w:marBottom w:val="0"/>
          <w:divBdr>
            <w:top w:val="none" w:sz="0" w:space="0" w:color="auto"/>
            <w:left w:val="none" w:sz="0" w:space="0" w:color="auto"/>
            <w:bottom w:val="none" w:sz="0" w:space="0" w:color="auto"/>
            <w:right w:val="none" w:sz="0" w:space="0" w:color="auto"/>
          </w:divBdr>
        </w:div>
        <w:div w:id="634681263">
          <w:marLeft w:val="0"/>
          <w:marRight w:val="0"/>
          <w:marTop w:val="0"/>
          <w:marBottom w:val="0"/>
          <w:divBdr>
            <w:top w:val="none" w:sz="0" w:space="0" w:color="auto"/>
            <w:left w:val="none" w:sz="0" w:space="0" w:color="auto"/>
            <w:bottom w:val="none" w:sz="0" w:space="0" w:color="auto"/>
            <w:right w:val="none" w:sz="0" w:space="0" w:color="auto"/>
          </w:divBdr>
        </w:div>
      </w:divsChild>
    </w:div>
    <w:div w:id="634681237">
      <w:marLeft w:val="0"/>
      <w:marRight w:val="0"/>
      <w:marTop w:val="0"/>
      <w:marBottom w:val="0"/>
      <w:divBdr>
        <w:top w:val="none" w:sz="0" w:space="0" w:color="auto"/>
        <w:left w:val="none" w:sz="0" w:space="0" w:color="auto"/>
        <w:bottom w:val="none" w:sz="0" w:space="0" w:color="auto"/>
        <w:right w:val="none" w:sz="0" w:space="0" w:color="auto"/>
      </w:divBdr>
      <w:divsChild>
        <w:div w:id="634681159">
          <w:marLeft w:val="0"/>
          <w:marRight w:val="0"/>
          <w:marTop w:val="0"/>
          <w:marBottom w:val="0"/>
          <w:divBdr>
            <w:top w:val="none" w:sz="0" w:space="0" w:color="auto"/>
            <w:left w:val="none" w:sz="0" w:space="0" w:color="auto"/>
            <w:bottom w:val="none" w:sz="0" w:space="0" w:color="auto"/>
            <w:right w:val="none" w:sz="0" w:space="0" w:color="auto"/>
          </w:divBdr>
          <w:divsChild>
            <w:div w:id="634681146">
              <w:marLeft w:val="0"/>
              <w:marRight w:val="0"/>
              <w:marTop w:val="0"/>
              <w:marBottom w:val="0"/>
              <w:divBdr>
                <w:top w:val="none" w:sz="0" w:space="0" w:color="auto"/>
                <w:left w:val="none" w:sz="0" w:space="0" w:color="auto"/>
                <w:bottom w:val="none" w:sz="0" w:space="0" w:color="auto"/>
                <w:right w:val="none" w:sz="0" w:space="0" w:color="auto"/>
              </w:divBdr>
              <w:divsChild>
                <w:div w:id="634681242">
                  <w:marLeft w:val="0"/>
                  <w:marRight w:val="0"/>
                  <w:marTop w:val="0"/>
                  <w:marBottom w:val="0"/>
                  <w:divBdr>
                    <w:top w:val="none" w:sz="0" w:space="0" w:color="auto"/>
                    <w:left w:val="none" w:sz="0" w:space="0" w:color="auto"/>
                    <w:bottom w:val="none" w:sz="0" w:space="0" w:color="auto"/>
                    <w:right w:val="none" w:sz="0" w:space="0" w:color="auto"/>
                  </w:divBdr>
                  <w:divsChild>
                    <w:div w:id="634681194">
                      <w:marLeft w:val="0"/>
                      <w:marRight w:val="0"/>
                      <w:marTop w:val="0"/>
                      <w:marBottom w:val="0"/>
                      <w:divBdr>
                        <w:top w:val="none" w:sz="0" w:space="0" w:color="auto"/>
                        <w:left w:val="none" w:sz="0" w:space="0" w:color="auto"/>
                        <w:bottom w:val="none" w:sz="0" w:space="0" w:color="auto"/>
                        <w:right w:val="none" w:sz="0" w:space="0" w:color="auto"/>
                      </w:divBdr>
                      <w:divsChild>
                        <w:div w:id="634681204">
                          <w:marLeft w:val="0"/>
                          <w:marRight w:val="0"/>
                          <w:marTop w:val="0"/>
                          <w:marBottom w:val="0"/>
                          <w:divBdr>
                            <w:top w:val="none" w:sz="0" w:space="0" w:color="auto"/>
                            <w:left w:val="none" w:sz="0" w:space="0" w:color="auto"/>
                            <w:bottom w:val="none" w:sz="0" w:space="0" w:color="auto"/>
                            <w:right w:val="none" w:sz="0" w:space="0" w:color="auto"/>
                          </w:divBdr>
                          <w:divsChild>
                            <w:div w:id="63468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681191">
          <w:marLeft w:val="0"/>
          <w:marRight w:val="0"/>
          <w:marTop w:val="0"/>
          <w:marBottom w:val="0"/>
          <w:divBdr>
            <w:top w:val="none" w:sz="0" w:space="0" w:color="auto"/>
            <w:left w:val="none" w:sz="0" w:space="0" w:color="auto"/>
            <w:bottom w:val="none" w:sz="0" w:space="0" w:color="auto"/>
            <w:right w:val="none" w:sz="0" w:space="0" w:color="auto"/>
          </w:divBdr>
          <w:divsChild>
            <w:div w:id="634681213">
              <w:marLeft w:val="0"/>
              <w:marRight w:val="0"/>
              <w:marTop w:val="0"/>
              <w:marBottom w:val="0"/>
              <w:divBdr>
                <w:top w:val="none" w:sz="0" w:space="0" w:color="auto"/>
                <w:left w:val="none" w:sz="0" w:space="0" w:color="auto"/>
                <w:bottom w:val="none" w:sz="0" w:space="0" w:color="auto"/>
                <w:right w:val="none" w:sz="0" w:space="0" w:color="auto"/>
              </w:divBdr>
              <w:divsChild>
                <w:div w:id="634681133">
                  <w:marLeft w:val="0"/>
                  <w:marRight w:val="0"/>
                  <w:marTop w:val="0"/>
                  <w:marBottom w:val="0"/>
                  <w:divBdr>
                    <w:top w:val="none" w:sz="0" w:space="0" w:color="auto"/>
                    <w:left w:val="none" w:sz="0" w:space="0" w:color="auto"/>
                    <w:bottom w:val="none" w:sz="0" w:space="0" w:color="auto"/>
                    <w:right w:val="none" w:sz="0" w:space="0" w:color="auto"/>
                  </w:divBdr>
                  <w:divsChild>
                    <w:div w:id="63468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256">
      <w:marLeft w:val="0"/>
      <w:marRight w:val="0"/>
      <w:marTop w:val="0"/>
      <w:marBottom w:val="0"/>
      <w:divBdr>
        <w:top w:val="none" w:sz="0" w:space="0" w:color="auto"/>
        <w:left w:val="none" w:sz="0" w:space="0" w:color="auto"/>
        <w:bottom w:val="none" w:sz="0" w:space="0" w:color="auto"/>
        <w:right w:val="none" w:sz="0" w:space="0" w:color="auto"/>
      </w:divBdr>
      <w:divsChild>
        <w:div w:id="634681225">
          <w:marLeft w:val="0"/>
          <w:marRight w:val="0"/>
          <w:marTop w:val="0"/>
          <w:marBottom w:val="0"/>
          <w:divBdr>
            <w:top w:val="none" w:sz="0" w:space="0" w:color="auto"/>
            <w:left w:val="none" w:sz="0" w:space="0" w:color="auto"/>
            <w:bottom w:val="none" w:sz="0" w:space="0" w:color="auto"/>
            <w:right w:val="none" w:sz="0" w:space="0" w:color="auto"/>
          </w:divBdr>
          <w:divsChild>
            <w:div w:id="634681148">
              <w:marLeft w:val="0"/>
              <w:marRight w:val="0"/>
              <w:marTop w:val="0"/>
              <w:marBottom w:val="0"/>
              <w:divBdr>
                <w:top w:val="none" w:sz="0" w:space="0" w:color="auto"/>
                <w:left w:val="none" w:sz="0" w:space="0" w:color="auto"/>
                <w:bottom w:val="none" w:sz="0" w:space="0" w:color="auto"/>
                <w:right w:val="none" w:sz="0" w:space="0" w:color="auto"/>
              </w:divBdr>
              <w:divsChild>
                <w:div w:id="634681138">
                  <w:marLeft w:val="0"/>
                  <w:marRight w:val="0"/>
                  <w:marTop w:val="0"/>
                  <w:marBottom w:val="0"/>
                  <w:divBdr>
                    <w:top w:val="none" w:sz="0" w:space="0" w:color="auto"/>
                    <w:left w:val="none" w:sz="0" w:space="0" w:color="auto"/>
                    <w:bottom w:val="none" w:sz="0" w:space="0" w:color="auto"/>
                    <w:right w:val="none" w:sz="0" w:space="0" w:color="auto"/>
                  </w:divBdr>
                  <w:divsChild>
                    <w:div w:id="634681152">
                      <w:marLeft w:val="0"/>
                      <w:marRight w:val="0"/>
                      <w:marTop w:val="0"/>
                      <w:marBottom w:val="0"/>
                      <w:divBdr>
                        <w:top w:val="none" w:sz="0" w:space="0" w:color="auto"/>
                        <w:left w:val="none" w:sz="0" w:space="0" w:color="auto"/>
                        <w:bottom w:val="none" w:sz="0" w:space="0" w:color="auto"/>
                        <w:right w:val="none" w:sz="0" w:space="0" w:color="auto"/>
                      </w:divBdr>
                      <w:divsChild>
                        <w:div w:id="634681190">
                          <w:marLeft w:val="0"/>
                          <w:marRight w:val="0"/>
                          <w:marTop w:val="0"/>
                          <w:marBottom w:val="0"/>
                          <w:divBdr>
                            <w:top w:val="none" w:sz="0" w:space="0" w:color="auto"/>
                            <w:left w:val="none" w:sz="0" w:space="0" w:color="auto"/>
                            <w:bottom w:val="none" w:sz="0" w:space="0" w:color="auto"/>
                            <w:right w:val="none" w:sz="0" w:space="0" w:color="auto"/>
                          </w:divBdr>
                          <w:divsChild>
                            <w:div w:id="63468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681258">
      <w:marLeft w:val="0"/>
      <w:marRight w:val="0"/>
      <w:marTop w:val="0"/>
      <w:marBottom w:val="0"/>
      <w:divBdr>
        <w:top w:val="none" w:sz="0" w:space="0" w:color="auto"/>
        <w:left w:val="none" w:sz="0" w:space="0" w:color="auto"/>
        <w:bottom w:val="none" w:sz="0" w:space="0" w:color="auto"/>
        <w:right w:val="none" w:sz="0" w:space="0" w:color="auto"/>
      </w:divBdr>
      <w:divsChild>
        <w:div w:id="634681241">
          <w:marLeft w:val="0"/>
          <w:marRight w:val="0"/>
          <w:marTop w:val="0"/>
          <w:marBottom w:val="0"/>
          <w:divBdr>
            <w:top w:val="none" w:sz="0" w:space="0" w:color="auto"/>
            <w:left w:val="none" w:sz="0" w:space="0" w:color="auto"/>
            <w:bottom w:val="none" w:sz="0" w:space="0" w:color="auto"/>
            <w:right w:val="none" w:sz="0" w:space="0" w:color="auto"/>
          </w:divBdr>
          <w:divsChild>
            <w:div w:id="634681151">
              <w:marLeft w:val="0"/>
              <w:marRight w:val="0"/>
              <w:marTop w:val="0"/>
              <w:marBottom w:val="0"/>
              <w:divBdr>
                <w:top w:val="none" w:sz="0" w:space="0" w:color="auto"/>
                <w:left w:val="none" w:sz="0" w:space="0" w:color="auto"/>
                <w:bottom w:val="none" w:sz="0" w:space="0" w:color="auto"/>
                <w:right w:val="none" w:sz="0" w:space="0" w:color="auto"/>
              </w:divBdr>
              <w:divsChild>
                <w:div w:id="634681170">
                  <w:marLeft w:val="0"/>
                  <w:marRight w:val="0"/>
                  <w:marTop w:val="0"/>
                  <w:marBottom w:val="0"/>
                  <w:divBdr>
                    <w:top w:val="none" w:sz="0" w:space="0" w:color="auto"/>
                    <w:left w:val="none" w:sz="0" w:space="0" w:color="auto"/>
                    <w:bottom w:val="none" w:sz="0" w:space="0" w:color="auto"/>
                    <w:right w:val="none" w:sz="0" w:space="0" w:color="auto"/>
                  </w:divBdr>
                  <w:divsChild>
                    <w:div w:id="634681254">
                      <w:marLeft w:val="0"/>
                      <w:marRight w:val="0"/>
                      <w:marTop w:val="0"/>
                      <w:marBottom w:val="0"/>
                      <w:divBdr>
                        <w:top w:val="none" w:sz="0" w:space="0" w:color="auto"/>
                        <w:left w:val="none" w:sz="0" w:space="0" w:color="auto"/>
                        <w:bottom w:val="none" w:sz="0" w:space="0" w:color="auto"/>
                        <w:right w:val="none" w:sz="0" w:space="0" w:color="auto"/>
                      </w:divBdr>
                      <w:divsChild>
                        <w:div w:id="634681247">
                          <w:marLeft w:val="0"/>
                          <w:marRight w:val="0"/>
                          <w:marTop w:val="0"/>
                          <w:marBottom w:val="0"/>
                          <w:divBdr>
                            <w:top w:val="none" w:sz="0" w:space="0" w:color="auto"/>
                            <w:left w:val="none" w:sz="0" w:space="0" w:color="auto"/>
                            <w:bottom w:val="none" w:sz="0" w:space="0" w:color="auto"/>
                            <w:right w:val="none" w:sz="0" w:space="0" w:color="auto"/>
                          </w:divBdr>
                          <w:divsChild>
                            <w:div w:id="63468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681259">
      <w:marLeft w:val="0"/>
      <w:marRight w:val="0"/>
      <w:marTop w:val="0"/>
      <w:marBottom w:val="0"/>
      <w:divBdr>
        <w:top w:val="none" w:sz="0" w:space="0" w:color="auto"/>
        <w:left w:val="none" w:sz="0" w:space="0" w:color="auto"/>
        <w:bottom w:val="none" w:sz="0" w:space="0" w:color="auto"/>
        <w:right w:val="none" w:sz="0" w:space="0" w:color="auto"/>
      </w:divBdr>
      <w:divsChild>
        <w:div w:id="634681228">
          <w:marLeft w:val="0"/>
          <w:marRight w:val="0"/>
          <w:marTop w:val="0"/>
          <w:marBottom w:val="0"/>
          <w:divBdr>
            <w:top w:val="none" w:sz="0" w:space="0" w:color="auto"/>
            <w:left w:val="none" w:sz="0" w:space="0" w:color="auto"/>
            <w:bottom w:val="none" w:sz="0" w:space="0" w:color="auto"/>
            <w:right w:val="none" w:sz="0" w:space="0" w:color="auto"/>
          </w:divBdr>
          <w:divsChild>
            <w:div w:id="634681253">
              <w:marLeft w:val="0"/>
              <w:marRight w:val="0"/>
              <w:marTop w:val="0"/>
              <w:marBottom w:val="0"/>
              <w:divBdr>
                <w:top w:val="none" w:sz="0" w:space="0" w:color="auto"/>
                <w:left w:val="none" w:sz="0" w:space="0" w:color="auto"/>
                <w:bottom w:val="none" w:sz="0" w:space="0" w:color="auto"/>
                <w:right w:val="none" w:sz="0" w:space="0" w:color="auto"/>
              </w:divBdr>
              <w:divsChild>
                <w:div w:id="634681139">
                  <w:marLeft w:val="0"/>
                  <w:marRight w:val="0"/>
                  <w:marTop w:val="0"/>
                  <w:marBottom w:val="0"/>
                  <w:divBdr>
                    <w:top w:val="none" w:sz="0" w:space="0" w:color="auto"/>
                    <w:left w:val="none" w:sz="0" w:space="0" w:color="auto"/>
                    <w:bottom w:val="none" w:sz="0" w:space="0" w:color="auto"/>
                    <w:right w:val="none" w:sz="0" w:space="0" w:color="auto"/>
                  </w:divBdr>
                  <w:divsChild>
                    <w:div w:id="634681132">
                      <w:marLeft w:val="0"/>
                      <w:marRight w:val="0"/>
                      <w:marTop w:val="0"/>
                      <w:marBottom w:val="0"/>
                      <w:divBdr>
                        <w:top w:val="none" w:sz="0" w:space="0" w:color="auto"/>
                        <w:left w:val="none" w:sz="0" w:space="0" w:color="auto"/>
                        <w:bottom w:val="none" w:sz="0" w:space="0" w:color="auto"/>
                        <w:right w:val="none" w:sz="0" w:space="0" w:color="auto"/>
                      </w:divBdr>
                      <w:divsChild>
                        <w:div w:id="634681174">
                          <w:marLeft w:val="0"/>
                          <w:marRight w:val="0"/>
                          <w:marTop w:val="0"/>
                          <w:marBottom w:val="0"/>
                          <w:divBdr>
                            <w:top w:val="none" w:sz="0" w:space="0" w:color="auto"/>
                            <w:left w:val="none" w:sz="0" w:space="0" w:color="auto"/>
                            <w:bottom w:val="none" w:sz="0" w:space="0" w:color="auto"/>
                            <w:right w:val="none" w:sz="0" w:space="0" w:color="auto"/>
                          </w:divBdr>
                          <w:divsChild>
                            <w:div w:id="63468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169893">
      <w:bodyDiv w:val="1"/>
      <w:marLeft w:val="0"/>
      <w:marRight w:val="0"/>
      <w:marTop w:val="0"/>
      <w:marBottom w:val="0"/>
      <w:divBdr>
        <w:top w:val="none" w:sz="0" w:space="0" w:color="auto"/>
        <w:left w:val="none" w:sz="0" w:space="0" w:color="auto"/>
        <w:bottom w:val="none" w:sz="0" w:space="0" w:color="auto"/>
        <w:right w:val="none" w:sz="0" w:space="0" w:color="auto"/>
      </w:divBdr>
    </w:div>
    <w:div w:id="675617531">
      <w:bodyDiv w:val="1"/>
      <w:marLeft w:val="0"/>
      <w:marRight w:val="0"/>
      <w:marTop w:val="0"/>
      <w:marBottom w:val="0"/>
      <w:divBdr>
        <w:top w:val="none" w:sz="0" w:space="0" w:color="auto"/>
        <w:left w:val="none" w:sz="0" w:space="0" w:color="auto"/>
        <w:bottom w:val="none" w:sz="0" w:space="0" w:color="auto"/>
        <w:right w:val="none" w:sz="0" w:space="0" w:color="auto"/>
      </w:divBdr>
    </w:div>
    <w:div w:id="867794878">
      <w:bodyDiv w:val="1"/>
      <w:marLeft w:val="0"/>
      <w:marRight w:val="0"/>
      <w:marTop w:val="0"/>
      <w:marBottom w:val="0"/>
      <w:divBdr>
        <w:top w:val="none" w:sz="0" w:space="0" w:color="auto"/>
        <w:left w:val="none" w:sz="0" w:space="0" w:color="auto"/>
        <w:bottom w:val="none" w:sz="0" w:space="0" w:color="auto"/>
        <w:right w:val="none" w:sz="0" w:space="0" w:color="auto"/>
      </w:divBdr>
    </w:div>
    <w:div w:id="935136227">
      <w:bodyDiv w:val="1"/>
      <w:marLeft w:val="0"/>
      <w:marRight w:val="0"/>
      <w:marTop w:val="0"/>
      <w:marBottom w:val="0"/>
      <w:divBdr>
        <w:top w:val="none" w:sz="0" w:space="0" w:color="auto"/>
        <w:left w:val="none" w:sz="0" w:space="0" w:color="auto"/>
        <w:bottom w:val="none" w:sz="0" w:space="0" w:color="auto"/>
        <w:right w:val="none" w:sz="0" w:space="0" w:color="auto"/>
      </w:divBdr>
    </w:div>
    <w:div w:id="977957196">
      <w:bodyDiv w:val="1"/>
      <w:marLeft w:val="0"/>
      <w:marRight w:val="0"/>
      <w:marTop w:val="0"/>
      <w:marBottom w:val="0"/>
      <w:divBdr>
        <w:top w:val="none" w:sz="0" w:space="0" w:color="auto"/>
        <w:left w:val="none" w:sz="0" w:space="0" w:color="auto"/>
        <w:bottom w:val="none" w:sz="0" w:space="0" w:color="auto"/>
        <w:right w:val="none" w:sz="0" w:space="0" w:color="auto"/>
      </w:divBdr>
      <w:divsChild>
        <w:div w:id="1074014809">
          <w:marLeft w:val="0"/>
          <w:marRight w:val="0"/>
          <w:marTop w:val="0"/>
          <w:marBottom w:val="0"/>
          <w:divBdr>
            <w:top w:val="none" w:sz="0" w:space="0" w:color="auto"/>
            <w:left w:val="none" w:sz="0" w:space="0" w:color="auto"/>
            <w:bottom w:val="none" w:sz="0" w:space="0" w:color="auto"/>
            <w:right w:val="none" w:sz="0" w:space="0" w:color="auto"/>
          </w:divBdr>
          <w:divsChild>
            <w:div w:id="393427957">
              <w:marLeft w:val="0"/>
              <w:marRight w:val="0"/>
              <w:marTop w:val="0"/>
              <w:marBottom w:val="0"/>
              <w:divBdr>
                <w:top w:val="none" w:sz="0" w:space="0" w:color="auto"/>
                <w:left w:val="none" w:sz="0" w:space="0" w:color="auto"/>
                <w:bottom w:val="none" w:sz="0" w:space="0" w:color="auto"/>
                <w:right w:val="none" w:sz="0" w:space="0" w:color="auto"/>
              </w:divBdr>
              <w:divsChild>
                <w:div w:id="81682966">
                  <w:marLeft w:val="0"/>
                  <w:marRight w:val="0"/>
                  <w:marTop w:val="0"/>
                  <w:marBottom w:val="0"/>
                  <w:divBdr>
                    <w:top w:val="none" w:sz="0" w:space="0" w:color="auto"/>
                    <w:left w:val="none" w:sz="0" w:space="0" w:color="auto"/>
                    <w:bottom w:val="none" w:sz="0" w:space="0" w:color="auto"/>
                    <w:right w:val="none" w:sz="0" w:space="0" w:color="auto"/>
                  </w:divBdr>
                  <w:divsChild>
                    <w:div w:id="104545735">
                      <w:marLeft w:val="0"/>
                      <w:marRight w:val="0"/>
                      <w:marTop w:val="0"/>
                      <w:marBottom w:val="0"/>
                      <w:divBdr>
                        <w:top w:val="none" w:sz="0" w:space="0" w:color="auto"/>
                        <w:left w:val="none" w:sz="0" w:space="0" w:color="auto"/>
                        <w:bottom w:val="none" w:sz="0" w:space="0" w:color="auto"/>
                        <w:right w:val="none" w:sz="0" w:space="0" w:color="auto"/>
                      </w:divBdr>
                      <w:divsChild>
                        <w:div w:id="2069037747">
                          <w:marLeft w:val="0"/>
                          <w:marRight w:val="0"/>
                          <w:marTop w:val="0"/>
                          <w:marBottom w:val="0"/>
                          <w:divBdr>
                            <w:top w:val="none" w:sz="0" w:space="0" w:color="auto"/>
                            <w:left w:val="none" w:sz="0" w:space="0" w:color="auto"/>
                            <w:bottom w:val="none" w:sz="0" w:space="0" w:color="auto"/>
                            <w:right w:val="none" w:sz="0" w:space="0" w:color="auto"/>
                          </w:divBdr>
                          <w:divsChild>
                            <w:div w:id="333143323">
                              <w:marLeft w:val="0"/>
                              <w:marRight w:val="0"/>
                              <w:marTop w:val="0"/>
                              <w:marBottom w:val="0"/>
                              <w:divBdr>
                                <w:top w:val="none" w:sz="0" w:space="0" w:color="auto"/>
                                <w:left w:val="none" w:sz="0" w:space="0" w:color="auto"/>
                                <w:bottom w:val="none" w:sz="0" w:space="0" w:color="auto"/>
                                <w:right w:val="none" w:sz="0" w:space="0" w:color="auto"/>
                              </w:divBdr>
                              <w:divsChild>
                                <w:div w:id="303505921">
                                  <w:marLeft w:val="0"/>
                                  <w:marRight w:val="0"/>
                                  <w:marTop w:val="0"/>
                                  <w:marBottom w:val="0"/>
                                  <w:divBdr>
                                    <w:top w:val="none" w:sz="0" w:space="0" w:color="auto"/>
                                    <w:left w:val="none" w:sz="0" w:space="0" w:color="auto"/>
                                    <w:bottom w:val="none" w:sz="0" w:space="0" w:color="auto"/>
                                    <w:right w:val="none" w:sz="0" w:space="0" w:color="auto"/>
                                  </w:divBdr>
                                  <w:divsChild>
                                    <w:div w:id="1594163434">
                                      <w:marLeft w:val="0"/>
                                      <w:marRight w:val="0"/>
                                      <w:marTop w:val="0"/>
                                      <w:marBottom w:val="0"/>
                                      <w:divBdr>
                                        <w:top w:val="none" w:sz="0" w:space="0" w:color="auto"/>
                                        <w:left w:val="none" w:sz="0" w:space="0" w:color="auto"/>
                                        <w:bottom w:val="none" w:sz="0" w:space="0" w:color="auto"/>
                                        <w:right w:val="none" w:sz="0" w:space="0" w:color="auto"/>
                                      </w:divBdr>
                                      <w:divsChild>
                                        <w:div w:id="2108959396">
                                          <w:marLeft w:val="0"/>
                                          <w:marRight w:val="0"/>
                                          <w:marTop w:val="0"/>
                                          <w:marBottom w:val="0"/>
                                          <w:divBdr>
                                            <w:top w:val="none" w:sz="0" w:space="0" w:color="auto"/>
                                            <w:left w:val="none" w:sz="0" w:space="0" w:color="auto"/>
                                            <w:bottom w:val="none" w:sz="0" w:space="0" w:color="auto"/>
                                            <w:right w:val="none" w:sz="0" w:space="0" w:color="auto"/>
                                          </w:divBdr>
                                          <w:divsChild>
                                            <w:div w:id="155611501">
                                              <w:marLeft w:val="0"/>
                                              <w:marRight w:val="0"/>
                                              <w:marTop w:val="0"/>
                                              <w:marBottom w:val="0"/>
                                              <w:divBdr>
                                                <w:top w:val="none" w:sz="0" w:space="0" w:color="auto"/>
                                                <w:left w:val="none" w:sz="0" w:space="0" w:color="auto"/>
                                                <w:bottom w:val="none" w:sz="0" w:space="0" w:color="auto"/>
                                                <w:right w:val="none" w:sz="0" w:space="0" w:color="auto"/>
                                              </w:divBdr>
                                              <w:divsChild>
                                                <w:div w:id="106406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8696465">
      <w:bodyDiv w:val="1"/>
      <w:marLeft w:val="0"/>
      <w:marRight w:val="0"/>
      <w:marTop w:val="0"/>
      <w:marBottom w:val="0"/>
      <w:divBdr>
        <w:top w:val="none" w:sz="0" w:space="0" w:color="auto"/>
        <w:left w:val="none" w:sz="0" w:space="0" w:color="auto"/>
        <w:bottom w:val="none" w:sz="0" w:space="0" w:color="auto"/>
        <w:right w:val="none" w:sz="0" w:space="0" w:color="auto"/>
      </w:divBdr>
    </w:div>
    <w:div w:id="1074593794">
      <w:bodyDiv w:val="1"/>
      <w:marLeft w:val="0"/>
      <w:marRight w:val="0"/>
      <w:marTop w:val="0"/>
      <w:marBottom w:val="0"/>
      <w:divBdr>
        <w:top w:val="none" w:sz="0" w:space="0" w:color="auto"/>
        <w:left w:val="none" w:sz="0" w:space="0" w:color="auto"/>
        <w:bottom w:val="none" w:sz="0" w:space="0" w:color="auto"/>
        <w:right w:val="none" w:sz="0" w:space="0" w:color="auto"/>
      </w:divBdr>
    </w:div>
    <w:div w:id="1105227639">
      <w:bodyDiv w:val="1"/>
      <w:marLeft w:val="0"/>
      <w:marRight w:val="0"/>
      <w:marTop w:val="0"/>
      <w:marBottom w:val="0"/>
      <w:divBdr>
        <w:top w:val="none" w:sz="0" w:space="0" w:color="auto"/>
        <w:left w:val="none" w:sz="0" w:space="0" w:color="auto"/>
        <w:bottom w:val="none" w:sz="0" w:space="0" w:color="auto"/>
        <w:right w:val="none" w:sz="0" w:space="0" w:color="auto"/>
      </w:divBdr>
    </w:div>
    <w:div w:id="1205290532">
      <w:bodyDiv w:val="1"/>
      <w:marLeft w:val="0"/>
      <w:marRight w:val="0"/>
      <w:marTop w:val="0"/>
      <w:marBottom w:val="0"/>
      <w:divBdr>
        <w:top w:val="none" w:sz="0" w:space="0" w:color="auto"/>
        <w:left w:val="none" w:sz="0" w:space="0" w:color="auto"/>
        <w:bottom w:val="none" w:sz="0" w:space="0" w:color="auto"/>
        <w:right w:val="none" w:sz="0" w:space="0" w:color="auto"/>
      </w:divBdr>
    </w:div>
    <w:div w:id="1215506176">
      <w:bodyDiv w:val="1"/>
      <w:marLeft w:val="0"/>
      <w:marRight w:val="0"/>
      <w:marTop w:val="0"/>
      <w:marBottom w:val="0"/>
      <w:divBdr>
        <w:top w:val="none" w:sz="0" w:space="0" w:color="auto"/>
        <w:left w:val="none" w:sz="0" w:space="0" w:color="auto"/>
        <w:bottom w:val="none" w:sz="0" w:space="0" w:color="auto"/>
        <w:right w:val="none" w:sz="0" w:space="0" w:color="auto"/>
      </w:divBdr>
      <w:divsChild>
        <w:div w:id="1813592764">
          <w:marLeft w:val="0"/>
          <w:marRight w:val="0"/>
          <w:marTop w:val="0"/>
          <w:marBottom w:val="0"/>
          <w:divBdr>
            <w:top w:val="none" w:sz="0" w:space="0" w:color="auto"/>
            <w:left w:val="none" w:sz="0" w:space="0" w:color="auto"/>
            <w:bottom w:val="none" w:sz="0" w:space="0" w:color="auto"/>
            <w:right w:val="none" w:sz="0" w:space="0" w:color="auto"/>
          </w:divBdr>
          <w:divsChild>
            <w:div w:id="1066879201">
              <w:marLeft w:val="0"/>
              <w:marRight w:val="0"/>
              <w:marTop w:val="0"/>
              <w:marBottom w:val="0"/>
              <w:divBdr>
                <w:top w:val="none" w:sz="0" w:space="0" w:color="auto"/>
                <w:left w:val="none" w:sz="0" w:space="0" w:color="auto"/>
                <w:bottom w:val="none" w:sz="0" w:space="0" w:color="auto"/>
                <w:right w:val="none" w:sz="0" w:space="0" w:color="auto"/>
              </w:divBdr>
              <w:divsChild>
                <w:div w:id="1198160719">
                  <w:marLeft w:val="0"/>
                  <w:marRight w:val="0"/>
                  <w:marTop w:val="0"/>
                  <w:marBottom w:val="0"/>
                  <w:divBdr>
                    <w:top w:val="none" w:sz="0" w:space="0" w:color="auto"/>
                    <w:left w:val="none" w:sz="0" w:space="0" w:color="auto"/>
                    <w:bottom w:val="none" w:sz="0" w:space="0" w:color="auto"/>
                    <w:right w:val="none" w:sz="0" w:space="0" w:color="auto"/>
                  </w:divBdr>
                  <w:divsChild>
                    <w:div w:id="570894684">
                      <w:marLeft w:val="0"/>
                      <w:marRight w:val="0"/>
                      <w:marTop w:val="0"/>
                      <w:marBottom w:val="0"/>
                      <w:divBdr>
                        <w:top w:val="none" w:sz="0" w:space="0" w:color="auto"/>
                        <w:left w:val="none" w:sz="0" w:space="0" w:color="auto"/>
                        <w:bottom w:val="none" w:sz="0" w:space="0" w:color="auto"/>
                        <w:right w:val="none" w:sz="0" w:space="0" w:color="auto"/>
                      </w:divBdr>
                      <w:divsChild>
                        <w:div w:id="202525215">
                          <w:marLeft w:val="0"/>
                          <w:marRight w:val="0"/>
                          <w:marTop w:val="0"/>
                          <w:marBottom w:val="0"/>
                          <w:divBdr>
                            <w:top w:val="none" w:sz="0" w:space="0" w:color="auto"/>
                            <w:left w:val="none" w:sz="0" w:space="0" w:color="auto"/>
                            <w:bottom w:val="none" w:sz="0" w:space="0" w:color="auto"/>
                            <w:right w:val="none" w:sz="0" w:space="0" w:color="auto"/>
                          </w:divBdr>
                          <w:divsChild>
                            <w:div w:id="640580700">
                              <w:marLeft w:val="0"/>
                              <w:marRight w:val="0"/>
                              <w:marTop w:val="0"/>
                              <w:marBottom w:val="0"/>
                              <w:divBdr>
                                <w:top w:val="none" w:sz="0" w:space="0" w:color="auto"/>
                                <w:left w:val="none" w:sz="0" w:space="0" w:color="auto"/>
                                <w:bottom w:val="none" w:sz="0" w:space="0" w:color="auto"/>
                                <w:right w:val="none" w:sz="0" w:space="0" w:color="auto"/>
                              </w:divBdr>
                              <w:divsChild>
                                <w:div w:id="232661966">
                                  <w:marLeft w:val="0"/>
                                  <w:marRight w:val="0"/>
                                  <w:marTop w:val="0"/>
                                  <w:marBottom w:val="0"/>
                                  <w:divBdr>
                                    <w:top w:val="none" w:sz="0" w:space="0" w:color="auto"/>
                                    <w:left w:val="none" w:sz="0" w:space="0" w:color="auto"/>
                                    <w:bottom w:val="none" w:sz="0" w:space="0" w:color="auto"/>
                                    <w:right w:val="none" w:sz="0" w:space="0" w:color="auto"/>
                                  </w:divBdr>
                                  <w:divsChild>
                                    <w:div w:id="707216653">
                                      <w:marLeft w:val="0"/>
                                      <w:marRight w:val="0"/>
                                      <w:marTop w:val="0"/>
                                      <w:marBottom w:val="0"/>
                                      <w:divBdr>
                                        <w:top w:val="none" w:sz="0" w:space="0" w:color="auto"/>
                                        <w:left w:val="none" w:sz="0" w:space="0" w:color="auto"/>
                                        <w:bottom w:val="none" w:sz="0" w:space="0" w:color="auto"/>
                                        <w:right w:val="none" w:sz="0" w:space="0" w:color="auto"/>
                                      </w:divBdr>
                                      <w:divsChild>
                                        <w:div w:id="841239949">
                                          <w:marLeft w:val="0"/>
                                          <w:marRight w:val="0"/>
                                          <w:marTop w:val="0"/>
                                          <w:marBottom w:val="0"/>
                                          <w:divBdr>
                                            <w:top w:val="none" w:sz="0" w:space="0" w:color="auto"/>
                                            <w:left w:val="none" w:sz="0" w:space="0" w:color="auto"/>
                                            <w:bottom w:val="none" w:sz="0" w:space="0" w:color="auto"/>
                                            <w:right w:val="none" w:sz="0" w:space="0" w:color="auto"/>
                                          </w:divBdr>
                                          <w:divsChild>
                                            <w:div w:id="503932673">
                                              <w:marLeft w:val="0"/>
                                              <w:marRight w:val="0"/>
                                              <w:marTop w:val="0"/>
                                              <w:marBottom w:val="0"/>
                                              <w:divBdr>
                                                <w:top w:val="none" w:sz="0" w:space="0" w:color="auto"/>
                                                <w:left w:val="none" w:sz="0" w:space="0" w:color="auto"/>
                                                <w:bottom w:val="none" w:sz="0" w:space="0" w:color="auto"/>
                                                <w:right w:val="none" w:sz="0" w:space="0" w:color="auto"/>
                                              </w:divBdr>
                                              <w:divsChild>
                                                <w:div w:id="156768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5434118">
      <w:bodyDiv w:val="1"/>
      <w:marLeft w:val="0"/>
      <w:marRight w:val="0"/>
      <w:marTop w:val="0"/>
      <w:marBottom w:val="0"/>
      <w:divBdr>
        <w:top w:val="none" w:sz="0" w:space="0" w:color="auto"/>
        <w:left w:val="none" w:sz="0" w:space="0" w:color="auto"/>
        <w:bottom w:val="none" w:sz="0" w:space="0" w:color="auto"/>
        <w:right w:val="none" w:sz="0" w:space="0" w:color="auto"/>
      </w:divBdr>
      <w:divsChild>
        <w:div w:id="1096440847">
          <w:marLeft w:val="0"/>
          <w:marRight w:val="0"/>
          <w:marTop w:val="0"/>
          <w:marBottom w:val="0"/>
          <w:divBdr>
            <w:top w:val="none" w:sz="0" w:space="0" w:color="auto"/>
            <w:left w:val="none" w:sz="0" w:space="0" w:color="auto"/>
            <w:bottom w:val="none" w:sz="0" w:space="0" w:color="auto"/>
            <w:right w:val="none" w:sz="0" w:space="0" w:color="auto"/>
          </w:divBdr>
          <w:divsChild>
            <w:div w:id="1613442890">
              <w:marLeft w:val="0"/>
              <w:marRight w:val="0"/>
              <w:marTop w:val="0"/>
              <w:marBottom w:val="0"/>
              <w:divBdr>
                <w:top w:val="none" w:sz="0" w:space="0" w:color="auto"/>
                <w:left w:val="none" w:sz="0" w:space="0" w:color="auto"/>
                <w:bottom w:val="none" w:sz="0" w:space="0" w:color="auto"/>
                <w:right w:val="none" w:sz="0" w:space="0" w:color="auto"/>
              </w:divBdr>
              <w:divsChild>
                <w:div w:id="1855611513">
                  <w:marLeft w:val="0"/>
                  <w:marRight w:val="0"/>
                  <w:marTop w:val="0"/>
                  <w:marBottom w:val="0"/>
                  <w:divBdr>
                    <w:top w:val="none" w:sz="0" w:space="0" w:color="auto"/>
                    <w:left w:val="none" w:sz="0" w:space="0" w:color="auto"/>
                    <w:bottom w:val="none" w:sz="0" w:space="0" w:color="auto"/>
                    <w:right w:val="none" w:sz="0" w:space="0" w:color="auto"/>
                  </w:divBdr>
                  <w:divsChild>
                    <w:div w:id="38283179">
                      <w:marLeft w:val="0"/>
                      <w:marRight w:val="0"/>
                      <w:marTop w:val="0"/>
                      <w:marBottom w:val="0"/>
                      <w:divBdr>
                        <w:top w:val="none" w:sz="0" w:space="0" w:color="auto"/>
                        <w:left w:val="none" w:sz="0" w:space="0" w:color="auto"/>
                        <w:bottom w:val="none" w:sz="0" w:space="0" w:color="auto"/>
                        <w:right w:val="none" w:sz="0" w:space="0" w:color="auto"/>
                      </w:divBdr>
                      <w:divsChild>
                        <w:div w:id="1324699296">
                          <w:marLeft w:val="0"/>
                          <w:marRight w:val="0"/>
                          <w:marTop w:val="0"/>
                          <w:marBottom w:val="0"/>
                          <w:divBdr>
                            <w:top w:val="none" w:sz="0" w:space="0" w:color="auto"/>
                            <w:left w:val="none" w:sz="0" w:space="0" w:color="auto"/>
                            <w:bottom w:val="none" w:sz="0" w:space="0" w:color="auto"/>
                            <w:right w:val="none" w:sz="0" w:space="0" w:color="auto"/>
                          </w:divBdr>
                          <w:divsChild>
                            <w:div w:id="1285310037">
                              <w:marLeft w:val="0"/>
                              <w:marRight w:val="0"/>
                              <w:marTop w:val="0"/>
                              <w:marBottom w:val="0"/>
                              <w:divBdr>
                                <w:top w:val="none" w:sz="0" w:space="0" w:color="auto"/>
                                <w:left w:val="none" w:sz="0" w:space="0" w:color="auto"/>
                                <w:bottom w:val="none" w:sz="0" w:space="0" w:color="auto"/>
                                <w:right w:val="none" w:sz="0" w:space="0" w:color="auto"/>
                              </w:divBdr>
                              <w:divsChild>
                                <w:div w:id="245767522">
                                  <w:marLeft w:val="0"/>
                                  <w:marRight w:val="0"/>
                                  <w:marTop w:val="0"/>
                                  <w:marBottom w:val="0"/>
                                  <w:divBdr>
                                    <w:top w:val="none" w:sz="0" w:space="0" w:color="auto"/>
                                    <w:left w:val="none" w:sz="0" w:space="0" w:color="auto"/>
                                    <w:bottom w:val="none" w:sz="0" w:space="0" w:color="auto"/>
                                    <w:right w:val="none" w:sz="0" w:space="0" w:color="auto"/>
                                  </w:divBdr>
                                  <w:divsChild>
                                    <w:div w:id="506872587">
                                      <w:marLeft w:val="0"/>
                                      <w:marRight w:val="0"/>
                                      <w:marTop w:val="0"/>
                                      <w:marBottom w:val="0"/>
                                      <w:divBdr>
                                        <w:top w:val="none" w:sz="0" w:space="0" w:color="auto"/>
                                        <w:left w:val="none" w:sz="0" w:space="0" w:color="auto"/>
                                        <w:bottom w:val="none" w:sz="0" w:space="0" w:color="auto"/>
                                        <w:right w:val="none" w:sz="0" w:space="0" w:color="auto"/>
                                      </w:divBdr>
                                      <w:divsChild>
                                        <w:div w:id="1111436622">
                                          <w:marLeft w:val="0"/>
                                          <w:marRight w:val="0"/>
                                          <w:marTop w:val="0"/>
                                          <w:marBottom w:val="0"/>
                                          <w:divBdr>
                                            <w:top w:val="none" w:sz="0" w:space="0" w:color="auto"/>
                                            <w:left w:val="none" w:sz="0" w:space="0" w:color="auto"/>
                                            <w:bottom w:val="none" w:sz="0" w:space="0" w:color="auto"/>
                                            <w:right w:val="none" w:sz="0" w:space="0" w:color="auto"/>
                                          </w:divBdr>
                                          <w:divsChild>
                                            <w:div w:id="1456406803">
                                              <w:marLeft w:val="0"/>
                                              <w:marRight w:val="0"/>
                                              <w:marTop w:val="0"/>
                                              <w:marBottom w:val="0"/>
                                              <w:divBdr>
                                                <w:top w:val="none" w:sz="0" w:space="0" w:color="auto"/>
                                                <w:left w:val="none" w:sz="0" w:space="0" w:color="auto"/>
                                                <w:bottom w:val="none" w:sz="0" w:space="0" w:color="auto"/>
                                                <w:right w:val="none" w:sz="0" w:space="0" w:color="auto"/>
                                              </w:divBdr>
                                              <w:divsChild>
                                                <w:div w:id="10921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59365234">
      <w:bodyDiv w:val="1"/>
      <w:marLeft w:val="0"/>
      <w:marRight w:val="0"/>
      <w:marTop w:val="0"/>
      <w:marBottom w:val="0"/>
      <w:divBdr>
        <w:top w:val="none" w:sz="0" w:space="0" w:color="auto"/>
        <w:left w:val="none" w:sz="0" w:space="0" w:color="auto"/>
        <w:bottom w:val="none" w:sz="0" w:space="0" w:color="auto"/>
        <w:right w:val="none" w:sz="0" w:space="0" w:color="auto"/>
      </w:divBdr>
      <w:divsChild>
        <w:div w:id="1842315141">
          <w:marLeft w:val="0"/>
          <w:marRight w:val="0"/>
          <w:marTop w:val="0"/>
          <w:marBottom w:val="0"/>
          <w:divBdr>
            <w:top w:val="none" w:sz="0" w:space="0" w:color="auto"/>
            <w:left w:val="none" w:sz="0" w:space="0" w:color="auto"/>
            <w:bottom w:val="none" w:sz="0" w:space="0" w:color="auto"/>
            <w:right w:val="none" w:sz="0" w:space="0" w:color="auto"/>
          </w:divBdr>
          <w:divsChild>
            <w:div w:id="204484941">
              <w:marLeft w:val="0"/>
              <w:marRight w:val="0"/>
              <w:marTop w:val="0"/>
              <w:marBottom w:val="0"/>
              <w:divBdr>
                <w:top w:val="none" w:sz="0" w:space="0" w:color="auto"/>
                <w:left w:val="none" w:sz="0" w:space="0" w:color="auto"/>
                <w:bottom w:val="none" w:sz="0" w:space="0" w:color="auto"/>
                <w:right w:val="none" w:sz="0" w:space="0" w:color="auto"/>
              </w:divBdr>
              <w:divsChild>
                <w:div w:id="1093362362">
                  <w:marLeft w:val="0"/>
                  <w:marRight w:val="0"/>
                  <w:marTop w:val="0"/>
                  <w:marBottom w:val="0"/>
                  <w:divBdr>
                    <w:top w:val="none" w:sz="0" w:space="0" w:color="auto"/>
                    <w:left w:val="none" w:sz="0" w:space="0" w:color="auto"/>
                    <w:bottom w:val="none" w:sz="0" w:space="0" w:color="auto"/>
                    <w:right w:val="none" w:sz="0" w:space="0" w:color="auto"/>
                  </w:divBdr>
                  <w:divsChild>
                    <w:div w:id="1478838616">
                      <w:marLeft w:val="0"/>
                      <w:marRight w:val="0"/>
                      <w:marTop w:val="0"/>
                      <w:marBottom w:val="0"/>
                      <w:divBdr>
                        <w:top w:val="none" w:sz="0" w:space="0" w:color="auto"/>
                        <w:left w:val="none" w:sz="0" w:space="0" w:color="auto"/>
                        <w:bottom w:val="none" w:sz="0" w:space="0" w:color="auto"/>
                        <w:right w:val="none" w:sz="0" w:space="0" w:color="auto"/>
                      </w:divBdr>
                      <w:divsChild>
                        <w:div w:id="1299341338">
                          <w:marLeft w:val="0"/>
                          <w:marRight w:val="0"/>
                          <w:marTop w:val="0"/>
                          <w:marBottom w:val="0"/>
                          <w:divBdr>
                            <w:top w:val="none" w:sz="0" w:space="0" w:color="auto"/>
                            <w:left w:val="none" w:sz="0" w:space="0" w:color="auto"/>
                            <w:bottom w:val="none" w:sz="0" w:space="0" w:color="auto"/>
                            <w:right w:val="none" w:sz="0" w:space="0" w:color="auto"/>
                          </w:divBdr>
                          <w:divsChild>
                            <w:div w:id="563299318">
                              <w:marLeft w:val="0"/>
                              <w:marRight w:val="0"/>
                              <w:marTop w:val="0"/>
                              <w:marBottom w:val="0"/>
                              <w:divBdr>
                                <w:top w:val="none" w:sz="0" w:space="0" w:color="auto"/>
                                <w:left w:val="none" w:sz="0" w:space="0" w:color="auto"/>
                                <w:bottom w:val="none" w:sz="0" w:space="0" w:color="auto"/>
                                <w:right w:val="none" w:sz="0" w:space="0" w:color="auto"/>
                              </w:divBdr>
                              <w:divsChild>
                                <w:div w:id="1005203820">
                                  <w:marLeft w:val="0"/>
                                  <w:marRight w:val="0"/>
                                  <w:marTop w:val="0"/>
                                  <w:marBottom w:val="0"/>
                                  <w:divBdr>
                                    <w:top w:val="none" w:sz="0" w:space="0" w:color="auto"/>
                                    <w:left w:val="none" w:sz="0" w:space="0" w:color="auto"/>
                                    <w:bottom w:val="none" w:sz="0" w:space="0" w:color="auto"/>
                                    <w:right w:val="none" w:sz="0" w:space="0" w:color="auto"/>
                                  </w:divBdr>
                                  <w:divsChild>
                                    <w:div w:id="1685206501">
                                      <w:marLeft w:val="0"/>
                                      <w:marRight w:val="0"/>
                                      <w:marTop w:val="0"/>
                                      <w:marBottom w:val="0"/>
                                      <w:divBdr>
                                        <w:top w:val="none" w:sz="0" w:space="0" w:color="auto"/>
                                        <w:left w:val="none" w:sz="0" w:space="0" w:color="auto"/>
                                        <w:bottom w:val="none" w:sz="0" w:space="0" w:color="auto"/>
                                        <w:right w:val="none" w:sz="0" w:space="0" w:color="auto"/>
                                      </w:divBdr>
                                      <w:divsChild>
                                        <w:div w:id="6640114">
                                          <w:marLeft w:val="0"/>
                                          <w:marRight w:val="0"/>
                                          <w:marTop w:val="0"/>
                                          <w:marBottom w:val="0"/>
                                          <w:divBdr>
                                            <w:top w:val="none" w:sz="0" w:space="0" w:color="auto"/>
                                            <w:left w:val="none" w:sz="0" w:space="0" w:color="auto"/>
                                            <w:bottom w:val="none" w:sz="0" w:space="0" w:color="auto"/>
                                            <w:right w:val="none" w:sz="0" w:space="0" w:color="auto"/>
                                          </w:divBdr>
                                          <w:divsChild>
                                            <w:div w:id="2113813415">
                                              <w:marLeft w:val="0"/>
                                              <w:marRight w:val="0"/>
                                              <w:marTop w:val="0"/>
                                              <w:marBottom w:val="0"/>
                                              <w:divBdr>
                                                <w:top w:val="none" w:sz="0" w:space="0" w:color="auto"/>
                                                <w:left w:val="none" w:sz="0" w:space="0" w:color="auto"/>
                                                <w:bottom w:val="none" w:sz="0" w:space="0" w:color="auto"/>
                                                <w:right w:val="none" w:sz="0" w:space="0" w:color="auto"/>
                                              </w:divBdr>
                                              <w:divsChild>
                                                <w:div w:id="30470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454687">
      <w:bodyDiv w:val="1"/>
      <w:marLeft w:val="0"/>
      <w:marRight w:val="0"/>
      <w:marTop w:val="0"/>
      <w:marBottom w:val="0"/>
      <w:divBdr>
        <w:top w:val="none" w:sz="0" w:space="0" w:color="auto"/>
        <w:left w:val="none" w:sz="0" w:space="0" w:color="auto"/>
        <w:bottom w:val="none" w:sz="0" w:space="0" w:color="auto"/>
        <w:right w:val="none" w:sz="0" w:space="0" w:color="auto"/>
      </w:divBdr>
    </w:div>
    <w:div w:id="1348942335">
      <w:bodyDiv w:val="1"/>
      <w:marLeft w:val="0"/>
      <w:marRight w:val="0"/>
      <w:marTop w:val="0"/>
      <w:marBottom w:val="0"/>
      <w:divBdr>
        <w:top w:val="none" w:sz="0" w:space="0" w:color="auto"/>
        <w:left w:val="none" w:sz="0" w:space="0" w:color="auto"/>
        <w:bottom w:val="none" w:sz="0" w:space="0" w:color="auto"/>
        <w:right w:val="none" w:sz="0" w:space="0" w:color="auto"/>
      </w:divBdr>
    </w:div>
    <w:div w:id="1540824388">
      <w:bodyDiv w:val="1"/>
      <w:marLeft w:val="0"/>
      <w:marRight w:val="0"/>
      <w:marTop w:val="0"/>
      <w:marBottom w:val="0"/>
      <w:divBdr>
        <w:top w:val="none" w:sz="0" w:space="0" w:color="auto"/>
        <w:left w:val="none" w:sz="0" w:space="0" w:color="auto"/>
        <w:bottom w:val="none" w:sz="0" w:space="0" w:color="auto"/>
        <w:right w:val="none" w:sz="0" w:space="0" w:color="auto"/>
      </w:divBdr>
      <w:divsChild>
        <w:div w:id="1125348926">
          <w:marLeft w:val="0"/>
          <w:marRight w:val="0"/>
          <w:marTop w:val="0"/>
          <w:marBottom w:val="0"/>
          <w:divBdr>
            <w:top w:val="none" w:sz="0" w:space="0" w:color="auto"/>
            <w:left w:val="none" w:sz="0" w:space="0" w:color="auto"/>
            <w:bottom w:val="none" w:sz="0" w:space="0" w:color="auto"/>
            <w:right w:val="none" w:sz="0" w:space="0" w:color="auto"/>
          </w:divBdr>
          <w:divsChild>
            <w:div w:id="976111536">
              <w:marLeft w:val="0"/>
              <w:marRight w:val="0"/>
              <w:marTop w:val="0"/>
              <w:marBottom w:val="0"/>
              <w:divBdr>
                <w:top w:val="none" w:sz="0" w:space="0" w:color="auto"/>
                <w:left w:val="none" w:sz="0" w:space="0" w:color="auto"/>
                <w:bottom w:val="none" w:sz="0" w:space="0" w:color="auto"/>
                <w:right w:val="none" w:sz="0" w:space="0" w:color="auto"/>
              </w:divBdr>
              <w:divsChild>
                <w:div w:id="238251637">
                  <w:marLeft w:val="0"/>
                  <w:marRight w:val="0"/>
                  <w:marTop w:val="0"/>
                  <w:marBottom w:val="0"/>
                  <w:divBdr>
                    <w:top w:val="none" w:sz="0" w:space="0" w:color="auto"/>
                    <w:left w:val="none" w:sz="0" w:space="0" w:color="auto"/>
                    <w:bottom w:val="none" w:sz="0" w:space="0" w:color="auto"/>
                    <w:right w:val="none" w:sz="0" w:space="0" w:color="auto"/>
                  </w:divBdr>
                  <w:divsChild>
                    <w:div w:id="1867208710">
                      <w:marLeft w:val="0"/>
                      <w:marRight w:val="0"/>
                      <w:marTop w:val="0"/>
                      <w:marBottom w:val="0"/>
                      <w:divBdr>
                        <w:top w:val="none" w:sz="0" w:space="0" w:color="auto"/>
                        <w:left w:val="none" w:sz="0" w:space="0" w:color="auto"/>
                        <w:bottom w:val="none" w:sz="0" w:space="0" w:color="auto"/>
                        <w:right w:val="none" w:sz="0" w:space="0" w:color="auto"/>
                      </w:divBdr>
                      <w:divsChild>
                        <w:div w:id="2062707282">
                          <w:marLeft w:val="0"/>
                          <w:marRight w:val="0"/>
                          <w:marTop w:val="0"/>
                          <w:marBottom w:val="0"/>
                          <w:divBdr>
                            <w:top w:val="none" w:sz="0" w:space="0" w:color="auto"/>
                            <w:left w:val="none" w:sz="0" w:space="0" w:color="auto"/>
                            <w:bottom w:val="none" w:sz="0" w:space="0" w:color="auto"/>
                            <w:right w:val="none" w:sz="0" w:space="0" w:color="auto"/>
                          </w:divBdr>
                          <w:divsChild>
                            <w:div w:id="27459811">
                              <w:marLeft w:val="0"/>
                              <w:marRight w:val="0"/>
                              <w:marTop w:val="0"/>
                              <w:marBottom w:val="0"/>
                              <w:divBdr>
                                <w:top w:val="none" w:sz="0" w:space="0" w:color="auto"/>
                                <w:left w:val="none" w:sz="0" w:space="0" w:color="auto"/>
                                <w:bottom w:val="none" w:sz="0" w:space="0" w:color="auto"/>
                                <w:right w:val="none" w:sz="0" w:space="0" w:color="auto"/>
                              </w:divBdr>
                              <w:divsChild>
                                <w:div w:id="1362168442">
                                  <w:marLeft w:val="0"/>
                                  <w:marRight w:val="0"/>
                                  <w:marTop w:val="0"/>
                                  <w:marBottom w:val="0"/>
                                  <w:divBdr>
                                    <w:top w:val="none" w:sz="0" w:space="0" w:color="auto"/>
                                    <w:left w:val="none" w:sz="0" w:space="0" w:color="auto"/>
                                    <w:bottom w:val="none" w:sz="0" w:space="0" w:color="auto"/>
                                    <w:right w:val="none" w:sz="0" w:space="0" w:color="auto"/>
                                  </w:divBdr>
                                  <w:divsChild>
                                    <w:div w:id="402990648">
                                      <w:marLeft w:val="0"/>
                                      <w:marRight w:val="0"/>
                                      <w:marTop w:val="0"/>
                                      <w:marBottom w:val="0"/>
                                      <w:divBdr>
                                        <w:top w:val="none" w:sz="0" w:space="0" w:color="auto"/>
                                        <w:left w:val="none" w:sz="0" w:space="0" w:color="auto"/>
                                        <w:bottom w:val="none" w:sz="0" w:space="0" w:color="auto"/>
                                        <w:right w:val="none" w:sz="0" w:space="0" w:color="auto"/>
                                      </w:divBdr>
                                      <w:divsChild>
                                        <w:div w:id="65302066">
                                          <w:marLeft w:val="0"/>
                                          <w:marRight w:val="0"/>
                                          <w:marTop w:val="0"/>
                                          <w:marBottom w:val="0"/>
                                          <w:divBdr>
                                            <w:top w:val="none" w:sz="0" w:space="0" w:color="auto"/>
                                            <w:left w:val="none" w:sz="0" w:space="0" w:color="auto"/>
                                            <w:bottom w:val="none" w:sz="0" w:space="0" w:color="auto"/>
                                            <w:right w:val="none" w:sz="0" w:space="0" w:color="auto"/>
                                          </w:divBdr>
                                          <w:divsChild>
                                            <w:div w:id="360665801">
                                              <w:marLeft w:val="0"/>
                                              <w:marRight w:val="0"/>
                                              <w:marTop w:val="0"/>
                                              <w:marBottom w:val="0"/>
                                              <w:divBdr>
                                                <w:top w:val="none" w:sz="0" w:space="0" w:color="auto"/>
                                                <w:left w:val="none" w:sz="0" w:space="0" w:color="auto"/>
                                                <w:bottom w:val="none" w:sz="0" w:space="0" w:color="auto"/>
                                                <w:right w:val="none" w:sz="0" w:space="0" w:color="auto"/>
                                              </w:divBdr>
                                              <w:divsChild>
                                                <w:div w:id="67707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6471787">
      <w:bodyDiv w:val="1"/>
      <w:marLeft w:val="0"/>
      <w:marRight w:val="0"/>
      <w:marTop w:val="0"/>
      <w:marBottom w:val="0"/>
      <w:divBdr>
        <w:top w:val="none" w:sz="0" w:space="0" w:color="auto"/>
        <w:left w:val="none" w:sz="0" w:space="0" w:color="auto"/>
        <w:bottom w:val="none" w:sz="0" w:space="0" w:color="auto"/>
        <w:right w:val="none" w:sz="0" w:space="0" w:color="auto"/>
      </w:divBdr>
      <w:divsChild>
        <w:div w:id="837842861">
          <w:marLeft w:val="0"/>
          <w:marRight w:val="0"/>
          <w:marTop w:val="0"/>
          <w:marBottom w:val="0"/>
          <w:divBdr>
            <w:top w:val="none" w:sz="0" w:space="0" w:color="auto"/>
            <w:left w:val="none" w:sz="0" w:space="0" w:color="auto"/>
            <w:bottom w:val="none" w:sz="0" w:space="0" w:color="auto"/>
            <w:right w:val="none" w:sz="0" w:space="0" w:color="auto"/>
          </w:divBdr>
          <w:divsChild>
            <w:div w:id="780033622">
              <w:marLeft w:val="0"/>
              <w:marRight w:val="0"/>
              <w:marTop w:val="0"/>
              <w:marBottom w:val="0"/>
              <w:divBdr>
                <w:top w:val="none" w:sz="0" w:space="0" w:color="auto"/>
                <w:left w:val="none" w:sz="0" w:space="0" w:color="auto"/>
                <w:bottom w:val="none" w:sz="0" w:space="0" w:color="auto"/>
                <w:right w:val="none" w:sz="0" w:space="0" w:color="auto"/>
              </w:divBdr>
              <w:divsChild>
                <w:div w:id="801730479">
                  <w:marLeft w:val="0"/>
                  <w:marRight w:val="0"/>
                  <w:marTop w:val="0"/>
                  <w:marBottom w:val="0"/>
                  <w:divBdr>
                    <w:top w:val="none" w:sz="0" w:space="0" w:color="auto"/>
                    <w:left w:val="none" w:sz="0" w:space="0" w:color="auto"/>
                    <w:bottom w:val="none" w:sz="0" w:space="0" w:color="auto"/>
                    <w:right w:val="none" w:sz="0" w:space="0" w:color="auto"/>
                  </w:divBdr>
                  <w:divsChild>
                    <w:div w:id="134028047">
                      <w:marLeft w:val="0"/>
                      <w:marRight w:val="0"/>
                      <w:marTop w:val="0"/>
                      <w:marBottom w:val="0"/>
                      <w:divBdr>
                        <w:top w:val="none" w:sz="0" w:space="0" w:color="auto"/>
                        <w:left w:val="none" w:sz="0" w:space="0" w:color="auto"/>
                        <w:bottom w:val="none" w:sz="0" w:space="0" w:color="auto"/>
                        <w:right w:val="none" w:sz="0" w:space="0" w:color="auto"/>
                      </w:divBdr>
                      <w:divsChild>
                        <w:div w:id="570042401">
                          <w:marLeft w:val="0"/>
                          <w:marRight w:val="0"/>
                          <w:marTop w:val="0"/>
                          <w:marBottom w:val="0"/>
                          <w:divBdr>
                            <w:top w:val="none" w:sz="0" w:space="0" w:color="auto"/>
                            <w:left w:val="none" w:sz="0" w:space="0" w:color="auto"/>
                            <w:bottom w:val="none" w:sz="0" w:space="0" w:color="auto"/>
                            <w:right w:val="none" w:sz="0" w:space="0" w:color="auto"/>
                          </w:divBdr>
                          <w:divsChild>
                            <w:div w:id="1868715972">
                              <w:marLeft w:val="0"/>
                              <w:marRight w:val="0"/>
                              <w:marTop w:val="0"/>
                              <w:marBottom w:val="0"/>
                              <w:divBdr>
                                <w:top w:val="none" w:sz="0" w:space="0" w:color="auto"/>
                                <w:left w:val="none" w:sz="0" w:space="0" w:color="auto"/>
                                <w:bottom w:val="none" w:sz="0" w:space="0" w:color="auto"/>
                                <w:right w:val="none" w:sz="0" w:space="0" w:color="auto"/>
                              </w:divBdr>
                              <w:divsChild>
                                <w:div w:id="193130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2252379">
      <w:bodyDiv w:val="1"/>
      <w:marLeft w:val="0"/>
      <w:marRight w:val="0"/>
      <w:marTop w:val="0"/>
      <w:marBottom w:val="0"/>
      <w:divBdr>
        <w:top w:val="none" w:sz="0" w:space="0" w:color="auto"/>
        <w:left w:val="none" w:sz="0" w:space="0" w:color="auto"/>
        <w:bottom w:val="none" w:sz="0" w:space="0" w:color="auto"/>
        <w:right w:val="none" w:sz="0" w:space="0" w:color="auto"/>
      </w:divBdr>
      <w:divsChild>
        <w:div w:id="897128836">
          <w:marLeft w:val="0"/>
          <w:marRight w:val="0"/>
          <w:marTop w:val="0"/>
          <w:marBottom w:val="0"/>
          <w:divBdr>
            <w:top w:val="none" w:sz="0" w:space="0" w:color="auto"/>
            <w:left w:val="none" w:sz="0" w:space="0" w:color="auto"/>
            <w:bottom w:val="none" w:sz="0" w:space="0" w:color="auto"/>
            <w:right w:val="none" w:sz="0" w:space="0" w:color="auto"/>
          </w:divBdr>
          <w:divsChild>
            <w:div w:id="279266954">
              <w:marLeft w:val="0"/>
              <w:marRight w:val="0"/>
              <w:marTop w:val="0"/>
              <w:marBottom w:val="0"/>
              <w:divBdr>
                <w:top w:val="none" w:sz="0" w:space="0" w:color="auto"/>
                <w:left w:val="none" w:sz="0" w:space="0" w:color="auto"/>
                <w:bottom w:val="none" w:sz="0" w:space="0" w:color="auto"/>
                <w:right w:val="none" w:sz="0" w:space="0" w:color="auto"/>
              </w:divBdr>
              <w:divsChild>
                <w:div w:id="1486121094">
                  <w:marLeft w:val="0"/>
                  <w:marRight w:val="0"/>
                  <w:marTop w:val="0"/>
                  <w:marBottom w:val="0"/>
                  <w:divBdr>
                    <w:top w:val="none" w:sz="0" w:space="0" w:color="auto"/>
                    <w:left w:val="none" w:sz="0" w:space="0" w:color="auto"/>
                    <w:bottom w:val="none" w:sz="0" w:space="0" w:color="auto"/>
                    <w:right w:val="none" w:sz="0" w:space="0" w:color="auto"/>
                  </w:divBdr>
                  <w:divsChild>
                    <w:div w:id="893003861">
                      <w:marLeft w:val="0"/>
                      <w:marRight w:val="0"/>
                      <w:marTop w:val="0"/>
                      <w:marBottom w:val="0"/>
                      <w:divBdr>
                        <w:top w:val="none" w:sz="0" w:space="0" w:color="auto"/>
                        <w:left w:val="none" w:sz="0" w:space="0" w:color="auto"/>
                        <w:bottom w:val="none" w:sz="0" w:space="0" w:color="auto"/>
                        <w:right w:val="none" w:sz="0" w:space="0" w:color="auto"/>
                      </w:divBdr>
                      <w:divsChild>
                        <w:div w:id="812331643">
                          <w:marLeft w:val="0"/>
                          <w:marRight w:val="0"/>
                          <w:marTop w:val="0"/>
                          <w:marBottom w:val="0"/>
                          <w:divBdr>
                            <w:top w:val="none" w:sz="0" w:space="0" w:color="auto"/>
                            <w:left w:val="none" w:sz="0" w:space="0" w:color="auto"/>
                            <w:bottom w:val="none" w:sz="0" w:space="0" w:color="auto"/>
                            <w:right w:val="none" w:sz="0" w:space="0" w:color="auto"/>
                          </w:divBdr>
                          <w:divsChild>
                            <w:div w:id="1808861850">
                              <w:marLeft w:val="0"/>
                              <w:marRight w:val="0"/>
                              <w:marTop w:val="0"/>
                              <w:marBottom w:val="0"/>
                              <w:divBdr>
                                <w:top w:val="none" w:sz="0" w:space="0" w:color="auto"/>
                                <w:left w:val="none" w:sz="0" w:space="0" w:color="auto"/>
                                <w:bottom w:val="none" w:sz="0" w:space="0" w:color="auto"/>
                                <w:right w:val="none" w:sz="0" w:space="0" w:color="auto"/>
                              </w:divBdr>
                              <w:divsChild>
                                <w:div w:id="1655253558">
                                  <w:marLeft w:val="0"/>
                                  <w:marRight w:val="0"/>
                                  <w:marTop w:val="0"/>
                                  <w:marBottom w:val="0"/>
                                  <w:divBdr>
                                    <w:top w:val="none" w:sz="0" w:space="0" w:color="auto"/>
                                    <w:left w:val="none" w:sz="0" w:space="0" w:color="auto"/>
                                    <w:bottom w:val="none" w:sz="0" w:space="0" w:color="auto"/>
                                    <w:right w:val="none" w:sz="0" w:space="0" w:color="auto"/>
                                  </w:divBdr>
                                  <w:divsChild>
                                    <w:div w:id="151606847">
                                      <w:marLeft w:val="0"/>
                                      <w:marRight w:val="0"/>
                                      <w:marTop w:val="0"/>
                                      <w:marBottom w:val="0"/>
                                      <w:divBdr>
                                        <w:top w:val="none" w:sz="0" w:space="0" w:color="auto"/>
                                        <w:left w:val="none" w:sz="0" w:space="0" w:color="auto"/>
                                        <w:bottom w:val="none" w:sz="0" w:space="0" w:color="auto"/>
                                        <w:right w:val="none" w:sz="0" w:space="0" w:color="auto"/>
                                      </w:divBdr>
                                      <w:divsChild>
                                        <w:div w:id="2098862349">
                                          <w:marLeft w:val="0"/>
                                          <w:marRight w:val="0"/>
                                          <w:marTop w:val="0"/>
                                          <w:marBottom w:val="0"/>
                                          <w:divBdr>
                                            <w:top w:val="none" w:sz="0" w:space="0" w:color="auto"/>
                                            <w:left w:val="none" w:sz="0" w:space="0" w:color="auto"/>
                                            <w:bottom w:val="none" w:sz="0" w:space="0" w:color="auto"/>
                                            <w:right w:val="none" w:sz="0" w:space="0" w:color="auto"/>
                                          </w:divBdr>
                                          <w:divsChild>
                                            <w:div w:id="1083641683">
                                              <w:marLeft w:val="0"/>
                                              <w:marRight w:val="0"/>
                                              <w:marTop w:val="0"/>
                                              <w:marBottom w:val="0"/>
                                              <w:divBdr>
                                                <w:top w:val="none" w:sz="0" w:space="0" w:color="auto"/>
                                                <w:left w:val="none" w:sz="0" w:space="0" w:color="auto"/>
                                                <w:bottom w:val="none" w:sz="0" w:space="0" w:color="auto"/>
                                                <w:right w:val="none" w:sz="0" w:space="0" w:color="auto"/>
                                              </w:divBdr>
                                              <w:divsChild>
                                                <w:div w:id="5239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1784683">
      <w:bodyDiv w:val="1"/>
      <w:marLeft w:val="0"/>
      <w:marRight w:val="0"/>
      <w:marTop w:val="0"/>
      <w:marBottom w:val="0"/>
      <w:divBdr>
        <w:top w:val="none" w:sz="0" w:space="0" w:color="auto"/>
        <w:left w:val="none" w:sz="0" w:space="0" w:color="auto"/>
        <w:bottom w:val="none" w:sz="0" w:space="0" w:color="auto"/>
        <w:right w:val="none" w:sz="0" w:space="0" w:color="auto"/>
      </w:divBdr>
    </w:div>
    <w:div w:id="1897928499">
      <w:bodyDiv w:val="1"/>
      <w:marLeft w:val="0"/>
      <w:marRight w:val="0"/>
      <w:marTop w:val="0"/>
      <w:marBottom w:val="0"/>
      <w:divBdr>
        <w:top w:val="none" w:sz="0" w:space="0" w:color="auto"/>
        <w:left w:val="none" w:sz="0" w:space="0" w:color="auto"/>
        <w:bottom w:val="none" w:sz="0" w:space="0" w:color="auto"/>
        <w:right w:val="none" w:sz="0" w:space="0" w:color="auto"/>
      </w:divBdr>
      <w:divsChild>
        <w:div w:id="1728650972">
          <w:marLeft w:val="0"/>
          <w:marRight w:val="0"/>
          <w:marTop w:val="0"/>
          <w:marBottom w:val="0"/>
          <w:divBdr>
            <w:top w:val="none" w:sz="0" w:space="0" w:color="auto"/>
            <w:left w:val="none" w:sz="0" w:space="0" w:color="auto"/>
            <w:bottom w:val="none" w:sz="0" w:space="0" w:color="auto"/>
            <w:right w:val="none" w:sz="0" w:space="0" w:color="auto"/>
          </w:divBdr>
          <w:divsChild>
            <w:div w:id="905847366">
              <w:marLeft w:val="0"/>
              <w:marRight w:val="0"/>
              <w:marTop w:val="0"/>
              <w:marBottom w:val="0"/>
              <w:divBdr>
                <w:top w:val="none" w:sz="0" w:space="0" w:color="auto"/>
                <w:left w:val="none" w:sz="0" w:space="0" w:color="auto"/>
                <w:bottom w:val="none" w:sz="0" w:space="0" w:color="auto"/>
                <w:right w:val="none" w:sz="0" w:space="0" w:color="auto"/>
              </w:divBdr>
              <w:divsChild>
                <w:div w:id="139924926">
                  <w:marLeft w:val="0"/>
                  <w:marRight w:val="0"/>
                  <w:marTop w:val="0"/>
                  <w:marBottom w:val="0"/>
                  <w:divBdr>
                    <w:top w:val="none" w:sz="0" w:space="0" w:color="auto"/>
                    <w:left w:val="none" w:sz="0" w:space="0" w:color="auto"/>
                    <w:bottom w:val="none" w:sz="0" w:space="0" w:color="auto"/>
                    <w:right w:val="none" w:sz="0" w:space="0" w:color="auto"/>
                  </w:divBdr>
                  <w:divsChild>
                    <w:div w:id="704520565">
                      <w:marLeft w:val="0"/>
                      <w:marRight w:val="0"/>
                      <w:marTop w:val="0"/>
                      <w:marBottom w:val="0"/>
                      <w:divBdr>
                        <w:top w:val="none" w:sz="0" w:space="0" w:color="auto"/>
                        <w:left w:val="none" w:sz="0" w:space="0" w:color="auto"/>
                        <w:bottom w:val="none" w:sz="0" w:space="0" w:color="auto"/>
                        <w:right w:val="none" w:sz="0" w:space="0" w:color="auto"/>
                      </w:divBdr>
                      <w:divsChild>
                        <w:div w:id="305017497">
                          <w:marLeft w:val="0"/>
                          <w:marRight w:val="0"/>
                          <w:marTop w:val="0"/>
                          <w:marBottom w:val="0"/>
                          <w:divBdr>
                            <w:top w:val="none" w:sz="0" w:space="0" w:color="auto"/>
                            <w:left w:val="none" w:sz="0" w:space="0" w:color="auto"/>
                            <w:bottom w:val="none" w:sz="0" w:space="0" w:color="auto"/>
                            <w:right w:val="none" w:sz="0" w:space="0" w:color="auto"/>
                          </w:divBdr>
                          <w:divsChild>
                            <w:div w:id="491873281">
                              <w:marLeft w:val="0"/>
                              <w:marRight w:val="0"/>
                              <w:marTop w:val="0"/>
                              <w:marBottom w:val="0"/>
                              <w:divBdr>
                                <w:top w:val="none" w:sz="0" w:space="0" w:color="auto"/>
                                <w:left w:val="none" w:sz="0" w:space="0" w:color="auto"/>
                                <w:bottom w:val="none" w:sz="0" w:space="0" w:color="auto"/>
                                <w:right w:val="none" w:sz="0" w:space="0" w:color="auto"/>
                              </w:divBdr>
                              <w:divsChild>
                                <w:div w:id="1157305983">
                                  <w:marLeft w:val="0"/>
                                  <w:marRight w:val="0"/>
                                  <w:marTop w:val="0"/>
                                  <w:marBottom w:val="0"/>
                                  <w:divBdr>
                                    <w:top w:val="none" w:sz="0" w:space="0" w:color="auto"/>
                                    <w:left w:val="none" w:sz="0" w:space="0" w:color="auto"/>
                                    <w:bottom w:val="none" w:sz="0" w:space="0" w:color="auto"/>
                                    <w:right w:val="none" w:sz="0" w:space="0" w:color="auto"/>
                                  </w:divBdr>
                                  <w:divsChild>
                                    <w:div w:id="979847615">
                                      <w:marLeft w:val="0"/>
                                      <w:marRight w:val="0"/>
                                      <w:marTop w:val="0"/>
                                      <w:marBottom w:val="0"/>
                                      <w:divBdr>
                                        <w:top w:val="none" w:sz="0" w:space="0" w:color="auto"/>
                                        <w:left w:val="none" w:sz="0" w:space="0" w:color="auto"/>
                                        <w:bottom w:val="none" w:sz="0" w:space="0" w:color="auto"/>
                                        <w:right w:val="none" w:sz="0" w:space="0" w:color="auto"/>
                                      </w:divBdr>
                                      <w:divsChild>
                                        <w:div w:id="887451067">
                                          <w:marLeft w:val="0"/>
                                          <w:marRight w:val="0"/>
                                          <w:marTop w:val="0"/>
                                          <w:marBottom w:val="0"/>
                                          <w:divBdr>
                                            <w:top w:val="none" w:sz="0" w:space="0" w:color="auto"/>
                                            <w:left w:val="none" w:sz="0" w:space="0" w:color="auto"/>
                                            <w:bottom w:val="none" w:sz="0" w:space="0" w:color="auto"/>
                                            <w:right w:val="none" w:sz="0" w:space="0" w:color="auto"/>
                                          </w:divBdr>
                                          <w:divsChild>
                                            <w:div w:id="194923643">
                                              <w:marLeft w:val="0"/>
                                              <w:marRight w:val="0"/>
                                              <w:marTop w:val="0"/>
                                              <w:marBottom w:val="0"/>
                                              <w:divBdr>
                                                <w:top w:val="none" w:sz="0" w:space="0" w:color="auto"/>
                                                <w:left w:val="none" w:sz="0" w:space="0" w:color="auto"/>
                                                <w:bottom w:val="none" w:sz="0" w:space="0" w:color="auto"/>
                                                <w:right w:val="none" w:sz="0" w:space="0" w:color="auto"/>
                                              </w:divBdr>
                                              <w:divsChild>
                                                <w:div w:id="149618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9924979">
      <w:bodyDiv w:val="1"/>
      <w:marLeft w:val="0"/>
      <w:marRight w:val="0"/>
      <w:marTop w:val="0"/>
      <w:marBottom w:val="0"/>
      <w:divBdr>
        <w:top w:val="none" w:sz="0" w:space="0" w:color="auto"/>
        <w:left w:val="none" w:sz="0" w:space="0" w:color="auto"/>
        <w:bottom w:val="none" w:sz="0" w:space="0" w:color="auto"/>
        <w:right w:val="none" w:sz="0" w:space="0" w:color="auto"/>
      </w:divBdr>
      <w:divsChild>
        <w:div w:id="1634291604">
          <w:marLeft w:val="0"/>
          <w:marRight w:val="0"/>
          <w:marTop w:val="0"/>
          <w:marBottom w:val="0"/>
          <w:divBdr>
            <w:top w:val="none" w:sz="0" w:space="0" w:color="auto"/>
            <w:left w:val="none" w:sz="0" w:space="0" w:color="auto"/>
            <w:bottom w:val="none" w:sz="0" w:space="0" w:color="auto"/>
            <w:right w:val="none" w:sz="0" w:space="0" w:color="auto"/>
          </w:divBdr>
          <w:divsChild>
            <w:div w:id="790246736">
              <w:marLeft w:val="0"/>
              <w:marRight w:val="0"/>
              <w:marTop w:val="0"/>
              <w:marBottom w:val="0"/>
              <w:divBdr>
                <w:top w:val="none" w:sz="0" w:space="0" w:color="auto"/>
                <w:left w:val="none" w:sz="0" w:space="0" w:color="auto"/>
                <w:bottom w:val="none" w:sz="0" w:space="0" w:color="auto"/>
                <w:right w:val="none" w:sz="0" w:space="0" w:color="auto"/>
              </w:divBdr>
              <w:divsChild>
                <w:div w:id="1218590555">
                  <w:marLeft w:val="0"/>
                  <w:marRight w:val="0"/>
                  <w:marTop w:val="0"/>
                  <w:marBottom w:val="0"/>
                  <w:divBdr>
                    <w:top w:val="none" w:sz="0" w:space="0" w:color="auto"/>
                    <w:left w:val="none" w:sz="0" w:space="0" w:color="auto"/>
                    <w:bottom w:val="none" w:sz="0" w:space="0" w:color="auto"/>
                    <w:right w:val="none" w:sz="0" w:space="0" w:color="auto"/>
                  </w:divBdr>
                  <w:divsChild>
                    <w:div w:id="1296719417">
                      <w:marLeft w:val="0"/>
                      <w:marRight w:val="0"/>
                      <w:marTop w:val="0"/>
                      <w:marBottom w:val="0"/>
                      <w:divBdr>
                        <w:top w:val="none" w:sz="0" w:space="0" w:color="auto"/>
                        <w:left w:val="none" w:sz="0" w:space="0" w:color="auto"/>
                        <w:bottom w:val="none" w:sz="0" w:space="0" w:color="auto"/>
                        <w:right w:val="none" w:sz="0" w:space="0" w:color="auto"/>
                      </w:divBdr>
                      <w:divsChild>
                        <w:div w:id="951127229">
                          <w:marLeft w:val="0"/>
                          <w:marRight w:val="0"/>
                          <w:marTop w:val="0"/>
                          <w:marBottom w:val="0"/>
                          <w:divBdr>
                            <w:top w:val="none" w:sz="0" w:space="0" w:color="auto"/>
                            <w:left w:val="none" w:sz="0" w:space="0" w:color="auto"/>
                            <w:bottom w:val="none" w:sz="0" w:space="0" w:color="auto"/>
                            <w:right w:val="none" w:sz="0" w:space="0" w:color="auto"/>
                          </w:divBdr>
                          <w:divsChild>
                            <w:div w:id="1002855051">
                              <w:marLeft w:val="0"/>
                              <w:marRight w:val="0"/>
                              <w:marTop w:val="0"/>
                              <w:marBottom w:val="0"/>
                              <w:divBdr>
                                <w:top w:val="none" w:sz="0" w:space="0" w:color="auto"/>
                                <w:left w:val="none" w:sz="0" w:space="0" w:color="auto"/>
                                <w:bottom w:val="none" w:sz="0" w:space="0" w:color="auto"/>
                                <w:right w:val="none" w:sz="0" w:space="0" w:color="auto"/>
                              </w:divBdr>
                              <w:divsChild>
                                <w:div w:id="683095339">
                                  <w:marLeft w:val="0"/>
                                  <w:marRight w:val="0"/>
                                  <w:marTop w:val="0"/>
                                  <w:marBottom w:val="0"/>
                                  <w:divBdr>
                                    <w:top w:val="none" w:sz="0" w:space="0" w:color="auto"/>
                                    <w:left w:val="none" w:sz="0" w:space="0" w:color="auto"/>
                                    <w:bottom w:val="none" w:sz="0" w:space="0" w:color="auto"/>
                                    <w:right w:val="none" w:sz="0" w:space="0" w:color="auto"/>
                                  </w:divBdr>
                                  <w:divsChild>
                                    <w:div w:id="21325649">
                                      <w:marLeft w:val="0"/>
                                      <w:marRight w:val="0"/>
                                      <w:marTop w:val="0"/>
                                      <w:marBottom w:val="0"/>
                                      <w:divBdr>
                                        <w:top w:val="none" w:sz="0" w:space="0" w:color="auto"/>
                                        <w:left w:val="none" w:sz="0" w:space="0" w:color="auto"/>
                                        <w:bottom w:val="none" w:sz="0" w:space="0" w:color="auto"/>
                                        <w:right w:val="none" w:sz="0" w:space="0" w:color="auto"/>
                                      </w:divBdr>
                                      <w:divsChild>
                                        <w:div w:id="230384767">
                                          <w:marLeft w:val="0"/>
                                          <w:marRight w:val="0"/>
                                          <w:marTop w:val="0"/>
                                          <w:marBottom w:val="0"/>
                                          <w:divBdr>
                                            <w:top w:val="none" w:sz="0" w:space="0" w:color="auto"/>
                                            <w:left w:val="none" w:sz="0" w:space="0" w:color="auto"/>
                                            <w:bottom w:val="none" w:sz="0" w:space="0" w:color="auto"/>
                                            <w:right w:val="none" w:sz="0" w:space="0" w:color="auto"/>
                                          </w:divBdr>
                                          <w:divsChild>
                                            <w:div w:id="422846917">
                                              <w:marLeft w:val="0"/>
                                              <w:marRight w:val="0"/>
                                              <w:marTop w:val="0"/>
                                              <w:marBottom w:val="0"/>
                                              <w:divBdr>
                                                <w:top w:val="none" w:sz="0" w:space="0" w:color="auto"/>
                                                <w:left w:val="none" w:sz="0" w:space="0" w:color="auto"/>
                                                <w:bottom w:val="none" w:sz="0" w:space="0" w:color="auto"/>
                                                <w:right w:val="none" w:sz="0" w:space="0" w:color="auto"/>
                                              </w:divBdr>
                                              <w:divsChild>
                                                <w:div w:id="167922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0431237">
      <w:bodyDiv w:val="1"/>
      <w:marLeft w:val="0"/>
      <w:marRight w:val="0"/>
      <w:marTop w:val="0"/>
      <w:marBottom w:val="0"/>
      <w:divBdr>
        <w:top w:val="none" w:sz="0" w:space="0" w:color="auto"/>
        <w:left w:val="none" w:sz="0" w:space="0" w:color="auto"/>
        <w:bottom w:val="none" w:sz="0" w:space="0" w:color="auto"/>
        <w:right w:val="none" w:sz="0" w:space="0" w:color="auto"/>
      </w:divBdr>
    </w:div>
    <w:div w:id="1954751328">
      <w:bodyDiv w:val="1"/>
      <w:marLeft w:val="0"/>
      <w:marRight w:val="0"/>
      <w:marTop w:val="0"/>
      <w:marBottom w:val="0"/>
      <w:divBdr>
        <w:top w:val="none" w:sz="0" w:space="0" w:color="auto"/>
        <w:left w:val="none" w:sz="0" w:space="0" w:color="auto"/>
        <w:bottom w:val="none" w:sz="0" w:space="0" w:color="auto"/>
        <w:right w:val="none" w:sz="0" w:space="0" w:color="auto"/>
      </w:divBdr>
    </w:div>
    <w:div w:id="1990593658">
      <w:bodyDiv w:val="1"/>
      <w:marLeft w:val="0"/>
      <w:marRight w:val="0"/>
      <w:marTop w:val="0"/>
      <w:marBottom w:val="0"/>
      <w:divBdr>
        <w:top w:val="none" w:sz="0" w:space="0" w:color="auto"/>
        <w:left w:val="none" w:sz="0" w:space="0" w:color="auto"/>
        <w:bottom w:val="none" w:sz="0" w:space="0" w:color="auto"/>
        <w:right w:val="none" w:sz="0" w:space="0" w:color="auto"/>
      </w:divBdr>
      <w:divsChild>
        <w:div w:id="2054688809">
          <w:marLeft w:val="0"/>
          <w:marRight w:val="0"/>
          <w:marTop w:val="0"/>
          <w:marBottom w:val="0"/>
          <w:divBdr>
            <w:top w:val="none" w:sz="0" w:space="0" w:color="auto"/>
            <w:left w:val="none" w:sz="0" w:space="0" w:color="auto"/>
            <w:bottom w:val="none" w:sz="0" w:space="0" w:color="auto"/>
            <w:right w:val="none" w:sz="0" w:space="0" w:color="auto"/>
          </w:divBdr>
          <w:divsChild>
            <w:div w:id="399639595">
              <w:marLeft w:val="0"/>
              <w:marRight w:val="0"/>
              <w:marTop w:val="0"/>
              <w:marBottom w:val="0"/>
              <w:divBdr>
                <w:top w:val="none" w:sz="0" w:space="0" w:color="auto"/>
                <w:left w:val="none" w:sz="0" w:space="0" w:color="auto"/>
                <w:bottom w:val="none" w:sz="0" w:space="0" w:color="auto"/>
                <w:right w:val="none" w:sz="0" w:space="0" w:color="auto"/>
              </w:divBdr>
              <w:divsChild>
                <w:div w:id="840662095">
                  <w:marLeft w:val="0"/>
                  <w:marRight w:val="0"/>
                  <w:marTop w:val="0"/>
                  <w:marBottom w:val="0"/>
                  <w:divBdr>
                    <w:top w:val="none" w:sz="0" w:space="0" w:color="auto"/>
                    <w:left w:val="none" w:sz="0" w:space="0" w:color="auto"/>
                    <w:bottom w:val="none" w:sz="0" w:space="0" w:color="auto"/>
                    <w:right w:val="none" w:sz="0" w:space="0" w:color="auto"/>
                  </w:divBdr>
                  <w:divsChild>
                    <w:div w:id="897664356">
                      <w:marLeft w:val="0"/>
                      <w:marRight w:val="0"/>
                      <w:marTop w:val="0"/>
                      <w:marBottom w:val="0"/>
                      <w:divBdr>
                        <w:top w:val="none" w:sz="0" w:space="0" w:color="auto"/>
                        <w:left w:val="none" w:sz="0" w:space="0" w:color="auto"/>
                        <w:bottom w:val="none" w:sz="0" w:space="0" w:color="auto"/>
                        <w:right w:val="none" w:sz="0" w:space="0" w:color="auto"/>
                      </w:divBdr>
                      <w:divsChild>
                        <w:div w:id="420756148">
                          <w:marLeft w:val="0"/>
                          <w:marRight w:val="0"/>
                          <w:marTop w:val="0"/>
                          <w:marBottom w:val="0"/>
                          <w:divBdr>
                            <w:top w:val="none" w:sz="0" w:space="0" w:color="auto"/>
                            <w:left w:val="none" w:sz="0" w:space="0" w:color="auto"/>
                            <w:bottom w:val="none" w:sz="0" w:space="0" w:color="auto"/>
                            <w:right w:val="none" w:sz="0" w:space="0" w:color="auto"/>
                          </w:divBdr>
                          <w:divsChild>
                            <w:div w:id="419719610">
                              <w:marLeft w:val="0"/>
                              <w:marRight w:val="0"/>
                              <w:marTop w:val="0"/>
                              <w:marBottom w:val="0"/>
                              <w:divBdr>
                                <w:top w:val="none" w:sz="0" w:space="0" w:color="auto"/>
                                <w:left w:val="none" w:sz="0" w:space="0" w:color="auto"/>
                                <w:bottom w:val="none" w:sz="0" w:space="0" w:color="auto"/>
                                <w:right w:val="none" w:sz="0" w:space="0" w:color="auto"/>
                              </w:divBdr>
                              <w:divsChild>
                                <w:div w:id="565454461">
                                  <w:marLeft w:val="0"/>
                                  <w:marRight w:val="0"/>
                                  <w:marTop w:val="0"/>
                                  <w:marBottom w:val="0"/>
                                  <w:divBdr>
                                    <w:top w:val="none" w:sz="0" w:space="0" w:color="auto"/>
                                    <w:left w:val="none" w:sz="0" w:space="0" w:color="auto"/>
                                    <w:bottom w:val="none" w:sz="0" w:space="0" w:color="auto"/>
                                    <w:right w:val="none" w:sz="0" w:space="0" w:color="auto"/>
                                  </w:divBdr>
                                  <w:divsChild>
                                    <w:div w:id="286593833">
                                      <w:marLeft w:val="0"/>
                                      <w:marRight w:val="0"/>
                                      <w:marTop w:val="0"/>
                                      <w:marBottom w:val="0"/>
                                      <w:divBdr>
                                        <w:top w:val="none" w:sz="0" w:space="0" w:color="auto"/>
                                        <w:left w:val="none" w:sz="0" w:space="0" w:color="auto"/>
                                        <w:bottom w:val="none" w:sz="0" w:space="0" w:color="auto"/>
                                        <w:right w:val="none" w:sz="0" w:space="0" w:color="auto"/>
                                      </w:divBdr>
                                      <w:divsChild>
                                        <w:div w:id="368067319">
                                          <w:marLeft w:val="0"/>
                                          <w:marRight w:val="0"/>
                                          <w:marTop w:val="0"/>
                                          <w:marBottom w:val="0"/>
                                          <w:divBdr>
                                            <w:top w:val="none" w:sz="0" w:space="0" w:color="auto"/>
                                            <w:left w:val="none" w:sz="0" w:space="0" w:color="auto"/>
                                            <w:bottom w:val="none" w:sz="0" w:space="0" w:color="auto"/>
                                            <w:right w:val="none" w:sz="0" w:space="0" w:color="auto"/>
                                          </w:divBdr>
                                          <w:divsChild>
                                            <w:div w:id="769592071">
                                              <w:marLeft w:val="0"/>
                                              <w:marRight w:val="0"/>
                                              <w:marTop w:val="0"/>
                                              <w:marBottom w:val="0"/>
                                              <w:divBdr>
                                                <w:top w:val="none" w:sz="0" w:space="0" w:color="auto"/>
                                                <w:left w:val="none" w:sz="0" w:space="0" w:color="auto"/>
                                                <w:bottom w:val="none" w:sz="0" w:space="0" w:color="auto"/>
                                                <w:right w:val="none" w:sz="0" w:space="0" w:color="auto"/>
                                              </w:divBdr>
                                              <w:divsChild>
                                                <w:div w:id="163783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0793784">
      <w:bodyDiv w:val="1"/>
      <w:marLeft w:val="0"/>
      <w:marRight w:val="0"/>
      <w:marTop w:val="0"/>
      <w:marBottom w:val="0"/>
      <w:divBdr>
        <w:top w:val="none" w:sz="0" w:space="0" w:color="auto"/>
        <w:left w:val="none" w:sz="0" w:space="0" w:color="auto"/>
        <w:bottom w:val="none" w:sz="0" w:space="0" w:color="auto"/>
        <w:right w:val="none" w:sz="0" w:space="0" w:color="auto"/>
      </w:divBdr>
    </w:div>
    <w:div w:id="2013945035">
      <w:bodyDiv w:val="1"/>
      <w:marLeft w:val="0"/>
      <w:marRight w:val="0"/>
      <w:marTop w:val="0"/>
      <w:marBottom w:val="0"/>
      <w:divBdr>
        <w:top w:val="none" w:sz="0" w:space="0" w:color="auto"/>
        <w:left w:val="none" w:sz="0" w:space="0" w:color="auto"/>
        <w:bottom w:val="none" w:sz="0" w:space="0" w:color="auto"/>
        <w:right w:val="none" w:sz="0" w:space="0" w:color="auto"/>
      </w:divBdr>
      <w:divsChild>
        <w:div w:id="1154027591">
          <w:marLeft w:val="0"/>
          <w:marRight w:val="0"/>
          <w:marTop w:val="0"/>
          <w:marBottom w:val="0"/>
          <w:divBdr>
            <w:top w:val="none" w:sz="0" w:space="0" w:color="auto"/>
            <w:left w:val="none" w:sz="0" w:space="0" w:color="auto"/>
            <w:bottom w:val="none" w:sz="0" w:space="0" w:color="auto"/>
            <w:right w:val="none" w:sz="0" w:space="0" w:color="auto"/>
          </w:divBdr>
          <w:divsChild>
            <w:div w:id="385419793">
              <w:marLeft w:val="0"/>
              <w:marRight w:val="0"/>
              <w:marTop w:val="0"/>
              <w:marBottom w:val="0"/>
              <w:divBdr>
                <w:top w:val="none" w:sz="0" w:space="0" w:color="auto"/>
                <w:left w:val="none" w:sz="0" w:space="0" w:color="auto"/>
                <w:bottom w:val="none" w:sz="0" w:space="0" w:color="auto"/>
                <w:right w:val="none" w:sz="0" w:space="0" w:color="auto"/>
              </w:divBdr>
              <w:divsChild>
                <w:div w:id="239221044">
                  <w:marLeft w:val="0"/>
                  <w:marRight w:val="0"/>
                  <w:marTop w:val="0"/>
                  <w:marBottom w:val="0"/>
                  <w:divBdr>
                    <w:top w:val="none" w:sz="0" w:space="0" w:color="auto"/>
                    <w:left w:val="none" w:sz="0" w:space="0" w:color="auto"/>
                    <w:bottom w:val="none" w:sz="0" w:space="0" w:color="auto"/>
                    <w:right w:val="none" w:sz="0" w:space="0" w:color="auto"/>
                  </w:divBdr>
                  <w:divsChild>
                    <w:div w:id="1261066483">
                      <w:marLeft w:val="0"/>
                      <w:marRight w:val="0"/>
                      <w:marTop w:val="0"/>
                      <w:marBottom w:val="0"/>
                      <w:divBdr>
                        <w:top w:val="none" w:sz="0" w:space="0" w:color="auto"/>
                        <w:left w:val="none" w:sz="0" w:space="0" w:color="auto"/>
                        <w:bottom w:val="none" w:sz="0" w:space="0" w:color="auto"/>
                        <w:right w:val="none" w:sz="0" w:space="0" w:color="auto"/>
                      </w:divBdr>
                      <w:divsChild>
                        <w:div w:id="126431811">
                          <w:marLeft w:val="0"/>
                          <w:marRight w:val="0"/>
                          <w:marTop w:val="0"/>
                          <w:marBottom w:val="0"/>
                          <w:divBdr>
                            <w:top w:val="none" w:sz="0" w:space="0" w:color="auto"/>
                            <w:left w:val="none" w:sz="0" w:space="0" w:color="auto"/>
                            <w:bottom w:val="none" w:sz="0" w:space="0" w:color="auto"/>
                            <w:right w:val="none" w:sz="0" w:space="0" w:color="auto"/>
                          </w:divBdr>
                          <w:divsChild>
                            <w:div w:id="663359452">
                              <w:marLeft w:val="0"/>
                              <w:marRight w:val="0"/>
                              <w:marTop w:val="0"/>
                              <w:marBottom w:val="0"/>
                              <w:divBdr>
                                <w:top w:val="none" w:sz="0" w:space="0" w:color="auto"/>
                                <w:left w:val="none" w:sz="0" w:space="0" w:color="auto"/>
                                <w:bottom w:val="none" w:sz="0" w:space="0" w:color="auto"/>
                                <w:right w:val="none" w:sz="0" w:space="0" w:color="auto"/>
                              </w:divBdr>
                              <w:divsChild>
                                <w:div w:id="550000734">
                                  <w:marLeft w:val="0"/>
                                  <w:marRight w:val="0"/>
                                  <w:marTop w:val="0"/>
                                  <w:marBottom w:val="0"/>
                                  <w:divBdr>
                                    <w:top w:val="none" w:sz="0" w:space="0" w:color="auto"/>
                                    <w:left w:val="none" w:sz="0" w:space="0" w:color="auto"/>
                                    <w:bottom w:val="none" w:sz="0" w:space="0" w:color="auto"/>
                                    <w:right w:val="none" w:sz="0" w:space="0" w:color="auto"/>
                                  </w:divBdr>
                                  <w:divsChild>
                                    <w:div w:id="865414128">
                                      <w:marLeft w:val="0"/>
                                      <w:marRight w:val="0"/>
                                      <w:marTop w:val="0"/>
                                      <w:marBottom w:val="0"/>
                                      <w:divBdr>
                                        <w:top w:val="none" w:sz="0" w:space="0" w:color="auto"/>
                                        <w:left w:val="none" w:sz="0" w:space="0" w:color="auto"/>
                                        <w:bottom w:val="none" w:sz="0" w:space="0" w:color="auto"/>
                                        <w:right w:val="none" w:sz="0" w:space="0" w:color="auto"/>
                                      </w:divBdr>
                                      <w:divsChild>
                                        <w:div w:id="1002707280">
                                          <w:marLeft w:val="0"/>
                                          <w:marRight w:val="0"/>
                                          <w:marTop w:val="0"/>
                                          <w:marBottom w:val="0"/>
                                          <w:divBdr>
                                            <w:top w:val="none" w:sz="0" w:space="0" w:color="auto"/>
                                            <w:left w:val="none" w:sz="0" w:space="0" w:color="auto"/>
                                            <w:bottom w:val="none" w:sz="0" w:space="0" w:color="auto"/>
                                            <w:right w:val="none" w:sz="0" w:space="0" w:color="auto"/>
                                          </w:divBdr>
                                          <w:divsChild>
                                            <w:div w:id="1691057612">
                                              <w:marLeft w:val="0"/>
                                              <w:marRight w:val="0"/>
                                              <w:marTop w:val="0"/>
                                              <w:marBottom w:val="0"/>
                                              <w:divBdr>
                                                <w:top w:val="none" w:sz="0" w:space="0" w:color="auto"/>
                                                <w:left w:val="none" w:sz="0" w:space="0" w:color="auto"/>
                                                <w:bottom w:val="none" w:sz="0" w:space="0" w:color="auto"/>
                                                <w:right w:val="none" w:sz="0" w:space="0" w:color="auto"/>
                                              </w:divBdr>
                                              <w:divsChild>
                                                <w:div w:id="157196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9035073">
      <w:bodyDiv w:val="1"/>
      <w:marLeft w:val="0"/>
      <w:marRight w:val="0"/>
      <w:marTop w:val="0"/>
      <w:marBottom w:val="0"/>
      <w:divBdr>
        <w:top w:val="none" w:sz="0" w:space="0" w:color="auto"/>
        <w:left w:val="none" w:sz="0" w:space="0" w:color="auto"/>
        <w:bottom w:val="none" w:sz="0" w:space="0" w:color="auto"/>
        <w:right w:val="none" w:sz="0" w:space="0" w:color="auto"/>
      </w:divBdr>
    </w:div>
    <w:div w:id="2036885131">
      <w:bodyDiv w:val="1"/>
      <w:marLeft w:val="0"/>
      <w:marRight w:val="0"/>
      <w:marTop w:val="0"/>
      <w:marBottom w:val="0"/>
      <w:divBdr>
        <w:top w:val="none" w:sz="0" w:space="0" w:color="auto"/>
        <w:left w:val="none" w:sz="0" w:space="0" w:color="auto"/>
        <w:bottom w:val="none" w:sz="0" w:space="0" w:color="auto"/>
        <w:right w:val="none" w:sz="0" w:space="0" w:color="auto"/>
      </w:divBdr>
    </w:div>
    <w:div w:id="2047872660">
      <w:bodyDiv w:val="1"/>
      <w:marLeft w:val="0"/>
      <w:marRight w:val="0"/>
      <w:marTop w:val="0"/>
      <w:marBottom w:val="0"/>
      <w:divBdr>
        <w:top w:val="none" w:sz="0" w:space="0" w:color="auto"/>
        <w:left w:val="none" w:sz="0" w:space="0" w:color="auto"/>
        <w:bottom w:val="none" w:sz="0" w:space="0" w:color="auto"/>
        <w:right w:val="none" w:sz="0" w:space="0" w:color="auto"/>
      </w:divBdr>
    </w:div>
    <w:div w:id="2057924815">
      <w:bodyDiv w:val="1"/>
      <w:marLeft w:val="0"/>
      <w:marRight w:val="0"/>
      <w:marTop w:val="0"/>
      <w:marBottom w:val="0"/>
      <w:divBdr>
        <w:top w:val="none" w:sz="0" w:space="0" w:color="auto"/>
        <w:left w:val="none" w:sz="0" w:space="0" w:color="auto"/>
        <w:bottom w:val="none" w:sz="0" w:space="0" w:color="auto"/>
        <w:right w:val="none" w:sz="0" w:space="0" w:color="auto"/>
      </w:divBdr>
      <w:divsChild>
        <w:div w:id="891572947">
          <w:marLeft w:val="0"/>
          <w:marRight w:val="0"/>
          <w:marTop w:val="0"/>
          <w:marBottom w:val="0"/>
          <w:divBdr>
            <w:top w:val="none" w:sz="0" w:space="0" w:color="auto"/>
            <w:left w:val="none" w:sz="0" w:space="0" w:color="auto"/>
            <w:bottom w:val="none" w:sz="0" w:space="0" w:color="auto"/>
            <w:right w:val="none" w:sz="0" w:space="0" w:color="auto"/>
          </w:divBdr>
          <w:divsChild>
            <w:div w:id="413433719">
              <w:marLeft w:val="0"/>
              <w:marRight w:val="0"/>
              <w:marTop w:val="0"/>
              <w:marBottom w:val="0"/>
              <w:divBdr>
                <w:top w:val="none" w:sz="0" w:space="0" w:color="auto"/>
                <w:left w:val="none" w:sz="0" w:space="0" w:color="auto"/>
                <w:bottom w:val="none" w:sz="0" w:space="0" w:color="auto"/>
                <w:right w:val="none" w:sz="0" w:space="0" w:color="auto"/>
              </w:divBdr>
              <w:divsChild>
                <w:div w:id="1285694687">
                  <w:marLeft w:val="0"/>
                  <w:marRight w:val="0"/>
                  <w:marTop w:val="0"/>
                  <w:marBottom w:val="0"/>
                  <w:divBdr>
                    <w:top w:val="none" w:sz="0" w:space="0" w:color="auto"/>
                    <w:left w:val="none" w:sz="0" w:space="0" w:color="auto"/>
                    <w:bottom w:val="none" w:sz="0" w:space="0" w:color="auto"/>
                    <w:right w:val="none" w:sz="0" w:space="0" w:color="auto"/>
                  </w:divBdr>
                  <w:divsChild>
                    <w:div w:id="924218778">
                      <w:marLeft w:val="0"/>
                      <w:marRight w:val="0"/>
                      <w:marTop w:val="0"/>
                      <w:marBottom w:val="0"/>
                      <w:divBdr>
                        <w:top w:val="none" w:sz="0" w:space="0" w:color="auto"/>
                        <w:left w:val="none" w:sz="0" w:space="0" w:color="auto"/>
                        <w:bottom w:val="none" w:sz="0" w:space="0" w:color="auto"/>
                        <w:right w:val="none" w:sz="0" w:space="0" w:color="auto"/>
                      </w:divBdr>
                      <w:divsChild>
                        <w:div w:id="1511799510">
                          <w:marLeft w:val="0"/>
                          <w:marRight w:val="0"/>
                          <w:marTop w:val="0"/>
                          <w:marBottom w:val="0"/>
                          <w:divBdr>
                            <w:top w:val="none" w:sz="0" w:space="0" w:color="auto"/>
                            <w:left w:val="none" w:sz="0" w:space="0" w:color="auto"/>
                            <w:bottom w:val="none" w:sz="0" w:space="0" w:color="auto"/>
                            <w:right w:val="none" w:sz="0" w:space="0" w:color="auto"/>
                          </w:divBdr>
                          <w:divsChild>
                            <w:div w:id="156238387">
                              <w:marLeft w:val="0"/>
                              <w:marRight w:val="0"/>
                              <w:marTop w:val="0"/>
                              <w:marBottom w:val="0"/>
                              <w:divBdr>
                                <w:top w:val="none" w:sz="0" w:space="0" w:color="auto"/>
                                <w:left w:val="none" w:sz="0" w:space="0" w:color="auto"/>
                                <w:bottom w:val="none" w:sz="0" w:space="0" w:color="auto"/>
                                <w:right w:val="none" w:sz="0" w:space="0" w:color="auto"/>
                              </w:divBdr>
                              <w:divsChild>
                                <w:div w:id="1792749828">
                                  <w:marLeft w:val="0"/>
                                  <w:marRight w:val="0"/>
                                  <w:marTop w:val="0"/>
                                  <w:marBottom w:val="0"/>
                                  <w:divBdr>
                                    <w:top w:val="none" w:sz="0" w:space="0" w:color="auto"/>
                                    <w:left w:val="none" w:sz="0" w:space="0" w:color="auto"/>
                                    <w:bottom w:val="none" w:sz="0" w:space="0" w:color="auto"/>
                                    <w:right w:val="none" w:sz="0" w:space="0" w:color="auto"/>
                                  </w:divBdr>
                                  <w:divsChild>
                                    <w:div w:id="922301076">
                                      <w:marLeft w:val="0"/>
                                      <w:marRight w:val="0"/>
                                      <w:marTop w:val="0"/>
                                      <w:marBottom w:val="0"/>
                                      <w:divBdr>
                                        <w:top w:val="none" w:sz="0" w:space="0" w:color="auto"/>
                                        <w:left w:val="none" w:sz="0" w:space="0" w:color="auto"/>
                                        <w:bottom w:val="none" w:sz="0" w:space="0" w:color="auto"/>
                                        <w:right w:val="none" w:sz="0" w:space="0" w:color="auto"/>
                                      </w:divBdr>
                                      <w:divsChild>
                                        <w:div w:id="994457422">
                                          <w:marLeft w:val="0"/>
                                          <w:marRight w:val="0"/>
                                          <w:marTop w:val="0"/>
                                          <w:marBottom w:val="0"/>
                                          <w:divBdr>
                                            <w:top w:val="none" w:sz="0" w:space="0" w:color="auto"/>
                                            <w:left w:val="none" w:sz="0" w:space="0" w:color="auto"/>
                                            <w:bottom w:val="none" w:sz="0" w:space="0" w:color="auto"/>
                                            <w:right w:val="none" w:sz="0" w:space="0" w:color="auto"/>
                                          </w:divBdr>
                                          <w:divsChild>
                                            <w:div w:id="218631137">
                                              <w:marLeft w:val="0"/>
                                              <w:marRight w:val="0"/>
                                              <w:marTop w:val="0"/>
                                              <w:marBottom w:val="0"/>
                                              <w:divBdr>
                                                <w:top w:val="none" w:sz="0" w:space="0" w:color="auto"/>
                                                <w:left w:val="none" w:sz="0" w:space="0" w:color="auto"/>
                                                <w:bottom w:val="none" w:sz="0" w:space="0" w:color="auto"/>
                                                <w:right w:val="none" w:sz="0" w:space="0" w:color="auto"/>
                                              </w:divBdr>
                                              <w:divsChild>
                                                <w:div w:id="83303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65641936">
      <w:bodyDiv w:val="1"/>
      <w:marLeft w:val="0"/>
      <w:marRight w:val="0"/>
      <w:marTop w:val="0"/>
      <w:marBottom w:val="0"/>
      <w:divBdr>
        <w:top w:val="none" w:sz="0" w:space="0" w:color="auto"/>
        <w:left w:val="none" w:sz="0" w:space="0" w:color="auto"/>
        <w:bottom w:val="none" w:sz="0" w:space="0" w:color="auto"/>
        <w:right w:val="none" w:sz="0" w:space="0" w:color="auto"/>
      </w:divBdr>
      <w:divsChild>
        <w:div w:id="784665220">
          <w:marLeft w:val="0"/>
          <w:marRight w:val="0"/>
          <w:marTop w:val="0"/>
          <w:marBottom w:val="0"/>
          <w:divBdr>
            <w:top w:val="none" w:sz="0" w:space="0" w:color="auto"/>
            <w:left w:val="none" w:sz="0" w:space="0" w:color="auto"/>
            <w:bottom w:val="none" w:sz="0" w:space="0" w:color="auto"/>
            <w:right w:val="none" w:sz="0" w:space="0" w:color="auto"/>
          </w:divBdr>
          <w:divsChild>
            <w:div w:id="1231890679">
              <w:marLeft w:val="0"/>
              <w:marRight w:val="0"/>
              <w:marTop w:val="0"/>
              <w:marBottom w:val="0"/>
              <w:divBdr>
                <w:top w:val="none" w:sz="0" w:space="0" w:color="auto"/>
                <w:left w:val="none" w:sz="0" w:space="0" w:color="auto"/>
                <w:bottom w:val="none" w:sz="0" w:space="0" w:color="auto"/>
                <w:right w:val="none" w:sz="0" w:space="0" w:color="auto"/>
              </w:divBdr>
              <w:divsChild>
                <w:div w:id="1446542460">
                  <w:marLeft w:val="0"/>
                  <w:marRight w:val="0"/>
                  <w:marTop w:val="0"/>
                  <w:marBottom w:val="0"/>
                  <w:divBdr>
                    <w:top w:val="none" w:sz="0" w:space="0" w:color="auto"/>
                    <w:left w:val="none" w:sz="0" w:space="0" w:color="auto"/>
                    <w:bottom w:val="none" w:sz="0" w:space="0" w:color="auto"/>
                    <w:right w:val="none" w:sz="0" w:space="0" w:color="auto"/>
                  </w:divBdr>
                  <w:divsChild>
                    <w:div w:id="859779568">
                      <w:marLeft w:val="0"/>
                      <w:marRight w:val="0"/>
                      <w:marTop w:val="0"/>
                      <w:marBottom w:val="0"/>
                      <w:divBdr>
                        <w:top w:val="none" w:sz="0" w:space="0" w:color="auto"/>
                        <w:left w:val="none" w:sz="0" w:space="0" w:color="auto"/>
                        <w:bottom w:val="none" w:sz="0" w:space="0" w:color="auto"/>
                        <w:right w:val="none" w:sz="0" w:space="0" w:color="auto"/>
                      </w:divBdr>
                      <w:divsChild>
                        <w:div w:id="507058683">
                          <w:marLeft w:val="0"/>
                          <w:marRight w:val="0"/>
                          <w:marTop w:val="0"/>
                          <w:marBottom w:val="0"/>
                          <w:divBdr>
                            <w:top w:val="none" w:sz="0" w:space="0" w:color="auto"/>
                            <w:left w:val="none" w:sz="0" w:space="0" w:color="auto"/>
                            <w:bottom w:val="none" w:sz="0" w:space="0" w:color="auto"/>
                            <w:right w:val="none" w:sz="0" w:space="0" w:color="auto"/>
                          </w:divBdr>
                          <w:divsChild>
                            <w:div w:id="624316179">
                              <w:marLeft w:val="0"/>
                              <w:marRight w:val="0"/>
                              <w:marTop w:val="0"/>
                              <w:marBottom w:val="0"/>
                              <w:divBdr>
                                <w:top w:val="none" w:sz="0" w:space="0" w:color="auto"/>
                                <w:left w:val="none" w:sz="0" w:space="0" w:color="auto"/>
                                <w:bottom w:val="none" w:sz="0" w:space="0" w:color="auto"/>
                                <w:right w:val="none" w:sz="0" w:space="0" w:color="auto"/>
                              </w:divBdr>
                              <w:divsChild>
                                <w:div w:id="2124494386">
                                  <w:marLeft w:val="0"/>
                                  <w:marRight w:val="0"/>
                                  <w:marTop w:val="0"/>
                                  <w:marBottom w:val="0"/>
                                  <w:divBdr>
                                    <w:top w:val="none" w:sz="0" w:space="0" w:color="auto"/>
                                    <w:left w:val="none" w:sz="0" w:space="0" w:color="auto"/>
                                    <w:bottom w:val="none" w:sz="0" w:space="0" w:color="auto"/>
                                    <w:right w:val="none" w:sz="0" w:space="0" w:color="auto"/>
                                  </w:divBdr>
                                  <w:divsChild>
                                    <w:div w:id="853954198">
                                      <w:marLeft w:val="0"/>
                                      <w:marRight w:val="0"/>
                                      <w:marTop w:val="0"/>
                                      <w:marBottom w:val="0"/>
                                      <w:divBdr>
                                        <w:top w:val="none" w:sz="0" w:space="0" w:color="auto"/>
                                        <w:left w:val="none" w:sz="0" w:space="0" w:color="auto"/>
                                        <w:bottom w:val="none" w:sz="0" w:space="0" w:color="auto"/>
                                        <w:right w:val="none" w:sz="0" w:space="0" w:color="auto"/>
                                      </w:divBdr>
                                      <w:divsChild>
                                        <w:div w:id="1176654682">
                                          <w:marLeft w:val="0"/>
                                          <w:marRight w:val="0"/>
                                          <w:marTop w:val="0"/>
                                          <w:marBottom w:val="0"/>
                                          <w:divBdr>
                                            <w:top w:val="none" w:sz="0" w:space="0" w:color="auto"/>
                                            <w:left w:val="none" w:sz="0" w:space="0" w:color="auto"/>
                                            <w:bottom w:val="none" w:sz="0" w:space="0" w:color="auto"/>
                                            <w:right w:val="none" w:sz="0" w:space="0" w:color="auto"/>
                                          </w:divBdr>
                                          <w:divsChild>
                                            <w:div w:id="900404407">
                                              <w:marLeft w:val="0"/>
                                              <w:marRight w:val="0"/>
                                              <w:marTop w:val="0"/>
                                              <w:marBottom w:val="0"/>
                                              <w:divBdr>
                                                <w:top w:val="none" w:sz="0" w:space="0" w:color="auto"/>
                                                <w:left w:val="none" w:sz="0" w:space="0" w:color="auto"/>
                                                <w:bottom w:val="none" w:sz="0" w:space="0" w:color="auto"/>
                                                <w:right w:val="none" w:sz="0" w:space="0" w:color="auto"/>
                                              </w:divBdr>
                                              <w:divsChild>
                                                <w:div w:id="83160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68019763">
      <w:bodyDiv w:val="1"/>
      <w:marLeft w:val="0"/>
      <w:marRight w:val="0"/>
      <w:marTop w:val="0"/>
      <w:marBottom w:val="0"/>
      <w:divBdr>
        <w:top w:val="none" w:sz="0" w:space="0" w:color="auto"/>
        <w:left w:val="none" w:sz="0" w:space="0" w:color="auto"/>
        <w:bottom w:val="none" w:sz="0" w:space="0" w:color="auto"/>
        <w:right w:val="none" w:sz="0" w:space="0" w:color="auto"/>
      </w:divBdr>
    </w:div>
    <w:div w:id="2120485923">
      <w:bodyDiv w:val="1"/>
      <w:marLeft w:val="0"/>
      <w:marRight w:val="0"/>
      <w:marTop w:val="0"/>
      <w:marBottom w:val="0"/>
      <w:divBdr>
        <w:top w:val="none" w:sz="0" w:space="0" w:color="auto"/>
        <w:left w:val="none" w:sz="0" w:space="0" w:color="auto"/>
        <w:bottom w:val="none" w:sz="0" w:space="0" w:color="auto"/>
        <w:right w:val="none" w:sz="0" w:space="0" w:color="auto"/>
      </w:divBdr>
    </w:div>
    <w:div w:id="2127654816">
      <w:bodyDiv w:val="1"/>
      <w:marLeft w:val="0"/>
      <w:marRight w:val="0"/>
      <w:marTop w:val="0"/>
      <w:marBottom w:val="0"/>
      <w:divBdr>
        <w:top w:val="none" w:sz="0" w:space="0" w:color="auto"/>
        <w:left w:val="none" w:sz="0" w:space="0" w:color="auto"/>
        <w:bottom w:val="none" w:sz="0" w:space="0" w:color="auto"/>
        <w:right w:val="none" w:sz="0" w:space="0" w:color="auto"/>
      </w:divBdr>
      <w:divsChild>
        <w:div w:id="1023170209">
          <w:marLeft w:val="0"/>
          <w:marRight w:val="0"/>
          <w:marTop w:val="0"/>
          <w:marBottom w:val="0"/>
          <w:divBdr>
            <w:top w:val="none" w:sz="0" w:space="0" w:color="auto"/>
            <w:left w:val="none" w:sz="0" w:space="0" w:color="auto"/>
            <w:bottom w:val="none" w:sz="0" w:space="0" w:color="auto"/>
            <w:right w:val="none" w:sz="0" w:space="0" w:color="auto"/>
          </w:divBdr>
          <w:divsChild>
            <w:div w:id="1425492281">
              <w:marLeft w:val="0"/>
              <w:marRight w:val="0"/>
              <w:marTop w:val="0"/>
              <w:marBottom w:val="0"/>
              <w:divBdr>
                <w:top w:val="none" w:sz="0" w:space="0" w:color="auto"/>
                <w:left w:val="none" w:sz="0" w:space="0" w:color="auto"/>
                <w:bottom w:val="none" w:sz="0" w:space="0" w:color="auto"/>
                <w:right w:val="none" w:sz="0" w:space="0" w:color="auto"/>
              </w:divBdr>
              <w:divsChild>
                <w:div w:id="1034303320">
                  <w:marLeft w:val="0"/>
                  <w:marRight w:val="0"/>
                  <w:marTop w:val="0"/>
                  <w:marBottom w:val="0"/>
                  <w:divBdr>
                    <w:top w:val="none" w:sz="0" w:space="0" w:color="auto"/>
                    <w:left w:val="none" w:sz="0" w:space="0" w:color="auto"/>
                    <w:bottom w:val="none" w:sz="0" w:space="0" w:color="auto"/>
                    <w:right w:val="none" w:sz="0" w:space="0" w:color="auto"/>
                  </w:divBdr>
                  <w:divsChild>
                    <w:div w:id="2043088461">
                      <w:marLeft w:val="0"/>
                      <w:marRight w:val="0"/>
                      <w:marTop w:val="0"/>
                      <w:marBottom w:val="0"/>
                      <w:divBdr>
                        <w:top w:val="none" w:sz="0" w:space="0" w:color="auto"/>
                        <w:left w:val="none" w:sz="0" w:space="0" w:color="auto"/>
                        <w:bottom w:val="none" w:sz="0" w:space="0" w:color="auto"/>
                        <w:right w:val="none" w:sz="0" w:space="0" w:color="auto"/>
                      </w:divBdr>
                      <w:divsChild>
                        <w:div w:id="1987314811">
                          <w:marLeft w:val="0"/>
                          <w:marRight w:val="0"/>
                          <w:marTop w:val="0"/>
                          <w:marBottom w:val="0"/>
                          <w:divBdr>
                            <w:top w:val="none" w:sz="0" w:space="0" w:color="auto"/>
                            <w:left w:val="none" w:sz="0" w:space="0" w:color="auto"/>
                            <w:bottom w:val="none" w:sz="0" w:space="0" w:color="auto"/>
                            <w:right w:val="none" w:sz="0" w:space="0" w:color="auto"/>
                          </w:divBdr>
                          <w:divsChild>
                            <w:div w:id="1589536111">
                              <w:marLeft w:val="0"/>
                              <w:marRight w:val="0"/>
                              <w:marTop w:val="0"/>
                              <w:marBottom w:val="0"/>
                              <w:divBdr>
                                <w:top w:val="none" w:sz="0" w:space="0" w:color="auto"/>
                                <w:left w:val="none" w:sz="0" w:space="0" w:color="auto"/>
                                <w:bottom w:val="none" w:sz="0" w:space="0" w:color="auto"/>
                                <w:right w:val="none" w:sz="0" w:space="0" w:color="auto"/>
                              </w:divBdr>
                              <w:divsChild>
                                <w:div w:id="80690082">
                                  <w:marLeft w:val="0"/>
                                  <w:marRight w:val="0"/>
                                  <w:marTop w:val="0"/>
                                  <w:marBottom w:val="0"/>
                                  <w:divBdr>
                                    <w:top w:val="none" w:sz="0" w:space="0" w:color="auto"/>
                                    <w:left w:val="none" w:sz="0" w:space="0" w:color="auto"/>
                                    <w:bottom w:val="none" w:sz="0" w:space="0" w:color="auto"/>
                                    <w:right w:val="none" w:sz="0" w:space="0" w:color="auto"/>
                                  </w:divBdr>
                                  <w:divsChild>
                                    <w:div w:id="1554191088">
                                      <w:marLeft w:val="0"/>
                                      <w:marRight w:val="0"/>
                                      <w:marTop w:val="0"/>
                                      <w:marBottom w:val="0"/>
                                      <w:divBdr>
                                        <w:top w:val="none" w:sz="0" w:space="0" w:color="auto"/>
                                        <w:left w:val="none" w:sz="0" w:space="0" w:color="auto"/>
                                        <w:bottom w:val="none" w:sz="0" w:space="0" w:color="auto"/>
                                        <w:right w:val="none" w:sz="0" w:space="0" w:color="auto"/>
                                      </w:divBdr>
                                      <w:divsChild>
                                        <w:div w:id="1706560345">
                                          <w:marLeft w:val="0"/>
                                          <w:marRight w:val="0"/>
                                          <w:marTop w:val="0"/>
                                          <w:marBottom w:val="0"/>
                                          <w:divBdr>
                                            <w:top w:val="none" w:sz="0" w:space="0" w:color="auto"/>
                                            <w:left w:val="none" w:sz="0" w:space="0" w:color="auto"/>
                                            <w:bottom w:val="none" w:sz="0" w:space="0" w:color="auto"/>
                                            <w:right w:val="none" w:sz="0" w:space="0" w:color="auto"/>
                                          </w:divBdr>
                                          <w:divsChild>
                                            <w:div w:id="671370508">
                                              <w:marLeft w:val="0"/>
                                              <w:marRight w:val="0"/>
                                              <w:marTop w:val="0"/>
                                              <w:marBottom w:val="0"/>
                                              <w:divBdr>
                                                <w:top w:val="none" w:sz="0" w:space="0" w:color="auto"/>
                                                <w:left w:val="none" w:sz="0" w:space="0" w:color="auto"/>
                                                <w:bottom w:val="none" w:sz="0" w:space="0" w:color="auto"/>
                                                <w:right w:val="none" w:sz="0" w:space="0" w:color="auto"/>
                                              </w:divBdr>
                                              <w:divsChild>
                                                <w:div w:id="3134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7.xml"/><Relationship Id="rId42" Type="http://schemas.openxmlformats.org/officeDocument/2006/relationships/footer" Target="footer18.xml"/><Relationship Id="rId47" Type="http://schemas.openxmlformats.org/officeDocument/2006/relationships/header" Target="header20.xml"/><Relationship Id="rId63" Type="http://schemas.openxmlformats.org/officeDocument/2006/relationships/header" Target="header28.xml"/><Relationship Id="rId68" Type="http://schemas.openxmlformats.org/officeDocument/2006/relationships/footer" Target="footer31.xml"/><Relationship Id="rId84" Type="http://schemas.openxmlformats.org/officeDocument/2006/relationships/footer" Target="footer38.xml"/><Relationship Id="rId89" Type="http://schemas.openxmlformats.org/officeDocument/2006/relationships/footer" Target="footer40.xml"/><Relationship Id="rId7" Type="http://schemas.openxmlformats.org/officeDocument/2006/relationships/endnotes" Target="endnotes.xml"/><Relationship Id="rId71" Type="http://schemas.openxmlformats.org/officeDocument/2006/relationships/header" Target="header32.xml"/><Relationship Id="rId92" Type="http://schemas.openxmlformats.org/officeDocument/2006/relationships/header" Target="header41.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footer" Target="footer26.xml"/><Relationship Id="rId66" Type="http://schemas.openxmlformats.org/officeDocument/2006/relationships/footer" Target="footer30.xml"/><Relationship Id="rId74" Type="http://schemas.openxmlformats.org/officeDocument/2006/relationships/footer" Target="footer34.xml"/><Relationship Id="rId79" Type="http://schemas.openxmlformats.org/officeDocument/2006/relationships/header" Target="header35.xml"/><Relationship Id="rId87" Type="http://schemas.openxmlformats.org/officeDocument/2006/relationships/hyperlink" Target="http://www.optransport.bg/en/page.php?c=18" TargetMode="External"/><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27.xml"/><Relationship Id="rId82" Type="http://schemas.openxmlformats.org/officeDocument/2006/relationships/footer" Target="footer37.xml"/><Relationship Id="rId90" Type="http://schemas.openxmlformats.org/officeDocument/2006/relationships/header" Target="header40.xml"/><Relationship Id="rId95" Type="http://schemas.openxmlformats.org/officeDocument/2006/relationships/footer" Target="footer43.xml"/><Relationship Id="rId19" Type="http://schemas.openxmlformats.org/officeDocument/2006/relationships/header" Target="header6.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21.xml"/><Relationship Id="rId56" Type="http://schemas.openxmlformats.org/officeDocument/2006/relationships/footer" Target="footer25.xml"/><Relationship Id="rId64" Type="http://schemas.openxmlformats.org/officeDocument/2006/relationships/footer" Target="footer29.xml"/><Relationship Id="rId69" Type="http://schemas.openxmlformats.org/officeDocument/2006/relationships/header" Target="header31.xml"/><Relationship Id="rId77" Type="http://schemas.openxmlformats.org/officeDocument/2006/relationships/hyperlink" Target="http://www.optransport.bg/en/page.php?c=18" TargetMode="External"/><Relationship Id="rId100" Type="http://schemas.openxmlformats.org/officeDocument/2006/relationships/header" Target="header44.xml"/><Relationship Id="rId8" Type="http://schemas.openxmlformats.org/officeDocument/2006/relationships/footer" Target="footer1.xml"/><Relationship Id="rId51" Type="http://schemas.openxmlformats.org/officeDocument/2006/relationships/header" Target="header22.xml"/><Relationship Id="rId72" Type="http://schemas.openxmlformats.org/officeDocument/2006/relationships/footer" Target="footer33.xml"/><Relationship Id="rId80" Type="http://schemas.openxmlformats.org/officeDocument/2006/relationships/footer" Target="footer36.xml"/><Relationship Id="rId85" Type="http://schemas.openxmlformats.org/officeDocument/2006/relationships/header" Target="header38.xml"/><Relationship Id="rId93" Type="http://schemas.openxmlformats.org/officeDocument/2006/relationships/footer" Target="footer42.xml"/><Relationship Id="rId98" Type="http://schemas.openxmlformats.org/officeDocument/2006/relationships/header" Target="header43.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6.xml"/><Relationship Id="rId67" Type="http://schemas.openxmlformats.org/officeDocument/2006/relationships/header" Target="header30.xml"/><Relationship Id="rId103" Type="http://schemas.microsoft.com/office/2011/relationships/people" Target="people.xml"/><Relationship Id="rId20" Type="http://schemas.openxmlformats.org/officeDocument/2006/relationships/footer" Target="footer7.xml"/><Relationship Id="rId41" Type="http://schemas.openxmlformats.org/officeDocument/2006/relationships/header" Target="header17.xml"/><Relationship Id="rId54" Type="http://schemas.openxmlformats.org/officeDocument/2006/relationships/footer" Target="footer24.xml"/><Relationship Id="rId62" Type="http://schemas.openxmlformats.org/officeDocument/2006/relationships/footer" Target="footer28.xml"/><Relationship Id="rId70" Type="http://schemas.openxmlformats.org/officeDocument/2006/relationships/footer" Target="footer32.xml"/><Relationship Id="rId75" Type="http://schemas.openxmlformats.org/officeDocument/2006/relationships/header" Target="header34.xml"/><Relationship Id="rId83" Type="http://schemas.openxmlformats.org/officeDocument/2006/relationships/header" Target="header37.xml"/><Relationship Id="rId88" Type="http://schemas.openxmlformats.org/officeDocument/2006/relationships/header" Target="header39.xml"/><Relationship Id="rId91" Type="http://schemas.openxmlformats.org/officeDocument/2006/relationships/footer" Target="footer41.xml"/><Relationship Id="rId96" Type="http://schemas.openxmlformats.org/officeDocument/2006/relationships/hyperlink" Target="http://www.optransport.bg/en/page.php?c=1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1.xml"/><Relationship Id="rId57" Type="http://schemas.openxmlformats.org/officeDocument/2006/relationships/header" Target="header25.xml"/><Relationship Id="rId10" Type="http://schemas.openxmlformats.org/officeDocument/2006/relationships/footer" Target="footer2.xml"/><Relationship Id="rId31" Type="http://schemas.openxmlformats.org/officeDocument/2006/relationships/header" Target="header12.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27.xml"/><Relationship Id="rId65" Type="http://schemas.openxmlformats.org/officeDocument/2006/relationships/header" Target="header29.xml"/><Relationship Id="rId73" Type="http://schemas.openxmlformats.org/officeDocument/2006/relationships/header" Target="header33.xml"/><Relationship Id="rId78" Type="http://schemas.openxmlformats.org/officeDocument/2006/relationships/hyperlink" Target="http://www.optransport.bg/en/page.php?c=18" TargetMode="External"/><Relationship Id="rId81" Type="http://schemas.openxmlformats.org/officeDocument/2006/relationships/header" Target="header36.xml"/><Relationship Id="rId86" Type="http://schemas.openxmlformats.org/officeDocument/2006/relationships/footer" Target="footer39.xml"/><Relationship Id="rId94" Type="http://schemas.openxmlformats.org/officeDocument/2006/relationships/header" Target="header42.xml"/><Relationship Id="rId99" Type="http://schemas.openxmlformats.org/officeDocument/2006/relationships/footer" Target="footer44.xml"/><Relationship Id="rId101" Type="http://schemas.openxmlformats.org/officeDocument/2006/relationships/footer" Target="footer45.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9" Type="http://schemas.openxmlformats.org/officeDocument/2006/relationships/header" Target="header16.xml"/><Relationship Id="rId34" Type="http://schemas.openxmlformats.org/officeDocument/2006/relationships/footer" Target="footer14.xml"/><Relationship Id="rId50" Type="http://schemas.openxmlformats.org/officeDocument/2006/relationships/footer" Target="footer22.xml"/><Relationship Id="rId55" Type="http://schemas.openxmlformats.org/officeDocument/2006/relationships/header" Target="header24.xml"/><Relationship Id="rId76" Type="http://schemas.openxmlformats.org/officeDocument/2006/relationships/footer" Target="footer35.xml"/><Relationship Id="rId97" Type="http://schemas.openxmlformats.org/officeDocument/2006/relationships/hyperlink" Target="http://www.optransport.bg/en/page.php?c=18" TargetMode="External"/><Relationship Id="rId10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ec.europa.eu/clima/policies/adaptation/what/docs/non_paper_guidelines_project_managers_en.pdf" TargetMode="External"/><Relationship Id="rId3" Type="http://schemas.openxmlformats.org/officeDocument/2006/relationships/hyperlink" Target="http://www.eufunds.bg/document/4354" TargetMode="External"/><Relationship Id="rId7" Type="http://schemas.openxmlformats.org/officeDocument/2006/relationships/hyperlink" Target="http://www.mtitc.government.bg/upload/docs/Transport_Strategy_2020_last_r.pdf" TargetMode="External"/><Relationship Id="rId2" Type="http://schemas.openxmlformats.org/officeDocument/2006/relationships/hyperlink" Target="http://www.eufunds.bg/document/1064" TargetMode="External"/><Relationship Id="rId1" Type="http://schemas.openxmlformats.org/officeDocument/2006/relationships/hyperlink" Target="http://eur-lex.europa.eu/LexUriServ/LexUriServ.do?uri=COM:2010:2020:FIN:BG:PDF" TargetMode="External"/><Relationship Id="rId6" Type="http://schemas.openxmlformats.org/officeDocument/2006/relationships/hyperlink" Target="http://www.bgregio.eu/media/files/Programirane%20&amp;%20ocenka/Programirane%202014-2020/NKPR%20proekt.pdf" TargetMode="External"/><Relationship Id="rId5" Type="http://schemas.openxmlformats.org/officeDocument/2006/relationships/hyperlink" Target="http://eur-lex.europa.eu/LexUriServ/LexUriServ.do?uri=OJ:L:2013:348:0129:0171:EN:PDF" TargetMode="External"/><Relationship Id="rId4" Type="http://schemas.openxmlformats.org/officeDocument/2006/relationships/hyperlink" Target="http://eur-lex.europa.eu/LexUriServ/LexUriServ.do?uri=COM:2011:0144:FIN:BG: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AE08D-CDC3-4663-AC9A-DE0FA7D04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136</TotalTime>
  <Pages>183</Pages>
  <Words>49530</Words>
  <Characters>282325</Characters>
  <Application>Microsoft Office Word</Application>
  <DocSecurity>0</DocSecurity>
  <Lines>2352</Lines>
  <Paragraphs>662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OPERATIONAL PROGRAMME UNDER THE</vt:lpstr>
      <vt:lpstr>OPERATIONAL PROGRAMME UNDER THE</vt:lpstr>
    </vt:vector>
  </TitlesOfParts>
  <Company>European Commission</Company>
  <LinksUpToDate>false</LinksUpToDate>
  <CharactersWithSpaces>331193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OPERATIONAL PROGRAMME UNDER THE</dc:title>
  <dc:creator>Author</dc:creator>
  <cp:lastModifiedBy>Iva Chervenkova</cp:lastModifiedBy>
  <cp:revision>119</cp:revision>
  <cp:lastPrinted>2019-06-25T10:24:00Z</cp:lastPrinted>
  <dcterms:created xsi:type="dcterms:W3CDTF">2023-10-16T06:11:00Z</dcterms:created>
  <dcterms:modified xsi:type="dcterms:W3CDTF">2024-08-15T12:28:00Z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COM/ANNEX</vt:lpwstr>
  </property>
  <property fmtid="{D5CDD505-2E9C-101B-9397-08002B2CF9AE}" pid="5" name="First annex">
    <vt:lpwstr>1</vt:lpwstr>
  </property>
  <property fmtid="{D5CDD505-2E9C-101B-9397-08002B2CF9AE}" pid="6" name="Last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Yellow (DQC version 03)</vt:lpwstr>
  </property>
</Properties>
</file>