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5C4A23">
              <w:rPr>
                <w:rFonts w:ascii="Times New Roman" w:eastAsia="Times New Roman" w:hAnsi="Times New Roman" w:cs="Times New Roman"/>
              </w:rPr>
              <w:t>ането за плащане, съгласно ПНУИ</w:t>
            </w:r>
            <w:r>
              <w:rPr>
                <w:rFonts w:ascii="Times New Roman" w:eastAsia="Times New Roman" w:hAnsi="Times New Roman" w:cs="Times New Roman"/>
              </w:rPr>
              <w:t>ПТ</w:t>
            </w:r>
            <w:r w:rsidR="005C4A23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00AC" w:rsidRP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00A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B900A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7FC8">
              <w:rPr>
                <w:rFonts w:ascii="Times New Roman" w:eastAsia="Times New Roman" w:hAnsi="Times New Roman" w:cs="Times New Roman"/>
              </w:rPr>
              <w:t xml:space="preserve">Докладваните разходи за ДДС </w:t>
            </w:r>
            <w:r w:rsidR="005C4A23" w:rsidRPr="006C7FC8">
              <w:rPr>
                <w:rFonts w:ascii="Times New Roman" w:eastAsia="Times New Roman" w:hAnsi="Times New Roman" w:cs="Times New Roman"/>
              </w:rPr>
              <w:t>са допустими за финансиране по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Налични са правила /методика за заплащане на възнаграждения на екипите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C4A2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5C4A2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6091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8F6091" w:rsidRPr="008F6091" w:rsidRDefault="008F6091" w:rsidP="008F6091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6091" w:rsidRDefault="008F6091" w:rsidP="008F6091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8F6091">
              <w:rPr>
                <w:rFonts w:ascii="Times New Roman" w:eastAsia="Times New Roman" w:hAnsi="Times New Roman" w:cs="Times New Roman"/>
              </w:rPr>
              <w:t>2.14.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6091" w:rsidRPr="005B2513" w:rsidRDefault="008F6091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8F6091">
              <w:rPr>
                <w:rFonts w:ascii="Times New Roman" w:hAnsi="Times New Roman" w:cs="Times New Roman"/>
                <w:lang w:eastAsia="fr-FR"/>
              </w:rPr>
              <w:t>Докладваните разходи за директно възложени дейности на изпълнители на основание чл. 20, ал. 4 от ЗОП, са базирани на пазарни цени.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8F6091" w:rsidRDefault="008F6091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6091" w:rsidRPr="005B2513" w:rsidRDefault="008F6091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6E7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8F6091" w:rsidRPr="005B2513" w:rsidRDefault="008F6091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8F6091" w:rsidRPr="005B2513" w:rsidRDefault="008F6091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6091" w:rsidRPr="005B2513" w:rsidRDefault="008F6091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C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5C4A23">
              <w:rPr>
                <w:rFonts w:ascii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C4A23" w:rsidP="005C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ИСУН</w:t>
            </w:r>
            <w:r w:rsidR="00545399" w:rsidRPr="005B2513">
              <w:rPr>
                <w:rFonts w:ascii="Times New Roman" w:hAnsi="Times New Roman" w:cs="Times New Roman"/>
              </w:rPr>
              <w:t xml:space="preserve">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="00545399"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545399">
              <w:rPr>
                <w:rFonts w:ascii="Times New Roman" w:hAnsi="Times New Roman" w:cs="Times New Roman"/>
              </w:rPr>
              <w:t xml:space="preserve">последващ </w:t>
            </w:r>
            <w:r w:rsidR="00545399" w:rsidRPr="005B2513">
              <w:rPr>
                <w:rFonts w:ascii="Times New Roman" w:hAnsi="Times New Roman" w:cs="Times New Roman"/>
              </w:rPr>
              <w:t xml:space="preserve">контрол  на </w:t>
            </w:r>
            <w:r w:rsidR="00545399"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="00545399"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545399">
              <w:rPr>
                <w:rFonts w:ascii="Times New Roman" w:hAnsi="Times New Roman" w:cs="Times New Roman"/>
              </w:rPr>
              <w:t xml:space="preserve">докладваните </w:t>
            </w:r>
            <w:r w:rsidR="00545399" w:rsidRPr="005B2513">
              <w:rPr>
                <w:rFonts w:ascii="Times New Roman" w:hAnsi="Times New Roman" w:cs="Times New Roman"/>
              </w:rPr>
              <w:lastRenderedPageBreak/>
              <w:t xml:space="preserve">разходите </w:t>
            </w:r>
            <w:r w:rsidR="00545399"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C76CBE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B64738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B64738">
            <w:pPr>
              <w:pStyle w:val="NoSpacing"/>
              <w:ind w:left="-112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B6473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C76CBE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C76CBE">
              <w:trPr>
                <w:trHeight w:val="330"/>
              </w:trPr>
              <w:tc>
                <w:tcPr>
                  <w:tcW w:w="1276" w:type="dxa"/>
                  <w:tcBorders>
                    <w:left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3520BE">
                  <w:pPr>
                    <w:spacing w:after="0" w:line="240" w:lineRule="auto"/>
                    <w:ind w:left="321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3520BE">
                  <w:pPr>
                    <w:pStyle w:val="NoSpacing"/>
                    <w:ind w:left="321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tcBorders>
                    <w:left w:val="nil"/>
                  </w:tcBorders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tcBorders>
              <w:bottom w:val="nil"/>
            </w:tcBorders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C76CBE">
              <w:trPr>
                <w:trHeight w:val="330"/>
              </w:trPr>
              <w:tc>
                <w:tcPr>
                  <w:tcW w:w="1276" w:type="dxa"/>
                  <w:tcBorders>
                    <w:left w:val="nil"/>
                  </w:tcBorders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3520BE">
                  <w:pPr>
                    <w:spacing w:after="0" w:line="240" w:lineRule="auto"/>
                    <w:ind w:left="179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3520BE">
                  <w:pPr>
                    <w:pStyle w:val="NoSpacing"/>
                    <w:ind w:left="179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tcBorders>
              <w:bottom w:val="nil"/>
            </w:tcBorders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C76CBE">
              <w:trPr>
                <w:trHeight w:val="330"/>
              </w:trPr>
              <w:tc>
                <w:tcPr>
                  <w:tcW w:w="1276" w:type="dxa"/>
                  <w:tcBorders>
                    <w:left w:val="nil"/>
                  </w:tcBorders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3520BE">
                  <w:pPr>
                    <w:spacing w:after="0" w:line="240" w:lineRule="auto"/>
                    <w:ind w:left="179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3520BE">
                  <w:pPr>
                    <w:pStyle w:val="NoSpacing"/>
                    <w:ind w:left="179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3520BE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="00927952"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3520BE" w:rsidP="00927952">
            <w:r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="00927952"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C76CBE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5C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64738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B64738" w:rsidRDefault="00B64738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3.10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64738" w:rsidRPr="005B2513" w:rsidRDefault="00B64738" w:rsidP="005C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B64738">
              <w:rPr>
                <w:rFonts w:ascii="Times New Roman" w:hAnsi="Times New Roman" w:cs="Times New Roman"/>
                <w:lang w:eastAsia="fr-FR"/>
              </w:rPr>
              <w:t>Получено е уведомление от отдел „КОП“ за извършена проверка за неправомерно разделяне на поръчката при договори на стойност под праговете за възлагане по ЗОП и попълнена информация  в Искането за плащане за сключени договори със същия или сходен предмет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64738" w:rsidRPr="005B2513" w:rsidRDefault="00B64738" w:rsidP="00B64738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B64738" w:rsidRPr="005B2513" w:rsidRDefault="00B64738" w:rsidP="00B6473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B64738" w:rsidRPr="005B2513" w:rsidRDefault="00B64738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B64738" w:rsidRPr="005B2513" w:rsidRDefault="00B64738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B64738" w:rsidRDefault="00B64738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E4F44" w:rsidRDefault="004E4F44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E4F44" w:rsidRDefault="004E4F44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76CBE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CF0E9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CF0E9F" w:rsidRPr="00CF0E9F" w:rsidRDefault="00CF0E9F" w:rsidP="003E2A3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0E9F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CF0E9F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="003E2A3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CF0E9F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CF0E9F" w:rsidRDefault="00087014" w:rsidP="00C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76CBE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D9D9D9" w:themeFill="background1" w:themeFillShade="D9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3E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76CBE">
        <w:trPr>
          <w:trHeight w:val="275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5C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5C4A2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5C4A23" w:rsidRDefault="00DB2A6C">
      <w:r>
        <w:br w:type="textWrapping" w:clear="all"/>
      </w:r>
    </w:p>
    <w:p w:rsidR="00130D69" w:rsidRPr="005C4A23" w:rsidRDefault="00130D69" w:rsidP="005C4A23">
      <w:pPr>
        <w:jc w:val="center"/>
      </w:pPr>
    </w:p>
    <w:sectPr w:rsidR="00130D69" w:rsidRPr="005C4A23" w:rsidSect="00FC5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endnote>
  <w:end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2B" w:rsidRDefault="00080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2B" w:rsidRDefault="000804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2B" w:rsidRDefault="00080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footnote>
  <w:foot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31" w:type="dxa"/>
      <w:jc w:val="center"/>
      <w:tblLayout w:type="fixed"/>
      <w:tblLook w:val="0000" w:firstRow="0" w:lastRow="0" w:firstColumn="0" w:lastColumn="0" w:noHBand="0" w:noVBand="0"/>
    </w:tblPr>
    <w:tblGrid>
      <w:gridCol w:w="1860"/>
      <w:gridCol w:w="3858"/>
      <w:gridCol w:w="3067"/>
      <w:gridCol w:w="1446"/>
    </w:tblGrid>
    <w:tr w:rsidR="00A10A56" w:rsidRPr="00BD28BF" w:rsidTr="00C76CBE">
      <w:trPr>
        <w:trHeight w:val="60"/>
        <w:jc w:val="center"/>
      </w:trPr>
      <w:tc>
        <w:tcPr>
          <w:tcW w:w="8785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446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B900AC"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C76CBE">
      <w:trPr>
        <w:trHeight w:val="467"/>
        <w:jc w:val="center"/>
      </w:trPr>
      <w:tc>
        <w:tcPr>
          <w:tcW w:w="8785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Ко</w:t>
          </w:r>
          <w:r w:rsidR="00B900AC">
            <w:rPr>
              <w:rFonts w:ascii="Times New Roman" w:hAnsi="Times New Roman" w:cs="Times New Roman"/>
              <w:b/>
              <w:sz w:val="24"/>
              <w:szCs w:val="24"/>
            </w:rPr>
            <w:t>нтролен лист: Искане за 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от Бенефициенти </w:t>
          </w:r>
        </w:p>
        <w:p w:rsidR="00A10A56" w:rsidRPr="00BD28BF" w:rsidRDefault="00A10A56" w:rsidP="005C4A2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П</w:t>
          </w:r>
          <w:r w:rsidR="005C4A23">
            <w:rPr>
              <w:rFonts w:ascii="Times New Roman" w:hAnsi="Times New Roman" w:cs="Times New Roman"/>
              <w:b/>
              <w:sz w:val="24"/>
              <w:szCs w:val="24"/>
            </w:rPr>
            <w:t>рограма „Транспортна свързаност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p>
      </w:tc>
      <w:tc>
        <w:tcPr>
          <w:tcW w:w="1446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08042B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08042B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5C4A23" w:rsidRPr="00BD28BF" w:rsidTr="00C76CBE">
      <w:trPr>
        <w:trHeight w:val="272"/>
        <w:jc w:val="center"/>
      </w:trPr>
      <w:tc>
        <w:tcPr>
          <w:tcW w:w="18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C4A23" w:rsidRPr="005C4A23" w:rsidRDefault="005C4A23" w:rsidP="00855FE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858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Default="005C4A23" w:rsidP="00C76CBE">
          <w:pPr>
            <w:jc w:val="center"/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3E2A3A">
            <w:rPr>
              <w:color w:val="000000"/>
            </w:rPr>
            <w:fldChar w:fldCharType="begin"/>
          </w:r>
          <w:r w:rsidR="003E2A3A">
            <w:rPr>
              <w:color w:val="000000"/>
            </w:rPr>
            <w:instrText xml:space="preserve"> INCLUDEPICTURE  "cid:image001.png@01D9F5EF.3965C4E0" \* MERGEFORMATINET </w:instrText>
          </w:r>
          <w:r w:rsidR="003E2A3A">
            <w:rPr>
              <w:color w:val="000000"/>
            </w:rPr>
            <w:fldChar w:fldCharType="separate"/>
          </w:r>
          <w:r w:rsidR="00466EA5">
            <w:rPr>
              <w:color w:val="000000"/>
            </w:rPr>
            <w:fldChar w:fldCharType="begin"/>
          </w:r>
          <w:r w:rsidR="00466EA5">
            <w:rPr>
              <w:color w:val="000000"/>
            </w:rPr>
            <w:instrText xml:space="preserve"> INCLUDEPICTURE  "cid:image001.png@01D9F5EF.3965C4E0" \* MERGEFORMATINET </w:instrText>
          </w:r>
          <w:r w:rsidR="00466EA5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fldChar w:fldCharType="begin"/>
          </w:r>
          <w:r w:rsidR="00922D32">
            <w:rPr>
              <w:color w:val="000000"/>
            </w:rPr>
            <w:instrText xml:space="preserve"> INCLUDEPICTURE  "cid:image001.png@01D9F5EF.3965C4E0" \* MERGEFORMATINET </w:instrText>
          </w:r>
          <w:r w:rsidR="00922D32">
            <w:rPr>
              <w:color w:val="000000"/>
            </w:rPr>
            <w:fldChar w:fldCharType="separate"/>
          </w:r>
          <w:r w:rsidR="00855FED">
            <w:rPr>
              <w:color w:val="000000"/>
            </w:rPr>
            <w:fldChar w:fldCharType="begin"/>
          </w:r>
          <w:r w:rsidR="00855FED">
            <w:rPr>
              <w:color w:val="000000"/>
            </w:rPr>
            <w:instrText xml:space="preserve"> INCLUDEPICTURE  "cid:image001.png@01D9F5EF.3965C4E0" \* MERGEFORMATINET </w:instrText>
          </w:r>
          <w:r w:rsidR="00855FED">
            <w:rPr>
              <w:color w:val="000000"/>
            </w:rPr>
            <w:fldChar w:fldCharType="separate"/>
          </w:r>
          <w:r w:rsidR="00A779E7">
            <w:rPr>
              <w:color w:val="000000"/>
            </w:rPr>
            <w:fldChar w:fldCharType="begin"/>
          </w:r>
          <w:r w:rsidR="00A779E7">
            <w:rPr>
              <w:color w:val="000000"/>
            </w:rPr>
            <w:instrText xml:space="preserve"> INCLUDEPICTURE  "cid:image001.png@01D9F5EF.3965C4E0" \* MERGEFORMATINET </w:instrText>
          </w:r>
          <w:r w:rsidR="00A779E7">
            <w:rPr>
              <w:color w:val="000000"/>
            </w:rPr>
            <w:fldChar w:fldCharType="separate"/>
          </w:r>
          <w:r w:rsidR="005675D6">
            <w:rPr>
              <w:color w:val="000000"/>
            </w:rPr>
            <w:fldChar w:fldCharType="begin"/>
          </w:r>
          <w:r w:rsidR="005675D6">
            <w:rPr>
              <w:color w:val="000000"/>
            </w:rPr>
            <w:instrText xml:space="preserve"> INCLUDEPICTURE  "cid:image001.png@01D9F5EF.3965C4E0" \* MERGEFORMATINET </w:instrText>
          </w:r>
          <w:r w:rsidR="005675D6">
            <w:rPr>
              <w:color w:val="000000"/>
            </w:rPr>
            <w:fldChar w:fldCharType="separate"/>
          </w:r>
          <w:r w:rsidR="00FC5EED">
            <w:rPr>
              <w:color w:val="000000"/>
            </w:rPr>
            <w:fldChar w:fldCharType="begin"/>
          </w:r>
          <w:r w:rsidR="00FC5EED">
            <w:rPr>
              <w:color w:val="000000"/>
            </w:rPr>
            <w:instrText xml:space="preserve"> INCLUDEPICTURE  "cid:image001.png@01D9F5EF.3965C4E0" \* MERGEFORMATINET </w:instrText>
          </w:r>
          <w:r w:rsidR="00FC5EED">
            <w:rPr>
              <w:color w:val="000000"/>
            </w:rPr>
            <w:fldChar w:fldCharType="separate"/>
          </w:r>
          <w:r w:rsidR="00C76CBE">
            <w:rPr>
              <w:color w:val="000000"/>
            </w:rPr>
            <w:fldChar w:fldCharType="begin"/>
          </w:r>
          <w:r w:rsidR="00C76CBE">
            <w:rPr>
              <w:color w:val="000000"/>
            </w:rPr>
            <w:instrText xml:space="preserve"> INCLUDEPICTURE  "cid:image001.png@01D9F5EF.3965C4E0" \* MERGEFORMATINET </w:instrText>
          </w:r>
          <w:r w:rsidR="00C76CBE">
            <w:rPr>
              <w:color w:val="000000"/>
            </w:rPr>
            <w:fldChar w:fldCharType="separate"/>
          </w:r>
          <w:r w:rsidR="00376D42">
            <w:rPr>
              <w:color w:val="000000"/>
            </w:rPr>
            <w:fldChar w:fldCharType="begin"/>
          </w:r>
          <w:r w:rsidR="00376D42">
            <w:rPr>
              <w:color w:val="000000"/>
            </w:rPr>
            <w:instrText xml:space="preserve"> INCLUDEPICTURE  "cid:image001.png@01D9F5EF.3965C4E0" \* MERGEFORMATINET </w:instrText>
          </w:r>
          <w:r w:rsidR="00376D42">
            <w:rPr>
              <w:color w:val="000000"/>
            </w:rPr>
            <w:fldChar w:fldCharType="separate"/>
          </w:r>
          <w:r w:rsidR="0008042B">
            <w:rPr>
              <w:color w:val="000000"/>
            </w:rPr>
            <w:fldChar w:fldCharType="begin"/>
          </w:r>
          <w:r w:rsidR="0008042B">
            <w:rPr>
              <w:color w:val="000000"/>
            </w:rPr>
            <w:instrText xml:space="preserve"> </w:instrText>
          </w:r>
          <w:r w:rsidR="0008042B">
            <w:rPr>
              <w:color w:val="000000"/>
            </w:rPr>
            <w:instrText>INCLUDEPICTURE  "cid:image001.png@01D9F5EF.3965C4E0" \* MERGEFORMATINET</w:instrText>
          </w:r>
          <w:r w:rsidR="0008042B">
            <w:rPr>
              <w:color w:val="000000"/>
            </w:rPr>
            <w:instrText xml:space="preserve"> </w:instrText>
          </w:r>
          <w:r w:rsidR="0008042B">
            <w:rPr>
              <w:color w:val="000000"/>
            </w:rPr>
            <w:fldChar w:fldCharType="separate"/>
          </w:r>
          <w:r w:rsidR="0008042B">
            <w:rPr>
              <w:color w:val="000000"/>
            </w:rPr>
            <w:pict w14:anchorId="02A8DB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90.15pt;height:90.8pt">
                <v:imagedata r:id="rId1" r:href="rId2"/>
              </v:shape>
            </w:pict>
          </w:r>
          <w:r w:rsidR="0008042B">
            <w:rPr>
              <w:color w:val="000000"/>
            </w:rPr>
            <w:fldChar w:fldCharType="end"/>
          </w:r>
          <w:r w:rsidR="00376D42">
            <w:rPr>
              <w:color w:val="000000"/>
            </w:rPr>
            <w:fldChar w:fldCharType="end"/>
          </w:r>
          <w:r w:rsidR="00C76CBE">
            <w:rPr>
              <w:color w:val="000000"/>
            </w:rPr>
            <w:fldChar w:fldCharType="end"/>
          </w:r>
          <w:r w:rsidR="00FC5EED">
            <w:rPr>
              <w:color w:val="000000"/>
            </w:rPr>
            <w:fldChar w:fldCharType="end"/>
          </w:r>
          <w:r w:rsidR="005675D6">
            <w:rPr>
              <w:color w:val="000000"/>
            </w:rPr>
            <w:fldChar w:fldCharType="end"/>
          </w:r>
          <w:r w:rsidR="00A779E7">
            <w:rPr>
              <w:color w:val="000000"/>
            </w:rPr>
            <w:fldChar w:fldCharType="end"/>
          </w:r>
          <w:r w:rsidR="00855FED">
            <w:rPr>
              <w:color w:val="000000"/>
            </w:rPr>
            <w:fldChar w:fldCharType="end"/>
          </w:r>
          <w:r w:rsidR="00922D32">
            <w:rPr>
              <w:color w:val="000000"/>
            </w:rPr>
            <w:fldChar w:fldCharType="end"/>
          </w:r>
          <w:r w:rsidR="00466EA5">
            <w:rPr>
              <w:color w:val="000000"/>
            </w:rPr>
            <w:fldChar w:fldCharType="end"/>
          </w:r>
          <w:r w:rsidR="003E2A3A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306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Default="005C4A23" w:rsidP="00C76CBE">
          <w:pPr>
            <w:jc w:val="center"/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3E2A3A">
            <w:rPr>
              <w:color w:val="000000"/>
            </w:rPr>
            <w:fldChar w:fldCharType="begin"/>
          </w:r>
          <w:r w:rsidR="003E2A3A">
            <w:rPr>
              <w:color w:val="000000"/>
            </w:rPr>
            <w:instrText xml:space="preserve"> INCLUDEPICTURE  "cid:image002.jpg@01D9F5EF.3965C4E0" \* MERGEFORMATINET </w:instrText>
          </w:r>
          <w:r w:rsidR="003E2A3A">
            <w:rPr>
              <w:color w:val="000000"/>
            </w:rPr>
            <w:fldChar w:fldCharType="separate"/>
          </w:r>
          <w:r w:rsidR="00466EA5">
            <w:rPr>
              <w:color w:val="000000"/>
            </w:rPr>
            <w:fldChar w:fldCharType="begin"/>
          </w:r>
          <w:r w:rsidR="00466EA5">
            <w:rPr>
              <w:color w:val="000000"/>
            </w:rPr>
            <w:instrText xml:space="preserve"> INCLUDEPICTURE  "cid:image002.jpg@01D9F5EF.3965C4E0" \* MERGEFORMATINET </w:instrText>
          </w:r>
          <w:r w:rsidR="00466EA5">
            <w:rPr>
              <w:color w:val="000000"/>
            </w:rPr>
            <w:fldChar w:fldCharType="separate"/>
          </w:r>
          <w:r w:rsidR="00922D32">
            <w:rPr>
              <w:color w:val="000000"/>
            </w:rPr>
            <w:fldChar w:fldCharType="begin"/>
          </w:r>
          <w:r w:rsidR="00922D32">
            <w:rPr>
              <w:color w:val="000000"/>
            </w:rPr>
            <w:instrText xml:space="preserve"> INCLUDEPICTURE  "cid:image002.jpg@01D9F5EF.3965C4E0" \* MERGEFORMATINET </w:instrText>
          </w:r>
          <w:r w:rsidR="00922D32">
            <w:rPr>
              <w:color w:val="000000"/>
            </w:rPr>
            <w:fldChar w:fldCharType="separate"/>
          </w:r>
          <w:r w:rsidR="00855FED">
            <w:rPr>
              <w:color w:val="000000"/>
            </w:rPr>
            <w:fldChar w:fldCharType="begin"/>
          </w:r>
          <w:r w:rsidR="00855FED">
            <w:rPr>
              <w:color w:val="000000"/>
            </w:rPr>
            <w:instrText xml:space="preserve"> INCLUDEPICTURE  "cid:image002.jpg@01D9F5EF.3965C4E0" \* MERGEFORMATINET </w:instrText>
          </w:r>
          <w:r w:rsidR="00855FED">
            <w:rPr>
              <w:color w:val="000000"/>
            </w:rPr>
            <w:fldChar w:fldCharType="separate"/>
          </w:r>
          <w:r w:rsidR="00A779E7">
            <w:rPr>
              <w:color w:val="000000"/>
            </w:rPr>
            <w:fldChar w:fldCharType="begin"/>
          </w:r>
          <w:r w:rsidR="00A779E7">
            <w:rPr>
              <w:color w:val="000000"/>
            </w:rPr>
            <w:instrText xml:space="preserve"> INCLUDEPICTURE  "cid:image002.jpg@01D9F5EF.3965C4E0" \* MERGEFORMATINET </w:instrText>
          </w:r>
          <w:r w:rsidR="00A779E7">
            <w:rPr>
              <w:color w:val="000000"/>
            </w:rPr>
            <w:fldChar w:fldCharType="separate"/>
          </w:r>
          <w:r w:rsidR="005675D6">
            <w:rPr>
              <w:color w:val="000000"/>
            </w:rPr>
            <w:fldChar w:fldCharType="begin"/>
          </w:r>
          <w:r w:rsidR="005675D6">
            <w:rPr>
              <w:color w:val="000000"/>
            </w:rPr>
            <w:instrText xml:space="preserve"> INCLUDEPICTURE  "cid:image002.jpg@01D9F5EF.3965C4E0" \* MERGEFORMATINET </w:instrText>
          </w:r>
          <w:r w:rsidR="005675D6">
            <w:rPr>
              <w:color w:val="000000"/>
            </w:rPr>
            <w:fldChar w:fldCharType="separate"/>
          </w:r>
          <w:r w:rsidR="00FC5EED">
            <w:rPr>
              <w:color w:val="000000"/>
            </w:rPr>
            <w:fldChar w:fldCharType="begin"/>
          </w:r>
          <w:r w:rsidR="00FC5EED">
            <w:rPr>
              <w:color w:val="000000"/>
            </w:rPr>
            <w:instrText xml:space="preserve"> INCLUDEPICTURE  "cid:image002.jpg@01D9F5EF.3965C4E0" \* MERGEFORMATINET </w:instrText>
          </w:r>
          <w:r w:rsidR="00FC5EED">
            <w:rPr>
              <w:color w:val="000000"/>
            </w:rPr>
            <w:fldChar w:fldCharType="separate"/>
          </w:r>
          <w:r w:rsidR="00C76CBE">
            <w:rPr>
              <w:color w:val="000000"/>
            </w:rPr>
            <w:fldChar w:fldCharType="begin"/>
          </w:r>
          <w:r w:rsidR="00C76CBE">
            <w:rPr>
              <w:color w:val="000000"/>
            </w:rPr>
            <w:instrText xml:space="preserve"> INCLUDEPICTURE  "cid:image002.jpg@01D9F5EF.3965C4E0" \* MERGEFORMATINET </w:instrText>
          </w:r>
          <w:r w:rsidR="00C76CBE">
            <w:rPr>
              <w:color w:val="000000"/>
            </w:rPr>
            <w:fldChar w:fldCharType="separate"/>
          </w:r>
          <w:r w:rsidR="00376D42">
            <w:rPr>
              <w:color w:val="000000"/>
            </w:rPr>
            <w:fldChar w:fldCharType="begin"/>
          </w:r>
          <w:r w:rsidR="00376D42">
            <w:rPr>
              <w:color w:val="000000"/>
            </w:rPr>
            <w:instrText xml:space="preserve"> INCLUDEPICTURE  "cid:image002.jpg@01D9F5EF.3965C4E0" \* MERGEFORMATINET </w:instrText>
          </w:r>
          <w:r w:rsidR="00376D42">
            <w:rPr>
              <w:color w:val="000000"/>
            </w:rPr>
            <w:fldChar w:fldCharType="separate"/>
          </w:r>
          <w:r w:rsidR="0008042B">
            <w:rPr>
              <w:color w:val="000000"/>
            </w:rPr>
            <w:fldChar w:fldCharType="begin"/>
          </w:r>
          <w:r w:rsidR="0008042B">
            <w:rPr>
              <w:color w:val="000000"/>
            </w:rPr>
            <w:instrText xml:space="preserve"> </w:instrText>
          </w:r>
          <w:r w:rsidR="0008042B">
            <w:rPr>
              <w:color w:val="000000"/>
            </w:rPr>
            <w:instrText>INCLUDEPICTURE  "cid:image002.jpg@01D9F5EF.3965C4E0" \* MERGEFORMATINET</w:instrText>
          </w:r>
          <w:r w:rsidR="0008042B">
            <w:rPr>
              <w:color w:val="000000"/>
            </w:rPr>
            <w:instrText xml:space="preserve"> </w:instrText>
          </w:r>
          <w:r w:rsidR="0008042B">
            <w:rPr>
              <w:color w:val="000000"/>
            </w:rPr>
            <w:fldChar w:fldCharType="separate"/>
          </w:r>
          <w:r w:rsidR="0008042B">
            <w:rPr>
              <w:color w:val="000000"/>
            </w:rPr>
            <w:pict w14:anchorId="22ED9A47">
              <v:shape id="_x0000_i1026" type="#_x0000_t75" style="width:109.55pt;height:79.5pt">
                <v:imagedata r:id="rId3" r:href="rId4"/>
              </v:shape>
            </w:pict>
          </w:r>
          <w:r w:rsidR="0008042B">
            <w:rPr>
              <w:color w:val="000000"/>
            </w:rPr>
            <w:fldChar w:fldCharType="end"/>
          </w:r>
          <w:r w:rsidR="00376D42">
            <w:rPr>
              <w:color w:val="000000"/>
            </w:rPr>
            <w:fldChar w:fldCharType="end"/>
          </w:r>
          <w:r w:rsidR="00C76CBE">
            <w:rPr>
              <w:color w:val="000000"/>
            </w:rPr>
            <w:fldChar w:fldCharType="end"/>
          </w:r>
          <w:r w:rsidR="00FC5EED">
            <w:rPr>
              <w:color w:val="000000"/>
            </w:rPr>
            <w:fldChar w:fldCharType="end"/>
          </w:r>
          <w:r w:rsidR="005675D6">
            <w:rPr>
              <w:color w:val="000000"/>
            </w:rPr>
            <w:fldChar w:fldCharType="end"/>
          </w:r>
          <w:r w:rsidR="00A779E7">
            <w:rPr>
              <w:color w:val="000000"/>
            </w:rPr>
            <w:fldChar w:fldCharType="end"/>
          </w:r>
          <w:r w:rsidR="00855FED">
            <w:rPr>
              <w:color w:val="000000"/>
            </w:rPr>
            <w:fldChar w:fldCharType="end"/>
          </w:r>
          <w:r w:rsidR="00922D32">
            <w:rPr>
              <w:color w:val="000000"/>
            </w:rPr>
            <w:fldChar w:fldCharType="end"/>
          </w:r>
          <w:r w:rsidR="00466EA5">
            <w:rPr>
              <w:color w:val="000000"/>
            </w:rPr>
            <w:fldChar w:fldCharType="end"/>
          </w:r>
          <w:r w:rsidR="003E2A3A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446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C5EED" w:rsidRPr="005C4A23" w:rsidRDefault="0008042B" w:rsidP="00376D42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 xml:space="preserve">II </w:t>
          </w:r>
          <w:r w:rsidRPr="00B91C20">
            <w:rPr>
              <w:rFonts w:ascii="Times New Roman" w:hAnsi="Times New Roman" w:cs="Times New Roman"/>
              <w:b/>
              <w:noProof/>
            </w:rPr>
            <w:t>202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>5</w:t>
          </w:r>
          <w:bookmarkStart w:id="0" w:name="_GoBack"/>
          <w:bookmarkEnd w:id="0"/>
        </w:p>
      </w:tc>
    </w:tr>
    <w:tr w:rsidR="005C4A23" w:rsidRPr="00BD28BF" w:rsidTr="00C76CBE">
      <w:trPr>
        <w:trHeight w:val="1419"/>
        <w:jc w:val="center"/>
      </w:trPr>
      <w:tc>
        <w:tcPr>
          <w:tcW w:w="18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5C4A23" w:rsidRPr="005C4A23" w:rsidRDefault="005C4A23" w:rsidP="00855FE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5C4A23" w:rsidRPr="005C4A23" w:rsidRDefault="005C4A23" w:rsidP="00855FE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5C4A23" w:rsidRPr="005C4A23" w:rsidRDefault="005C4A23" w:rsidP="00855FE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5C4A23" w:rsidRPr="005C4A23" w:rsidRDefault="005C4A23" w:rsidP="00855FE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858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BD28BF" w:rsidRDefault="005C4A23" w:rsidP="005C4A2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306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BD28BF" w:rsidRDefault="005C4A23" w:rsidP="005C4A2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446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5C4A23" w:rsidRPr="00C76CBE" w:rsidRDefault="005C4A23" w:rsidP="00C76C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C4A23">
            <w:rPr>
              <w:rFonts w:ascii="Times New Roman" w:hAnsi="Times New Roman" w:cs="Times New Roman"/>
              <w:b/>
              <w:sz w:val="24"/>
              <w:szCs w:val="24"/>
            </w:rPr>
            <w:t xml:space="preserve">Версия </w:t>
          </w:r>
          <w:r w:rsidR="00C76CBE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  <w:t>2</w:t>
          </w:r>
          <w:r w:rsidR="00C76CBE">
            <w:rPr>
              <w:rFonts w:ascii="Times New Roman" w:hAnsi="Times New Roman" w:cs="Times New Roman"/>
              <w:b/>
              <w:sz w:val="24"/>
              <w:szCs w:val="24"/>
            </w:rPr>
            <w:t>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2B" w:rsidRDefault="00080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0B8"/>
    <w:rsid w:val="00067212"/>
    <w:rsid w:val="00072569"/>
    <w:rsid w:val="0008042B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33CA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20BE"/>
    <w:rsid w:val="003530D2"/>
    <w:rsid w:val="00364E75"/>
    <w:rsid w:val="00375627"/>
    <w:rsid w:val="00376D42"/>
    <w:rsid w:val="003901A4"/>
    <w:rsid w:val="003A5EB2"/>
    <w:rsid w:val="003A6ED1"/>
    <w:rsid w:val="003B6248"/>
    <w:rsid w:val="003C00C1"/>
    <w:rsid w:val="003C1768"/>
    <w:rsid w:val="003C5C35"/>
    <w:rsid w:val="003C7658"/>
    <w:rsid w:val="003E2A3A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66EA5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E4F44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675D6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4A23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C7FC8"/>
    <w:rsid w:val="006D011A"/>
    <w:rsid w:val="006D327B"/>
    <w:rsid w:val="006D3E96"/>
    <w:rsid w:val="006E1F10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3FA4"/>
    <w:rsid w:val="008354EF"/>
    <w:rsid w:val="00855FED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8F6091"/>
    <w:rsid w:val="00910EE4"/>
    <w:rsid w:val="00922D32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77"/>
    <w:rsid w:val="00A30EFB"/>
    <w:rsid w:val="00A32D5E"/>
    <w:rsid w:val="00A74EF2"/>
    <w:rsid w:val="00A7577B"/>
    <w:rsid w:val="00A779E7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4738"/>
    <w:rsid w:val="00B65BE9"/>
    <w:rsid w:val="00B76D00"/>
    <w:rsid w:val="00B84139"/>
    <w:rsid w:val="00B87D4F"/>
    <w:rsid w:val="00B900AC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66441"/>
    <w:rsid w:val="00C71B25"/>
    <w:rsid w:val="00C76CBE"/>
    <w:rsid w:val="00C76F18"/>
    <w:rsid w:val="00C90196"/>
    <w:rsid w:val="00CA185C"/>
    <w:rsid w:val="00CA326D"/>
    <w:rsid w:val="00CA32E1"/>
    <w:rsid w:val="00CA395E"/>
    <w:rsid w:val="00CB1D9F"/>
    <w:rsid w:val="00CB3236"/>
    <w:rsid w:val="00CC524E"/>
    <w:rsid w:val="00CD016C"/>
    <w:rsid w:val="00CD5BDC"/>
    <w:rsid w:val="00CF0E9F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5EED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0D455-CA25-42AD-AE26-57BFC2CB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22</cp:revision>
  <cp:lastPrinted>2019-01-18T07:52:00Z</cp:lastPrinted>
  <dcterms:created xsi:type="dcterms:W3CDTF">2020-06-02T10:00:00Z</dcterms:created>
  <dcterms:modified xsi:type="dcterms:W3CDTF">2025-07-10T08:15:00Z</dcterms:modified>
</cp:coreProperties>
</file>