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8ED" w:rsidRDefault="00C418ED" w:rsidP="00C418ED">
      <w:pPr>
        <w:tabs>
          <w:tab w:val="left" w:pos="5640"/>
        </w:tabs>
        <w:rPr>
          <w:lang w:val="en-US"/>
        </w:rPr>
      </w:pPr>
      <w:r>
        <w:rPr>
          <w:lang w:val="en-US"/>
        </w:rPr>
        <w:tab/>
      </w:r>
    </w:p>
    <w:tbl>
      <w:tblPr>
        <w:tblStyle w:val="TableGrid"/>
        <w:tblpPr w:leftFromText="141" w:rightFromText="141" w:vertAnchor="text" w:tblpXSpec="center" w:tblpY="1"/>
        <w:tblOverlap w:val="never"/>
        <w:tblW w:w="9918" w:type="dxa"/>
        <w:tblLook w:val="04A0" w:firstRow="1" w:lastRow="0" w:firstColumn="1" w:lastColumn="0" w:noHBand="0" w:noVBand="1"/>
      </w:tblPr>
      <w:tblGrid>
        <w:gridCol w:w="1271"/>
        <w:gridCol w:w="5103"/>
        <w:gridCol w:w="3544"/>
      </w:tblGrid>
      <w:tr w:rsidR="00A404E3" w:rsidTr="00C418ED">
        <w:tc>
          <w:tcPr>
            <w:tcW w:w="1271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947B7E" w:rsidRPr="00C41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риска</w:t>
            </w:r>
          </w:p>
        </w:tc>
        <w:tc>
          <w:tcPr>
            <w:tcW w:w="5103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 риска</w:t>
            </w:r>
          </w:p>
        </w:tc>
        <w:tc>
          <w:tcPr>
            <w:tcW w:w="3544" w:type="dxa"/>
            <w:vAlign w:val="center"/>
          </w:tcPr>
          <w:p w:rsidR="00A404E3" w:rsidRPr="00C418ED" w:rsidRDefault="00947B7E" w:rsidP="00AD4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Компетентен</w:t>
            </w:r>
            <w:r w:rsidR="00A404E3" w:rsidRPr="00C41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</w:t>
            </w:r>
          </w:p>
        </w:tc>
      </w:tr>
      <w:tr w:rsidR="00A404E3" w:rsidTr="00C418ED">
        <w:tc>
          <w:tcPr>
            <w:tcW w:w="1271" w:type="dxa"/>
            <w:vAlign w:val="center"/>
          </w:tcPr>
          <w:p w:rsidR="00A404E3" w:rsidRPr="00C418ED" w:rsidRDefault="00A404E3" w:rsidP="00AD4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 1</w:t>
            </w:r>
          </w:p>
        </w:tc>
        <w:tc>
          <w:tcPr>
            <w:tcW w:w="5103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Конфликти на интереси в рамките на оценяващата комисия</w:t>
            </w:r>
          </w:p>
        </w:tc>
        <w:tc>
          <w:tcPr>
            <w:tcW w:w="3544" w:type="dxa"/>
            <w:vAlign w:val="center"/>
          </w:tcPr>
          <w:p w:rsidR="00A404E3" w:rsidRPr="007C35BC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404E3" w:rsidTr="00C418ED">
        <w:trPr>
          <w:trHeight w:val="540"/>
        </w:trPr>
        <w:tc>
          <w:tcPr>
            <w:tcW w:w="1271" w:type="dxa"/>
            <w:vAlign w:val="center"/>
          </w:tcPr>
          <w:p w:rsidR="00A404E3" w:rsidRPr="00C418ED" w:rsidRDefault="00A404E3" w:rsidP="00AD4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5103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Декларации на кандидатите с невярно съдържание</w:t>
            </w:r>
          </w:p>
        </w:tc>
        <w:tc>
          <w:tcPr>
            <w:tcW w:w="3544" w:type="dxa"/>
            <w:vAlign w:val="center"/>
          </w:tcPr>
          <w:p w:rsidR="00A404E3" w:rsidRPr="007C35BC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404E3" w:rsidTr="00C418ED">
        <w:trPr>
          <w:trHeight w:val="409"/>
        </w:trPr>
        <w:tc>
          <w:tcPr>
            <w:tcW w:w="1271" w:type="dxa"/>
            <w:vAlign w:val="center"/>
          </w:tcPr>
          <w:p w:rsidR="00A404E3" w:rsidRPr="00C418ED" w:rsidRDefault="00A404E3" w:rsidP="00AD4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5103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Двойно финансиране</w:t>
            </w:r>
          </w:p>
        </w:tc>
        <w:tc>
          <w:tcPr>
            <w:tcW w:w="3544" w:type="dxa"/>
            <w:vAlign w:val="center"/>
          </w:tcPr>
          <w:p w:rsidR="00A404E3" w:rsidRPr="00A404E3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4E3" w:rsidTr="00C418ED">
        <w:trPr>
          <w:trHeight w:val="415"/>
        </w:trPr>
        <w:tc>
          <w:tcPr>
            <w:tcW w:w="1271" w:type="dxa"/>
            <w:vAlign w:val="center"/>
          </w:tcPr>
          <w:p w:rsidR="00A404E3" w:rsidRPr="00C418ED" w:rsidRDefault="00A404E3" w:rsidP="00AD4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 1</w:t>
            </w:r>
          </w:p>
        </w:tc>
        <w:tc>
          <w:tcPr>
            <w:tcW w:w="5103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Недеклариран конфликт на интереси или подкупи и комисиони</w:t>
            </w:r>
          </w:p>
        </w:tc>
        <w:tc>
          <w:tcPr>
            <w:tcW w:w="3544" w:type="dxa"/>
            <w:vAlign w:val="center"/>
          </w:tcPr>
          <w:p w:rsidR="00A404E3" w:rsidRPr="00AD4962" w:rsidRDefault="00A404E3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4E3" w:rsidTr="00C418ED">
        <w:trPr>
          <w:trHeight w:val="421"/>
        </w:trPr>
        <w:tc>
          <w:tcPr>
            <w:tcW w:w="1271" w:type="dxa"/>
            <w:vAlign w:val="center"/>
          </w:tcPr>
          <w:p w:rsidR="00A404E3" w:rsidRPr="00C418ED" w:rsidRDefault="00A404E3" w:rsidP="00AD4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 2</w:t>
            </w:r>
          </w:p>
        </w:tc>
        <w:tc>
          <w:tcPr>
            <w:tcW w:w="5103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Избягване на необходимата състезателна процедура</w:t>
            </w:r>
          </w:p>
        </w:tc>
        <w:tc>
          <w:tcPr>
            <w:tcW w:w="3544" w:type="dxa"/>
            <w:vAlign w:val="center"/>
          </w:tcPr>
          <w:p w:rsidR="00A404E3" w:rsidRPr="007C35BC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4962" w:rsidTr="00C418ED">
        <w:trPr>
          <w:trHeight w:val="413"/>
        </w:trPr>
        <w:tc>
          <w:tcPr>
            <w:tcW w:w="1271" w:type="dxa"/>
          </w:tcPr>
          <w:p w:rsidR="00AD4962" w:rsidRPr="00C418ED" w:rsidRDefault="00AD4962" w:rsidP="00AD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AD4962" w:rsidRPr="00C418ED" w:rsidRDefault="00AD4962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Манипулация на процеса на състезателната процедура</w:t>
            </w:r>
          </w:p>
        </w:tc>
        <w:tc>
          <w:tcPr>
            <w:tcW w:w="3544" w:type="dxa"/>
            <w:vAlign w:val="center"/>
          </w:tcPr>
          <w:p w:rsidR="00AD4962" w:rsidRPr="00AD4962" w:rsidRDefault="00AD4962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962" w:rsidTr="00C418ED">
        <w:trPr>
          <w:trHeight w:val="418"/>
        </w:trPr>
        <w:tc>
          <w:tcPr>
            <w:tcW w:w="1271" w:type="dxa"/>
          </w:tcPr>
          <w:p w:rsidR="00AD4962" w:rsidRPr="00C418ED" w:rsidRDefault="00AD4962" w:rsidP="00AD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AD4962" w:rsidRPr="00C418ED" w:rsidRDefault="00AD4962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Тайни споразумения за офериране</w:t>
            </w:r>
          </w:p>
        </w:tc>
        <w:tc>
          <w:tcPr>
            <w:tcW w:w="3544" w:type="dxa"/>
            <w:vAlign w:val="center"/>
          </w:tcPr>
          <w:p w:rsidR="00AD4962" w:rsidRPr="007C35BC" w:rsidRDefault="00AD4962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4962" w:rsidTr="00C418ED">
        <w:trPr>
          <w:trHeight w:val="410"/>
        </w:trPr>
        <w:tc>
          <w:tcPr>
            <w:tcW w:w="1271" w:type="dxa"/>
          </w:tcPr>
          <w:p w:rsidR="00AD4962" w:rsidRPr="00C418ED" w:rsidRDefault="00947B7E" w:rsidP="00AD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AD4962" w:rsidRPr="00C418ED" w:rsidRDefault="00947B7E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Неправилно ценообразуване</w:t>
            </w:r>
          </w:p>
        </w:tc>
        <w:tc>
          <w:tcPr>
            <w:tcW w:w="3544" w:type="dxa"/>
            <w:vAlign w:val="center"/>
          </w:tcPr>
          <w:p w:rsidR="00AD4962" w:rsidRPr="00947B7E" w:rsidRDefault="00AD4962" w:rsidP="0046757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962" w:rsidTr="00C418ED">
        <w:trPr>
          <w:trHeight w:val="410"/>
        </w:trPr>
        <w:tc>
          <w:tcPr>
            <w:tcW w:w="1271" w:type="dxa"/>
          </w:tcPr>
          <w:p w:rsidR="00AD4962" w:rsidRPr="00C418ED" w:rsidRDefault="00947B7E" w:rsidP="00AD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center"/>
          </w:tcPr>
          <w:p w:rsidR="00AD4962" w:rsidRPr="00C418ED" w:rsidRDefault="00947B7E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Манипулиране на декларации за разходи</w:t>
            </w:r>
          </w:p>
        </w:tc>
        <w:tc>
          <w:tcPr>
            <w:tcW w:w="3544" w:type="dxa"/>
            <w:vAlign w:val="center"/>
          </w:tcPr>
          <w:p w:rsidR="00AD4962" w:rsidRPr="00947B7E" w:rsidRDefault="00AD4962" w:rsidP="00947B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962" w:rsidTr="00C418ED">
        <w:trPr>
          <w:trHeight w:val="410"/>
        </w:trPr>
        <w:tc>
          <w:tcPr>
            <w:tcW w:w="1271" w:type="dxa"/>
          </w:tcPr>
          <w:p w:rsidR="00AD4962" w:rsidRPr="00C418ED" w:rsidRDefault="00947B7E" w:rsidP="00AD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center"/>
          </w:tcPr>
          <w:p w:rsidR="00AD4962" w:rsidRPr="00C418ED" w:rsidRDefault="00947B7E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Недоставяне</w:t>
            </w:r>
            <w:proofErr w:type="spellEnd"/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 или заместване на продукти</w:t>
            </w:r>
          </w:p>
        </w:tc>
        <w:tc>
          <w:tcPr>
            <w:tcW w:w="3544" w:type="dxa"/>
            <w:vAlign w:val="center"/>
          </w:tcPr>
          <w:p w:rsidR="00AD4962" w:rsidRPr="007C35BC" w:rsidRDefault="00AD4962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47B7E" w:rsidTr="00C418ED">
        <w:trPr>
          <w:trHeight w:val="410"/>
        </w:trPr>
        <w:tc>
          <w:tcPr>
            <w:tcW w:w="1271" w:type="dxa"/>
          </w:tcPr>
          <w:p w:rsidR="00947B7E" w:rsidRPr="00C418ED" w:rsidRDefault="00947B7E" w:rsidP="00947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center"/>
          </w:tcPr>
          <w:p w:rsidR="00947B7E" w:rsidRPr="00C418ED" w:rsidRDefault="00947B7E" w:rsidP="0094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на действащ договор </w:t>
            </w:r>
          </w:p>
        </w:tc>
        <w:tc>
          <w:tcPr>
            <w:tcW w:w="3544" w:type="dxa"/>
            <w:vAlign w:val="center"/>
          </w:tcPr>
          <w:p w:rsidR="00947B7E" w:rsidRPr="007C35BC" w:rsidRDefault="00947B7E" w:rsidP="00947B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47B7E" w:rsidTr="00C418ED">
        <w:trPr>
          <w:trHeight w:val="410"/>
        </w:trPr>
        <w:tc>
          <w:tcPr>
            <w:tcW w:w="1271" w:type="dxa"/>
          </w:tcPr>
          <w:p w:rsidR="00947B7E" w:rsidRPr="00C418ED" w:rsidRDefault="00947B7E" w:rsidP="00947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vAlign w:val="center"/>
          </w:tcPr>
          <w:p w:rsidR="00947B7E" w:rsidRPr="00C418ED" w:rsidRDefault="00947B7E" w:rsidP="0094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Завишено отчитане на качеството или дейностите на персонала </w:t>
            </w:r>
          </w:p>
        </w:tc>
        <w:tc>
          <w:tcPr>
            <w:tcW w:w="3544" w:type="dxa"/>
            <w:vAlign w:val="center"/>
          </w:tcPr>
          <w:p w:rsidR="00947B7E" w:rsidRPr="007C35BC" w:rsidRDefault="00947B7E" w:rsidP="00947B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IR 10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Фиктивни разходи за труд</w:t>
            </w:r>
          </w:p>
        </w:tc>
        <w:tc>
          <w:tcPr>
            <w:tcW w:w="3544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IR 11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Разходите за труд са разпределени неправилно по определени проекти</w:t>
            </w:r>
          </w:p>
        </w:tc>
        <w:tc>
          <w:tcPr>
            <w:tcW w:w="3544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Непълен / неадекватен процес на проверка</w:t>
            </w:r>
          </w:p>
        </w:tc>
        <w:tc>
          <w:tcPr>
            <w:tcW w:w="3544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Непълен / неадекватен процес на сертифициране на разходите</w:t>
            </w:r>
          </w:p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CR 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Конфликти на интереси в рамките на УО</w:t>
            </w:r>
          </w:p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814D1" w:rsidRPr="007C35BC" w:rsidRDefault="007814D1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Конфликти на интереси в рамките на сертифициращия орган</w:t>
            </w:r>
          </w:p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814D1" w:rsidRPr="007C35BC" w:rsidRDefault="007814D1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Избягване на необходимата състезателна процедура</w:t>
            </w:r>
          </w:p>
        </w:tc>
        <w:tc>
          <w:tcPr>
            <w:tcW w:w="3544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569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Манипулация на процеса на състезателната процедура</w:t>
            </w:r>
          </w:p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="007B00D3"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Недеклариран конфликт на интереси или подкупи и комисиони</w:t>
            </w:r>
          </w:p>
        </w:tc>
        <w:tc>
          <w:tcPr>
            <w:tcW w:w="3544" w:type="dxa"/>
            <w:vAlign w:val="center"/>
          </w:tcPr>
          <w:p w:rsidR="007814D1" w:rsidRPr="007C35BC" w:rsidRDefault="007814D1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067CF9" w:rsidRDefault="00067CF9" w:rsidP="00067CF9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947B7E" w:rsidRDefault="00947B7E" w:rsidP="00067CF9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947B7E" w:rsidRDefault="00947B7E" w:rsidP="00067CF9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pl-PL"/>
        </w:rPr>
      </w:pPr>
    </w:p>
    <w:sectPr w:rsidR="00947B7E" w:rsidSect="00C418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ABC" w:rsidRDefault="000F2ABC" w:rsidP="00CF19E3">
      <w:pPr>
        <w:spacing w:after="0" w:line="240" w:lineRule="auto"/>
      </w:pPr>
      <w:r>
        <w:separator/>
      </w:r>
    </w:p>
  </w:endnote>
  <w:endnote w:type="continuationSeparator" w:id="0">
    <w:p w:rsidR="000F2ABC" w:rsidRDefault="000F2ABC" w:rsidP="00CF1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BFF" w:rsidRDefault="006E2B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9E3" w:rsidRDefault="00CF19E3" w:rsidP="00CF19E3">
    <w:pPr>
      <w:pStyle w:val="Footer"/>
      <w:rPr>
        <w:b/>
        <w:i/>
        <w:sz w:val="24"/>
        <w:szCs w:val="24"/>
      </w:rPr>
    </w:pPr>
  </w:p>
  <w:p w:rsidR="00CF19E3" w:rsidRDefault="00CF19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BFF" w:rsidRDefault="006E2B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ABC" w:rsidRDefault="000F2ABC" w:rsidP="00CF19E3">
      <w:pPr>
        <w:spacing w:after="0" w:line="240" w:lineRule="auto"/>
      </w:pPr>
      <w:r>
        <w:separator/>
      </w:r>
    </w:p>
  </w:footnote>
  <w:footnote w:type="continuationSeparator" w:id="0">
    <w:p w:rsidR="000F2ABC" w:rsidRDefault="000F2ABC" w:rsidP="00CF1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BFF" w:rsidRDefault="006E2B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BA7681" w:rsidRPr="00B97F78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BA7681" w:rsidRPr="000E0EEA" w:rsidRDefault="00BA7681" w:rsidP="00BA7681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BA7681" w:rsidRPr="000E0EEA" w:rsidRDefault="00BA7681" w:rsidP="00BA7681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BA7681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8.05-част 1</w:t>
          </w:r>
        </w:p>
      </w:tc>
    </w:tr>
    <w:tr w:rsidR="00BA7681" w:rsidRPr="00B97F78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BA7681" w:rsidRPr="00B97F78" w:rsidRDefault="00BA7681" w:rsidP="00BA768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</w:pPr>
          <w:r w:rsidRPr="00BA7681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Разпределение за оценка на бруто риска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BA7681" w:rsidRPr="000E0EEA" w:rsidRDefault="00BA7681" w:rsidP="00BA768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6E2BFF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6E2BFF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2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C418ED" w:rsidRPr="00C418ED" w:rsidTr="00C418ED">
      <w:trPr>
        <w:jc w:val="center"/>
      </w:trPr>
      <w:tc>
        <w:tcPr>
          <w:tcW w:w="1752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418ED">
          <w:pPr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418ED">
          <w:pPr>
            <w:rPr>
              <w:rFonts w:ascii="Times New Roman" w:hAnsi="Times New Roman" w:cs="Times New Roman"/>
              <w:color w:val="000000"/>
              <w:sz w:val="24"/>
              <w:szCs w:val="24"/>
              <w:lang w:val="ru-RU"/>
            </w:rPr>
          </w:pP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begin"/>
          </w: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INCLUDEPICTURE  "cid:image001.png@01D9F5EF.3965C4E0" \* MERGEFORMATINET </w:instrText>
          </w: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separate"/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begin"/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</w:instrText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instrText>INCLUDEPICTURE  "cid:image001.png@01D9F5EF.3965C4E0" \* MERGEFORMATINET</w:instrText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</w:instrText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separate"/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pict w14:anchorId="62601E9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25pt;height:102pt">
                <v:imagedata r:id="rId1" r:href="rId2"/>
              </v:shape>
            </w:pict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end"/>
          </w: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418ED">
          <w:pPr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</w:pP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begin"/>
          </w: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INCLUDEPICTURE  "cid:image002.jpg@01D9F5EF.3965C4E0" \* MERGEFORMATINET </w:instrText>
          </w: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separate"/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begin"/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</w:instrText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instrText>INCLUDEPICTURE  "cid:image002.jpg@01D9F5EF.3965C4E0" \* MERGEFORMATINET</w:instrText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</w:instrText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separate"/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pict w14:anchorId="1C833BDD">
              <v:shape id="_x0000_i1026" type="#_x0000_t75" alt="" style="width:123.75pt;height:90pt">
                <v:imagedata r:id="rId3" r:href="rId4"/>
              </v:shape>
            </w:pict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end"/>
          </w: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end"/>
          </w:r>
        </w:p>
      </w:tc>
      <w:tc>
        <w:tcPr>
          <w:tcW w:w="1363" w:type="dxa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418ED">
          <w:pPr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  <w:lang w:val="en-US"/>
            </w:rPr>
          </w:pP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  <w:lang w:val="en-US"/>
            </w:rPr>
            <w:t>X</w:t>
          </w:r>
          <w:r w:rsidR="006E2BFF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  <w:lang w:val="en-US"/>
            </w:rPr>
            <w:t>I</w:t>
          </w: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  <w:lang w:val="en-US"/>
            </w:rPr>
            <w:t xml:space="preserve"> 2023</w:t>
          </w:r>
        </w:p>
      </w:tc>
    </w:tr>
    <w:tr w:rsidR="00C418ED" w:rsidRPr="00C418ED" w:rsidTr="00C418ED">
      <w:trPr>
        <w:jc w:val="center"/>
      </w:trPr>
      <w:tc>
        <w:tcPr>
          <w:tcW w:w="1752" w:type="dxa"/>
          <w:tcBorders>
            <w:top w:val="nil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418ED">
          <w:pPr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</w:pP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>ПНУИ</w:t>
          </w:r>
        </w:p>
        <w:p w:rsidR="00C418ED" w:rsidRPr="00C418ED" w:rsidRDefault="00C418ED" w:rsidP="00C418ED">
          <w:pPr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</w:pP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>на</w:t>
          </w:r>
        </w:p>
        <w:p w:rsidR="00C418ED" w:rsidRPr="00C418ED" w:rsidRDefault="00C418ED" w:rsidP="00C418ED">
          <w:pPr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</w:pP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>ПТС</w:t>
          </w:r>
        </w:p>
        <w:p w:rsidR="00C418ED" w:rsidRPr="00C418ED" w:rsidRDefault="00C418ED" w:rsidP="00C418ED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bg-BG"/>
            </w:rPr>
          </w:pP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>2021-2027</w:t>
          </w:r>
        </w:p>
      </w:tc>
      <w:tc>
        <w:tcPr>
          <w:tcW w:w="3634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418ED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bg-BG"/>
            </w:rPr>
          </w:pPr>
        </w:p>
      </w:tc>
      <w:tc>
        <w:tcPr>
          <w:tcW w:w="2886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418ED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363" w:type="dxa"/>
          <w:tcBorders>
            <w:top w:val="nil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418ED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4"/>
              <w:lang w:val="en-US" w:eastAsia="bg-BG"/>
            </w:rPr>
          </w:pP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 xml:space="preserve">Версия </w:t>
          </w: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  <w:lang w:val="en-US"/>
            </w:rPr>
            <w:t>1.0</w:t>
          </w:r>
        </w:p>
      </w:tc>
      <w:bookmarkStart w:id="0" w:name="_GoBack"/>
      <w:bookmarkEnd w:id="0"/>
    </w:tr>
  </w:tbl>
  <w:p w:rsidR="0083631A" w:rsidRDefault="0083631A" w:rsidP="00BA7681">
    <w:pPr>
      <w:pStyle w:val="Header"/>
      <w:rPr>
        <w:rFonts w:ascii="Times New Roman" w:hAnsi="Times New Roman" w:cs="Times New Roman"/>
        <w:sz w:val="24"/>
        <w:szCs w:val="24"/>
      </w:rPr>
    </w:pPr>
  </w:p>
  <w:p w:rsidR="00C418ED" w:rsidRPr="00C418ED" w:rsidRDefault="00C418ED" w:rsidP="00BA7681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BFF" w:rsidRDefault="006E2B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3F5"/>
    <w:multiLevelType w:val="hybridMultilevel"/>
    <w:tmpl w:val="1FBE12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7969"/>
    <w:multiLevelType w:val="hybridMultilevel"/>
    <w:tmpl w:val="A774A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05E9"/>
    <w:multiLevelType w:val="hybridMultilevel"/>
    <w:tmpl w:val="EDEE63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10B"/>
    <w:multiLevelType w:val="hybridMultilevel"/>
    <w:tmpl w:val="F4CAA2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D1E3D"/>
    <w:multiLevelType w:val="hybridMultilevel"/>
    <w:tmpl w:val="B84495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11AE2"/>
    <w:multiLevelType w:val="multilevel"/>
    <w:tmpl w:val="A72E1A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pStyle w:val="SUK2"/>
      <w:lvlText w:val="%1.%2."/>
      <w:lvlJc w:val="left"/>
      <w:pPr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cs="Times New Roman"/>
        <w:i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537F67B6"/>
    <w:multiLevelType w:val="hybridMultilevel"/>
    <w:tmpl w:val="BA504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D15E1"/>
    <w:multiLevelType w:val="hybridMultilevel"/>
    <w:tmpl w:val="D2B4DA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170D9"/>
    <w:multiLevelType w:val="hybridMultilevel"/>
    <w:tmpl w:val="3196D332"/>
    <w:lvl w:ilvl="0" w:tplc="9228ADF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70" w:hanging="360"/>
      </w:pPr>
    </w:lvl>
    <w:lvl w:ilvl="2" w:tplc="0402001B" w:tentative="1">
      <w:start w:val="1"/>
      <w:numFmt w:val="lowerRoman"/>
      <w:lvlText w:val="%3."/>
      <w:lvlJc w:val="right"/>
      <w:pPr>
        <w:ind w:left="1790" w:hanging="180"/>
      </w:pPr>
    </w:lvl>
    <w:lvl w:ilvl="3" w:tplc="0402000F" w:tentative="1">
      <w:start w:val="1"/>
      <w:numFmt w:val="decimal"/>
      <w:lvlText w:val="%4."/>
      <w:lvlJc w:val="left"/>
      <w:pPr>
        <w:ind w:left="2510" w:hanging="360"/>
      </w:pPr>
    </w:lvl>
    <w:lvl w:ilvl="4" w:tplc="04020019" w:tentative="1">
      <w:start w:val="1"/>
      <w:numFmt w:val="lowerLetter"/>
      <w:lvlText w:val="%5."/>
      <w:lvlJc w:val="left"/>
      <w:pPr>
        <w:ind w:left="3230" w:hanging="360"/>
      </w:pPr>
    </w:lvl>
    <w:lvl w:ilvl="5" w:tplc="0402001B" w:tentative="1">
      <w:start w:val="1"/>
      <w:numFmt w:val="lowerRoman"/>
      <w:lvlText w:val="%6."/>
      <w:lvlJc w:val="right"/>
      <w:pPr>
        <w:ind w:left="3950" w:hanging="180"/>
      </w:pPr>
    </w:lvl>
    <w:lvl w:ilvl="6" w:tplc="0402000F" w:tentative="1">
      <w:start w:val="1"/>
      <w:numFmt w:val="decimal"/>
      <w:lvlText w:val="%7."/>
      <w:lvlJc w:val="left"/>
      <w:pPr>
        <w:ind w:left="4670" w:hanging="360"/>
      </w:pPr>
    </w:lvl>
    <w:lvl w:ilvl="7" w:tplc="04020019" w:tentative="1">
      <w:start w:val="1"/>
      <w:numFmt w:val="lowerLetter"/>
      <w:lvlText w:val="%8."/>
      <w:lvlJc w:val="left"/>
      <w:pPr>
        <w:ind w:left="5390" w:hanging="360"/>
      </w:pPr>
    </w:lvl>
    <w:lvl w:ilvl="8" w:tplc="0402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E"/>
    <w:rsid w:val="0004515C"/>
    <w:rsid w:val="00064444"/>
    <w:rsid w:val="00067CF9"/>
    <w:rsid w:val="000F1198"/>
    <w:rsid w:val="000F2ABC"/>
    <w:rsid w:val="001075F5"/>
    <w:rsid w:val="001E5B12"/>
    <w:rsid w:val="001F384E"/>
    <w:rsid w:val="00224A54"/>
    <w:rsid w:val="00253490"/>
    <w:rsid w:val="002827E9"/>
    <w:rsid w:val="002E5BF5"/>
    <w:rsid w:val="003126BC"/>
    <w:rsid w:val="00320334"/>
    <w:rsid w:val="003B793E"/>
    <w:rsid w:val="003C7D10"/>
    <w:rsid w:val="003D3DD9"/>
    <w:rsid w:val="00407A38"/>
    <w:rsid w:val="00437A99"/>
    <w:rsid w:val="004446F3"/>
    <w:rsid w:val="00466C1A"/>
    <w:rsid w:val="00467573"/>
    <w:rsid w:val="004F50D4"/>
    <w:rsid w:val="00525167"/>
    <w:rsid w:val="0059465B"/>
    <w:rsid w:val="005D4982"/>
    <w:rsid w:val="005D5CA5"/>
    <w:rsid w:val="00602142"/>
    <w:rsid w:val="00624FE3"/>
    <w:rsid w:val="00631074"/>
    <w:rsid w:val="00655941"/>
    <w:rsid w:val="00663DE1"/>
    <w:rsid w:val="006B52CB"/>
    <w:rsid w:val="006E2BFF"/>
    <w:rsid w:val="007814D1"/>
    <w:rsid w:val="00790CE8"/>
    <w:rsid w:val="007B00D3"/>
    <w:rsid w:val="007C35BC"/>
    <w:rsid w:val="007D75AC"/>
    <w:rsid w:val="007E077C"/>
    <w:rsid w:val="007F0841"/>
    <w:rsid w:val="00821512"/>
    <w:rsid w:val="0083631A"/>
    <w:rsid w:val="0088621C"/>
    <w:rsid w:val="009419E5"/>
    <w:rsid w:val="009475E1"/>
    <w:rsid w:val="00947B7E"/>
    <w:rsid w:val="00A01720"/>
    <w:rsid w:val="00A404E3"/>
    <w:rsid w:val="00A42754"/>
    <w:rsid w:val="00AD4962"/>
    <w:rsid w:val="00AF51CD"/>
    <w:rsid w:val="00B63B57"/>
    <w:rsid w:val="00BA7681"/>
    <w:rsid w:val="00C418ED"/>
    <w:rsid w:val="00C43A81"/>
    <w:rsid w:val="00C736EA"/>
    <w:rsid w:val="00CF19E3"/>
    <w:rsid w:val="00D93334"/>
    <w:rsid w:val="00DA5352"/>
    <w:rsid w:val="00DD4D67"/>
    <w:rsid w:val="00E301D8"/>
    <w:rsid w:val="00F015B3"/>
    <w:rsid w:val="00F04074"/>
    <w:rsid w:val="00F11F00"/>
    <w:rsid w:val="00F21D35"/>
    <w:rsid w:val="00F531AF"/>
    <w:rsid w:val="00F9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,"/>
  <w:listSeparator w:val=";"/>
  <w14:docId w14:val="0611C836"/>
  <w15:chartTrackingRefBased/>
  <w15:docId w15:val="{C7A42307-F0F4-438D-ACEE-ACFA16D3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793E"/>
    <w:pPr>
      <w:ind w:left="720"/>
      <w:contextualSpacing/>
    </w:pPr>
  </w:style>
  <w:style w:type="paragraph" w:customStyle="1" w:styleId="SUK2">
    <w:name w:val="SUK 2"/>
    <w:basedOn w:val="Normal"/>
    <w:link w:val="SUK2Char"/>
    <w:qFormat/>
    <w:rsid w:val="0059465B"/>
    <w:pPr>
      <w:keepNext/>
      <w:keepLines/>
      <w:numPr>
        <w:ilvl w:val="1"/>
        <w:numId w:val="8"/>
      </w:numPr>
      <w:pBdr>
        <w:top w:val="single" w:sz="4" w:space="1" w:color="auto"/>
        <w:left w:val="single" w:sz="4" w:space="15" w:color="auto"/>
        <w:bottom w:val="single" w:sz="4" w:space="1" w:color="auto"/>
        <w:right w:val="single" w:sz="4" w:space="0" w:color="auto"/>
      </w:pBdr>
      <w:shd w:val="clear" w:color="auto" w:fill="DBE5F1"/>
      <w:spacing w:before="240" w:after="240" w:line="240" w:lineRule="auto"/>
      <w:outlineLvl w:val="0"/>
    </w:pPr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lang w:eastAsia="pl-PL"/>
    </w:rPr>
  </w:style>
  <w:style w:type="character" w:customStyle="1" w:styleId="SUK2Char">
    <w:name w:val="SUK 2 Char"/>
    <w:link w:val="SUK2"/>
    <w:locked/>
    <w:rsid w:val="0059465B"/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shd w:val="clear" w:color="auto" w:fill="DBE5F1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7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1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9E3"/>
  </w:style>
  <w:style w:type="paragraph" w:styleId="Footer">
    <w:name w:val="footer"/>
    <w:basedOn w:val="Normal"/>
    <w:link w:val="FooterChar"/>
    <w:uiPriority w:val="99"/>
    <w:unhideWhenUsed/>
    <w:rsid w:val="00CF1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84236-6F2D-499D-9314-D12971CD0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Yasen Markov</dc:creator>
  <cp:keywords/>
  <dc:description/>
  <cp:lastModifiedBy>Marieta Georgieva Todorova</cp:lastModifiedBy>
  <cp:revision>22</cp:revision>
  <cp:lastPrinted>2016-12-19T08:03:00Z</cp:lastPrinted>
  <dcterms:created xsi:type="dcterms:W3CDTF">2015-03-12T08:02:00Z</dcterms:created>
  <dcterms:modified xsi:type="dcterms:W3CDTF">2023-11-09T13:31:00Z</dcterms:modified>
</cp:coreProperties>
</file>