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7641C" w14:textId="77777777" w:rsidR="00903683" w:rsidRPr="00581CF4" w:rsidRDefault="00347EEE" w:rsidP="00347EE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81CF4">
        <w:rPr>
          <w:rFonts w:ascii="Times New Roman" w:hAnsi="Times New Roman" w:cs="Times New Roman"/>
          <w:b/>
          <w:sz w:val="24"/>
          <w:szCs w:val="24"/>
          <w:lang w:val="bg-BG"/>
        </w:rPr>
        <w:t>ФИНАНСОВА ОБОСНОВКА</w:t>
      </w:r>
    </w:p>
    <w:p w14:paraId="4D387404" w14:textId="69445B0D" w:rsidR="00347EEE" w:rsidRPr="00581CF4" w:rsidRDefault="00347EEE" w:rsidP="00347EE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81CF4">
        <w:rPr>
          <w:rFonts w:ascii="Times New Roman" w:hAnsi="Times New Roman" w:cs="Times New Roman"/>
          <w:b/>
          <w:sz w:val="24"/>
          <w:szCs w:val="24"/>
          <w:lang w:val="bg-BG"/>
        </w:rPr>
        <w:t>ЗА ПРОЕКТ „</w:t>
      </w:r>
      <w:r w:rsidR="00F507D9" w:rsidRPr="00F507D9">
        <w:rPr>
          <w:rFonts w:ascii="Times New Roman" w:hAnsi="Times New Roman" w:cs="Times New Roman"/>
          <w:b/>
          <w:sz w:val="24"/>
          <w:szCs w:val="24"/>
          <w:lang w:val="bg-BG"/>
        </w:rPr>
        <w:t>Рехабилитация на източен кей в пристанищен терминал Лом</w:t>
      </w:r>
      <w:r w:rsidR="00F81555" w:rsidRPr="00F81555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</w:p>
    <w:p w14:paraId="09C7A23C" w14:textId="77777777" w:rsidR="00347EEE" w:rsidRDefault="00347EEE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81CF4">
        <w:rPr>
          <w:rFonts w:ascii="Times New Roman" w:hAnsi="Times New Roman" w:cs="Times New Roman"/>
          <w:sz w:val="24"/>
          <w:szCs w:val="24"/>
          <w:lang w:val="bg-BG"/>
        </w:rPr>
        <w:t>Общата стойност на инвестиционния проект е показана в следващата таблица: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4"/>
        <w:gridCol w:w="2642"/>
      </w:tblGrid>
      <w:tr w:rsidR="008D09F2" w:rsidRPr="000F416A" w14:paraId="0D9C85AC" w14:textId="77777777" w:rsidTr="00382EBC">
        <w:trPr>
          <w:trHeight w:val="412"/>
        </w:trPr>
        <w:tc>
          <w:tcPr>
            <w:tcW w:w="3594" w:type="pct"/>
            <w:shd w:val="clear" w:color="auto" w:fill="C5E0B3" w:themeFill="accent6" w:themeFillTint="66"/>
            <w:vAlign w:val="center"/>
            <w:hideMark/>
          </w:tcPr>
          <w:p w14:paraId="4AA79709" w14:textId="77777777" w:rsidR="008D09F2" w:rsidRPr="008D09F2" w:rsidRDefault="008D09F2" w:rsidP="008D0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Наименование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A5A19CD" w14:textId="77777777" w:rsidR="008D09F2" w:rsidRPr="008D09F2" w:rsidRDefault="008D09F2" w:rsidP="008D0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Общо</w:t>
            </w:r>
          </w:p>
        </w:tc>
      </w:tr>
      <w:tr w:rsidR="008D09F2" w:rsidRPr="000F416A" w14:paraId="5B0A551F" w14:textId="77777777" w:rsidTr="0039160C">
        <w:trPr>
          <w:trHeight w:val="247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D3CD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Планиране и проектиране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A41C8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lang w:val="bg-BG" w:eastAsia="bg-BG"/>
              </w:rPr>
              <w:t>233 329</w:t>
            </w:r>
          </w:p>
        </w:tc>
      </w:tr>
      <w:tr w:rsidR="008D09F2" w:rsidRPr="000F416A" w14:paraId="153B59B6" w14:textId="77777777" w:rsidTr="0039160C">
        <w:trPr>
          <w:trHeight w:val="213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5A55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Отчуждения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64114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lang w:val="bg-BG" w:eastAsia="bg-BG"/>
              </w:rPr>
              <w:t>0</w:t>
            </w:r>
          </w:p>
        </w:tc>
      </w:tr>
      <w:tr w:rsidR="008D09F2" w:rsidRPr="000F416A" w14:paraId="6EE1E547" w14:textId="77777777" w:rsidTr="0039160C">
        <w:trPr>
          <w:trHeight w:val="247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4C7F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Строителство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C7283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lang w:val="bg-BG" w:eastAsia="bg-BG"/>
              </w:rPr>
              <w:t>22 203 118</w:t>
            </w:r>
          </w:p>
        </w:tc>
      </w:tr>
      <w:tr w:rsidR="008D09F2" w:rsidRPr="000F416A" w14:paraId="36E6066B" w14:textId="77777777" w:rsidTr="0039160C">
        <w:trPr>
          <w:trHeight w:val="247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BEE4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Машини и оборудване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91276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lang w:val="bg-BG" w:eastAsia="bg-BG"/>
              </w:rPr>
              <w:t>0</w:t>
            </w:r>
          </w:p>
        </w:tc>
      </w:tr>
      <w:tr w:rsidR="008D09F2" w:rsidRPr="000F416A" w14:paraId="71949FE1" w14:textId="77777777" w:rsidTr="0039160C">
        <w:trPr>
          <w:trHeight w:val="247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10A3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Непредвидени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807EC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lang w:val="bg-BG" w:eastAsia="bg-BG"/>
              </w:rPr>
              <w:t>2 220 312</w:t>
            </w:r>
          </w:p>
        </w:tc>
      </w:tr>
      <w:tr w:rsidR="008D09F2" w:rsidRPr="000F416A" w14:paraId="123EB28A" w14:textId="77777777" w:rsidTr="0039160C">
        <w:trPr>
          <w:trHeight w:val="213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6EF3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Ценова корекция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55FD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lang w:val="bg-BG" w:eastAsia="bg-BG"/>
              </w:rPr>
              <w:t>2 433 059</w:t>
            </w:r>
          </w:p>
        </w:tc>
      </w:tr>
      <w:tr w:rsidR="008D09F2" w:rsidRPr="000F416A" w14:paraId="397C828D" w14:textId="77777777" w:rsidTr="0039160C">
        <w:trPr>
          <w:trHeight w:val="213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13B4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Техническа помощ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4A360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lang w:val="bg-BG" w:eastAsia="bg-BG"/>
              </w:rPr>
              <w:t>337 836</w:t>
            </w:r>
          </w:p>
        </w:tc>
      </w:tr>
      <w:tr w:rsidR="008D09F2" w:rsidRPr="000F416A" w14:paraId="30DD7E66" w14:textId="77777777" w:rsidTr="0039160C">
        <w:trPr>
          <w:trHeight w:val="214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2B8B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Публичност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868EA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lang w:val="bg-BG" w:eastAsia="bg-BG"/>
              </w:rPr>
              <w:t>44 406</w:t>
            </w:r>
          </w:p>
        </w:tc>
      </w:tr>
      <w:tr w:rsidR="008D09F2" w:rsidRPr="000F416A" w14:paraId="0E6AF3E8" w14:textId="77777777" w:rsidTr="0039160C">
        <w:trPr>
          <w:trHeight w:val="178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DB08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Надзор, вкл.  </w:t>
            </w:r>
            <w:r w:rsidRPr="000F416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ЗУТ </w:t>
            </w:r>
            <w:r w:rsidRPr="008D09F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 авторски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DA2CB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lang w:val="bg-BG" w:eastAsia="bg-BG"/>
              </w:rPr>
              <w:t>666 094</w:t>
            </w:r>
          </w:p>
        </w:tc>
      </w:tr>
      <w:tr w:rsidR="008D09F2" w:rsidRPr="000F416A" w14:paraId="5CC96351" w14:textId="77777777" w:rsidTr="0039160C">
        <w:trPr>
          <w:trHeight w:val="214"/>
        </w:trPr>
        <w:tc>
          <w:tcPr>
            <w:tcW w:w="3594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BA90" w14:textId="77777777" w:rsidR="008D09F2" w:rsidRPr="008D09F2" w:rsidRDefault="008D09F2" w:rsidP="008D0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0F4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Обща</w:t>
            </w:r>
            <w:r w:rsidRPr="008D0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сума </w:t>
            </w:r>
            <w:r w:rsidRPr="000F4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, без ДДС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0F165" w14:textId="77777777" w:rsidR="008D09F2" w:rsidRPr="008D09F2" w:rsidRDefault="008D09F2" w:rsidP="008D09F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lang w:val="bg-BG" w:eastAsia="bg-BG"/>
              </w:rPr>
            </w:pPr>
            <w:r w:rsidRPr="008D09F2">
              <w:rPr>
                <w:rFonts w:ascii="Times New Roman" w:eastAsia="Calibri" w:hAnsi="Times New Roman" w:cs="Times New Roman"/>
                <w:b/>
                <w:bCs/>
                <w:lang w:val="bg-BG" w:eastAsia="bg-BG"/>
              </w:rPr>
              <w:t>28 138 153</w:t>
            </w:r>
          </w:p>
        </w:tc>
      </w:tr>
    </w:tbl>
    <w:p w14:paraId="34F3FA09" w14:textId="77777777" w:rsidR="008D09F2" w:rsidRDefault="008D09F2" w:rsidP="000D1FCC">
      <w:pPr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14:paraId="0ECBFC6C" w14:textId="5552DABB" w:rsidR="00E85AC5" w:rsidRPr="00E85AC5" w:rsidRDefault="00E85AC5" w:rsidP="000D1FCC">
      <w:pPr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Начинът за определяне на отделните елементи на инвестиционните раз</w:t>
      </w:r>
      <w:r w:rsidR="009473E3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ходи са описани и мотивирани по-</w:t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долу.</w:t>
      </w:r>
    </w:p>
    <w:p w14:paraId="429F63D8" w14:textId="452A79CB" w:rsidR="008D09F2" w:rsidRDefault="00581CF4" w:rsidP="000D1FCC">
      <w:pPr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За </w:t>
      </w:r>
      <w:r w:rsidR="000D1FCC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определяне размера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на </w:t>
      </w:r>
      <w:r w:rsidR="00E85AC5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СМР са използвани стойности</w:t>
      </w:r>
      <w:r w:rsidR="008D09F2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те от КСС на одобрения </w:t>
      </w:r>
      <w:r w:rsidR="008D09F2" w:rsidRPr="00B804D5">
        <w:rPr>
          <w:rFonts w:ascii="Times New Roman" w:hAnsi="Times New Roman" w:cs="Times New Roman"/>
          <w:sz w:val="24"/>
          <w:szCs w:val="24"/>
          <w:lang w:val="bg-BG"/>
        </w:rPr>
        <w:t>от 2019</w:t>
      </w:r>
      <w:r w:rsidR="009473E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D09F2" w:rsidRPr="00B804D5">
        <w:rPr>
          <w:rFonts w:ascii="Times New Roman" w:hAnsi="Times New Roman" w:cs="Times New Roman"/>
          <w:sz w:val="24"/>
          <w:szCs w:val="24"/>
          <w:lang w:val="bg-BG"/>
        </w:rPr>
        <w:t>г.</w:t>
      </w:r>
      <w:r w:rsidR="008D09F2" w:rsidRPr="008D09F2">
        <w:rPr>
          <w:rFonts w:ascii="Times New Roman" w:hAnsi="Times New Roman" w:cs="Times New Roman"/>
          <w:sz w:val="24"/>
          <w:szCs w:val="24"/>
          <w:lang w:val="bg-BG"/>
        </w:rPr>
        <w:t xml:space="preserve"> проект </w:t>
      </w:r>
      <w:r w:rsidR="008D09F2" w:rsidRPr="00B804D5">
        <w:rPr>
          <w:rFonts w:ascii="Times New Roman" w:hAnsi="Times New Roman" w:cs="Times New Roman"/>
          <w:sz w:val="24"/>
          <w:szCs w:val="24"/>
          <w:lang w:val="bg-BG"/>
        </w:rPr>
        <w:t>за “</w:t>
      </w:r>
      <w:r w:rsidR="00F507D9" w:rsidRPr="00F507D9">
        <w:t xml:space="preserve"> </w:t>
      </w:r>
      <w:r w:rsidR="00F507D9" w:rsidRPr="00F507D9">
        <w:rPr>
          <w:rFonts w:ascii="Times New Roman" w:hAnsi="Times New Roman" w:cs="Times New Roman"/>
          <w:sz w:val="24"/>
          <w:szCs w:val="24"/>
          <w:lang w:val="bg-BG"/>
        </w:rPr>
        <w:t>Рехабилитация на източен кей в пристанищен терминал Лом</w:t>
      </w:r>
      <w:r w:rsidR="008D09F2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8D09F2" w:rsidRPr="00B804D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D09F2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Техните единични стойности са индексирани към дата на изг</w:t>
      </w:r>
      <w:bookmarkStart w:id="0" w:name="_GoBack"/>
      <w:bookmarkEnd w:id="0"/>
      <w:r w:rsidR="008D09F2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отвяне на ПИП с анализ на влиянието на макро-икономическите индикатори за периода. Използвана е </w:t>
      </w:r>
      <w:r w:rsidR="0035761A" w:rsidRP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Методиката за изменение цената на договора за обществена поръчка в резултат на инфлацията </w:t>
      </w:r>
      <w:r w:rsid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по </w:t>
      </w:r>
      <w:r w:rsidR="0035761A" w:rsidRP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Постановление № 290 от 27.09.2022 г. на Министерс</w:t>
      </w:r>
      <w:r w:rsid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ки съвет на Република България. </w:t>
      </w:r>
      <w:r w:rsidR="0035761A" w:rsidRPr="0035761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</w:t>
      </w:r>
    </w:p>
    <w:p w14:paraId="77C6408A" w14:textId="77777777" w:rsidR="0035761A" w:rsidRPr="0035761A" w:rsidRDefault="0035761A" w:rsidP="0035761A">
      <w:pPr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sz w:val="24"/>
          <w:szCs w:val="24"/>
          <w:lang w:val="bg-BG"/>
        </w:rPr>
        <w:t>За целта се прилага формулата, посочена в ПМС 290/2022 г., а именно:</w:t>
      </w:r>
    </w:p>
    <w:p w14:paraId="0BA6DDA1" w14:textId="77777777" w:rsidR="0035761A" w:rsidRPr="0035761A" w:rsidRDefault="0035761A" w:rsidP="0035761A">
      <w:pPr>
        <w:spacing w:after="57"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К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 = [(I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 - I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о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)/I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о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g-BG"/>
        </w:rPr>
        <w:t>]*100.T</w:t>
      </w:r>
      <w:r w:rsidRPr="0035761A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color w:val="000000"/>
          <w:sz w:val="26"/>
          <w:szCs w:val="26"/>
          <w:lang w:val="bg-BG"/>
        </w:rPr>
        <w:t>, където</w:t>
      </w:r>
    </w:p>
    <w:p w14:paraId="1B9127C2" w14:textId="77777777" w:rsidR="0035761A" w:rsidRPr="0035761A" w:rsidRDefault="0035761A" w:rsidP="0035761A">
      <w:pPr>
        <w:spacing w:after="0"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К</w:t>
      </w:r>
      <w:r w:rsidRPr="0035761A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 е изразената в проценти стойност, приложима към подлежащите на изменение стойности на строително-монтажни работи, 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предмет на формиране на стойността на договора и рамковото споразумение (закръглена до втори знак след десетичната запетая);</w:t>
      </w:r>
    </w:p>
    <w:p w14:paraId="2AAEEEC8" w14:textId="77777777" w:rsidR="0035761A" w:rsidRPr="0035761A" w:rsidRDefault="0035761A" w:rsidP="0035761A">
      <w:pPr>
        <w:spacing w:after="0"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bg-BG"/>
        </w:rPr>
        <w:t>I</w:t>
      </w: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 е стойността на индекса за тримесечието, в което са приети дейностите по договора, или тримесечието, за което се индексира рамковото споразумение;</w:t>
      </w:r>
    </w:p>
    <w:p w14:paraId="140B3611" w14:textId="77777777" w:rsidR="0035761A" w:rsidRPr="0035761A" w:rsidRDefault="0035761A" w:rsidP="0035761A">
      <w:pPr>
        <w:spacing w:after="0"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bg-BG"/>
        </w:rPr>
        <w:t>I</w:t>
      </w: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vertAlign w:val="subscript"/>
          <w:lang w:val="bg-BG"/>
        </w:rPr>
        <w:t>о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 е стойността на индекса към 31.12.2020 г. за оферти, подадени преди 31.12.2020 г. или датата на съответното тримесечие. В случаите на последващо индексиране за I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vertAlign w:val="subscript"/>
          <w:lang w:val="bg-BG"/>
        </w:rPr>
        <w:t>о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 е стойността на индекса към последно приложено изменение;</w:t>
      </w:r>
    </w:p>
    <w:p w14:paraId="0D25E1A0" w14:textId="77777777" w:rsidR="0035761A" w:rsidRPr="0035761A" w:rsidRDefault="0035761A" w:rsidP="0035761A">
      <w:pPr>
        <w:spacing w:line="185" w:lineRule="atLeast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</w:pP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bg-BG"/>
        </w:rPr>
        <w:t>T</w:t>
      </w:r>
      <w:r w:rsidRPr="0035761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vertAlign w:val="subscript"/>
          <w:lang w:val="bg-BG"/>
        </w:rPr>
        <w:t>n</w:t>
      </w:r>
      <w:r w:rsidRPr="003576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bg-BG"/>
        </w:rPr>
        <w:t> е тежестният коефициент за съответния вид строеж съгласно таблицата за Тежест на строителните материали в себестойността на различните видове строежи.</w:t>
      </w:r>
    </w:p>
    <w:p w14:paraId="014D7A7D" w14:textId="77777777" w:rsidR="0035761A" w:rsidRPr="0035761A" w:rsidRDefault="0035761A" w:rsidP="0035761A">
      <w:pPr>
        <w:spacing w:before="100" w:beforeAutospacing="1" w:after="100" w:afterAutospacing="1" w:line="168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804D5">
        <w:rPr>
          <w:rFonts w:ascii="Verdana" w:eastAsia="Times New Roman" w:hAnsi="Verdana" w:cs="Times New Roman"/>
          <w:color w:val="000000"/>
          <w:sz w:val="14"/>
          <w:szCs w:val="14"/>
          <w:lang w:val="bg-BG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И</w:t>
      </w:r>
      <w:r w:rsidRPr="0035761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зползван е 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же</w:t>
      </w:r>
      <w:r w:rsidRPr="0035761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стен коефициент за </w:t>
      </w:r>
      <w:r w:rsidRPr="00B804D5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обекти на железопътна инфраструктура,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като най-близък по аналогия до този за обекти на пристанищната инфраструктура, </w:t>
      </w:r>
      <w:r w:rsidR="00AB0B15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който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35761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съгласно </w:t>
      </w:r>
      <w:r w:rsidRPr="0035761A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lastRenderedPageBreak/>
        <w:t>Методиката  за изменение цената на договор за обществена поръчка в резултат на инфлацията е определен на 57.00%</w:t>
      </w:r>
    </w:p>
    <w:p w14:paraId="1460CC34" w14:textId="77777777" w:rsidR="00AB0B15" w:rsidRPr="00AB0B15" w:rsidRDefault="00AB0B15" w:rsidP="00AB0B1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B15">
        <w:rPr>
          <w:rFonts w:ascii="Times New Roman" w:hAnsi="Times New Roman" w:cs="Times New Roman"/>
          <w:sz w:val="24"/>
          <w:szCs w:val="24"/>
          <w:lang w:val="bg-BG"/>
        </w:rPr>
        <w:t xml:space="preserve">В зависимост от периода </w:t>
      </w:r>
      <w:r>
        <w:rPr>
          <w:rFonts w:ascii="Times New Roman" w:hAnsi="Times New Roman" w:cs="Times New Roman"/>
          <w:sz w:val="24"/>
          <w:szCs w:val="24"/>
          <w:lang w:val="bg-BG"/>
        </w:rPr>
        <w:t>до дата на актуализация на цените са приложени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 xml:space="preserve"> индекси на цени на производител на вътрешния или на международния пазар на строителни материали, които се публикуват всяко тримесечие съответно на интернет страницата на Националния статистически институт (НСИ)  – „Индекс на цени на производител на вътрешния пазар на строителни материали“</w:t>
      </w:r>
      <w:r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1"/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 xml:space="preserve"> или Евростат. При прилагането на Методиката е избрана опцията с използване на индекса на НСИ, като са отчетени следните фактори:</w:t>
      </w:r>
    </w:p>
    <w:p w14:paraId="6086A29C" w14:textId="77777777" w:rsidR="00AB0B15" w:rsidRPr="00AB0B15" w:rsidRDefault="00AB0B15" w:rsidP="00AB0B1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B1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ab/>
        <w:t xml:space="preserve">Основните икономически дейности по договорите за строителство, които подлежат на индексация по този проект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ще 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>се извършват на територията на Република  България;</w:t>
      </w:r>
    </w:p>
    <w:p w14:paraId="28191719" w14:textId="77777777" w:rsidR="00AB0B15" w:rsidRDefault="00AB0B15" w:rsidP="00AB0B1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B1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ab/>
        <w:t xml:space="preserve">Основните групи материали, които се използват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ще </w:t>
      </w:r>
      <w:r w:rsidRPr="00AB0B15">
        <w:rPr>
          <w:rFonts w:ascii="Times New Roman" w:hAnsi="Times New Roman" w:cs="Times New Roman"/>
          <w:sz w:val="24"/>
          <w:szCs w:val="24"/>
          <w:lang w:val="bg-BG"/>
        </w:rPr>
        <w:t>се произвеждат и са доставени от местни производители.</w:t>
      </w:r>
    </w:p>
    <w:p w14:paraId="6597E2C3" w14:textId="77777777" w:rsidR="001E2BD0" w:rsidRPr="001E2BD0" w:rsidRDefault="001E2BD0" w:rsidP="001E2BD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Цените за труд са определени на база </w:t>
      </w:r>
      <w:r w:rsidR="00863D89">
        <w:rPr>
          <w:rFonts w:ascii="Times New Roman" w:hAnsi="Times New Roman" w:cs="Times New Roman"/>
          <w:sz w:val="24"/>
          <w:szCs w:val="24"/>
          <w:lang w:val="bg-BG"/>
        </w:rPr>
        <w:t>средна работна заплата по области, отчетена от НСИ</w:t>
      </w:r>
      <w:r w:rsidR="00863D8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2"/>
      </w:r>
      <w:r w:rsidR="00863D89">
        <w:rPr>
          <w:rFonts w:ascii="Times New Roman" w:hAnsi="Times New Roman" w:cs="Times New Roman"/>
          <w:sz w:val="24"/>
          <w:szCs w:val="24"/>
          <w:lang w:val="bg-BG"/>
        </w:rPr>
        <w:t>, умножена с коефициент 1,7 за сектор Строителство , съгласно данни за разликите в заплащането по икономически сектори</w:t>
      </w:r>
      <w:r w:rsidR="00863D8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3"/>
      </w:r>
      <w:r w:rsidR="00863D89">
        <w:rPr>
          <w:rFonts w:ascii="Times New Roman" w:hAnsi="Times New Roman" w:cs="Times New Roman"/>
          <w:sz w:val="24"/>
          <w:szCs w:val="24"/>
          <w:lang w:val="bg-BG"/>
        </w:rPr>
        <w:t xml:space="preserve"> и след това умножени с още 1,4 коефициент за работа в тежки условия на труд.</w:t>
      </w:r>
    </w:p>
    <w:p w14:paraId="0EE33406" w14:textId="77777777" w:rsidR="00581CF4" w:rsidRPr="00581CF4" w:rsidRDefault="00581CF4" w:rsidP="00E85AC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81CF4">
        <w:rPr>
          <w:rFonts w:ascii="Times New Roman" w:hAnsi="Times New Roman" w:cs="Times New Roman"/>
          <w:sz w:val="24"/>
          <w:szCs w:val="24"/>
          <w:lang w:val="bg-BG"/>
        </w:rPr>
        <w:t>Другите разходи са определени на база експертно мнение</w:t>
      </w:r>
      <w:r w:rsidR="00E85AC5">
        <w:rPr>
          <w:rFonts w:ascii="Times New Roman" w:hAnsi="Times New Roman" w:cs="Times New Roman"/>
          <w:sz w:val="24"/>
          <w:szCs w:val="24"/>
          <w:lang w:val="bg-BG"/>
        </w:rPr>
        <w:t xml:space="preserve"> и опита на консултанта при изготвянето на други проекти в сферата на транспорта</w:t>
      </w:r>
      <w:r w:rsidRPr="00581CF4">
        <w:rPr>
          <w:rFonts w:ascii="Times New Roman" w:hAnsi="Times New Roman" w:cs="Times New Roman"/>
          <w:sz w:val="24"/>
          <w:szCs w:val="24"/>
          <w:lang w:val="bg-BG"/>
        </w:rPr>
        <w:t xml:space="preserve"> , като процент към разходите за СМР или общите инвестиционни разходи. За целта са анализирани техните стойности по аналогични инфраструктурни проекти в областта на транспорта. </w:t>
      </w:r>
    </w:p>
    <w:p w14:paraId="3D4F9436" w14:textId="5FD47F46" w:rsidR="00581CF4" w:rsidRPr="00B804D5" w:rsidRDefault="00AB0B15" w:rsidP="00F507D9">
      <w:pPr>
        <w:numPr>
          <w:ilvl w:val="0"/>
          <w:numId w:val="1"/>
        </w:numPr>
        <w:suppressAutoHyphens/>
        <w:spacing w:before="60" w:after="6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Р</w:t>
      </w:r>
      <w:r w:rsidR="00581CF4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азходи за планиране и проектиране са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недопустими и са  за подготовката на проекта по проект „</w:t>
      </w:r>
      <w:r w:rsidR="00F507D9" w:rsidRPr="00F507D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Рехабилитация на източен кей в пристанищен терминал Лом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“, като общата сума е разделена поравно между всички участващи проекти</w:t>
      </w:r>
      <w:r w:rsidR="0039160C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;</w:t>
      </w:r>
    </w:p>
    <w:p w14:paraId="30F5A0C7" w14:textId="77777777" w:rsidR="00581CF4" w:rsidRPr="00B804D5" w:rsidRDefault="00581CF4" w:rsidP="00581CF4">
      <w:pPr>
        <w:numPr>
          <w:ilvl w:val="0"/>
          <w:numId w:val="1"/>
        </w:numPr>
        <w:suppressAutoHyphens/>
        <w:spacing w:before="60" w:after="6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Непредвидените разходи са </w:t>
      </w:r>
      <w:r w:rsidR="00AB0B1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в размер на 10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% от стойността на определените разходи за СМР; </w:t>
      </w:r>
    </w:p>
    <w:p w14:paraId="5A25BEDE" w14:textId="77777777" w:rsidR="00581CF4" w:rsidRPr="00B804D5" w:rsidRDefault="000F416A" w:rsidP="000F416A">
      <w:pPr>
        <w:numPr>
          <w:ilvl w:val="0"/>
          <w:numId w:val="1"/>
        </w:numPr>
        <w:suppressAutoHyphens/>
        <w:spacing w:before="60" w:after="6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  <w:t>Разходите за строителен и авторски надзор са определени на 3% от стойността на СМР, базирайки се на данни за средна стойност за сектор Транспорт</w:t>
      </w:r>
      <w:r w:rsidR="00581CF4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;</w:t>
      </w:r>
    </w:p>
    <w:p w14:paraId="75183CE9" w14:textId="14E7A486" w:rsidR="00581CF4" w:rsidRPr="00B804D5" w:rsidRDefault="00581CF4" w:rsidP="00581CF4">
      <w:pPr>
        <w:numPr>
          <w:ilvl w:val="0"/>
          <w:numId w:val="1"/>
        </w:numPr>
        <w:suppressAutoHyphens/>
        <w:spacing w:before="60" w:after="6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Разходите за техническа помощ включват управление на проекта, изготвяне на тръжни документи, такси, технически и правни експертизи и други нужди и са определени  съгласно изготвените Бюджети за </w:t>
      </w:r>
      <w:r w:rsidR="00F507D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тех</w:t>
      </w:r>
      <w:r w:rsidR="0039160C"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ническа</w:t>
      </w:r>
      <w:r w:rsidRPr="00B804D5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помощ на ЗУИП;</w:t>
      </w:r>
    </w:p>
    <w:p w14:paraId="3DE5B6EC" w14:textId="682FF173" w:rsidR="00581CF4" w:rsidRPr="00581CF4" w:rsidRDefault="00581CF4" w:rsidP="00430F44">
      <w:pPr>
        <w:pStyle w:val="ListParagraph"/>
        <w:numPr>
          <w:ilvl w:val="0"/>
          <w:numId w:val="2"/>
        </w:numPr>
        <w:spacing w:before="0" w:after="160" w:line="259" w:lineRule="auto"/>
        <w:jc w:val="both"/>
        <w:rPr>
          <w:rFonts w:ascii="Times New Roman" w:hAnsi="Times New Roman"/>
          <w:szCs w:val="24"/>
          <w:lang w:eastAsia="ar-SA"/>
        </w:rPr>
      </w:pPr>
      <w:r w:rsidRPr="00581CF4">
        <w:rPr>
          <w:rFonts w:ascii="Times New Roman" w:hAnsi="Times New Roman"/>
          <w:szCs w:val="24"/>
          <w:lang w:eastAsia="ar-SA"/>
        </w:rPr>
        <w:t xml:space="preserve">Разходите за публичност на проекта са определени на 0,2% от стойността </w:t>
      </w:r>
      <w:r w:rsidR="00051195">
        <w:rPr>
          <w:rFonts w:ascii="Times New Roman" w:hAnsi="Times New Roman"/>
          <w:szCs w:val="24"/>
          <w:lang w:eastAsia="ar-SA"/>
        </w:rPr>
        <w:t xml:space="preserve">на </w:t>
      </w:r>
      <w:r w:rsidR="00430F44" w:rsidRPr="00430F44">
        <w:rPr>
          <w:rFonts w:ascii="Times New Roman" w:hAnsi="Times New Roman"/>
          <w:szCs w:val="24"/>
          <w:lang w:eastAsia="ar-SA"/>
        </w:rPr>
        <w:t>разходите за СМР</w:t>
      </w:r>
      <w:r w:rsidRPr="00581CF4">
        <w:rPr>
          <w:rFonts w:ascii="Times New Roman" w:hAnsi="Times New Roman"/>
          <w:szCs w:val="24"/>
          <w:lang w:eastAsia="ar-SA"/>
        </w:rPr>
        <w:t>;</w:t>
      </w:r>
    </w:p>
    <w:p w14:paraId="30A75460" w14:textId="77777777" w:rsidR="00581CF4" w:rsidRPr="00581CF4" w:rsidRDefault="00581CF4" w:rsidP="00E85AC5">
      <w:pPr>
        <w:pStyle w:val="ListParagraph"/>
        <w:numPr>
          <w:ilvl w:val="0"/>
          <w:numId w:val="2"/>
        </w:numPr>
        <w:spacing w:before="0" w:after="160" w:line="259" w:lineRule="auto"/>
        <w:jc w:val="both"/>
        <w:rPr>
          <w:rFonts w:ascii="Times New Roman" w:hAnsi="Times New Roman"/>
          <w:szCs w:val="24"/>
          <w:lang w:eastAsia="ar-SA"/>
        </w:rPr>
      </w:pPr>
      <w:r w:rsidRPr="00581CF4">
        <w:rPr>
          <w:rFonts w:ascii="Times New Roman" w:hAnsi="Times New Roman"/>
          <w:szCs w:val="24"/>
          <w:lang w:eastAsia="ar-SA"/>
        </w:rPr>
        <w:t xml:space="preserve">Предвид резултатите от извършения анализ на макро индикаторите, влияещи върху цената на СМР , на основание Приложение </w:t>
      </w:r>
      <w:r w:rsidRPr="00581CF4">
        <w:rPr>
          <w:rFonts w:ascii="Times New Roman" w:hAnsi="Times New Roman"/>
          <w:szCs w:val="24"/>
          <w:lang w:val="en-US" w:eastAsia="ar-SA"/>
        </w:rPr>
        <w:t>II</w:t>
      </w:r>
      <w:r w:rsidRPr="00581CF4">
        <w:rPr>
          <w:rFonts w:ascii="Times New Roman" w:hAnsi="Times New Roman"/>
          <w:szCs w:val="24"/>
          <w:lang w:eastAsia="ar-SA"/>
        </w:rPr>
        <w:t>,б. В.1., т. 3 от РЕГЛАМЕНТ ЗА ИЗПЪЛНЕНИЕ (ЕС) 2015/207 НА КОМИСИЯТА</w:t>
      </w:r>
      <w:r w:rsidRPr="00581CF4">
        <w:rPr>
          <w:rStyle w:val="FootnoteReference"/>
          <w:rFonts w:ascii="Times New Roman" w:hAnsi="Times New Roman"/>
          <w:szCs w:val="24"/>
          <w:lang w:eastAsia="ar-SA"/>
        </w:rPr>
        <w:footnoteReference w:id="4"/>
      </w:r>
      <w:r w:rsidRPr="00581CF4">
        <w:rPr>
          <w:rFonts w:ascii="Times New Roman" w:hAnsi="Times New Roman"/>
          <w:szCs w:val="24"/>
          <w:lang w:eastAsia="ar-SA"/>
        </w:rPr>
        <w:t xml:space="preserve"> е приложена ценова корекция</w:t>
      </w:r>
      <w:r w:rsidR="00E85AC5">
        <w:rPr>
          <w:rFonts w:ascii="Times New Roman" w:hAnsi="Times New Roman"/>
          <w:szCs w:val="24"/>
          <w:lang w:eastAsia="ar-SA"/>
        </w:rPr>
        <w:t xml:space="preserve">. </w:t>
      </w:r>
      <w:r w:rsidR="00E85AC5" w:rsidRPr="00E85AC5">
        <w:rPr>
          <w:rFonts w:ascii="Times New Roman" w:hAnsi="Times New Roman"/>
          <w:szCs w:val="24"/>
          <w:lang w:eastAsia="ar-SA"/>
        </w:rPr>
        <w:lastRenderedPageBreak/>
        <w:t>Стойността на ценовата корекция е определена на база прогноза за стойността  на инфлацията и годините за изпълнението на проекта. Оставащата стойност на средствата за всяка една година от Финансовия план е умножена с размера на очакваната инфлация за съответната година</w:t>
      </w:r>
    </w:p>
    <w:p w14:paraId="1E5CBC25" w14:textId="65451DDF" w:rsidR="00581CF4" w:rsidRPr="00581CF4" w:rsidRDefault="00FB42F7" w:rsidP="00581CF4">
      <w:pPr>
        <w:pStyle w:val="ListParagraph"/>
        <w:numPr>
          <w:ilvl w:val="0"/>
          <w:numId w:val="2"/>
        </w:numPr>
        <w:spacing w:before="0" w:after="160" w:line="259" w:lineRule="auto"/>
        <w:jc w:val="both"/>
        <w:rPr>
          <w:rFonts w:ascii="Times New Roman" w:hAnsi="Times New Roman"/>
          <w:szCs w:val="24"/>
          <w:lang w:eastAsia="ar-SA"/>
        </w:rPr>
      </w:pPr>
      <w:r w:rsidRPr="004411A2">
        <w:rPr>
          <w:rFonts w:ascii="Times New Roman" w:hAnsi="Times New Roman"/>
          <w:szCs w:val="24"/>
          <w:lang w:eastAsia="ar-SA"/>
        </w:rPr>
        <w:t>Недопустимите разходи за планиране и проектиране са за подготовката на проекта по проект „Осигуряване на техническа помощ за подготовка на проекти за следващия програмен период 2021-2027 г.“, като общата сума е разделена поравно между всички участващи проекти и са в размер на 233 329 лв</w:t>
      </w:r>
      <w:r w:rsidR="00581CF4" w:rsidRPr="00581CF4">
        <w:rPr>
          <w:rFonts w:ascii="Times New Roman" w:hAnsi="Times New Roman"/>
          <w:szCs w:val="24"/>
          <w:lang w:eastAsia="ar-SA"/>
        </w:rPr>
        <w:t xml:space="preserve">. </w:t>
      </w:r>
    </w:p>
    <w:p w14:paraId="66AAA60A" w14:textId="77777777" w:rsidR="00581CF4" w:rsidRPr="00B804D5" w:rsidRDefault="00581CF4" w:rsidP="00E85AC5">
      <w:pPr>
        <w:suppressAutoHyphens/>
        <w:spacing w:before="60" w:after="6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14:paraId="3BB0BC3A" w14:textId="77777777" w:rsidR="00581CF4" w:rsidRPr="00B804D5" w:rsidRDefault="00581CF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sectPr w:rsidR="00581CF4" w:rsidRPr="00B804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86FAF" w14:textId="77777777" w:rsidR="00542E86" w:rsidRDefault="00542E86" w:rsidP="00581CF4">
      <w:pPr>
        <w:spacing w:after="0" w:line="240" w:lineRule="auto"/>
      </w:pPr>
      <w:r>
        <w:separator/>
      </w:r>
    </w:p>
  </w:endnote>
  <w:endnote w:type="continuationSeparator" w:id="0">
    <w:p w14:paraId="22F7B4AD" w14:textId="77777777" w:rsidR="00542E86" w:rsidRDefault="00542E86" w:rsidP="0058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351E4" w14:textId="77777777" w:rsidR="00542E86" w:rsidRDefault="00542E86" w:rsidP="00581CF4">
      <w:pPr>
        <w:spacing w:after="0" w:line="240" w:lineRule="auto"/>
      </w:pPr>
      <w:r>
        <w:separator/>
      </w:r>
    </w:p>
  </w:footnote>
  <w:footnote w:type="continuationSeparator" w:id="0">
    <w:p w14:paraId="262DA962" w14:textId="77777777" w:rsidR="00542E86" w:rsidRDefault="00542E86" w:rsidP="00581CF4">
      <w:pPr>
        <w:spacing w:after="0" w:line="240" w:lineRule="auto"/>
      </w:pPr>
      <w:r>
        <w:continuationSeparator/>
      </w:r>
    </w:p>
  </w:footnote>
  <w:footnote w:id="1">
    <w:p w14:paraId="6077252A" w14:textId="77777777" w:rsidR="00AB0B15" w:rsidRPr="00AB0B15" w:rsidRDefault="00AB0B15" w:rsidP="00AB0B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72177E">
          <w:rPr>
            <w:rStyle w:val="Hyperlink"/>
          </w:rPr>
          <w:t>https://infostat.nsi.bg/infostat/pages/reports/result.jsf?x_2=1930</w:t>
        </w:r>
      </w:hyperlink>
      <w:r>
        <w:t xml:space="preserve"> </w:t>
      </w:r>
    </w:p>
  </w:footnote>
  <w:footnote w:id="2">
    <w:p w14:paraId="55D9AFB9" w14:textId="77777777" w:rsidR="00863D89" w:rsidRDefault="00863D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72177E">
          <w:rPr>
            <w:rStyle w:val="Hyperlink"/>
          </w:rPr>
          <w:t>https://www.nsi.bg/bg/content/3930/</w:t>
        </w:r>
        <w:r w:rsidRPr="00863D89">
          <w:rPr>
            <w:rStyle w:val="Hyperlink"/>
          </w:rPr>
          <w:t>статистически-райони-област</w:t>
        </w:r>
      </w:hyperlink>
      <w:r>
        <w:t xml:space="preserve">  </w:t>
      </w:r>
    </w:p>
  </w:footnote>
  <w:footnote w:id="3">
    <w:p w14:paraId="1B372287" w14:textId="77777777" w:rsidR="00863D89" w:rsidRDefault="00863D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72177E">
          <w:rPr>
            <w:rStyle w:val="Hyperlink"/>
          </w:rPr>
          <w:t>https://www.zaplatomer.bg/zaplati/stroitelstvo-i-nedvizhimi-imoti</w:t>
        </w:r>
      </w:hyperlink>
      <w:r>
        <w:t xml:space="preserve"> </w:t>
      </w:r>
    </w:p>
  </w:footnote>
  <w:footnote w:id="4">
    <w:p w14:paraId="2D34521C" w14:textId="77777777" w:rsidR="00581CF4" w:rsidRPr="00B804D5" w:rsidRDefault="00581CF4" w:rsidP="00581CF4">
      <w:pPr>
        <w:pStyle w:val="FootnoteText"/>
        <w:rPr>
          <w:rFonts w:ascii="Arial" w:hAnsi="Arial" w:cs="Arial"/>
          <w:sz w:val="18"/>
          <w:szCs w:val="18"/>
        </w:rPr>
      </w:pPr>
      <w:r w:rsidRPr="006700E8">
        <w:rPr>
          <w:rStyle w:val="FootnoteReference"/>
          <w:rFonts w:ascii="Arial" w:hAnsi="Arial" w:cs="Arial"/>
          <w:sz w:val="18"/>
          <w:szCs w:val="18"/>
        </w:rPr>
        <w:footnoteRef/>
      </w:r>
      <w:r w:rsidRPr="006700E8">
        <w:rPr>
          <w:rFonts w:ascii="Arial" w:hAnsi="Arial" w:cs="Arial"/>
          <w:sz w:val="18"/>
          <w:szCs w:val="18"/>
        </w:rPr>
        <w:t xml:space="preserve"> </w:t>
      </w:r>
      <w:hyperlink r:id="rId4" w:history="1">
        <w:r w:rsidRPr="006700E8">
          <w:rPr>
            <w:rStyle w:val="Hyperlink"/>
            <w:rFonts w:ascii="Arial" w:hAnsi="Arial" w:cs="Arial"/>
            <w:sz w:val="18"/>
            <w:szCs w:val="18"/>
          </w:rPr>
          <w:t>https://eur-lex.europa.eu/legal-content/BG/TXT/PDF/?uri=CELEX:32015R0207&amp;from=RO</w:t>
        </w:r>
      </w:hyperlink>
      <w:r w:rsidRPr="006700E8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B10"/>
      </v:shape>
    </w:pict>
  </w:numPicBullet>
  <w:abstractNum w:abstractNumId="0" w15:restartNumberingAfterBreak="0">
    <w:nsid w:val="221831F1"/>
    <w:multiLevelType w:val="hybridMultilevel"/>
    <w:tmpl w:val="33A8FC3E"/>
    <w:lvl w:ilvl="0" w:tplc="04090007">
      <w:start w:val="1"/>
      <w:numFmt w:val="bullet"/>
      <w:lvlText w:val=""/>
      <w:lvlPicBulletId w:val="0"/>
      <w:lvlJc w:val="left"/>
      <w:pPr>
        <w:ind w:left="630" w:hanging="360"/>
      </w:pPr>
      <w:rPr>
        <w:rFonts w:ascii="Symbol" w:hAnsi="Symbol" w:hint="default"/>
      </w:rPr>
    </w:lvl>
    <w:lvl w:ilvl="1" w:tplc="C55025C8">
      <w:numFmt w:val="bullet"/>
      <w:lvlText w:val="•"/>
      <w:lvlJc w:val="left"/>
      <w:pPr>
        <w:ind w:left="171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2560172D"/>
    <w:multiLevelType w:val="hybridMultilevel"/>
    <w:tmpl w:val="9FAADB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55025C8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B84E21"/>
    <w:multiLevelType w:val="hybridMultilevel"/>
    <w:tmpl w:val="7160144C"/>
    <w:lvl w:ilvl="0" w:tplc="04090007">
      <w:start w:val="1"/>
      <w:numFmt w:val="bullet"/>
      <w:lvlText w:val=""/>
      <w:lvlPicBulletId w:val="0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EE"/>
    <w:rsid w:val="00041FB7"/>
    <w:rsid w:val="00051195"/>
    <w:rsid w:val="000C1A11"/>
    <w:rsid w:val="000D1FCC"/>
    <w:rsid w:val="000F416A"/>
    <w:rsid w:val="001E14CC"/>
    <w:rsid w:val="001E2BD0"/>
    <w:rsid w:val="0025783E"/>
    <w:rsid w:val="002C059B"/>
    <w:rsid w:val="00347EEE"/>
    <w:rsid w:val="0035761A"/>
    <w:rsid w:val="00382EBC"/>
    <w:rsid w:val="0039160C"/>
    <w:rsid w:val="00430F44"/>
    <w:rsid w:val="00487DA1"/>
    <w:rsid w:val="004C056D"/>
    <w:rsid w:val="004D535C"/>
    <w:rsid w:val="00542E86"/>
    <w:rsid w:val="00553FDF"/>
    <w:rsid w:val="00581CF4"/>
    <w:rsid w:val="00863D89"/>
    <w:rsid w:val="008D09F2"/>
    <w:rsid w:val="00903683"/>
    <w:rsid w:val="009473E3"/>
    <w:rsid w:val="00AB0B15"/>
    <w:rsid w:val="00AD3EE9"/>
    <w:rsid w:val="00B804D5"/>
    <w:rsid w:val="00CB782C"/>
    <w:rsid w:val="00DC76E5"/>
    <w:rsid w:val="00E85AC5"/>
    <w:rsid w:val="00E91B76"/>
    <w:rsid w:val="00F473E8"/>
    <w:rsid w:val="00F507D9"/>
    <w:rsid w:val="00F81555"/>
    <w:rsid w:val="00FB42F7"/>
    <w:rsid w:val="00FD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A1A827"/>
  <w15:chartTrackingRefBased/>
  <w15:docId w15:val="{4A2F9B27-1EEB-45B3-A699-845FB5CD7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81CF4"/>
    <w:rPr>
      <w:color w:val="auto"/>
      <w:u w:val="single"/>
    </w:rPr>
  </w:style>
  <w:style w:type="paragraph" w:styleId="ListParagraph">
    <w:name w:val="List Paragraph"/>
    <w:aliases w:val="Normal List,Endnote,Indent,Списък на абзаци,ПАРАГРАФ,Гл точки"/>
    <w:basedOn w:val="Normal"/>
    <w:link w:val="ListParagraphChar"/>
    <w:uiPriority w:val="34"/>
    <w:qFormat/>
    <w:rsid w:val="00581CF4"/>
    <w:pPr>
      <w:spacing w:before="60" w:after="200" w:line="276" w:lineRule="auto"/>
      <w:ind w:left="720"/>
      <w:contextualSpacing/>
    </w:pPr>
    <w:rPr>
      <w:rFonts w:ascii="Calibri" w:eastAsia="Times New Roman" w:hAnsi="Calibri" w:cs="Times New Roman"/>
      <w:sz w:val="24"/>
      <w:lang w:val="bg-BG" w:eastAsia="zh-CN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581C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ar-SA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1CF4"/>
    <w:rPr>
      <w:rFonts w:ascii="Times New Roman" w:eastAsia="Times New Roman" w:hAnsi="Times New Roman" w:cs="Times New Roman"/>
      <w:sz w:val="20"/>
      <w:szCs w:val="20"/>
      <w:lang w:val="bg-BG" w:eastAsia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16 Point"/>
    <w:basedOn w:val="DefaultParagraphFont"/>
    <w:uiPriority w:val="99"/>
    <w:rsid w:val="00581CF4"/>
    <w:rPr>
      <w:rFonts w:cs="Times New Roman"/>
      <w:vertAlign w:val="superscript"/>
    </w:rPr>
  </w:style>
  <w:style w:type="character" w:customStyle="1" w:styleId="ListParagraphChar">
    <w:name w:val="List Paragraph Char"/>
    <w:aliases w:val="Normal List Char,Endnote Char,Indent Char,Списък на абзаци Char,ПАРАГРАФ Char,Гл точки Char"/>
    <w:link w:val="ListParagraph"/>
    <w:uiPriority w:val="34"/>
    <w:qFormat/>
    <w:locked/>
    <w:rsid w:val="00581CF4"/>
    <w:rPr>
      <w:rFonts w:ascii="Calibri" w:eastAsia="Times New Roman" w:hAnsi="Calibri" w:cs="Times New Roman"/>
      <w:sz w:val="24"/>
      <w:lang w:val="bg-B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zaplatomer.bg/zaplati/stroitelstvo-i-nedvizhimi-imoti" TargetMode="External"/><Relationship Id="rId2" Type="http://schemas.openxmlformats.org/officeDocument/2006/relationships/hyperlink" Target="https://www.nsi.bg/bg/content/3930/%D1%81%D1%82%D0%B0%D1%82%D0%B8%D1%81%D1%82%D0%B8%D1%87%D0%B5%D1%81%D0%BA%D0%B8-%D1%80%D0%B0%D0%B9%D0%BE%D0%BD%D0%B8-%D0%BE%D0%B1%D0%BB%D0%B0%D1%81%D1%82" TargetMode="External"/><Relationship Id="rId1" Type="http://schemas.openxmlformats.org/officeDocument/2006/relationships/hyperlink" Target="https://infostat.nsi.bg/infostat/pages/reports/result.jsf?x_2=1930" TargetMode="External"/><Relationship Id="rId4" Type="http://schemas.openxmlformats.org/officeDocument/2006/relationships/hyperlink" Target="https://eur-lex.europa.eu/legal-content/BG/TXT/PDF/?uri=CELEX:32015R0207&amp;from=RO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412E8-E321-4D57-A954-DDE4F703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Tchakarova</dc:creator>
  <cp:keywords/>
  <dc:description/>
  <cp:lastModifiedBy>Margarita Valkanova</cp:lastModifiedBy>
  <cp:revision>5</cp:revision>
  <dcterms:created xsi:type="dcterms:W3CDTF">2024-01-23T10:22:00Z</dcterms:created>
  <dcterms:modified xsi:type="dcterms:W3CDTF">2024-02-07T14:50:00Z</dcterms:modified>
</cp:coreProperties>
</file>